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color w:val="auto"/>
          <w:sz w:val="52"/>
          <w:szCs w:val="52"/>
          <w:highlight w:val="none"/>
          <w:lang w:eastAsia="zh-CN"/>
        </w:rPr>
      </w:pPr>
      <w:r>
        <w:rPr>
          <w:rFonts w:hint="eastAsia" w:ascii="仿宋" w:hAnsi="仿宋" w:eastAsia="仿宋" w:cs="仿宋"/>
          <w:color w:val="auto"/>
          <w:sz w:val="22"/>
          <w:highlight w:val="none"/>
        </w:rPr>
        <w:drawing>
          <wp:inline distT="0" distB="0" distL="114300" distR="114300">
            <wp:extent cx="2320290" cy="934720"/>
            <wp:effectExtent l="0" t="0" r="3810" b="1778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8"/>
                    <a:stretch>
                      <a:fillRect/>
                    </a:stretch>
                  </pic:blipFill>
                  <pic:spPr>
                    <a:xfrm>
                      <a:off x="0" y="0"/>
                      <a:ext cx="2320290" cy="934720"/>
                    </a:xfrm>
                    <a:prstGeom prst="rect">
                      <a:avLst/>
                    </a:prstGeom>
                    <a:noFill/>
                    <a:ln>
                      <a:noFill/>
                    </a:ln>
                  </pic:spPr>
                </pic:pic>
              </a:graphicData>
            </a:graphic>
          </wp:inline>
        </w:drawing>
      </w:r>
    </w:p>
    <w:p>
      <w:pPr>
        <w:jc w:val="center"/>
        <w:rPr>
          <w:rFonts w:hint="eastAsia" w:ascii="仿宋" w:hAnsi="仿宋" w:eastAsia="仿宋" w:cs="仿宋"/>
          <w:b/>
          <w:bCs/>
          <w:color w:val="auto"/>
          <w:sz w:val="52"/>
          <w:szCs w:val="52"/>
          <w:highlight w:val="none"/>
          <w:lang w:val="en-US" w:eastAsia="zh-CN"/>
        </w:rPr>
      </w:pPr>
    </w:p>
    <w:p>
      <w:pPr>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lang w:val="en-US" w:eastAsia="zh-CN"/>
        </w:rPr>
        <w:t xml:space="preserve">招  标 </w:t>
      </w:r>
      <w:r>
        <w:rPr>
          <w:rFonts w:hint="eastAsia" w:ascii="仿宋" w:hAnsi="仿宋" w:eastAsia="仿宋" w:cs="仿宋"/>
          <w:b/>
          <w:bCs/>
          <w:color w:val="auto"/>
          <w:sz w:val="52"/>
          <w:szCs w:val="52"/>
          <w:highlight w:val="none"/>
        </w:rPr>
        <w:t xml:space="preserve"> 文 </w:t>
      </w:r>
      <w:r>
        <w:rPr>
          <w:rFonts w:hint="eastAsia" w:ascii="仿宋" w:hAnsi="仿宋" w:eastAsia="仿宋" w:cs="仿宋"/>
          <w:b/>
          <w:bCs/>
          <w:color w:val="auto"/>
          <w:sz w:val="52"/>
          <w:szCs w:val="52"/>
          <w:highlight w:val="none"/>
          <w:lang w:val="en-US" w:eastAsia="zh-CN"/>
        </w:rPr>
        <w:t xml:space="preserve"> </w:t>
      </w:r>
      <w:r>
        <w:rPr>
          <w:rFonts w:hint="eastAsia" w:ascii="仿宋" w:hAnsi="仿宋" w:eastAsia="仿宋" w:cs="仿宋"/>
          <w:b/>
          <w:bCs/>
          <w:color w:val="auto"/>
          <w:sz w:val="52"/>
          <w:szCs w:val="52"/>
          <w:highlight w:val="none"/>
        </w:rPr>
        <w:t>件</w:t>
      </w:r>
    </w:p>
    <w:p>
      <w:pPr>
        <w:pStyle w:val="22"/>
        <w:spacing w:line="360" w:lineRule="auto"/>
        <w:ind w:left="0" w:leftChars="0" w:firstLine="0" w:firstLineChars="0"/>
        <w:rPr>
          <w:rFonts w:hint="eastAsia" w:ascii="仿宋" w:hAnsi="仿宋" w:eastAsia="仿宋" w:cs="仿宋"/>
          <w:b w:val="0"/>
          <w:bCs w:val="0"/>
          <w:color w:val="auto"/>
          <w:sz w:val="30"/>
          <w:szCs w:val="30"/>
          <w:highlight w:val="none"/>
          <w:lang w:val="en-US" w:eastAsia="zh-CN" w:bidi="zh-CN"/>
        </w:rPr>
      </w:pPr>
    </w:p>
    <w:p>
      <w:pPr>
        <w:pStyle w:val="22"/>
        <w:keepNext w:val="0"/>
        <w:keepLines w:val="0"/>
        <w:pageBreakBefore w:val="0"/>
        <w:widowControl w:val="0"/>
        <w:kinsoku/>
        <w:wordWrap/>
        <w:overflowPunct/>
        <w:topLinePunct w:val="0"/>
        <w:autoSpaceDE w:val="0"/>
        <w:autoSpaceDN w:val="0"/>
        <w:bidi w:val="0"/>
        <w:adjustRightInd/>
        <w:snapToGrid/>
        <w:spacing w:line="360" w:lineRule="auto"/>
        <w:ind w:left="2517" w:leftChars="326" w:hanging="1800" w:hangingChars="500"/>
        <w:textAlignment w:val="auto"/>
        <w:rPr>
          <w:rFonts w:hint="eastAsia" w:ascii="仿宋" w:hAnsi="仿宋" w:eastAsia="仿宋" w:cs="仿宋"/>
          <w:b w:val="0"/>
          <w:bCs w:val="0"/>
          <w:color w:val="auto"/>
          <w:sz w:val="36"/>
          <w:szCs w:val="36"/>
          <w:highlight w:val="none"/>
          <w:lang w:val="en-US" w:eastAsia="zh-CN" w:bidi="zh-CN"/>
        </w:rPr>
      </w:pPr>
    </w:p>
    <w:p>
      <w:pPr>
        <w:pStyle w:val="22"/>
        <w:keepNext w:val="0"/>
        <w:keepLines w:val="0"/>
        <w:pageBreakBefore w:val="0"/>
        <w:widowControl w:val="0"/>
        <w:kinsoku/>
        <w:wordWrap/>
        <w:overflowPunct/>
        <w:topLinePunct w:val="0"/>
        <w:autoSpaceDE w:val="0"/>
        <w:autoSpaceDN w:val="0"/>
        <w:bidi w:val="0"/>
        <w:adjustRightInd/>
        <w:snapToGrid/>
        <w:spacing w:line="360" w:lineRule="auto"/>
        <w:ind w:left="2517" w:leftChars="326" w:hanging="1800" w:hangingChars="500"/>
        <w:textAlignment w:val="auto"/>
        <w:rPr>
          <w:rFonts w:hint="eastAsia" w:ascii="仿宋" w:hAnsi="仿宋" w:eastAsia="仿宋" w:cs="仿宋"/>
          <w:b w:val="0"/>
          <w:bCs w:val="0"/>
          <w:color w:val="auto"/>
          <w:sz w:val="36"/>
          <w:szCs w:val="36"/>
          <w:highlight w:val="none"/>
          <w:lang w:val="en-US" w:eastAsia="zh-CN" w:bidi="zh-CN"/>
        </w:rPr>
      </w:pPr>
      <w:r>
        <w:rPr>
          <w:rFonts w:hint="eastAsia" w:ascii="仿宋" w:hAnsi="仿宋" w:eastAsia="仿宋" w:cs="仿宋"/>
          <w:b w:val="0"/>
          <w:bCs w:val="0"/>
          <w:color w:val="auto"/>
          <w:sz w:val="36"/>
          <w:szCs w:val="36"/>
          <w:highlight w:val="none"/>
          <w:lang w:val="en-US" w:eastAsia="zh-CN" w:bidi="zh-CN"/>
        </w:rPr>
        <w:t>项目编号：XZJ22649</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2517" w:leftChars="326" w:hanging="1800" w:hangingChars="500"/>
        <w:textAlignment w:val="auto"/>
        <w:rPr>
          <w:rFonts w:hint="eastAsia" w:ascii="仿宋" w:hAnsi="仿宋" w:eastAsia="仿宋" w:cs="仿宋"/>
          <w:b w:val="0"/>
          <w:bCs w:val="0"/>
          <w:color w:val="auto"/>
          <w:sz w:val="36"/>
          <w:szCs w:val="36"/>
          <w:highlight w:val="none"/>
          <w:lang w:val="en-US" w:eastAsia="zh-CN" w:bidi="zh-CN"/>
        </w:rPr>
      </w:pPr>
      <w:r>
        <w:rPr>
          <w:rFonts w:hint="eastAsia" w:ascii="仿宋" w:hAnsi="仿宋" w:eastAsia="仿宋" w:cs="仿宋"/>
          <w:b w:val="0"/>
          <w:bCs w:val="0"/>
          <w:color w:val="auto"/>
          <w:sz w:val="36"/>
          <w:szCs w:val="36"/>
          <w:highlight w:val="none"/>
          <w:lang w:val="en-US" w:eastAsia="zh-CN" w:bidi="zh-CN"/>
        </w:rPr>
        <w:t>项目名称：新疆工程学院《电力系统继电保护实训室建设》项目</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2517" w:leftChars="326" w:hanging="1800" w:hangingChars="500"/>
        <w:textAlignment w:val="auto"/>
        <w:rPr>
          <w:rFonts w:hint="eastAsia" w:ascii="仿宋" w:hAnsi="仿宋" w:eastAsia="仿宋" w:cs="仿宋"/>
          <w:b w:val="0"/>
          <w:bCs w:val="0"/>
          <w:color w:val="auto"/>
          <w:sz w:val="36"/>
          <w:szCs w:val="36"/>
          <w:highlight w:val="none"/>
          <w:lang w:val="en-US" w:eastAsia="zh-CN" w:bidi="zh-CN"/>
        </w:rPr>
      </w:pPr>
      <w:r>
        <w:rPr>
          <w:rFonts w:hint="eastAsia" w:ascii="仿宋" w:hAnsi="仿宋" w:eastAsia="仿宋" w:cs="仿宋"/>
          <w:b w:val="0"/>
          <w:bCs w:val="0"/>
          <w:color w:val="auto"/>
          <w:sz w:val="36"/>
          <w:szCs w:val="36"/>
          <w:highlight w:val="none"/>
          <w:lang w:val="en-US" w:eastAsia="zh-CN" w:bidi="zh-CN"/>
        </w:rPr>
        <w:t>招 标 人：新疆工程学院</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2517" w:leftChars="326" w:hanging="1800" w:hangingChars="500"/>
        <w:textAlignment w:val="auto"/>
        <w:rPr>
          <w:rFonts w:hint="eastAsia" w:ascii="仿宋" w:hAnsi="仿宋" w:eastAsia="仿宋" w:cs="仿宋"/>
          <w:b w:val="0"/>
          <w:bCs w:val="0"/>
          <w:color w:val="auto"/>
          <w:sz w:val="36"/>
          <w:szCs w:val="36"/>
          <w:highlight w:val="none"/>
          <w:lang w:val="en-US" w:eastAsia="zh-CN" w:bidi="zh-CN"/>
        </w:rPr>
      </w:pPr>
      <w:r>
        <w:rPr>
          <w:rFonts w:hint="eastAsia" w:ascii="仿宋" w:hAnsi="仿宋" w:eastAsia="仿宋" w:cs="仿宋"/>
          <w:b w:val="0"/>
          <w:bCs w:val="0"/>
          <w:color w:val="auto"/>
          <w:sz w:val="36"/>
          <w:szCs w:val="36"/>
          <w:highlight w:val="none"/>
          <w:lang w:val="en-US" w:eastAsia="zh-CN" w:bidi="zh-CN"/>
        </w:rPr>
        <w:t>地    址：新疆乌鲁木齐市经济技术开发区(头屯河区)艾丁湖路1350号</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firstLine="720" w:firstLineChars="200"/>
        <w:textAlignment w:val="auto"/>
        <w:rPr>
          <w:rFonts w:hint="eastAsia" w:ascii="仿宋" w:hAnsi="仿宋" w:eastAsia="仿宋" w:cs="仿宋"/>
          <w:b w:val="0"/>
          <w:bCs w:val="0"/>
          <w:color w:val="auto"/>
          <w:sz w:val="36"/>
          <w:szCs w:val="36"/>
          <w:highlight w:val="none"/>
          <w:lang w:val="en-US" w:eastAsia="zh-CN" w:bidi="zh-CN"/>
        </w:rPr>
      </w:pPr>
      <w:r>
        <w:rPr>
          <w:rFonts w:hint="eastAsia" w:ascii="仿宋" w:hAnsi="仿宋" w:eastAsia="仿宋" w:cs="仿宋"/>
          <w:b w:val="0"/>
          <w:bCs w:val="0"/>
          <w:color w:val="auto"/>
          <w:sz w:val="36"/>
          <w:szCs w:val="36"/>
          <w:highlight w:val="none"/>
          <w:lang w:val="en-US" w:eastAsia="zh-CN" w:bidi="zh-CN"/>
        </w:rPr>
        <w:t>联 系 人：靳立国</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firstLine="720" w:firstLineChars="200"/>
        <w:textAlignment w:val="auto"/>
        <w:rPr>
          <w:rFonts w:hint="eastAsia" w:ascii="仿宋" w:hAnsi="仿宋" w:eastAsia="仿宋" w:cs="仿宋"/>
          <w:b w:val="0"/>
          <w:bCs w:val="0"/>
          <w:color w:val="auto"/>
          <w:sz w:val="36"/>
          <w:szCs w:val="36"/>
          <w:highlight w:val="none"/>
          <w:lang w:val="en-US" w:eastAsia="zh-CN" w:bidi="zh-CN"/>
        </w:rPr>
      </w:pPr>
      <w:r>
        <w:rPr>
          <w:rFonts w:hint="eastAsia" w:ascii="仿宋" w:hAnsi="仿宋" w:eastAsia="仿宋" w:cs="仿宋"/>
          <w:b w:val="0"/>
          <w:bCs w:val="0"/>
          <w:color w:val="auto"/>
          <w:sz w:val="36"/>
          <w:szCs w:val="36"/>
          <w:highlight w:val="none"/>
          <w:lang w:val="en-US" w:eastAsia="zh-CN" w:bidi="zh-CN"/>
        </w:rPr>
        <w:t>联系电话：13659995927</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firstLine="720" w:firstLineChars="200"/>
        <w:textAlignment w:val="auto"/>
        <w:rPr>
          <w:rFonts w:hint="eastAsia" w:ascii="仿宋" w:hAnsi="仿宋" w:eastAsia="仿宋" w:cs="仿宋"/>
          <w:b w:val="0"/>
          <w:bCs w:val="0"/>
          <w:color w:val="auto"/>
          <w:sz w:val="36"/>
          <w:szCs w:val="36"/>
          <w:highlight w:val="none"/>
          <w:lang w:val="en-US" w:eastAsia="zh-CN" w:bidi="zh-CN"/>
        </w:rPr>
      </w:pP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firstLine="720" w:firstLineChars="200"/>
        <w:textAlignment w:val="auto"/>
        <w:rPr>
          <w:rFonts w:hint="eastAsia" w:ascii="仿宋" w:hAnsi="仿宋" w:eastAsia="仿宋" w:cs="仿宋"/>
          <w:b w:val="0"/>
          <w:bCs w:val="0"/>
          <w:color w:val="auto"/>
          <w:sz w:val="36"/>
          <w:szCs w:val="36"/>
          <w:highlight w:val="none"/>
          <w:lang w:val="en-US" w:eastAsia="zh-CN" w:bidi="zh-CN"/>
        </w:rPr>
      </w:pPr>
      <w:r>
        <w:rPr>
          <w:rFonts w:hint="eastAsia" w:ascii="仿宋" w:hAnsi="仿宋" w:eastAsia="仿宋" w:cs="仿宋"/>
          <w:b w:val="0"/>
          <w:bCs w:val="0"/>
          <w:color w:val="auto"/>
          <w:sz w:val="36"/>
          <w:szCs w:val="36"/>
          <w:highlight w:val="none"/>
          <w:lang w:val="en-US" w:eastAsia="zh-CN" w:bidi="zh-CN"/>
        </w:rPr>
        <w:t>代理机构：新疆新之建工程咨询有限公司</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2517" w:leftChars="326" w:hanging="1800" w:hangingChars="500"/>
        <w:textAlignment w:val="auto"/>
        <w:rPr>
          <w:rFonts w:hint="eastAsia" w:ascii="仿宋" w:hAnsi="仿宋" w:eastAsia="仿宋" w:cs="仿宋"/>
          <w:b w:val="0"/>
          <w:bCs w:val="0"/>
          <w:color w:val="auto"/>
          <w:sz w:val="36"/>
          <w:szCs w:val="36"/>
          <w:highlight w:val="none"/>
          <w:lang w:val="en-US" w:eastAsia="zh-CN" w:bidi="zh-CN"/>
        </w:rPr>
      </w:pPr>
      <w:r>
        <w:rPr>
          <w:rFonts w:hint="eastAsia" w:ascii="仿宋" w:hAnsi="仿宋" w:eastAsia="仿宋" w:cs="仿宋"/>
          <w:b w:val="0"/>
          <w:bCs w:val="0"/>
          <w:color w:val="auto"/>
          <w:sz w:val="36"/>
          <w:szCs w:val="36"/>
          <w:highlight w:val="none"/>
          <w:lang w:val="en-US" w:eastAsia="zh-CN" w:bidi="zh-CN"/>
        </w:rPr>
        <w:t>地    址：新疆乌鲁木齐市沙依巴克区公园北街162号文苑综合楼七楼</w:t>
      </w:r>
    </w:p>
    <w:p>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firstLine="720" w:firstLineChars="200"/>
        <w:textAlignment w:val="auto"/>
        <w:rPr>
          <w:rFonts w:hint="eastAsia" w:ascii="仿宋" w:hAnsi="仿宋" w:eastAsia="仿宋" w:cs="仿宋"/>
          <w:b w:val="0"/>
          <w:bCs w:val="0"/>
          <w:color w:val="auto"/>
          <w:sz w:val="36"/>
          <w:szCs w:val="36"/>
          <w:highlight w:val="none"/>
          <w:lang w:val="en-US" w:eastAsia="zh-CN" w:bidi="zh-CN"/>
        </w:rPr>
      </w:pPr>
      <w:r>
        <w:rPr>
          <w:rFonts w:hint="eastAsia" w:ascii="仿宋" w:hAnsi="仿宋" w:eastAsia="仿宋" w:cs="仿宋"/>
          <w:b w:val="0"/>
          <w:bCs w:val="0"/>
          <w:color w:val="auto"/>
          <w:sz w:val="36"/>
          <w:szCs w:val="36"/>
          <w:highlight w:val="none"/>
          <w:lang w:val="en-US" w:eastAsia="zh-CN" w:bidi="zh-CN"/>
        </w:rPr>
        <w:t>联 系 人：刘高、王涛、曹晓云</w:t>
      </w:r>
    </w:p>
    <w:p>
      <w:pPr>
        <w:pStyle w:val="18"/>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720" w:firstLineChars="200"/>
        <w:jc w:val="both"/>
        <w:textAlignment w:val="auto"/>
        <w:rPr>
          <w:rFonts w:hint="eastAsia" w:ascii="仿宋" w:hAnsi="仿宋" w:eastAsia="仿宋" w:cs="仿宋"/>
          <w:b w:val="0"/>
          <w:bCs w:val="0"/>
          <w:color w:val="auto"/>
          <w:sz w:val="36"/>
          <w:szCs w:val="36"/>
          <w:highlight w:val="none"/>
          <w:lang w:val="en-US" w:eastAsia="zh-CN" w:bidi="zh-CN"/>
        </w:rPr>
      </w:pPr>
      <w:r>
        <w:rPr>
          <w:rFonts w:hint="eastAsia" w:ascii="仿宋" w:hAnsi="仿宋" w:eastAsia="仿宋" w:cs="仿宋"/>
          <w:b w:val="0"/>
          <w:bCs w:val="0"/>
          <w:color w:val="auto"/>
          <w:sz w:val="36"/>
          <w:szCs w:val="36"/>
          <w:highlight w:val="none"/>
          <w:lang w:val="en-US" w:eastAsia="zh-CN" w:bidi="zh-CN"/>
        </w:rPr>
        <w:t>联系电话：0991-4321218、13201358353</w:t>
      </w:r>
    </w:p>
    <w:p>
      <w:pPr>
        <w:pStyle w:val="18"/>
        <w:spacing w:after="0"/>
        <w:ind w:left="0" w:leftChars="0" w:firstLine="0" w:firstLineChars="0"/>
        <w:jc w:val="center"/>
        <w:rPr>
          <w:rFonts w:hint="eastAsia" w:ascii="仿宋" w:hAnsi="仿宋" w:eastAsia="仿宋" w:cs="仿宋"/>
          <w:color w:val="auto"/>
          <w:sz w:val="40"/>
          <w:highlight w:val="none"/>
          <w:lang w:eastAsia="zh-CN"/>
        </w:rPr>
      </w:pPr>
      <w:r>
        <w:rPr>
          <w:rFonts w:hint="eastAsia" w:ascii="仿宋" w:hAnsi="仿宋" w:eastAsia="仿宋" w:cs="仿宋"/>
          <w:color w:val="auto"/>
          <w:sz w:val="40"/>
          <w:highlight w:val="none"/>
          <w:lang w:eastAsia="zh-CN"/>
        </w:rPr>
        <w:t>目</w:t>
      </w:r>
      <w:r>
        <w:rPr>
          <w:rFonts w:hint="eastAsia" w:ascii="仿宋" w:hAnsi="仿宋" w:eastAsia="仿宋" w:cs="仿宋"/>
          <w:color w:val="auto"/>
          <w:sz w:val="40"/>
          <w:highlight w:val="none"/>
          <w:lang w:val="en-US" w:eastAsia="zh-CN"/>
        </w:rPr>
        <w:t xml:space="preserve">    </w:t>
      </w:r>
      <w:r>
        <w:rPr>
          <w:rFonts w:hint="eastAsia" w:ascii="仿宋" w:hAnsi="仿宋" w:eastAsia="仿宋" w:cs="仿宋"/>
          <w:color w:val="auto"/>
          <w:sz w:val="40"/>
          <w:highlight w:val="none"/>
          <w:lang w:eastAsia="zh-CN"/>
        </w:rPr>
        <w:t>录</w:t>
      </w:r>
    </w:p>
    <w:p>
      <w:pPr>
        <w:pStyle w:val="18"/>
        <w:spacing w:after="0"/>
        <w:ind w:left="0" w:leftChars="0" w:firstLine="0" w:firstLineChars="0"/>
        <w:jc w:val="both"/>
        <w:rPr>
          <w:rFonts w:hint="eastAsia" w:ascii="仿宋" w:hAnsi="仿宋" w:eastAsia="仿宋" w:cs="仿宋"/>
          <w:color w:val="auto"/>
          <w:sz w:val="40"/>
          <w:highlight w:val="none"/>
          <w:lang w:eastAsia="zh-CN"/>
        </w:rPr>
      </w:pPr>
    </w:p>
    <w:p>
      <w:pPr>
        <w:pStyle w:val="18"/>
        <w:spacing w:after="0"/>
        <w:ind w:left="0" w:leftChars="0" w:firstLine="0" w:firstLineChars="0"/>
        <w:jc w:val="center"/>
        <w:rPr>
          <w:rFonts w:hint="eastAsia" w:ascii="仿宋" w:hAnsi="仿宋" w:eastAsia="仿宋" w:cs="仿宋"/>
          <w:color w:val="auto"/>
          <w:sz w:val="40"/>
          <w:highlight w:val="none"/>
          <w:lang w:eastAsia="zh-CN"/>
        </w:rPr>
      </w:pPr>
    </w:p>
    <w:p>
      <w:pPr>
        <w:pStyle w:val="18"/>
        <w:numPr>
          <w:ilvl w:val="0"/>
          <w:numId w:val="0"/>
        </w:numPr>
        <w:spacing w:after="0"/>
        <w:ind w:leftChars="0" w:right="0" w:righ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第一章 招标公告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3 </w:t>
      </w:r>
    </w:p>
    <w:p>
      <w:pPr>
        <w:pStyle w:val="18"/>
        <w:numPr>
          <w:ilvl w:val="0"/>
          <w:numId w:val="0"/>
        </w:numPr>
        <w:spacing w:after="0"/>
        <w:ind w:leftChars="0" w:right="0" w:righ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第二章 投标人须知前附表及投标人须知</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8 </w:t>
      </w:r>
    </w:p>
    <w:p>
      <w:pPr>
        <w:pStyle w:val="18"/>
        <w:numPr>
          <w:ilvl w:val="0"/>
          <w:numId w:val="0"/>
        </w:numPr>
        <w:spacing w:after="0"/>
        <w:ind w:leftChars="0" w:right="0" w:righ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第三章 评标办法及标准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25 </w:t>
      </w:r>
    </w:p>
    <w:p>
      <w:pPr>
        <w:pStyle w:val="18"/>
        <w:numPr>
          <w:ilvl w:val="0"/>
          <w:numId w:val="0"/>
        </w:numPr>
        <w:spacing w:after="0"/>
        <w:ind w:leftChars="0" w:right="0" w:righ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第四章 招标需求</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30 </w:t>
      </w:r>
    </w:p>
    <w:p>
      <w:pPr>
        <w:pStyle w:val="18"/>
        <w:numPr>
          <w:ilvl w:val="0"/>
          <w:numId w:val="0"/>
        </w:numPr>
        <w:spacing w:after="0"/>
        <w:ind w:leftChars="0" w:right="0" w:righ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第五章 合同条款及合同格式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36 </w:t>
      </w:r>
    </w:p>
    <w:p>
      <w:pPr>
        <w:pStyle w:val="18"/>
        <w:numPr>
          <w:ilvl w:val="0"/>
          <w:numId w:val="0"/>
        </w:numPr>
        <w:spacing w:after="0"/>
        <w:ind w:leftChars="0" w:right="0" w:righ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第六章 投标文件格式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37 </w:t>
      </w:r>
    </w:p>
    <w:p>
      <w:pPr>
        <w:pStyle w:val="18"/>
        <w:rPr>
          <w:rFonts w:hint="eastAsia" w:ascii="仿宋" w:hAnsi="仿宋" w:eastAsia="仿宋" w:cs="仿宋"/>
          <w:color w:val="auto"/>
          <w:sz w:val="40"/>
          <w:highlight w:val="none"/>
        </w:rPr>
      </w:pPr>
    </w:p>
    <w:p>
      <w:pPr>
        <w:pStyle w:val="18"/>
        <w:rPr>
          <w:rFonts w:hint="eastAsia" w:ascii="仿宋" w:hAnsi="仿宋" w:eastAsia="仿宋" w:cs="仿宋"/>
          <w:color w:val="auto"/>
          <w:sz w:val="40"/>
          <w:highlight w:val="none"/>
        </w:rPr>
      </w:pPr>
    </w:p>
    <w:p>
      <w:pPr>
        <w:pStyle w:val="18"/>
        <w:rPr>
          <w:rFonts w:hint="eastAsia" w:ascii="仿宋" w:hAnsi="仿宋" w:eastAsia="仿宋" w:cs="仿宋"/>
          <w:color w:val="auto"/>
          <w:sz w:val="40"/>
          <w:highlight w:val="none"/>
        </w:rPr>
      </w:pPr>
    </w:p>
    <w:p>
      <w:pPr>
        <w:pStyle w:val="18"/>
        <w:rPr>
          <w:rFonts w:hint="eastAsia" w:ascii="仿宋" w:hAnsi="仿宋" w:eastAsia="仿宋" w:cs="仿宋"/>
          <w:color w:val="auto"/>
          <w:sz w:val="40"/>
          <w:highlight w:val="none"/>
        </w:rPr>
      </w:pPr>
    </w:p>
    <w:p>
      <w:pPr>
        <w:pStyle w:val="18"/>
        <w:rPr>
          <w:rFonts w:hint="eastAsia" w:ascii="仿宋" w:hAnsi="仿宋" w:eastAsia="仿宋" w:cs="仿宋"/>
          <w:color w:val="auto"/>
          <w:sz w:val="40"/>
          <w:highlight w:val="none"/>
        </w:rPr>
      </w:pPr>
    </w:p>
    <w:p>
      <w:pPr>
        <w:pStyle w:val="18"/>
        <w:rPr>
          <w:rFonts w:hint="eastAsia" w:ascii="仿宋" w:hAnsi="仿宋" w:eastAsia="仿宋" w:cs="仿宋"/>
          <w:color w:val="auto"/>
          <w:sz w:val="40"/>
          <w:highlight w:val="none"/>
        </w:rPr>
      </w:pPr>
    </w:p>
    <w:p>
      <w:pPr>
        <w:pStyle w:val="18"/>
        <w:rPr>
          <w:rFonts w:hint="eastAsia" w:ascii="仿宋" w:hAnsi="仿宋" w:eastAsia="仿宋" w:cs="仿宋"/>
          <w:color w:val="auto"/>
          <w:sz w:val="40"/>
          <w:highlight w:val="none"/>
        </w:rPr>
      </w:pPr>
    </w:p>
    <w:p>
      <w:pPr>
        <w:pStyle w:val="18"/>
        <w:rPr>
          <w:rFonts w:hint="eastAsia" w:ascii="仿宋" w:hAnsi="仿宋" w:eastAsia="仿宋" w:cs="仿宋"/>
          <w:color w:val="auto"/>
          <w:sz w:val="40"/>
          <w:highlight w:val="none"/>
        </w:rPr>
      </w:pPr>
    </w:p>
    <w:p>
      <w:pPr>
        <w:pStyle w:val="18"/>
        <w:rPr>
          <w:rFonts w:hint="eastAsia" w:ascii="仿宋" w:hAnsi="仿宋" w:eastAsia="仿宋" w:cs="仿宋"/>
          <w:color w:val="auto"/>
          <w:sz w:val="40"/>
          <w:highlight w:val="none"/>
        </w:rPr>
      </w:pPr>
    </w:p>
    <w:p>
      <w:pPr>
        <w:pStyle w:val="18"/>
        <w:rPr>
          <w:rFonts w:hint="eastAsia" w:ascii="仿宋" w:hAnsi="仿宋" w:eastAsia="仿宋" w:cs="仿宋"/>
          <w:color w:val="auto"/>
          <w:sz w:val="40"/>
          <w:highlight w:val="none"/>
        </w:rPr>
      </w:pPr>
    </w:p>
    <w:p>
      <w:pPr>
        <w:pStyle w:val="18"/>
        <w:rPr>
          <w:rFonts w:hint="eastAsia" w:ascii="仿宋" w:hAnsi="仿宋" w:eastAsia="仿宋" w:cs="仿宋"/>
          <w:color w:val="auto"/>
          <w:sz w:val="40"/>
          <w:highlight w:val="none"/>
        </w:rPr>
      </w:pPr>
    </w:p>
    <w:p>
      <w:pPr>
        <w:keepNext w:val="0"/>
        <w:keepLines w:val="0"/>
        <w:pageBreakBefore w:val="0"/>
        <w:numPr>
          <w:ilvl w:val="0"/>
          <w:numId w:val="3"/>
        </w:numPr>
        <w:kinsoku/>
        <w:wordWrap/>
        <w:overflowPunct/>
        <w:topLinePunct w:val="0"/>
        <w:autoSpaceDE w:val="0"/>
        <w:autoSpaceDN w:val="0"/>
        <w:bidi w:val="0"/>
        <w:adjustRightInd/>
        <w:snapToGrid/>
        <w:spacing w:before="0" w:line="360" w:lineRule="auto"/>
        <w:jc w:val="center"/>
        <w:textAlignment w:val="auto"/>
        <w:rPr>
          <w:rFonts w:hint="eastAsia" w:ascii="仿宋" w:hAnsi="仿宋" w:eastAsia="仿宋" w:cs="仿宋"/>
          <w:b/>
          <w:bCs/>
          <w:color w:val="auto"/>
          <w:kern w:val="0"/>
          <w:sz w:val="40"/>
          <w:szCs w:val="24"/>
          <w:highlight w:val="none"/>
          <w:lang w:val="en-US" w:eastAsia="zh-CN" w:bidi="zh-CN"/>
        </w:rPr>
      </w:pPr>
      <w:r>
        <w:rPr>
          <w:rFonts w:hint="eastAsia" w:ascii="仿宋" w:hAnsi="仿宋" w:eastAsia="仿宋" w:cs="仿宋"/>
          <w:b/>
          <w:bCs/>
          <w:color w:val="auto"/>
          <w:kern w:val="0"/>
          <w:sz w:val="40"/>
          <w:szCs w:val="24"/>
          <w:highlight w:val="none"/>
          <w:lang w:val="en-US" w:eastAsia="zh-CN" w:bidi="zh-CN"/>
        </w:rPr>
        <w:t xml:space="preserve"> 招标公告</w:t>
      </w:r>
    </w:p>
    <w:p>
      <w:pPr>
        <w:pStyle w:val="3"/>
        <w:tabs>
          <w:tab w:val="left" w:pos="0"/>
          <w:tab w:val="left" w:pos="3165"/>
          <w:tab w:val="center" w:pos="4153"/>
        </w:tabs>
        <w:autoSpaceDE w:val="0"/>
        <w:autoSpaceDN w:val="0"/>
        <w:adjustRightInd w:val="0"/>
        <w:spacing w:before="0" w:after="0" w:line="360" w:lineRule="auto"/>
        <w:ind w:left="0" w:leftChars="0" w:firstLine="0" w:firstLineChars="0"/>
        <w:jc w:val="center"/>
        <w:rPr>
          <w:rFonts w:hint="eastAsia" w:ascii="华文中宋" w:hAnsi="华文中宋" w:eastAsia="华文中宋"/>
          <w:color w:val="auto"/>
          <w:sz w:val="36"/>
          <w:szCs w:val="36"/>
          <w:highlight w:val="none"/>
          <w:lang w:eastAsia="zh-CN"/>
        </w:rPr>
      </w:pPr>
      <w:bookmarkStart w:id="0" w:name="_Toc28359001"/>
      <w:bookmarkStart w:id="1" w:name="_Toc35393789"/>
      <w:r>
        <w:rPr>
          <w:rFonts w:hint="eastAsia" w:ascii="华文中宋" w:hAnsi="华文中宋" w:eastAsia="华文中宋"/>
          <w:color w:val="auto"/>
          <w:sz w:val="36"/>
          <w:szCs w:val="36"/>
          <w:highlight w:val="none"/>
          <w:lang w:val="en-US" w:eastAsia="zh-CN"/>
        </w:rPr>
        <w:t xml:space="preserve">  </w:t>
      </w:r>
      <w:bookmarkEnd w:id="0"/>
      <w:bookmarkEnd w:id="1"/>
      <w:r>
        <w:rPr>
          <w:rFonts w:hint="eastAsia" w:ascii="华文中宋" w:hAnsi="华文中宋" w:eastAsia="华文中宋"/>
          <w:color w:val="auto"/>
          <w:sz w:val="36"/>
          <w:szCs w:val="36"/>
          <w:highlight w:val="none"/>
          <w:lang w:val="en-US" w:eastAsia="zh-CN"/>
        </w:rPr>
        <w:t xml:space="preserve">  </w:t>
      </w:r>
      <w:r>
        <w:rPr>
          <w:rFonts w:hint="eastAsia" w:ascii="华文中宋" w:hAnsi="华文中宋" w:eastAsia="华文中宋"/>
          <w:color w:val="auto"/>
          <w:sz w:val="36"/>
          <w:szCs w:val="36"/>
          <w:highlight w:val="none"/>
          <w:lang w:eastAsia="zh-CN"/>
        </w:rPr>
        <w:t>新疆工程学院《</w:t>
      </w:r>
      <w:r>
        <w:rPr>
          <w:rFonts w:hint="eastAsia" w:ascii="华文中宋" w:hAnsi="华文中宋" w:eastAsia="华文中宋"/>
          <w:color w:val="auto"/>
          <w:sz w:val="36"/>
          <w:szCs w:val="36"/>
          <w:highlight w:val="none"/>
          <w:lang w:val="en-US" w:eastAsia="zh-CN"/>
        </w:rPr>
        <w:t>电力系统继电保护实训室建设</w:t>
      </w:r>
      <w:r>
        <w:rPr>
          <w:rFonts w:hint="eastAsia" w:ascii="华文中宋" w:hAnsi="华文中宋" w:eastAsia="华文中宋"/>
          <w:color w:val="auto"/>
          <w:sz w:val="36"/>
          <w:szCs w:val="36"/>
          <w:highlight w:val="none"/>
          <w:lang w:eastAsia="zh-CN"/>
        </w:rPr>
        <w:t>》项目公开招标公告</w:t>
      </w:r>
    </w:p>
    <w:p>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新疆工程学院</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电力系统继电保护实训室建设</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rPr>
        <w:t xml:space="preserve">项目 </w:t>
      </w:r>
      <w:r>
        <w:rPr>
          <w:rFonts w:hint="eastAsia" w:ascii="仿宋" w:hAnsi="仿宋" w:eastAsia="仿宋" w:cs="仿宋"/>
          <w:color w:val="auto"/>
          <w:sz w:val="28"/>
          <w:szCs w:val="28"/>
          <w:highlight w:val="none"/>
        </w:rPr>
        <w:t>招标项目的潜在投标人应在</w:t>
      </w:r>
      <w:r>
        <w:rPr>
          <w:rFonts w:hint="eastAsia" w:ascii="仿宋" w:hAnsi="仿宋" w:eastAsia="仿宋" w:cs="仿宋"/>
          <w:color w:val="auto"/>
          <w:sz w:val="28"/>
          <w:szCs w:val="28"/>
          <w:highlight w:val="none"/>
          <w:u w:val="single"/>
          <w:lang w:val="en-US" w:eastAsia="zh-CN"/>
        </w:rPr>
        <w:t xml:space="preserve">  现场   </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2022</w:t>
      </w:r>
      <w:r>
        <w:rPr>
          <w:rFonts w:hint="eastAsia" w:ascii="仿宋" w:hAnsi="仿宋" w:eastAsia="仿宋" w:cs="仿宋"/>
          <w:color w:val="auto"/>
          <w:sz w:val="28"/>
          <w:szCs w:val="28"/>
          <w:highlight w:val="none"/>
          <w:u w:val="single"/>
        </w:rPr>
        <w:t xml:space="preserve"> </w:t>
      </w:r>
      <w:r>
        <w:rPr>
          <w:rFonts w:hint="eastAsia" w:ascii="仿宋" w:hAnsi="仿宋" w:eastAsia="仿宋" w:cs="仿宋"/>
          <w:bCs/>
          <w:color w:val="auto"/>
          <w:sz w:val="28"/>
          <w:szCs w:val="28"/>
          <w:highlight w:val="none"/>
          <w:u w:val="single"/>
        </w:rPr>
        <w:t xml:space="preserve">年 </w:t>
      </w:r>
      <w:r>
        <w:rPr>
          <w:rFonts w:hint="eastAsia" w:ascii="仿宋" w:hAnsi="仿宋" w:eastAsia="仿宋" w:cs="仿宋"/>
          <w:bCs/>
          <w:color w:val="auto"/>
          <w:sz w:val="28"/>
          <w:szCs w:val="28"/>
          <w:highlight w:val="none"/>
          <w:u w:val="single"/>
          <w:lang w:val="en-US" w:eastAsia="zh-CN"/>
        </w:rPr>
        <w:t>06</w:t>
      </w:r>
      <w:r>
        <w:rPr>
          <w:rFonts w:hint="eastAsia" w:ascii="仿宋" w:hAnsi="仿宋" w:eastAsia="仿宋" w:cs="仿宋"/>
          <w:bCs/>
          <w:color w:val="auto"/>
          <w:sz w:val="28"/>
          <w:szCs w:val="28"/>
          <w:highlight w:val="none"/>
          <w:u w:val="single"/>
        </w:rPr>
        <w:t>月</w:t>
      </w:r>
      <w:r>
        <w:rPr>
          <w:rFonts w:hint="eastAsia" w:ascii="仿宋" w:hAnsi="仿宋" w:eastAsia="仿宋" w:cs="仿宋"/>
          <w:bCs/>
          <w:color w:val="auto"/>
          <w:sz w:val="28"/>
          <w:szCs w:val="28"/>
          <w:highlight w:val="none"/>
          <w:u w:val="single"/>
          <w:lang w:val="en-US" w:eastAsia="zh-CN"/>
        </w:rPr>
        <w:t>23</w:t>
      </w:r>
      <w:r>
        <w:rPr>
          <w:rFonts w:hint="eastAsia" w:ascii="仿宋" w:hAnsi="仿宋" w:eastAsia="仿宋" w:cs="仿宋"/>
          <w:bCs/>
          <w:color w:val="auto"/>
          <w:sz w:val="28"/>
          <w:szCs w:val="28"/>
          <w:highlight w:val="none"/>
          <w:u w:val="single"/>
        </w:rPr>
        <w:t xml:space="preserve">日 </w:t>
      </w:r>
      <w:r>
        <w:rPr>
          <w:rFonts w:hint="eastAsia" w:ascii="仿宋" w:hAnsi="仿宋" w:eastAsia="仿宋" w:cs="仿宋"/>
          <w:bCs/>
          <w:color w:val="auto"/>
          <w:sz w:val="28"/>
          <w:szCs w:val="28"/>
          <w:highlight w:val="none"/>
          <w:u w:val="single"/>
          <w:lang w:val="en-US" w:eastAsia="zh-CN"/>
        </w:rPr>
        <w:t>11</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00</w:t>
      </w:r>
      <w:r>
        <w:rPr>
          <w:rFonts w:hint="eastAsia" w:ascii="仿宋" w:hAnsi="仿宋" w:eastAsia="仿宋" w:cs="仿宋"/>
          <w:bCs/>
          <w:color w:val="auto"/>
          <w:sz w:val="28"/>
          <w:szCs w:val="28"/>
          <w:highlight w:val="none"/>
          <w:u w:val="single"/>
        </w:rPr>
        <w:t>分（</w:t>
      </w:r>
      <w:r>
        <w:rPr>
          <w:rFonts w:hint="eastAsia" w:ascii="仿宋" w:hAnsi="仿宋" w:eastAsia="仿宋" w:cs="仿宋"/>
          <w:bCs/>
          <w:color w:val="auto"/>
          <w:sz w:val="28"/>
          <w:szCs w:val="28"/>
          <w:highlight w:val="none"/>
        </w:rPr>
        <w:t>北京时间）前递交投标文件</w:t>
      </w:r>
      <w:r>
        <w:rPr>
          <w:rFonts w:hint="eastAsia" w:ascii="仿宋" w:hAnsi="仿宋" w:eastAsia="仿宋" w:cs="仿宋"/>
          <w:color w:val="auto"/>
          <w:sz w:val="28"/>
          <w:szCs w:val="28"/>
          <w:highlight w:val="none"/>
        </w:rPr>
        <w:t>。</w:t>
      </w:r>
    </w:p>
    <w:p>
      <w:pPr>
        <w:rPr>
          <w:rFonts w:hint="eastAsia" w:ascii="仿宋" w:hAnsi="仿宋" w:eastAsia="仿宋" w:cs="仿宋"/>
          <w:color w:val="auto"/>
          <w:sz w:val="28"/>
          <w:szCs w:val="28"/>
          <w:highlight w:val="none"/>
        </w:rPr>
      </w:pPr>
      <w:bookmarkStart w:id="2" w:name="_Toc28359002"/>
      <w:bookmarkStart w:id="3" w:name="_Toc28359079"/>
      <w:bookmarkStart w:id="4" w:name="_Toc35393621"/>
      <w:bookmarkStart w:id="5" w:name="_Toc35393790"/>
      <w:bookmarkStart w:id="6" w:name="_Hlk24379207"/>
      <w:r>
        <w:rPr>
          <w:rFonts w:hint="eastAsia" w:ascii="仿宋" w:hAnsi="仿宋" w:eastAsia="仿宋" w:cs="仿宋"/>
          <w:color w:val="auto"/>
          <w:sz w:val="28"/>
          <w:szCs w:val="28"/>
          <w:highlight w:val="none"/>
        </w:rPr>
        <w:t>一、项目基本情况</w:t>
      </w:r>
      <w:bookmarkEnd w:id="2"/>
      <w:bookmarkEnd w:id="3"/>
      <w:bookmarkEnd w:id="4"/>
      <w:bookmarkEnd w:id="5"/>
    </w:p>
    <w:p>
      <w:pPr>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val="en-US" w:eastAsia="zh-CN"/>
        </w:rPr>
        <w:t>XZJ22649</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项目名称：新疆工程学院</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电力系统继电保护实训室建设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项目</w:t>
      </w:r>
      <w:bookmarkEnd w:id="6"/>
    </w:p>
    <w:p>
      <w:pPr>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2275000.00元</w:t>
      </w:r>
    </w:p>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最高限价（如有）：</w:t>
      </w:r>
      <w:r>
        <w:rPr>
          <w:rFonts w:hint="eastAsia" w:ascii="仿宋" w:hAnsi="仿宋" w:eastAsia="仿宋" w:cs="仿宋"/>
          <w:color w:val="auto"/>
          <w:sz w:val="28"/>
          <w:szCs w:val="28"/>
          <w:highlight w:val="none"/>
          <w:lang w:val="en-US" w:eastAsia="zh-CN"/>
        </w:rPr>
        <w:t>2275000.00元</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p>
    <w:tbl>
      <w:tblPr>
        <w:tblStyle w:val="19"/>
        <w:tblW w:w="6030" w:type="pct"/>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3"/>
        <w:gridCol w:w="1998"/>
        <w:gridCol w:w="784"/>
        <w:gridCol w:w="1400"/>
        <w:gridCol w:w="5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054" w:hRule="atLeast"/>
        </w:trPr>
        <w:tc>
          <w:tcPr>
            <w:tcW w:w="473" w:type="pct"/>
            <w:tcBorders>
              <w:top w:val="nil"/>
              <w:left w:val="nil"/>
              <w:bottom w:val="nil"/>
              <w:right w:val="nil"/>
            </w:tcBorders>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标项序号</w:t>
            </w:r>
          </w:p>
        </w:tc>
        <w:tc>
          <w:tcPr>
            <w:tcW w:w="962" w:type="pct"/>
            <w:tcBorders>
              <w:top w:val="nil"/>
              <w:left w:val="nil"/>
              <w:bottom w:val="nil"/>
              <w:right w:val="nil"/>
            </w:tcBorders>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标项名称</w:t>
            </w:r>
          </w:p>
        </w:tc>
        <w:tc>
          <w:tcPr>
            <w:tcW w:w="377" w:type="pct"/>
            <w:tcBorders>
              <w:top w:val="nil"/>
              <w:left w:val="nil"/>
              <w:bottom w:val="nil"/>
              <w:right w:val="nil"/>
            </w:tcBorders>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数量</w:t>
            </w:r>
          </w:p>
        </w:tc>
        <w:tc>
          <w:tcPr>
            <w:tcW w:w="674" w:type="pct"/>
            <w:tcBorders>
              <w:top w:val="nil"/>
              <w:left w:val="nil"/>
              <w:bottom w:val="nil"/>
              <w:right w:val="nil"/>
            </w:tcBorders>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预算金额(元)</w:t>
            </w:r>
          </w:p>
        </w:tc>
        <w:tc>
          <w:tcPr>
            <w:tcW w:w="2511" w:type="pct"/>
            <w:tcBorders>
              <w:top w:val="nil"/>
              <w:left w:val="nil"/>
              <w:bottom w:val="nil"/>
              <w:right w:val="nil"/>
            </w:tcBorders>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简要规格描述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484" w:hRule="atLeast"/>
        </w:trPr>
        <w:tc>
          <w:tcPr>
            <w:tcW w:w="473" w:type="pct"/>
            <w:tcBorders>
              <w:top w:val="nil"/>
              <w:left w:val="nil"/>
              <w:bottom w:val="nil"/>
              <w:right w:val="nil"/>
            </w:tcBorders>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p>
        </w:tc>
        <w:tc>
          <w:tcPr>
            <w:tcW w:w="962" w:type="pct"/>
            <w:tcBorders>
              <w:top w:val="nil"/>
              <w:left w:val="nil"/>
              <w:bottom w:val="nil"/>
              <w:right w:val="nil"/>
            </w:tcBorders>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仿宋"/>
                <w:color w:val="auto"/>
                <w:sz w:val="28"/>
                <w:szCs w:val="28"/>
                <w:highlight w:val="none"/>
              </w:rPr>
              <w:t>新疆工程学院</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电力系统继电保护实训室建设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项目</w:t>
            </w:r>
          </w:p>
        </w:tc>
        <w:tc>
          <w:tcPr>
            <w:tcW w:w="377" w:type="pct"/>
            <w:tcBorders>
              <w:top w:val="nil"/>
              <w:left w:val="nil"/>
              <w:bottom w:val="nil"/>
              <w:right w:val="nil"/>
            </w:tcBorders>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批</w:t>
            </w:r>
          </w:p>
        </w:tc>
        <w:tc>
          <w:tcPr>
            <w:tcW w:w="674" w:type="pct"/>
            <w:tcBorders>
              <w:top w:val="nil"/>
              <w:left w:val="nil"/>
              <w:bottom w:val="nil"/>
              <w:right w:val="nil"/>
            </w:tcBorders>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2275000</w:t>
            </w:r>
          </w:p>
        </w:tc>
        <w:tc>
          <w:tcPr>
            <w:tcW w:w="2511" w:type="pct"/>
            <w:tcBorders>
              <w:top w:val="nil"/>
              <w:left w:val="nil"/>
              <w:bottom w:val="nil"/>
              <w:right w:val="nil"/>
            </w:tcBorders>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包含</w:t>
            </w:r>
            <w:r>
              <w:rPr>
                <w:rFonts w:hint="default" w:ascii="仿宋" w:hAnsi="仿宋" w:eastAsia="仿宋" w:cs="Times New Roman"/>
                <w:color w:val="auto"/>
                <w:sz w:val="28"/>
                <w:szCs w:val="28"/>
                <w:highlight w:val="none"/>
                <w:lang w:val="en-US" w:eastAsia="zh-CN"/>
              </w:rPr>
              <w:t>能源工程学院电气工程及其自动化专业拟建电力系统继电保护实训室，采购包括常规类、智能类发电厂-变电站在内的220kV发-变组发电机、变压器、母线、高压线路继电保护装置及测控装置，合并单元及智能终端，分相操作箱，模拟断路器，以太网交换机，直流电源或UPS设备，变电站后台监控系统软件及微机五防系统，屏柜及附件</w:t>
            </w:r>
            <w:r>
              <w:rPr>
                <w:rFonts w:hint="eastAsia" w:ascii="仿宋" w:hAnsi="仿宋" w:eastAsia="仿宋" w:cs="Times New Roman"/>
                <w:color w:val="auto"/>
                <w:sz w:val="28"/>
                <w:szCs w:val="28"/>
                <w:highlight w:val="none"/>
                <w:lang w:val="en-US" w:eastAsia="zh-CN"/>
              </w:rPr>
              <w:t>等，具体详见招标文件。</w:t>
            </w:r>
          </w:p>
        </w:tc>
      </w:tr>
    </w:tbl>
    <w:p>
      <w:pPr>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eastAsia="zh-CN"/>
        </w:rPr>
        <w:t>自合同签订之日起</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0 个工作日</w:t>
      </w:r>
      <w:r>
        <w:rPr>
          <w:rFonts w:hint="eastAsia" w:ascii="仿宋" w:hAnsi="仿宋" w:eastAsia="仿宋" w:cs="仿宋"/>
          <w:color w:val="auto"/>
          <w:sz w:val="28"/>
          <w:szCs w:val="28"/>
          <w:highlight w:val="none"/>
          <w:lang w:val="en-US" w:eastAsia="zh-CN"/>
        </w:rPr>
        <w:t>内完成运输、安装、调试，并配合招标人完成验收工作，保证正常投入使用</w:t>
      </w:r>
      <w:r>
        <w:rPr>
          <w:rFonts w:hint="eastAsia" w:ascii="仿宋" w:hAnsi="仿宋" w:eastAsia="仿宋" w:cs="仿宋"/>
          <w:color w:val="auto"/>
          <w:sz w:val="28"/>
          <w:szCs w:val="28"/>
          <w:highlight w:val="none"/>
          <w:lang w:eastAsia="zh-CN"/>
        </w:rPr>
        <w:t>。</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eastAsia="zh-CN"/>
        </w:rPr>
        <w:t>不</w:t>
      </w:r>
      <w:r>
        <w:rPr>
          <w:rFonts w:hint="eastAsia" w:ascii="仿宋" w:hAnsi="仿宋" w:eastAsia="仿宋" w:cs="仿宋"/>
          <w:color w:val="auto"/>
          <w:sz w:val="28"/>
          <w:szCs w:val="28"/>
          <w:highlight w:val="none"/>
        </w:rPr>
        <w:t>接受联合体投标。</w:t>
      </w:r>
    </w:p>
    <w:p>
      <w:pPr>
        <w:rPr>
          <w:rFonts w:hint="eastAsia" w:ascii="仿宋" w:hAnsi="仿宋" w:eastAsia="仿宋" w:cs="仿宋"/>
          <w:color w:val="auto"/>
          <w:sz w:val="28"/>
          <w:szCs w:val="28"/>
          <w:highlight w:val="none"/>
        </w:rPr>
      </w:pPr>
      <w:bookmarkStart w:id="7" w:name="_Toc28359080"/>
      <w:bookmarkStart w:id="8" w:name="_Toc35393622"/>
      <w:bookmarkStart w:id="9" w:name="_Toc35393791"/>
      <w:bookmarkStart w:id="10" w:name="_Toc28359003"/>
      <w:r>
        <w:rPr>
          <w:rFonts w:hint="eastAsia" w:ascii="仿宋" w:hAnsi="仿宋" w:eastAsia="仿宋" w:cs="仿宋"/>
          <w:color w:val="auto"/>
          <w:sz w:val="28"/>
          <w:szCs w:val="28"/>
          <w:highlight w:val="none"/>
        </w:rPr>
        <w:t>二、申请人的资格要求：</w:t>
      </w:r>
      <w:bookmarkEnd w:id="7"/>
      <w:bookmarkEnd w:id="8"/>
      <w:bookmarkEnd w:id="9"/>
      <w:bookmarkEnd w:id="10"/>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pPr>
        <w:ind w:firstLine="560" w:firstLineChars="200"/>
        <w:rPr>
          <w:rFonts w:hint="eastAsia" w:ascii="仿宋" w:hAnsi="仿宋" w:eastAsia="仿宋" w:cs="仿宋"/>
          <w:color w:val="auto"/>
          <w:sz w:val="28"/>
          <w:szCs w:val="28"/>
          <w:highlight w:val="none"/>
        </w:rPr>
      </w:pPr>
      <w:bookmarkStart w:id="11" w:name="_Toc28359081"/>
      <w:bookmarkStart w:id="12" w:name="_Toc28359004"/>
      <w:r>
        <w:rPr>
          <w:rFonts w:hint="eastAsia" w:ascii="仿宋" w:hAnsi="仿宋" w:eastAsia="仿宋" w:cs="仿宋"/>
          <w:color w:val="auto"/>
          <w:sz w:val="28"/>
          <w:szCs w:val="28"/>
          <w:highlight w:val="none"/>
        </w:rPr>
        <w:t>2.落实政府采购政策需满足的资格要求：</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《政府采购促进中小企业发展暂行办法》（财库[2020]46号）；</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《财政部、司法部关于政府采购支持监狱企业发展有关问题的通知》（财库〔2014〕68号）；</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（3）《财政部 民政部中国残疾人联合会关于促进残疾人就业政府采购政策的通知》财库〔2017〕141号。</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w:t>
      </w:r>
    </w:p>
    <w:bookmarkEnd w:id="11"/>
    <w:bookmarkEnd w:id="12"/>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（1）在中华人民共和国境内注册，有能力提供本项目全部货物及服务能力的投标人；</w:t>
      </w:r>
    </w:p>
    <w:p>
      <w:pPr>
        <w:pStyle w:val="18"/>
        <w:rPr>
          <w:rFonts w:hint="eastAsia" w:ascii="仿宋" w:hAnsi="仿宋" w:eastAsia="仿宋" w:cs="仿宋"/>
          <w:color w:val="auto"/>
          <w:spacing w:val="0"/>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（2）投标人须</w:t>
      </w:r>
      <w:r>
        <w:rPr>
          <w:rFonts w:hint="eastAsia" w:ascii="仿宋" w:hAnsi="仿宋" w:eastAsia="仿宋" w:cs="仿宋"/>
          <w:color w:val="auto"/>
          <w:spacing w:val="0"/>
          <w:kern w:val="2"/>
          <w:sz w:val="28"/>
          <w:szCs w:val="28"/>
          <w:highlight w:val="none"/>
          <w:lang w:val="en-US" w:eastAsia="zh-CN" w:bidi="ar-SA"/>
        </w:rPr>
        <w:t>具有</w:t>
      </w:r>
      <w:r>
        <w:rPr>
          <w:rFonts w:hint="eastAsia" w:ascii="仿宋" w:hAnsi="仿宋" w:eastAsia="仿宋" w:cs="仿宋"/>
          <w:color w:val="auto"/>
          <w:sz w:val="28"/>
          <w:szCs w:val="28"/>
          <w:highlight w:val="none"/>
          <w:lang w:val="en-US" w:eastAsia="zh-CN"/>
        </w:rPr>
        <w:t>经年审合格（三证合一）的《营业执照》</w:t>
      </w:r>
      <w:r>
        <w:rPr>
          <w:rFonts w:hint="eastAsia" w:ascii="仿宋" w:hAnsi="仿宋" w:eastAsia="仿宋" w:cs="仿宋"/>
          <w:color w:val="auto"/>
          <w:spacing w:val="0"/>
          <w:kern w:val="2"/>
          <w:sz w:val="28"/>
          <w:szCs w:val="28"/>
          <w:highlight w:val="none"/>
          <w:lang w:val="en-US" w:eastAsia="zh-CN" w:bidi="ar-SA"/>
        </w:rPr>
        <w:t>（如证件处于年审阶段，投标人应提供年审受理回执复印件，并承诺中标签订合同时提供通过年审的证件）；</w:t>
      </w:r>
    </w:p>
    <w:p>
      <w:pPr>
        <w:pStyle w:val="18"/>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pacing w:val="0"/>
          <w:kern w:val="2"/>
          <w:sz w:val="28"/>
          <w:szCs w:val="28"/>
          <w:highlight w:val="none"/>
          <w:lang w:val="en-US" w:eastAsia="zh-CN" w:bidi="ar-SA"/>
        </w:rPr>
        <w:t>（3）</w:t>
      </w:r>
      <w:r>
        <w:rPr>
          <w:rFonts w:hint="eastAsia" w:ascii="仿宋" w:hAnsi="仿宋" w:eastAsia="仿宋" w:cs="仿宋"/>
          <w:color w:val="auto"/>
          <w:sz w:val="28"/>
          <w:szCs w:val="28"/>
          <w:highlight w:val="none"/>
          <w:lang w:val="en-US" w:eastAsia="zh-CN"/>
        </w:rPr>
        <w:t>法定代表人投标需携带法定代表人证明书（原件）及法定代表人身份证（原件）；委托代理人投标需携带法定代表人授权委托书（原件）及委托代理人身份证（原件）;</w:t>
      </w:r>
    </w:p>
    <w:p>
      <w:pPr>
        <w:pStyle w:val="18"/>
        <w:rPr>
          <w:rFonts w:hint="eastAsia" w:ascii="仿宋" w:hAnsi="仿宋" w:eastAsia="仿宋"/>
          <w:color w:val="auto"/>
          <w:sz w:val="28"/>
          <w:szCs w:val="28"/>
          <w:highlight w:val="none"/>
          <w:lang w:val="en-US" w:eastAsia="zh-CN"/>
        </w:rPr>
      </w:pPr>
      <w:r>
        <w:rPr>
          <w:rFonts w:hint="eastAsia" w:ascii="仿宋" w:hAnsi="仿宋" w:eastAsia="仿宋" w:cs="仿宋"/>
          <w:color w:val="auto"/>
          <w:spacing w:val="0"/>
          <w:kern w:val="2"/>
          <w:sz w:val="28"/>
          <w:szCs w:val="28"/>
          <w:highlight w:val="none"/>
          <w:lang w:val="en-US" w:eastAsia="zh-CN" w:bidi="ar-SA"/>
        </w:rPr>
        <w:t>（4）</w:t>
      </w:r>
      <w:r>
        <w:rPr>
          <w:rFonts w:hint="eastAsia" w:ascii="仿宋" w:hAnsi="仿宋" w:eastAsia="仿宋"/>
          <w:color w:val="auto"/>
          <w:sz w:val="28"/>
          <w:szCs w:val="28"/>
          <w:highlight w:val="none"/>
          <w:lang w:val="en-US" w:eastAsia="zh-CN"/>
        </w:rPr>
        <w:t>凡拟参加本次招标项目的投标人，近三年内（本项目投标截止期前）存在下述条件中的任意一项将拒绝其参加本次采购活动：</w:t>
      </w:r>
    </w:p>
    <w:p>
      <w:pPr>
        <w:pStyle w:val="18"/>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信用中国网（www.creditchina.gov.cn）”被列入失信被执行人、税收违法黑名单、政府采购严重违法失信名单（尚在处罚期内的）；（网站主页点击“信用服务”选取被列入失信被执行人名单、税收违法黑名单、政府采购不良行为记录名单，进行查询；）</w:t>
      </w:r>
    </w:p>
    <w:p>
      <w:pPr>
        <w:pStyle w:val="18"/>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2）“中国政府采购网（www.ccgp.gov.cn）”被列入政府采购严重违法失信行为记录名单的（尚在处罚期内的）；（网站主页点击“政府采购严重违法失信行为记录名单”，进行查询；）</w:t>
      </w:r>
    </w:p>
    <w:p>
      <w:pPr>
        <w:pStyle w:val="18"/>
        <w:rPr>
          <w:rFonts w:hint="eastAsia" w:ascii="仿宋" w:hAnsi="仿宋" w:eastAsia="仿宋" w:cs="仿宋"/>
          <w:color w:val="auto"/>
          <w:spacing w:val="0"/>
          <w:kern w:val="2"/>
          <w:sz w:val="28"/>
          <w:szCs w:val="28"/>
          <w:highlight w:val="none"/>
          <w:lang w:val="en-US" w:eastAsia="zh-CN" w:bidi="ar-SA"/>
        </w:rPr>
      </w:pPr>
      <w:r>
        <w:rPr>
          <w:rFonts w:hint="eastAsia" w:ascii="仿宋" w:hAnsi="仿宋" w:eastAsia="仿宋"/>
          <w:color w:val="auto"/>
          <w:sz w:val="28"/>
          <w:szCs w:val="28"/>
          <w:highlight w:val="none"/>
          <w:lang w:val="en-US" w:eastAsia="zh-CN"/>
        </w:rPr>
        <w:t>3）“中国裁判文书网（http://wenshu.court.gov.cn/）”有行贿受贿犯罪记录(尚在处罚期内)；（网站主页点击“高级检索-案由-刑事案件-贪污贿赂-行贿，查询单位、法定代表人（查询时先输入单位点击搜索后输入法定代表人”，进行查询）</w:t>
      </w:r>
    </w:p>
    <w:p>
      <w:pPr>
        <w:pStyle w:val="18"/>
        <w:rPr>
          <w:rFonts w:hint="eastAsia" w:ascii="仿宋" w:hAnsi="仿宋" w:eastAsia="仿宋" w:cs="仿宋"/>
          <w:color w:val="auto"/>
          <w:spacing w:val="0"/>
          <w:kern w:val="2"/>
          <w:sz w:val="28"/>
          <w:szCs w:val="28"/>
          <w:highlight w:val="none"/>
          <w:lang w:val="en-US" w:eastAsia="zh-CN" w:bidi="ar-SA"/>
        </w:rPr>
      </w:pPr>
      <w:r>
        <w:rPr>
          <w:rFonts w:hint="eastAsia" w:ascii="仿宋" w:hAnsi="仿宋" w:eastAsia="仿宋" w:cs="仿宋"/>
          <w:color w:val="auto"/>
          <w:spacing w:val="0"/>
          <w:kern w:val="2"/>
          <w:sz w:val="28"/>
          <w:szCs w:val="28"/>
          <w:highlight w:val="none"/>
          <w:lang w:val="en-US" w:eastAsia="zh-CN" w:bidi="ar-SA"/>
        </w:rPr>
        <w:t>（5）企业负责人为同一人或者存在直接控股、管理关系的不同供应商，不得参加同一合同项下的政府采购活动，否则取消其投标资格；</w:t>
      </w:r>
    </w:p>
    <w:p>
      <w:pPr>
        <w:rPr>
          <w:rFonts w:hint="eastAsia" w:ascii="仿宋" w:hAnsi="仿宋" w:eastAsia="仿宋" w:cs="仿宋"/>
          <w:color w:val="auto"/>
          <w:sz w:val="28"/>
          <w:szCs w:val="28"/>
          <w:highlight w:val="none"/>
        </w:rPr>
      </w:pPr>
      <w:bookmarkStart w:id="13" w:name="_Toc35393623"/>
      <w:bookmarkStart w:id="14" w:name="_Toc35393792"/>
      <w:r>
        <w:rPr>
          <w:rFonts w:hint="eastAsia" w:ascii="仿宋" w:hAnsi="仿宋" w:eastAsia="仿宋" w:cs="仿宋"/>
          <w:color w:val="auto"/>
          <w:sz w:val="28"/>
          <w:szCs w:val="28"/>
          <w:highlight w:val="none"/>
        </w:rPr>
        <w:t>三、获取招标文件</w:t>
      </w:r>
      <w:bookmarkEnd w:id="13"/>
      <w:bookmarkEnd w:id="14"/>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lang w:val="en-US" w:eastAsia="zh-CN"/>
        </w:rPr>
        <w:t>2022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rPr>
        <w:t xml:space="preserve">日至 </w:t>
      </w:r>
      <w:r>
        <w:rPr>
          <w:rFonts w:hint="eastAsia" w:ascii="仿宋" w:hAnsi="仿宋" w:eastAsia="仿宋" w:cs="仿宋"/>
          <w:color w:val="auto"/>
          <w:sz w:val="28"/>
          <w:szCs w:val="28"/>
          <w:highlight w:val="none"/>
          <w:lang w:val="en-US" w:eastAsia="zh-CN"/>
        </w:rPr>
        <w:t>2022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公告</w:t>
      </w:r>
      <w:r>
        <w:rPr>
          <w:rFonts w:hint="eastAsia" w:ascii="仿宋" w:hAnsi="仿宋" w:eastAsia="仿宋" w:cs="仿宋"/>
          <w:color w:val="auto"/>
          <w:sz w:val="28"/>
          <w:szCs w:val="28"/>
          <w:highlight w:val="none"/>
        </w:rPr>
        <w:t>期限自本公告发布之日起不得少于5个工作日），每天上午</w:t>
      </w:r>
      <w:r>
        <w:rPr>
          <w:rFonts w:hint="eastAsia" w:ascii="仿宋" w:hAnsi="仿宋" w:eastAsia="仿宋" w:cs="仿宋"/>
          <w:color w:val="auto"/>
          <w:sz w:val="28"/>
          <w:szCs w:val="28"/>
          <w:highlight w:val="none"/>
          <w:lang w:val="en-US" w:eastAsia="zh-CN"/>
        </w:rPr>
        <w:t>10:00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lang w:val="en-US" w:eastAsia="zh-CN"/>
        </w:rPr>
        <w:t>13:30</w:t>
      </w:r>
      <w:r>
        <w:rPr>
          <w:rFonts w:hint="eastAsia" w:ascii="仿宋" w:hAnsi="仿宋" w:eastAsia="仿宋" w:cs="仿宋"/>
          <w:color w:val="auto"/>
          <w:sz w:val="28"/>
          <w:szCs w:val="28"/>
          <w:highlight w:val="none"/>
        </w:rPr>
        <w:t>，下午</w:t>
      </w:r>
      <w:r>
        <w:rPr>
          <w:rFonts w:hint="eastAsia" w:ascii="仿宋" w:hAnsi="仿宋" w:eastAsia="仿宋" w:cs="仿宋"/>
          <w:color w:val="auto"/>
          <w:sz w:val="28"/>
          <w:szCs w:val="28"/>
          <w:highlight w:val="none"/>
          <w:lang w:val="en-US" w:eastAsia="zh-CN"/>
        </w:rPr>
        <w:t>15；30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lang w:val="en-US" w:eastAsia="zh-CN"/>
        </w:rPr>
        <w:t>19；00</w:t>
      </w:r>
      <w:r>
        <w:rPr>
          <w:rFonts w:hint="eastAsia" w:ascii="仿宋" w:hAnsi="仿宋" w:eastAsia="仿宋" w:cs="仿宋"/>
          <w:color w:val="auto"/>
          <w:sz w:val="28"/>
          <w:szCs w:val="28"/>
          <w:highlight w:val="none"/>
        </w:rPr>
        <w:t>（北京时间，法定节假日除外）</w:t>
      </w:r>
    </w:p>
    <w:p>
      <w:pPr>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地点：新疆乌鲁木齐市沙依巴克区公园北街162号文苑综合楼七楼</w:t>
      </w:r>
      <w:r>
        <w:rPr>
          <w:rFonts w:hint="eastAsia" w:ascii="仿宋" w:hAnsi="仿宋" w:eastAsia="仿宋" w:cs="仿宋"/>
          <w:color w:val="auto"/>
          <w:sz w:val="28"/>
          <w:szCs w:val="28"/>
          <w:highlight w:val="none"/>
          <w:lang w:eastAsia="zh-CN"/>
        </w:rPr>
        <w:t>业务六部</w:t>
      </w:r>
    </w:p>
    <w:p>
      <w:pPr>
        <w:spacing w:line="360" w:lineRule="auto"/>
        <w:ind w:firstLine="54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方式：</w:t>
      </w:r>
      <w:r>
        <w:rPr>
          <w:rFonts w:hint="eastAsia" w:ascii="仿宋" w:hAnsi="仿宋" w:eastAsia="仿宋" w:cs="仿宋"/>
          <w:b w:val="0"/>
          <w:bCs w:val="0"/>
          <w:color w:val="auto"/>
          <w:sz w:val="28"/>
          <w:szCs w:val="28"/>
          <w:highlight w:val="none"/>
          <w:u w:val="none"/>
          <w:lang w:val="en-US" w:eastAsia="zh-CN"/>
        </w:rPr>
        <w:t>现场获取文件</w:t>
      </w:r>
    </w:p>
    <w:p>
      <w:pPr>
        <w:spacing w:line="360" w:lineRule="auto"/>
        <w:ind w:firstLine="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售价：</w:t>
      </w:r>
      <w:r>
        <w:rPr>
          <w:rFonts w:hint="eastAsia" w:ascii="仿宋" w:hAnsi="仿宋" w:eastAsia="仿宋" w:cs="仿宋"/>
          <w:color w:val="auto"/>
          <w:sz w:val="28"/>
          <w:szCs w:val="28"/>
          <w:highlight w:val="none"/>
          <w:lang w:val="en-US" w:eastAsia="zh-CN"/>
        </w:rPr>
        <w:t>300元，招标文件售后不退。</w:t>
      </w:r>
    </w:p>
    <w:p>
      <w:pPr>
        <w:ind w:firstLine="560" w:firstLineChars="200"/>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获取招标文件时请随身携带以下资料逐页加盖企业鲜章的复印件2套交由采购代理公司存档；</w:t>
      </w:r>
    </w:p>
    <w:p>
      <w:pPr>
        <w:pStyle w:val="18"/>
        <w:ind w:left="0" w:leftChars="0" w:firstLine="560" w:firstLineChars="200"/>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（1）</w:t>
      </w:r>
      <w:r>
        <w:rPr>
          <w:rFonts w:hint="eastAsia" w:ascii="仿宋" w:hAnsi="仿宋" w:eastAsia="仿宋" w:cs="仿宋"/>
          <w:color w:val="auto"/>
          <w:sz w:val="28"/>
          <w:szCs w:val="28"/>
          <w:highlight w:val="none"/>
          <w:lang w:val="en-US" w:eastAsia="zh-CN"/>
        </w:rPr>
        <w:t>法定代表人投标需携带法定代表人证明书（原件）、法定代表人身份证（原件）；委托代理人投标需携带法定代表人授权委托书（原件）;</w:t>
      </w:r>
    </w:p>
    <w:p>
      <w:pPr>
        <w:ind w:firstLine="560" w:firstLineChars="200"/>
        <w:rPr>
          <w:rFonts w:hint="eastAsia" w:ascii="仿宋" w:hAnsi="仿宋" w:eastAsia="仿宋" w:cs="仿宋"/>
          <w:color w:val="auto"/>
          <w:spacing w:val="0"/>
          <w:kern w:val="2"/>
          <w:sz w:val="28"/>
          <w:szCs w:val="28"/>
          <w:highlight w:val="none"/>
          <w:lang w:val="en-US" w:eastAsia="zh-CN" w:bidi="ar-SA"/>
        </w:rPr>
      </w:pPr>
      <w:r>
        <w:rPr>
          <w:rFonts w:hint="eastAsia" w:ascii="仿宋" w:hAnsi="仿宋" w:eastAsia="仿宋" w:cs="仿宋"/>
          <w:b w:val="0"/>
          <w:bCs w:val="0"/>
          <w:color w:val="auto"/>
          <w:sz w:val="28"/>
          <w:szCs w:val="28"/>
          <w:highlight w:val="none"/>
          <w:u w:val="none"/>
          <w:lang w:val="en-US" w:eastAsia="zh-CN"/>
        </w:rPr>
        <w:t>（2）《营业执照》</w:t>
      </w:r>
      <w:r>
        <w:rPr>
          <w:rFonts w:hint="eastAsia" w:ascii="仿宋" w:hAnsi="仿宋" w:eastAsia="仿宋" w:cs="仿宋"/>
          <w:color w:val="auto"/>
          <w:spacing w:val="0"/>
          <w:kern w:val="2"/>
          <w:sz w:val="28"/>
          <w:szCs w:val="28"/>
          <w:highlight w:val="none"/>
          <w:lang w:val="en-US" w:eastAsia="zh-CN" w:bidi="ar-SA"/>
        </w:rPr>
        <w:t>；</w:t>
      </w:r>
    </w:p>
    <w:p>
      <w:pPr>
        <w:ind w:firstLine="560" w:firstLineChars="200"/>
        <w:rPr>
          <w:rFonts w:hint="default" w:ascii="仿宋" w:hAnsi="仿宋" w:eastAsia="仿宋" w:cs="仿宋"/>
          <w:color w:val="auto"/>
          <w:spacing w:val="0"/>
          <w:kern w:val="2"/>
          <w:sz w:val="28"/>
          <w:szCs w:val="28"/>
          <w:highlight w:val="none"/>
          <w:lang w:val="en-US" w:eastAsia="zh-CN" w:bidi="ar-SA"/>
        </w:rPr>
      </w:pPr>
      <w:r>
        <w:rPr>
          <w:rFonts w:hint="eastAsia" w:ascii="仿宋" w:hAnsi="仿宋" w:eastAsia="仿宋" w:cs="仿宋"/>
          <w:color w:val="auto"/>
          <w:spacing w:val="0"/>
          <w:kern w:val="2"/>
          <w:sz w:val="28"/>
          <w:szCs w:val="28"/>
          <w:highlight w:val="none"/>
          <w:lang w:val="en-US" w:eastAsia="zh-CN" w:bidi="ar-SA"/>
        </w:rPr>
        <w:t>（3）</w:t>
      </w:r>
      <w:r>
        <w:rPr>
          <w:rFonts w:hint="eastAsia" w:ascii="仿宋" w:hAnsi="仿宋" w:eastAsia="仿宋"/>
          <w:color w:val="auto"/>
          <w:sz w:val="28"/>
          <w:szCs w:val="28"/>
          <w:highlight w:val="none"/>
          <w:lang w:val="en-US" w:eastAsia="zh-CN"/>
        </w:rPr>
        <w:t>“信用中国网、中国政府采购网、中国裁判文书网”</w:t>
      </w:r>
      <w:r>
        <w:rPr>
          <w:rFonts w:hint="eastAsia" w:ascii="仿宋" w:hAnsi="仿宋" w:eastAsia="仿宋" w:cs="仿宋"/>
          <w:b w:val="0"/>
          <w:bCs w:val="0"/>
          <w:color w:val="auto"/>
          <w:sz w:val="28"/>
          <w:szCs w:val="28"/>
          <w:highlight w:val="none"/>
          <w:u w:val="none"/>
          <w:lang w:val="en-US" w:eastAsia="zh-CN"/>
        </w:rPr>
        <w:t>网站查询截图（截图显示时间须在报名期限内）；</w:t>
      </w:r>
    </w:p>
    <w:p>
      <w:pPr>
        <w:rPr>
          <w:rFonts w:hint="eastAsia" w:ascii="仿宋" w:hAnsi="仿宋" w:eastAsia="仿宋" w:cs="仿宋"/>
          <w:color w:val="auto"/>
          <w:spacing w:val="0"/>
          <w:kern w:val="2"/>
          <w:sz w:val="28"/>
          <w:szCs w:val="28"/>
          <w:highlight w:val="none"/>
          <w:lang w:val="en-US" w:eastAsia="zh-CN" w:bidi="ar-SA"/>
        </w:rPr>
      </w:pPr>
      <w:bookmarkStart w:id="15" w:name="_Toc28359005"/>
      <w:bookmarkStart w:id="16" w:name="_Toc28359082"/>
      <w:bookmarkStart w:id="17" w:name="_Toc35393624"/>
      <w:bookmarkStart w:id="18" w:name="_Toc35393793"/>
      <w:r>
        <w:rPr>
          <w:rFonts w:hint="eastAsia" w:ascii="仿宋" w:hAnsi="仿宋" w:eastAsia="仿宋" w:cs="仿宋"/>
          <w:color w:val="auto"/>
          <w:spacing w:val="0"/>
          <w:kern w:val="2"/>
          <w:sz w:val="28"/>
          <w:szCs w:val="28"/>
          <w:highlight w:val="none"/>
          <w:lang w:val="en-US" w:eastAsia="zh-CN" w:bidi="ar-SA"/>
        </w:rPr>
        <w:t>四、提交投标文件</w:t>
      </w:r>
      <w:bookmarkEnd w:id="15"/>
      <w:bookmarkEnd w:id="16"/>
      <w:r>
        <w:rPr>
          <w:rFonts w:hint="eastAsia" w:ascii="仿宋" w:hAnsi="仿宋" w:eastAsia="仿宋" w:cs="仿宋"/>
          <w:color w:val="auto"/>
          <w:spacing w:val="0"/>
          <w:kern w:val="2"/>
          <w:sz w:val="28"/>
          <w:szCs w:val="28"/>
          <w:highlight w:val="none"/>
          <w:lang w:val="en-US" w:eastAsia="zh-CN" w:bidi="ar-SA"/>
        </w:rPr>
        <w:t>截止时间、开标时间和地点</w:t>
      </w:r>
      <w:bookmarkEnd w:id="17"/>
      <w:bookmarkEnd w:id="18"/>
    </w:p>
    <w:p>
      <w:pPr>
        <w:spacing w:line="360" w:lineRule="auto"/>
        <w:ind w:firstLine="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投标截止时间：</w:t>
      </w:r>
      <w:r>
        <w:rPr>
          <w:rFonts w:hint="eastAsia" w:ascii="仿宋" w:hAnsi="仿宋" w:eastAsia="仿宋" w:cs="仿宋"/>
          <w:color w:val="auto"/>
          <w:sz w:val="28"/>
          <w:szCs w:val="28"/>
          <w:highlight w:val="none"/>
          <w:lang w:val="en-US" w:eastAsia="zh-CN"/>
        </w:rPr>
        <w:t>2022</w:t>
      </w:r>
      <w:r>
        <w:rPr>
          <w:rFonts w:hint="eastAsia" w:ascii="仿宋" w:hAnsi="仿宋" w:eastAsia="仿宋" w:cs="仿宋"/>
          <w:color w:val="auto"/>
          <w:sz w:val="28"/>
          <w:szCs w:val="28"/>
          <w:highlight w:val="none"/>
        </w:rPr>
        <w:t xml:space="preserve">年 </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 xml:space="preserve">日 </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 xml:space="preserve">点 </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分（北京时间）</w:t>
      </w:r>
      <w:r>
        <w:rPr>
          <w:rFonts w:hint="eastAsia" w:ascii="仿宋" w:hAnsi="仿宋" w:eastAsia="仿宋" w:cs="仿宋"/>
          <w:color w:val="auto"/>
          <w:sz w:val="28"/>
          <w:szCs w:val="28"/>
          <w:highlight w:val="none"/>
          <w:lang w:val="en-US" w:eastAsia="zh-CN"/>
        </w:rPr>
        <w:t xml:space="preserve"> </w:t>
      </w:r>
    </w:p>
    <w:p>
      <w:pPr>
        <w:spacing w:line="360" w:lineRule="auto"/>
        <w:ind w:firstLine="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地点：新疆乌鲁木齐市沙依巴克区公园北街162号文苑综合楼七楼</w:t>
      </w:r>
      <w:r>
        <w:rPr>
          <w:rFonts w:hint="eastAsia" w:ascii="仿宋" w:hAnsi="仿宋" w:eastAsia="仿宋" w:cs="仿宋"/>
          <w:color w:val="auto"/>
          <w:sz w:val="28"/>
          <w:szCs w:val="28"/>
          <w:highlight w:val="none"/>
          <w:lang w:eastAsia="zh-CN"/>
        </w:rPr>
        <w:t>会议室</w:t>
      </w:r>
    </w:p>
    <w:p>
      <w:pPr>
        <w:spacing w:line="360" w:lineRule="auto"/>
        <w:ind w:firstLine="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开标时间：</w:t>
      </w:r>
      <w:r>
        <w:rPr>
          <w:rFonts w:hint="eastAsia" w:ascii="仿宋" w:hAnsi="仿宋" w:eastAsia="仿宋" w:cs="仿宋"/>
          <w:color w:val="auto"/>
          <w:sz w:val="28"/>
          <w:szCs w:val="28"/>
          <w:highlight w:val="none"/>
          <w:lang w:val="en-US" w:eastAsia="zh-CN"/>
        </w:rPr>
        <w:t>2022</w:t>
      </w:r>
      <w:r>
        <w:rPr>
          <w:rFonts w:hint="eastAsia" w:ascii="仿宋" w:hAnsi="仿宋" w:eastAsia="仿宋" w:cs="仿宋"/>
          <w:color w:val="auto"/>
          <w:sz w:val="28"/>
          <w:szCs w:val="28"/>
          <w:highlight w:val="none"/>
        </w:rPr>
        <w:t xml:space="preserve">年 </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 xml:space="preserve">日 </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 xml:space="preserve">点 </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分（北京时间）</w:t>
      </w:r>
    </w:p>
    <w:p>
      <w:pPr>
        <w:spacing w:line="360" w:lineRule="auto"/>
        <w:ind w:firstLine="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开标地点：</w:t>
      </w:r>
      <w:r>
        <w:rPr>
          <w:rFonts w:hint="eastAsia" w:ascii="仿宋" w:hAnsi="仿宋" w:eastAsia="仿宋" w:cs="仿宋"/>
          <w:color w:val="auto"/>
          <w:sz w:val="28"/>
          <w:szCs w:val="28"/>
          <w:highlight w:val="none"/>
        </w:rPr>
        <w:t>新疆乌鲁木齐市沙依巴克区公园北街162号文苑综合楼七楼</w:t>
      </w:r>
      <w:r>
        <w:rPr>
          <w:rFonts w:hint="eastAsia" w:ascii="仿宋" w:hAnsi="仿宋" w:eastAsia="仿宋" w:cs="仿宋"/>
          <w:color w:val="auto"/>
          <w:sz w:val="28"/>
          <w:szCs w:val="28"/>
          <w:highlight w:val="none"/>
          <w:lang w:eastAsia="zh-CN"/>
        </w:rPr>
        <w:t>会议室</w:t>
      </w:r>
    </w:p>
    <w:p>
      <w:pPr>
        <w:rPr>
          <w:rFonts w:hint="eastAsia" w:ascii="仿宋" w:hAnsi="仿宋" w:eastAsia="仿宋" w:cs="仿宋"/>
          <w:color w:val="auto"/>
          <w:sz w:val="28"/>
          <w:szCs w:val="28"/>
          <w:highlight w:val="none"/>
        </w:rPr>
      </w:pPr>
      <w:bookmarkStart w:id="19" w:name="_Toc28359084"/>
      <w:bookmarkStart w:id="20" w:name="_Toc28359007"/>
      <w:bookmarkStart w:id="21" w:name="_Toc35393794"/>
      <w:bookmarkStart w:id="22" w:name="_Toc35393625"/>
      <w:r>
        <w:rPr>
          <w:rFonts w:hint="eastAsia" w:ascii="仿宋" w:hAnsi="仿宋" w:eastAsia="仿宋" w:cs="仿宋"/>
          <w:color w:val="auto"/>
          <w:sz w:val="28"/>
          <w:szCs w:val="28"/>
          <w:highlight w:val="none"/>
        </w:rPr>
        <w:t>五、公告期限</w:t>
      </w:r>
      <w:bookmarkEnd w:id="19"/>
      <w:bookmarkEnd w:id="20"/>
      <w:bookmarkEnd w:id="21"/>
      <w:bookmarkEnd w:id="22"/>
    </w:p>
    <w:p>
      <w:pPr>
        <w:spacing w:line="360" w:lineRule="auto"/>
        <w:ind w:firstLine="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自本公告发布之日起5个工作日。</w:t>
      </w:r>
    </w:p>
    <w:p>
      <w:pPr>
        <w:spacing w:line="360" w:lineRule="auto"/>
        <w:rPr>
          <w:rFonts w:hint="eastAsia" w:ascii="仿宋" w:hAnsi="仿宋" w:eastAsia="仿宋" w:cs="仿宋"/>
          <w:color w:val="auto"/>
          <w:sz w:val="28"/>
          <w:szCs w:val="28"/>
          <w:highlight w:val="none"/>
          <w:lang w:eastAsia="zh-CN"/>
        </w:rPr>
      </w:pPr>
      <w:bookmarkStart w:id="23" w:name="_Toc35393795"/>
      <w:bookmarkStart w:id="24" w:name="_Toc35393626"/>
      <w:r>
        <w:rPr>
          <w:rFonts w:hint="eastAsia" w:ascii="仿宋" w:hAnsi="仿宋" w:eastAsia="仿宋" w:cs="仿宋"/>
          <w:color w:val="auto"/>
          <w:sz w:val="28"/>
          <w:szCs w:val="28"/>
          <w:highlight w:val="none"/>
          <w:lang w:eastAsia="zh-CN"/>
        </w:rPr>
        <w:t>六、其他补充事宜</w:t>
      </w:r>
      <w:bookmarkEnd w:id="23"/>
      <w:bookmarkEnd w:id="24"/>
    </w:p>
    <w:p>
      <w:pPr>
        <w:spacing w:line="360" w:lineRule="auto"/>
        <w:rPr>
          <w:rFonts w:hint="eastAsia" w:ascii="仿宋" w:hAnsi="仿宋" w:eastAsia="仿宋" w:cs="仿宋"/>
          <w:color w:val="auto"/>
          <w:sz w:val="28"/>
          <w:szCs w:val="28"/>
          <w:highlight w:val="none"/>
          <w:lang w:eastAsia="zh-CN"/>
        </w:rPr>
      </w:pPr>
      <w:bookmarkStart w:id="25" w:name="_Toc35393627"/>
      <w:bookmarkStart w:id="26" w:name="_Toc28359008"/>
      <w:bookmarkStart w:id="27" w:name="_Toc28359085"/>
      <w:bookmarkStart w:id="28" w:name="_Toc35393796"/>
      <w:r>
        <w:rPr>
          <w:rFonts w:hint="eastAsia" w:ascii="仿宋" w:hAnsi="仿宋" w:eastAsia="仿宋" w:cs="仿宋"/>
          <w:color w:val="auto"/>
          <w:sz w:val="28"/>
          <w:szCs w:val="28"/>
          <w:highlight w:val="none"/>
          <w:lang w:eastAsia="zh-CN"/>
        </w:rPr>
        <w:t>七、对本次招标提出询问，请按以下方式联系。</w:t>
      </w:r>
      <w:bookmarkEnd w:id="25"/>
      <w:bookmarkEnd w:id="26"/>
      <w:bookmarkEnd w:id="27"/>
      <w:bookmarkEnd w:id="28"/>
    </w:p>
    <w:p>
      <w:pPr>
        <w:widowControl/>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1.采购人信息</w:t>
      </w:r>
    </w:p>
    <w:p>
      <w:pPr>
        <w:spacing w:line="360" w:lineRule="auto"/>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lang w:val="en-US" w:eastAsia="zh-CN"/>
        </w:rPr>
        <w:t>新疆工程学院</w:t>
      </w:r>
    </w:p>
    <w:p>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地址：新疆乌鲁木齐市经济技术开发区(头屯河区)艾丁湖路1350号</w:t>
      </w:r>
    </w:p>
    <w:p>
      <w:pPr>
        <w:spacing w:line="360" w:lineRule="auto"/>
        <w:jc w:val="left"/>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联系</w:t>
      </w:r>
      <w:r>
        <w:rPr>
          <w:rFonts w:hint="eastAsia" w:ascii="仿宋" w:hAnsi="仿宋" w:eastAsia="仿宋" w:cs="仿宋"/>
          <w:color w:val="auto"/>
          <w:sz w:val="28"/>
          <w:szCs w:val="28"/>
          <w:highlight w:val="none"/>
          <w:lang w:eastAsia="zh-CN"/>
        </w:rPr>
        <w:t>人及联系</w:t>
      </w:r>
      <w:r>
        <w:rPr>
          <w:rFonts w:hint="eastAsia" w:ascii="仿宋" w:hAnsi="仿宋" w:eastAsia="仿宋" w:cs="仿宋"/>
          <w:color w:val="auto"/>
          <w:sz w:val="28"/>
          <w:szCs w:val="28"/>
          <w:highlight w:val="none"/>
        </w:rPr>
        <w:t>方式：</w:t>
      </w:r>
      <w:bookmarkStart w:id="29" w:name="_Toc28359086"/>
      <w:bookmarkStart w:id="30" w:name="_Toc28359009"/>
      <w:r>
        <w:rPr>
          <w:rFonts w:hint="eastAsia" w:ascii="仿宋" w:hAnsi="仿宋" w:eastAsia="仿宋" w:cs="仿宋"/>
          <w:color w:val="auto"/>
          <w:sz w:val="28"/>
          <w:szCs w:val="28"/>
          <w:highlight w:val="none"/>
          <w:lang w:val="en-US" w:eastAsia="zh-CN"/>
        </w:rPr>
        <w:t xml:space="preserve">靳立国、13659995927 </w:t>
      </w:r>
    </w:p>
    <w:p>
      <w:pPr>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2.采购代理机构信息（如有）</w:t>
      </w:r>
      <w:bookmarkEnd w:id="29"/>
      <w:bookmarkEnd w:id="30"/>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 称：新疆新之建工程咨询有限公司</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址：新疆乌鲁木齐市沙依巴克区公园北街162号文苑综合楼七楼</w:t>
      </w:r>
    </w:p>
    <w:p>
      <w:pPr>
        <w:spacing w:line="360" w:lineRule="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rPr>
        <w:t>联系方式：</w:t>
      </w:r>
      <w:bookmarkStart w:id="31" w:name="_Toc28359010"/>
      <w:bookmarkStart w:id="32" w:name="_Toc28359087"/>
      <w:r>
        <w:rPr>
          <w:rFonts w:hint="eastAsia" w:ascii="仿宋" w:hAnsi="仿宋" w:eastAsia="仿宋" w:cs="仿宋"/>
          <w:color w:val="auto"/>
          <w:sz w:val="28"/>
          <w:szCs w:val="28"/>
          <w:highlight w:val="none"/>
          <w:u w:val="none"/>
          <w:lang w:val="en-US" w:eastAsia="zh-CN"/>
        </w:rPr>
        <w:t>0991-4321218</w:t>
      </w:r>
    </w:p>
    <w:p>
      <w:pPr>
        <w:spacing w:line="360" w:lineRule="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3.项目联系方式</w:t>
      </w:r>
      <w:bookmarkEnd w:id="31"/>
      <w:bookmarkEnd w:id="32"/>
    </w:p>
    <w:p>
      <w:pPr>
        <w:pStyle w:val="10"/>
        <w:spacing w:line="360" w:lineRule="auto"/>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u w:val="none"/>
        </w:rPr>
        <w:t>项目</w:t>
      </w:r>
      <w:r>
        <w:rPr>
          <w:rFonts w:hint="eastAsia" w:ascii="仿宋" w:hAnsi="仿宋" w:eastAsia="仿宋" w:cs="仿宋"/>
          <w:color w:val="auto"/>
          <w:sz w:val="28"/>
          <w:szCs w:val="28"/>
          <w:highlight w:val="none"/>
          <w:u w:val="none"/>
          <w:lang w:eastAsia="zh-CN"/>
        </w:rPr>
        <w:t>负责</w:t>
      </w:r>
      <w:r>
        <w:rPr>
          <w:rFonts w:hint="eastAsia" w:ascii="仿宋" w:hAnsi="仿宋" w:eastAsia="仿宋" w:cs="仿宋"/>
          <w:color w:val="auto"/>
          <w:sz w:val="28"/>
          <w:szCs w:val="28"/>
          <w:highlight w:val="none"/>
          <w:u w:val="none"/>
        </w:rPr>
        <w:t>人：</w:t>
      </w:r>
      <w:r>
        <w:rPr>
          <w:rFonts w:hint="eastAsia" w:ascii="仿宋" w:hAnsi="仿宋" w:eastAsia="仿宋" w:cs="仿宋"/>
          <w:color w:val="auto"/>
          <w:sz w:val="28"/>
          <w:szCs w:val="28"/>
          <w:highlight w:val="none"/>
          <w:u w:val="none"/>
          <w:lang w:eastAsia="zh-CN"/>
        </w:rPr>
        <w:t>刘高、王涛、曹晓云</w:t>
      </w:r>
    </w:p>
    <w:p>
      <w:pPr>
        <w:spacing w:line="360" w:lineRule="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电　话：</w:t>
      </w:r>
      <w:r>
        <w:rPr>
          <w:rFonts w:hint="eastAsia" w:ascii="仿宋" w:hAnsi="仿宋" w:eastAsia="仿宋" w:cs="仿宋"/>
          <w:color w:val="auto"/>
          <w:sz w:val="28"/>
          <w:szCs w:val="28"/>
          <w:highlight w:val="none"/>
          <w:u w:val="none"/>
          <w:lang w:val="en-US" w:eastAsia="zh-CN"/>
        </w:rPr>
        <w:t>15292642002、13201358353</w:t>
      </w:r>
    </w:p>
    <w:p>
      <w:pPr>
        <w:spacing w:line="360" w:lineRule="auto"/>
        <w:rPr>
          <w:rFonts w:hint="eastAsia" w:ascii="仿宋" w:hAnsi="仿宋" w:eastAsia="仿宋" w:cs="仿宋"/>
          <w:color w:val="auto"/>
          <w:sz w:val="28"/>
          <w:szCs w:val="28"/>
          <w:highlight w:val="none"/>
          <w:u w:val="none"/>
        </w:rPr>
      </w:pPr>
    </w:p>
    <w:p>
      <w:pPr>
        <w:spacing w:line="360" w:lineRule="auto"/>
        <w:rPr>
          <w:rFonts w:hint="eastAsia" w:ascii="仿宋" w:hAnsi="仿宋" w:eastAsia="仿宋" w:cs="仿宋"/>
          <w:color w:val="auto"/>
          <w:sz w:val="28"/>
          <w:szCs w:val="28"/>
          <w:highlight w:val="none"/>
          <w:u w:val="none"/>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18"/>
        <w:keepNext w:val="0"/>
        <w:keepLines w:val="0"/>
        <w:pageBreakBefore w:val="0"/>
        <w:numPr>
          <w:ilvl w:val="0"/>
          <w:numId w:val="3"/>
        </w:numPr>
        <w:kinsoku/>
        <w:wordWrap/>
        <w:overflowPunct/>
        <w:topLinePunct w:val="0"/>
        <w:autoSpaceDE w:val="0"/>
        <w:autoSpaceDN w:val="0"/>
        <w:bidi w:val="0"/>
        <w:adjustRightInd/>
        <w:snapToGrid/>
        <w:spacing w:before="0" w:line="360" w:lineRule="auto"/>
        <w:ind w:left="0" w:leftChars="0" w:right="0" w:rightChars="0" w:firstLine="0" w:firstLineChars="0"/>
        <w:jc w:val="center"/>
        <w:textAlignment w:val="auto"/>
        <w:rPr>
          <w:rFonts w:hint="eastAsia" w:ascii="仿宋" w:hAnsi="仿宋" w:eastAsia="仿宋" w:cs="仿宋"/>
          <w:b/>
          <w:bCs/>
          <w:color w:val="auto"/>
          <w:sz w:val="40"/>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color w:val="auto"/>
          <w:sz w:val="40"/>
          <w:highlight w:val="none"/>
          <w:lang w:val="en-US" w:eastAsia="zh-CN"/>
        </w:rPr>
        <w:t xml:space="preserve"> 投标须知前附表及投标须知</w:t>
      </w:r>
    </w:p>
    <w:p>
      <w:pPr>
        <w:pStyle w:val="18"/>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0" w:rightChars="0" w:firstLine="3092" w:firstLineChars="1100"/>
        <w:jc w:val="both"/>
        <w:textAlignment w:val="auto"/>
        <w:rPr>
          <w:rFonts w:hint="eastAsia" w:ascii="仿宋" w:hAnsi="仿宋" w:eastAsia="仿宋" w:cs="仿宋"/>
          <w:b/>
          <w:bCs/>
          <w:color w:val="auto"/>
          <w:sz w:val="40"/>
          <w:highlight w:val="none"/>
          <w:lang w:val="en-US" w:eastAsia="zh-CN"/>
        </w:rPr>
      </w:pPr>
      <w:r>
        <w:rPr>
          <w:rFonts w:hint="eastAsia" w:ascii="仿宋" w:hAnsi="仿宋" w:eastAsia="仿宋" w:cs="仿宋"/>
          <w:b/>
          <w:bCs/>
          <w:color w:val="auto"/>
          <w:sz w:val="28"/>
          <w:szCs w:val="28"/>
          <w:highlight w:val="none"/>
          <w:lang w:val="en-US" w:eastAsia="zh-CN"/>
        </w:rPr>
        <w:t>一、投标须知前附表</w:t>
      </w:r>
    </w:p>
    <w:tbl>
      <w:tblPr>
        <w:tblStyle w:val="19"/>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630"/>
        <w:gridCol w:w="7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blHeader/>
          <w:jc w:val="center"/>
        </w:trPr>
        <w:tc>
          <w:tcPr>
            <w:tcW w:w="772"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30"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  别</w:t>
            </w:r>
          </w:p>
        </w:tc>
        <w:tc>
          <w:tcPr>
            <w:tcW w:w="7256"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30"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7256" w:type="dxa"/>
            <w:noWrap w:val="0"/>
            <w:vAlign w:val="center"/>
          </w:tcPr>
          <w:p>
            <w:pPr>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新疆工程学院《</w:t>
            </w:r>
            <w:r>
              <w:rPr>
                <w:rFonts w:hint="eastAsia" w:ascii="仿宋" w:hAnsi="仿宋" w:eastAsia="仿宋" w:cs="仿宋"/>
                <w:color w:val="auto"/>
                <w:sz w:val="24"/>
                <w:highlight w:val="none"/>
                <w:lang w:val="en-US" w:eastAsia="zh-CN"/>
              </w:rPr>
              <w:t>电力系统继电保护实训室建设</w:t>
            </w:r>
            <w:r>
              <w:rPr>
                <w:rFonts w:hint="eastAsia" w:ascii="仿宋" w:hAnsi="仿宋" w:eastAsia="仿宋" w:cs="仿宋"/>
                <w:color w:val="auto"/>
                <w:sz w:val="24"/>
                <w:highlight w:val="none"/>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30" w:type="dxa"/>
            <w:noWrap w:val="0"/>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项目编号</w:t>
            </w:r>
          </w:p>
        </w:tc>
        <w:tc>
          <w:tcPr>
            <w:tcW w:w="7256" w:type="dxa"/>
            <w:noWrap w:val="0"/>
            <w:vAlign w:val="center"/>
          </w:tcPr>
          <w:p>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XZJ22649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630" w:type="dxa"/>
            <w:noWrap w:val="0"/>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联系方式</w:t>
            </w:r>
          </w:p>
        </w:tc>
        <w:tc>
          <w:tcPr>
            <w:tcW w:w="7256" w:type="dxa"/>
            <w:noWrap w:val="0"/>
            <w:vAlign w:val="center"/>
          </w:tcPr>
          <w:p>
            <w:pPr>
              <w:pStyle w:val="23"/>
              <w:spacing w:before="110" w:line="360" w:lineRule="auto"/>
              <w:ind w:right="91"/>
              <w:rPr>
                <w:rFonts w:hint="eastAsia" w:ascii="仿宋" w:hAnsi="仿宋" w:eastAsia="仿宋" w:cs="仿宋"/>
                <w:color w:val="auto"/>
                <w:spacing w:val="-11"/>
                <w:sz w:val="24"/>
                <w:highlight w:val="none"/>
              </w:rPr>
            </w:pPr>
            <w:r>
              <w:rPr>
                <w:rFonts w:hint="eastAsia" w:ascii="仿宋" w:hAnsi="仿宋" w:eastAsia="仿宋" w:cs="仿宋"/>
                <w:color w:val="auto"/>
                <w:sz w:val="24"/>
                <w:szCs w:val="22"/>
                <w:highlight w:val="none"/>
                <w:lang w:val="en-US" w:eastAsia="zh-CN" w:bidi="zh-CN"/>
              </w:rPr>
              <w:t>招标人</w:t>
            </w:r>
            <w:r>
              <w:rPr>
                <w:rFonts w:hint="eastAsia" w:ascii="仿宋" w:hAnsi="仿宋" w:eastAsia="仿宋" w:cs="仿宋"/>
                <w:color w:val="auto"/>
                <w:spacing w:val="-11"/>
                <w:sz w:val="24"/>
                <w:highlight w:val="none"/>
              </w:rPr>
              <w:t>：</w:t>
            </w:r>
            <w:r>
              <w:rPr>
                <w:rFonts w:hint="eastAsia" w:ascii="仿宋" w:hAnsi="仿宋" w:eastAsia="仿宋" w:cs="仿宋"/>
                <w:color w:val="auto"/>
                <w:spacing w:val="-11"/>
                <w:sz w:val="24"/>
                <w:highlight w:val="none"/>
                <w:lang w:val="en-US" w:eastAsia="zh-CN"/>
              </w:rPr>
              <w:t>新疆工程学院</w:t>
            </w:r>
          </w:p>
          <w:p>
            <w:pPr>
              <w:pStyle w:val="23"/>
              <w:spacing w:line="360" w:lineRule="auto"/>
              <w:ind w:left="1554" w:right="91" w:hanging="1554" w:hangingChars="700"/>
              <w:rPr>
                <w:rFonts w:hint="eastAsia" w:ascii="仿宋" w:hAnsi="仿宋" w:eastAsia="仿宋" w:cs="仿宋"/>
                <w:color w:val="auto"/>
                <w:spacing w:val="-9"/>
                <w:sz w:val="24"/>
                <w:highlight w:val="none"/>
                <w:lang w:eastAsia="zh-CN"/>
              </w:rPr>
            </w:pPr>
            <w:r>
              <w:rPr>
                <w:rFonts w:hint="eastAsia" w:ascii="仿宋" w:hAnsi="仿宋" w:eastAsia="仿宋" w:cs="仿宋"/>
                <w:color w:val="auto"/>
                <w:spacing w:val="-9"/>
                <w:sz w:val="24"/>
                <w:highlight w:val="none"/>
              </w:rPr>
              <w:t>地址：新疆乌鲁木齐市经济技术开发区(头屯河区)艾丁湖路1350号</w:t>
            </w:r>
          </w:p>
          <w:p>
            <w:pPr>
              <w:pStyle w:val="23"/>
              <w:tabs>
                <w:tab w:val="left" w:pos="2266"/>
              </w:tabs>
              <w:spacing w:before="1" w:line="360" w:lineRule="auto"/>
              <w:ind w:right="1913"/>
              <w:rPr>
                <w:rFonts w:hint="eastAsia" w:ascii="仿宋" w:hAnsi="仿宋" w:eastAsia="仿宋" w:cs="仿宋"/>
                <w:color w:val="auto"/>
                <w:sz w:val="24"/>
                <w:szCs w:val="22"/>
                <w:highlight w:val="none"/>
                <w:lang w:val="zh-CN" w:eastAsia="zh-CN" w:bidi="zh-CN"/>
              </w:rPr>
            </w:pPr>
            <w:r>
              <w:rPr>
                <w:rFonts w:hint="eastAsia" w:ascii="仿宋" w:hAnsi="仿宋" w:eastAsia="仿宋" w:cs="仿宋"/>
                <w:color w:val="auto"/>
                <w:sz w:val="24"/>
                <w:highlight w:val="none"/>
              </w:rPr>
              <w:t>联</w:t>
            </w:r>
            <w:r>
              <w:rPr>
                <w:rFonts w:hint="eastAsia" w:ascii="仿宋" w:hAnsi="仿宋" w:eastAsia="仿宋" w:cs="仿宋"/>
                <w:color w:val="auto"/>
                <w:sz w:val="24"/>
                <w:szCs w:val="22"/>
                <w:highlight w:val="none"/>
                <w:lang w:val="zh-CN" w:eastAsia="zh-CN" w:bidi="zh-CN"/>
              </w:rPr>
              <w:t>系人：</w:t>
            </w:r>
            <w:r>
              <w:rPr>
                <w:rFonts w:hint="eastAsia" w:ascii="仿宋" w:hAnsi="仿宋" w:eastAsia="仿宋" w:cs="仿宋"/>
                <w:color w:val="auto"/>
                <w:spacing w:val="-9"/>
                <w:sz w:val="24"/>
                <w:highlight w:val="none"/>
                <w:lang w:val="en-US" w:eastAsia="zh-CN"/>
              </w:rPr>
              <w:t>靳立国</w:t>
            </w:r>
          </w:p>
          <w:p>
            <w:pPr>
              <w:pStyle w:val="23"/>
              <w:tabs>
                <w:tab w:val="left" w:pos="2266"/>
              </w:tabs>
              <w:spacing w:before="1" w:line="360" w:lineRule="auto"/>
              <w:ind w:right="1913"/>
              <w:rPr>
                <w:rFonts w:hint="eastAsia" w:ascii="仿宋" w:hAnsi="仿宋" w:eastAsia="仿宋" w:cs="仿宋"/>
                <w:color w:val="auto"/>
                <w:sz w:val="24"/>
                <w:szCs w:val="22"/>
                <w:highlight w:val="none"/>
                <w:lang w:val="en-US" w:eastAsia="zh-CN" w:bidi="zh-CN"/>
              </w:rPr>
            </w:pPr>
            <w:r>
              <w:rPr>
                <w:rFonts w:hint="eastAsia" w:ascii="仿宋" w:hAnsi="仿宋" w:eastAsia="仿宋" w:cs="仿宋"/>
                <w:color w:val="auto"/>
                <w:sz w:val="24"/>
                <w:szCs w:val="22"/>
                <w:highlight w:val="none"/>
                <w:lang w:val="en-US" w:eastAsia="zh-CN" w:bidi="zh-CN"/>
              </w:rPr>
              <w:t>联系电话：</w:t>
            </w:r>
            <w:r>
              <w:rPr>
                <w:rFonts w:hint="eastAsia" w:ascii="仿宋" w:hAnsi="仿宋" w:eastAsia="仿宋" w:cs="仿宋"/>
                <w:color w:val="auto"/>
                <w:spacing w:val="-9"/>
                <w:sz w:val="24"/>
                <w:highlight w:val="none"/>
                <w:lang w:val="en-US" w:eastAsia="zh-CN"/>
              </w:rPr>
              <w:t>13659995927</w:t>
            </w:r>
            <w:r>
              <w:rPr>
                <w:rFonts w:hint="eastAsia" w:ascii="仿宋" w:hAnsi="仿宋" w:eastAsia="仿宋" w:cs="仿宋"/>
                <w:color w:val="auto"/>
                <w:sz w:val="24"/>
                <w:szCs w:val="22"/>
                <w:highlight w:val="none"/>
                <w:lang w:val="en-US" w:eastAsia="zh-CN" w:bidi="zh-CN"/>
              </w:rPr>
              <w:t xml:space="preserve"> </w:t>
            </w:r>
          </w:p>
          <w:p>
            <w:pPr>
              <w:pStyle w:val="23"/>
              <w:tabs>
                <w:tab w:val="left" w:pos="2266"/>
              </w:tabs>
              <w:spacing w:before="1" w:line="360" w:lineRule="auto"/>
              <w:ind w:right="1913"/>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招标代理机构：</w:t>
            </w:r>
            <w:r>
              <w:rPr>
                <w:rFonts w:hint="eastAsia" w:ascii="仿宋" w:hAnsi="仿宋" w:eastAsia="仿宋" w:cs="仿宋"/>
                <w:color w:val="auto"/>
                <w:sz w:val="24"/>
                <w:highlight w:val="none"/>
                <w:lang w:val="en-US" w:eastAsia="zh-CN"/>
              </w:rPr>
              <w:t>新疆新之建工程咨询有限公司</w:t>
            </w:r>
          </w:p>
          <w:p>
            <w:pPr>
              <w:pStyle w:val="23"/>
              <w:spacing w:line="360" w:lineRule="auto"/>
              <w:ind w:right="91"/>
              <w:rPr>
                <w:rFonts w:hint="eastAsia" w:ascii="仿宋" w:hAnsi="仿宋" w:eastAsia="仿宋" w:cs="仿宋"/>
                <w:color w:val="auto"/>
                <w:spacing w:val="-9"/>
                <w:sz w:val="24"/>
                <w:highlight w:val="none"/>
                <w:lang w:val="en-US" w:eastAsia="zh-CN"/>
              </w:rPr>
            </w:pPr>
            <w:r>
              <w:rPr>
                <w:rFonts w:hint="eastAsia" w:ascii="仿宋" w:hAnsi="仿宋" w:eastAsia="仿宋" w:cs="仿宋"/>
                <w:color w:val="auto"/>
                <w:spacing w:val="-9"/>
                <w:sz w:val="24"/>
                <w:highlight w:val="none"/>
              </w:rPr>
              <w:t>招标公司地址：</w:t>
            </w:r>
            <w:r>
              <w:rPr>
                <w:rFonts w:hint="eastAsia" w:ascii="仿宋" w:hAnsi="仿宋" w:eastAsia="仿宋" w:cs="仿宋"/>
                <w:color w:val="auto"/>
                <w:spacing w:val="-9"/>
                <w:sz w:val="24"/>
                <w:highlight w:val="none"/>
                <w:lang w:val="en-US" w:eastAsia="zh-CN"/>
              </w:rPr>
              <w:t>乌鲁木齐市沙依巴克区公园北街162号文苑综合楼七楼</w:t>
            </w:r>
          </w:p>
          <w:p>
            <w:pPr>
              <w:pStyle w:val="23"/>
              <w:spacing w:line="360" w:lineRule="auto"/>
              <w:ind w:right="91"/>
              <w:rPr>
                <w:rFonts w:hint="eastAsia" w:ascii="仿宋" w:hAnsi="仿宋" w:eastAsia="仿宋" w:cs="仿宋"/>
                <w:color w:val="auto"/>
                <w:spacing w:val="-9"/>
                <w:sz w:val="24"/>
                <w:highlight w:val="none"/>
                <w:lang w:eastAsia="zh-CN"/>
              </w:rPr>
            </w:pPr>
            <w:r>
              <w:rPr>
                <w:rFonts w:hint="eastAsia" w:ascii="仿宋" w:hAnsi="仿宋" w:eastAsia="仿宋" w:cs="仿宋"/>
                <w:color w:val="auto"/>
                <w:spacing w:val="-9"/>
                <w:sz w:val="24"/>
                <w:highlight w:val="none"/>
              </w:rPr>
              <w:t>项目</w:t>
            </w:r>
            <w:r>
              <w:rPr>
                <w:rFonts w:hint="eastAsia" w:ascii="仿宋" w:hAnsi="仿宋" w:eastAsia="仿宋" w:cs="仿宋"/>
                <w:color w:val="auto"/>
                <w:spacing w:val="-9"/>
                <w:sz w:val="24"/>
                <w:highlight w:val="none"/>
                <w:lang w:eastAsia="zh-CN"/>
              </w:rPr>
              <w:t>负责</w:t>
            </w:r>
            <w:r>
              <w:rPr>
                <w:rFonts w:hint="eastAsia" w:ascii="仿宋" w:hAnsi="仿宋" w:eastAsia="仿宋" w:cs="仿宋"/>
                <w:color w:val="auto"/>
                <w:spacing w:val="-9"/>
                <w:sz w:val="24"/>
                <w:highlight w:val="none"/>
              </w:rPr>
              <w:t>人：</w:t>
            </w:r>
            <w:r>
              <w:rPr>
                <w:rFonts w:hint="eastAsia" w:ascii="仿宋" w:hAnsi="仿宋" w:eastAsia="仿宋" w:cs="仿宋"/>
                <w:color w:val="auto"/>
                <w:spacing w:val="-9"/>
                <w:sz w:val="24"/>
                <w:highlight w:val="none"/>
                <w:lang w:eastAsia="zh-CN"/>
              </w:rPr>
              <w:t>李家成、王涛、曹晓云</w:t>
            </w:r>
          </w:p>
          <w:p>
            <w:pPr>
              <w:pStyle w:val="23"/>
              <w:spacing w:line="360" w:lineRule="auto"/>
              <w:ind w:right="91"/>
              <w:rPr>
                <w:rFonts w:hint="eastAsia" w:ascii="仿宋" w:hAnsi="仿宋" w:eastAsia="仿宋" w:cs="仿宋"/>
                <w:color w:val="auto"/>
                <w:spacing w:val="-9"/>
                <w:sz w:val="24"/>
                <w:highlight w:val="none"/>
                <w:lang w:val="en-US" w:eastAsia="zh-CN"/>
              </w:rPr>
            </w:pPr>
            <w:r>
              <w:rPr>
                <w:rFonts w:hint="eastAsia" w:ascii="仿宋" w:hAnsi="仿宋" w:eastAsia="仿宋" w:cs="仿宋"/>
                <w:color w:val="auto"/>
                <w:spacing w:val="-9"/>
                <w:sz w:val="24"/>
                <w:highlight w:val="none"/>
              </w:rPr>
              <w:t>联系电话：</w:t>
            </w:r>
            <w:r>
              <w:rPr>
                <w:rFonts w:hint="eastAsia" w:ascii="仿宋" w:hAnsi="仿宋" w:eastAsia="仿宋" w:cs="仿宋"/>
                <w:color w:val="auto"/>
                <w:spacing w:val="-9"/>
                <w:sz w:val="24"/>
                <w:highlight w:val="none"/>
                <w:lang w:val="en-US" w:eastAsia="zh-CN"/>
              </w:rPr>
              <w:t>0991-4321218、15292642002、13201358353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exac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630"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采购内容</w:t>
            </w:r>
          </w:p>
        </w:tc>
        <w:tc>
          <w:tcPr>
            <w:tcW w:w="7256" w:type="dxa"/>
            <w:noWrap w:val="0"/>
            <w:vAlign w:val="center"/>
          </w:tcPr>
          <w:p>
            <w:pPr>
              <w:pStyle w:val="23"/>
              <w:spacing w:line="360" w:lineRule="auto"/>
              <w:ind w:right="91"/>
              <w:rPr>
                <w:rFonts w:hint="eastAsia" w:ascii="仿宋" w:hAnsi="仿宋" w:eastAsia="仿宋" w:cs="仿宋"/>
                <w:color w:val="auto"/>
                <w:highlight w:val="none"/>
                <w:lang w:val="en-US" w:eastAsia="zh-CN"/>
              </w:rPr>
            </w:pPr>
            <w:r>
              <w:rPr>
                <w:rFonts w:hint="eastAsia" w:ascii="仿宋" w:hAnsi="仿宋" w:eastAsia="仿宋" w:cs="仿宋"/>
                <w:color w:val="auto"/>
                <w:spacing w:val="-9"/>
                <w:sz w:val="24"/>
                <w:highlight w:val="none"/>
                <w:lang w:val="en-US" w:eastAsia="zh-CN"/>
              </w:rPr>
              <w:t>包含能源工程学院电气工程及其自动化专业拟建电力系统继电保护实训室，采购包括常规类、智能类发电厂-变电站在内的220kV发-变组发电机、变压器、母线、高压线路继电保护装置及测控装置，合并单元及智能终端，分相操作箱，模拟断路器，以太网交换机，直流电源或UPS设备，变电站后台监控系统软件及微机五防系统，屏柜及附件等，具体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630" w:type="dxa"/>
            <w:noWrap w:val="0"/>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预算金额及报价方式</w:t>
            </w:r>
          </w:p>
        </w:tc>
        <w:tc>
          <w:tcPr>
            <w:tcW w:w="7256" w:type="dxa"/>
            <w:noWrap w:val="0"/>
            <w:vAlign w:val="center"/>
          </w:tcPr>
          <w:p>
            <w:pPr>
              <w:pStyle w:val="16"/>
              <w:shd w:val="clear" w:color="auto" w:fill="FFFFFF"/>
              <w:spacing w:before="0" w:beforeAutospacing="0" w:after="0" w:afterAutospacing="0"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预算金额； 2275000.00元</w:t>
            </w:r>
          </w:p>
          <w:p>
            <w:pPr>
              <w:pStyle w:val="16"/>
              <w:shd w:val="clear" w:color="auto" w:fill="FFFFFF"/>
              <w:spacing w:before="0" w:beforeAutospacing="0" w:after="0" w:afterAutospacing="0"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报价方式：直接报固定总价。</w:t>
            </w:r>
          </w:p>
          <w:p>
            <w:pPr>
              <w:pStyle w:val="16"/>
              <w:shd w:val="clear" w:color="auto" w:fill="FFFFFF"/>
              <w:spacing w:before="0" w:beforeAutospacing="0" w:after="0" w:afterAutospacing="0"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注：（1）预算金额为预估采购金额，作为投标人投标报价的参考依据，不作为实际发生量的结算金额。</w:t>
            </w:r>
          </w:p>
          <w:p>
            <w:pPr>
              <w:pStyle w:val="16"/>
              <w:numPr>
                <w:ilvl w:val="0"/>
                <w:numId w:val="4"/>
              </w:numPr>
              <w:shd w:val="clear" w:color="auto" w:fill="FFFFFF"/>
              <w:spacing w:before="0" w:beforeAutospacing="0" w:after="0" w:afterAutospacing="0" w:line="360" w:lineRule="auto"/>
              <w:ind w:left="-42" w:leftChars="0" w:firstLine="482" w:firstLineChars="0"/>
              <w:rPr>
                <w:rFonts w:hint="eastAsia" w:ascii="仿宋" w:hAnsi="仿宋" w:eastAsia="仿宋" w:cs="仿宋"/>
                <w:b/>
                <w:bCs/>
                <w:color w:val="auto"/>
                <w:sz w:val="24"/>
                <w:highlight w:val="none"/>
                <w:lang w:val="en-US" w:eastAsia="zh-CN"/>
              </w:rPr>
            </w:pPr>
            <w:r>
              <w:rPr>
                <w:rFonts w:hint="eastAsia" w:ascii="仿宋" w:hAnsi="仿宋" w:eastAsia="仿宋" w:cs="仿宋"/>
                <w:b/>
                <w:color w:val="auto"/>
                <w:szCs w:val="28"/>
                <w:highlight w:val="none"/>
                <w:lang w:val="en-US" w:eastAsia="zh-CN"/>
              </w:rPr>
              <w:t>投标人填写开标一览表时，不得超过本项目预算金额，</w:t>
            </w:r>
            <w:r>
              <w:rPr>
                <w:rFonts w:hint="eastAsia" w:ascii="仿宋" w:hAnsi="仿宋" w:eastAsia="仿宋" w:cs="仿宋"/>
                <w:b/>
                <w:color w:val="auto"/>
                <w:szCs w:val="28"/>
                <w:highlight w:val="none"/>
              </w:rPr>
              <w:t>若不满足此项则视为不响应招标文件，其投标将被</w:t>
            </w:r>
            <w:r>
              <w:rPr>
                <w:rFonts w:hint="eastAsia" w:ascii="仿宋" w:hAnsi="仿宋" w:eastAsia="仿宋" w:cs="仿宋"/>
                <w:b/>
                <w:color w:val="auto"/>
                <w:szCs w:val="28"/>
                <w:highlight w:val="none"/>
                <w:lang w:eastAsia="zh-CN"/>
              </w:rPr>
              <w:t>视</w:t>
            </w:r>
            <w:r>
              <w:rPr>
                <w:rFonts w:hint="eastAsia" w:ascii="仿宋" w:hAnsi="仿宋" w:eastAsia="仿宋" w:cs="仿宋"/>
                <w:b/>
                <w:color w:val="auto"/>
                <w:szCs w:val="28"/>
                <w:highlight w:val="none"/>
              </w:rPr>
              <w:t>为无效响应。</w:t>
            </w:r>
          </w:p>
          <w:p>
            <w:pPr>
              <w:pStyle w:val="16"/>
              <w:numPr>
                <w:ilvl w:val="0"/>
                <w:numId w:val="4"/>
              </w:numPr>
              <w:shd w:val="clear" w:color="auto" w:fill="FFFFFF"/>
              <w:spacing w:before="0" w:beforeAutospacing="0" w:after="0" w:afterAutospacing="0" w:line="360" w:lineRule="auto"/>
              <w:ind w:left="-42" w:leftChars="0" w:firstLine="482" w:firstLineChars="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投标人应在报价一览表中标明其提供的：每套货物的购置费、开发费、包装费、运输费、保险费、安装调试费、各种税费、资料费、规定期限的售后服务费等，全部费用均包含在投标报价中，后续不再追加任何费用，请投标投标人综合考虑合理报价。且报价包括第四章项目需求中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630" w:type="dxa"/>
            <w:noWrap w:val="0"/>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质量要求及质保期要求</w:t>
            </w:r>
          </w:p>
        </w:tc>
        <w:tc>
          <w:tcPr>
            <w:tcW w:w="7256" w:type="dxa"/>
            <w:noWrap w:val="0"/>
            <w:vAlign w:val="center"/>
          </w:tcPr>
          <w:p>
            <w:pPr>
              <w:pStyle w:val="16"/>
              <w:shd w:val="clear" w:color="auto" w:fill="FFFFFF"/>
              <w:spacing w:before="0" w:beforeAutospacing="0" w:after="0" w:afterAutospacing="0" w:line="360" w:lineRule="auto"/>
              <w:rPr>
                <w:rFonts w:hint="eastAsia" w:ascii="仿宋" w:hAnsi="仿宋" w:eastAsia="仿宋" w:cs="仿宋"/>
                <w:b w:val="0"/>
                <w:bCs/>
                <w:color w:val="auto"/>
                <w:highlight w:val="none"/>
                <w:lang w:val="en-US" w:eastAsia="zh-CN"/>
              </w:rPr>
            </w:pPr>
            <w:r>
              <w:rPr>
                <w:rFonts w:hint="eastAsia" w:ascii="仿宋" w:hAnsi="仿宋" w:eastAsia="仿宋" w:cs="仿宋"/>
                <w:color w:val="auto"/>
                <w:sz w:val="24"/>
                <w:highlight w:val="none"/>
                <w:lang w:eastAsia="zh-CN"/>
              </w:rPr>
              <w:t>质量要求：</w:t>
            </w:r>
            <w:r>
              <w:rPr>
                <w:rFonts w:hint="eastAsia" w:ascii="仿宋" w:hAnsi="仿宋" w:eastAsia="仿宋" w:cs="仿宋"/>
                <w:color w:val="auto"/>
                <w:sz w:val="24"/>
                <w:highlight w:val="none"/>
                <w:lang w:val="en-US" w:eastAsia="zh-CN"/>
              </w:rPr>
              <w:t>符合国家标准及相关部门标准的要求</w:t>
            </w:r>
            <w:r>
              <w:rPr>
                <w:rFonts w:hint="eastAsia" w:ascii="仿宋" w:hAnsi="仿宋" w:eastAsia="仿宋" w:cs="仿宋"/>
                <w:b w:val="0"/>
                <w:bCs/>
                <w:color w:val="auto"/>
                <w:highlight w:val="none"/>
                <w:lang w:val="en-US" w:eastAsia="zh-CN"/>
              </w:rPr>
              <w:t>；</w:t>
            </w:r>
          </w:p>
          <w:p>
            <w:pPr>
              <w:pStyle w:val="16"/>
              <w:shd w:val="clear" w:color="auto" w:fill="FFFFFF"/>
              <w:spacing w:before="0" w:beforeAutospacing="0" w:after="0" w:afterAutospacing="0" w:line="360" w:lineRule="auto"/>
              <w:rPr>
                <w:rFonts w:hint="eastAsia" w:ascii="仿宋" w:hAnsi="仿宋" w:eastAsia="仿宋" w:cs="仿宋"/>
                <w:b/>
                <w:color w:val="auto"/>
                <w:highlight w:val="none"/>
                <w:lang w:val="en-US" w:eastAsia="zh-CN"/>
              </w:rPr>
            </w:pPr>
            <w:r>
              <w:rPr>
                <w:rFonts w:hint="eastAsia" w:ascii="仿宋" w:hAnsi="仿宋" w:eastAsia="仿宋" w:cs="仿宋"/>
                <w:color w:val="auto"/>
                <w:sz w:val="24"/>
                <w:highlight w:val="none"/>
                <w:lang w:val="en-US" w:eastAsia="zh-CN"/>
              </w:rPr>
              <w:t>质保期：一年免费质保，</w:t>
            </w:r>
            <w:r>
              <w:rPr>
                <w:rFonts w:hint="eastAsia" w:ascii="仿宋" w:hAnsi="仿宋" w:eastAsia="仿宋" w:cs="仿宋"/>
                <w:color w:val="auto"/>
                <w:sz w:val="24"/>
                <w:highlight w:val="none"/>
              </w:rPr>
              <w:t>主要设备终身维护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并提供免费上门服务；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630"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交付期限（合同履行期限）</w:t>
            </w:r>
          </w:p>
        </w:tc>
        <w:tc>
          <w:tcPr>
            <w:tcW w:w="7256" w:type="dxa"/>
            <w:noWrap w:val="0"/>
            <w:vAlign w:val="center"/>
          </w:tcPr>
          <w:p>
            <w:pPr>
              <w:pStyle w:val="16"/>
              <w:shd w:val="clear" w:color="auto" w:fill="FFFFFF"/>
              <w:spacing w:before="0" w:beforeAutospacing="0" w:after="0" w:afterAutospacing="0" w:line="360" w:lineRule="auto"/>
              <w:jc w:val="both"/>
              <w:rPr>
                <w:rFonts w:hint="eastAsia" w:ascii="仿宋" w:hAnsi="仿宋" w:eastAsia="仿宋" w:cs="仿宋"/>
                <w:b w:val="0"/>
                <w:bCs/>
                <w:color w:val="auto"/>
                <w:highlight w:val="none"/>
                <w:lang w:eastAsia="zh-CN"/>
              </w:rPr>
            </w:pPr>
            <w:r>
              <w:rPr>
                <w:rFonts w:hint="eastAsia" w:ascii="仿宋" w:hAnsi="仿宋" w:eastAsia="仿宋" w:cs="仿宋"/>
                <w:b w:val="0"/>
                <w:bCs/>
                <w:color w:val="auto"/>
                <w:highlight w:val="none"/>
                <w:lang w:eastAsia="zh-CN"/>
              </w:rPr>
              <w:t>自合同签订之日起</w:t>
            </w:r>
            <w:r>
              <w:rPr>
                <w:rFonts w:hint="eastAsia" w:ascii="仿宋" w:hAnsi="仿宋" w:eastAsia="仿宋" w:cs="仿宋"/>
                <w:b w:val="0"/>
                <w:bCs/>
                <w:color w:val="auto"/>
                <w:highlight w:val="none"/>
                <w:lang w:val="en-US" w:eastAsia="zh-CN"/>
              </w:rPr>
              <w:t>9</w:t>
            </w:r>
            <w:r>
              <w:rPr>
                <w:rFonts w:hint="eastAsia" w:ascii="仿宋" w:hAnsi="仿宋" w:eastAsia="仿宋" w:cs="仿宋"/>
                <w:b w:val="0"/>
                <w:bCs/>
                <w:color w:val="auto"/>
                <w:highlight w:val="none"/>
                <w:lang w:eastAsia="zh-CN"/>
              </w:rPr>
              <w:t>0 个工作日</w:t>
            </w:r>
            <w:r>
              <w:rPr>
                <w:rFonts w:hint="eastAsia" w:ascii="仿宋" w:hAnsi="仿宋" w:eastAsia="仿宋" w:cs="仿宋"/>
                <w:b w:val="0"/>
                <w:bCs/>
                <w:color w:val="auto"/>
                <w:highlight w:val="none"/>
                <w:lang w:val="en-US" w:eastAsia="zh-CN"/>
              </w:rPr>
              <w:t>内完成运输、安装、调试，并配合招标人完成验收工作，保证正常投入使用</w:t>
            </w:r>
            <w:r>
              <w:rPr>
                <w:rFonts w:hint="eastAsia" w:ascii="仿宋" w:hAnsi="仿宋" w:eastAsia="仿宋" w:cs="仿宋"/>
                <w:b w:val="0"/>
                <w:bCs/>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630" w:type="dxa"/>
            <w:noWrap w:val="0"/>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货款支付办法</w:t>
            </w:r>
          </w:p>
        </w:tc>
        <w:tc>
          <w:tcPr>
            <w:tcW w:w="7256" w:type="dxa"/>
            <w:noWrap w:val="0"/>
            <w:vAlign w:val="center"/>
          </w:tcPr>
          <w:p>
            <w:pPr>
              <w:numPr>
                <w:ilvl w:val="0"/>
                <w:numId w:val="0"/>
              </w:numPr>
              <w:spacing w:line="360" w:lineRule="exact"/>
              <w:ind w:right="0" w:rightChars="0"/>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验收合格后，支付合同总价款的 90%， 其他 10%款项作为质保金，一年后无任何质量问题予以支付。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1630"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发生故障响应时间</w:t>
            </w:r>
          </w:p>
        </w:tc>
        <w:tc>
          <w:tcPr>
            <w:tcW w:w="7256" w:type="dxa"/>
            <w:noWrap w:val="0"/>
            <w:vAlign w:val="center"/>
          </w:tcPr>
          <w:p>
            <w:pPr>
              <w:numPr>
                <w:ilvl w:val="0"/>
                <w:numId w:val="0"/>
              </w:numPr>
              <w:spacing w:line="360" w:lineRule="auto"/>
              <w:ind w:right="0" w:rightChars="0"/>
              <w:rPr>
                <w:rFonts w:hint="eastAsia" w:ascii="仿宋" w:hAnsi="仿宋" w:eastAsia="仿宋" w:cs="仿宋"/>
                <w:color w:val="auto"/>
                <w:highlight w:val="none"/>
                <w:lang w:val="en-US"/>
              </w:rPr>
            </w:pPr>
            <w:r>
              <w:rPr>
                <w:rFonts w:hint="eastAsia" w:ascii="仿宋" w:hAnsi="仿宋" w:eastAsia="仿宋" w:cs="仿宋"/>
                <w:color w:val="auto"/>
                <w:sz w:val="24"/>
                <w:highlight w:val="none"/>
                <w:lang w:eastAsia="zh-CN" w:bidi="ar"/>
              </w:rPr>
              <w:t>设备</w:t>
            </w:r>
            <w:r>
              <w:rPr>
                <w:rFonts w:hint="eastAsia" w:ascii="仿宋" w:hAnsi="仿宋" w:eastAsia="仿宋" w:cs="仿宋"/>
                <w:color w:val="auto"/>
                <w:sz w:val="24"/>
                <w:highlight w:val="none"/>
                <w:lang w:bidi="ar"/>
              </w:rPr>
              <w:t>在出现问题时，接到甲方通知后，要保证</w:t>
            </w:r>
            <w:r>
              <w:rPr>
                <w:rFonts w:hint="eastAsia" w:ascii="仿宋" w:hAnsi="仿宋" w:eastAsia="仿宋" w:cs="仿宋"/>
                <w:color w:val="auto"/>
                <w:sz w:val="24"/>
                <w:highlight w:val="none"/>
                <w:lang w:val="en-US" w:eastAsia="zh-CN" w:bidi="ar"/>
              </w:rPr>
              <w:t>24</w:t>
            </w:r>
            <w:r>
              <w:rPr>
                <w:rFonts w:hint="eastAsia" w:ascii="仿宋" w:hAnsi="仿宋" w:eastAsia="仿宋" w:cs="仿宋"/>
                <w:color w:val="auto"/>
                <w:sz w:val="24"/>
                <w:highlight w:val="none"/>
                <w:lang w:bidi="ar"/>
              </w:rPr>
              <w:t>小时内到位维修或更换。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630" w:type="dxa"/>
            <w:noWrap w:val="0"/>
            <w:vAlign w:val="center"/>
          </w:tcPr>
          <w:p>
            <w:pPr>
              <w:overflowPunct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交付地址</w:t>
            </w:r>
          </w:p>
        </w:tc>
        <w:tc>
          <w:tcPr>
            <w:tcW w:w="7256" w:type="dxa"/>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新疆工程学院</w:t>
            </w:r>
            <w:r>
              <w:rPr>
                <w:rFonts w:hint="eastAsia" w:ascii="仿宋" w:hAnsi="仿宋" w:eastAsia="仿宋" w:cs="仿宋"/>
                <w:color w:val="auto"/>
                <w:sz w:val="24"/>
                <w:highlight w:val="none"/>
                <w:lang w:val="en-US" w:eastAsia="zh-CN"/>
              </w:rPr>
              <w:t>能源工程</w:t>
            </w:r>
            <w:r>
              <w:rPr>
                <w:rFonts w:hint="eastAsia" w:ascii="仿宋" w:hAnsi="仿宋" w:eastAsia="仿宋" w:cs="仿宋"/>
                <w:color w:val="auto"/>
                <w:sz w:val="24"/>
                <w:highlight w:val="none"/>
              </w:rPr>
              <w:t>学院实验中心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630" w:type="dxa"/>
            <w:noWrap w:val="0"/>
            <w:vAlign w:val="center"/>
          </w:tcPr>
          <w:p>
            <w:pPr>
              <w:overflowPunct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售后服务要求</w:t>
            </w:r>
          </w:p>
        </w:tc>
        <w:tc>
          <w:tcPr>
            <w:tcW w:w="7256" w:type="dxa"/>
            <w:noWrap w:val="0"/>
            <w:vAlign w:val="center"/>
          </w:tcPr>
          <w:p>
            <w:pPr>
              <w:numPr>
                <w:ilvl w:val="0"/>
                <w:numId w:val="5"/>
              </w:num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产品质保期厂家免费维护，免费维护期为 1 年，主要设备终身维护，过质保期后维护只收取材料费</w:t>
            </w:r>
            <w:r>
              <w:rPr>
                <w:rFonts w:hint="eastAsia" w:ascii="仿宋" w:hAnsi="仿宋" w:eastAsia="仿宋" w:cs="仿宋"/>
                <w:color w:val="auto"/>
                <w:sz w:val="24"/>
                <w:highlight w:val="none"/>
                <w:lang w:eastAsia="zh-CN"/>
              </w:rPr>
              <w:t>。</w:t>
            </w:r>
          </w:p>
          <w:p>
            <w:pPr>
              <w:pStyle w:val="2"/>
              <w:rPr>
                <w:rFonts w:hint="eastAsia" w:ascii="仿宋" w:hAnsi="仿宋" w:eastAsia="仿宋" w:cs="仿宋"/>
                <w:color w:val="auto"/>
                <w:sz w:val="24"/>
                <w:highlight w:val="none"/>
                <w:lang w:eastAsia="zh-CN"/>
              </w:rPr>
            </w:pPr>
          </w:p>
          <w:p>
            <w:pPr>
              <w:rPr>
                <w:rFonts w:hint="eastAsia" w:ascii="仿宋" w:hAnsi="仿宋" w:eastAsia="仿宋" w:cs="仿宋"/>
                <w:color w:val="auto"/>
                <w:sz w:val="24"/>
                <w:highlight w:val="none"/>
                <w:lang w:eastAsia="zh-CN"/>
              </w:rPr>
            </w:pPr>
          </w:p>
          <w:p>
            <w:pPr>
              <w:pStyle w:val="2"/>
              <w:rPr>
                <w:rFonts w:hint="eastAsia"/>
                <w:highlight w:val="none"/>
                <w:lang w:eastAsia="zh-CN"/>
              </w:rPr>
            </w:pPr>
          </w:p>
          <w:p>
            <w:pPr>
              <w:pStyle w:val="2"/>
              <w:rPr>
                <w:rFonts w:hint="eastAsia"/>
                <w:highlight w:val="none"/>
                <w:lang w:eastAsia="zh-CN"/>
              </w:rPr>
            </w:pPr>
          </w:p>
          <w:p>
            <w:pPr>
              <w:pStyle w:val="2"/>
              <w:rPr>
                <w:rFonts w:hint="eastAsia"/>
                <w:highlight w:val="none"/>
                <w:lang w:eastAsia="zh-CN"/>
              </w:rPr>
            </w:pPr>
          </w:p>
          <w:p>
            <w:pPr>
              <w:pStyle w:val="2"/>
              <w:numPr>
                <w:ilvl w:val="0"/>
                <w:numId w:val="5"/>
              </w:numPr>
              <w:rPr>
                <w:rFonts w:hint="eastAsia"/>
                <w:highlight w:val="none"/>
                <w:lang w:eastAsia="zh-CN"/>
              </w:rPr>
            </w:pPr>
          </w:p>
          <w:p>
            <w:pPr>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630" w:type="dxa"/>
            <w:noWrap w:val="0"/>
            <w:vAlign w:val="center"/>
          </w:tcPr>
          <w:p>
            <w:pPr>
              <w:spacing w:line="360" w:lineRule="auto"/>
              <w:jc w:val="center"/>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lang w:eastAsia="zh-CN"/>
              </w:rPr>
              <w:t>货物质量验收办法</w:t>
            </w:r>
          </w:p>
        </w:tc>
        <w:tc>
          <w:tcPr>
            <w:tcW w:w="7256" w:type="dxa"/>
            <w:noWrap w:val="0"/>
            <w:vAlign w:val="center"/>
          </w:tcPr>
          <w:p>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val="en-US" w:eastAsia="zh-CN"/>
              </w:rPr>
              <w:t>货物安装调试完成，正常使用，符合技术参数要求，招标人统一组织验收</w:t>
            </w:r>
            <w:r>
              <w:rPr>
                <w:rFonts w:hint="eastAsia" w:ascii="仿宋" w:hAnsi="仿宋" w:eastAsia="仿宋" w:cs="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630" w:type="dxa"/>
            <w:noWrap w:val="0"/>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招</w:t>
            </w:r>
            <w:r>
              <w:rPr>
                <w:rFonts w:hint="eastAsia" w:ascii="仿宋" w:hAnsi="仿宋" w:eastAsia="仿宋" w:cs="仿宋"/>
                <w:color w:val="auto"/>
                <w:sz w:val="24"/>
                <w:highlight w:val="none"/>
                <w:lang w:eastAsia="zh-CN"/>
              </w:rPr>
              <w:t>标有效期</w:t>
            </w:r>
          </w:p>
        </w:tc>
        <w:tc>
          <w:tcPr>
            <w:tcW w:w="7256" w:type="dxa"/>
            <w:noWrap w:val="0"/>
            <w:vAlign w:val="center"/>
          </w:tcPr>
          <w:p>
            <w:pPr>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lang w:eastAsia="zh-CN"/>
              </w:rPr>
              <w:t>自</w:t>
            </w:r>
            <w:r>
              <w:rPr>
                <w:rFonts w:hint="eastAsia" w:ascii="仿宋" w:hAnsi="仿宋" w:eastAsia="仿宋" w:cs="仿宋"/>
                <w:color w:val="auto"/>
                <w:sz w:val="24"/>
                <w:highlight w:val="none"/>
              </w:rPr>
              <w:t>投标截止之日算起</w:t>
            </w:r>
            <w:r>
              <w:rPr>
                <w:rFonts w:hint="eastAsia" w:ascii="仿宋" w:hAnsi="仿宋" w:eastAsia="仿宋" w:cs="仿宋"/>
                <w:color w:val="auto"/>
                <w:sz w:val="24"/>
                <w:highlight w:val="none"/>
                <w:lang w:val="en-US" w:eastAsia="zh-CN"/>
              </w:rPr>
              <w:t>90日历日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630" w:type="dxa"/>
            <w:noWrap w:val="0"/>
            <w:vAlign w:val="center"/>
          </w:tcPr>
          <w:p>
            <w:pPr>
              <w:spacing w:line="360"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评标办法</w:t>
            </w:r>
          </w:p>
        </w:tc>
        <w:tc>
          <w:tcPr>
            <w:tcW w:w="7256" w:type="dxa"/>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630"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资格要求</w:t>
            </w:r>
          </w:p>
          <w:p>
            <w:pPr>
              <w:spacing w:line="360" w:lineRule="auto"/>
              <w:ind w:left="0" w:leftChars="0" w:right="0" w:rightChars="0"/>
              <w:jc w:val="center"/>
              <w:rPr>
                <w:rFonts w:hint="eastAsia" w:ascii="仿宋" w:hAnsi="仿宋" w:eastAsia="仿宋" w:cs="仿宋"/>
                <w:bCs/>
                <w:color w:val="auto"/>
                <w:sz w:val="24"/>
                <w:highlight w:val="none"/>
                <w:lang w:eastAsia="zh-CN"/>
              </w:rPr>
            </w:pPr>
          </w:p>
        </w:tc>
        <w:tc>
          <w:tcPr>
            <w:tcW w:w="7256" w:type="dxa"/>
            <w:noWrap w:val="0"/>
            <w:vAlign w:val="center"/>
          </w:tcPr>
          <w:p>
            <w:pPr>
              <w:spacing w:line="360" w:lineRule="auto"/>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w:t>
            </w:r>
          </w:p>
          <w:p>
            <w:pPr>
              <w:spacing w:line="360" w:lineRule="auto"/>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w:t>
            </w:r>
          </w:p>
          <w:p>
            <w:pPr>
              <w:spacing w:line="360" w:lineRule="auto"/>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《政府采购促进中小企业发展暂行办法》（财库[2020]46号）；</w:t>
            </w:r>
          </w:p>
          <w:p>
            <w:pPr>
              <w:spacing w:line="360" w:lineRule="auto"/>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《财政部、司法部关于政府采购支持监狱企业发展有关问题的通知》（财库〔2014〕68号）；</w:t>
            </w:r>
          </w:p>
          <w:p>
            <w:pPr>
              <w:spacing w:line="360" w:lineRule="auto"/>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（3）《财政部 民政部中国残疾人联合会关于促进残疾人就业政府采购政策的通知》财库〔2017〕141号。</w:t>
            </w:r>
          </w:p>
          <w:p>
            <w:pPr>
              <w:spacing w:line="360" w:lineRule="auto"/>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p>
          <w:p>
            <w:pPr>
              <w:spacing w:line="360" w:lineRule="auto"/>
              <w:ind w:left="0" w:leftChars="0" w:right="0" w:righ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（1）在中华人民共和国境内注册，有能力提供本项目全部货物及服务能力的投标人；</w:t>
            </w:r>
          </w:p>
          <w:p>
            <w:pPr>
              <w:spacing w:line="360" w:lineRule="auto"/>
              <w:ind w:left="0" w:leftChars="0" w:right="0" w:righ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（2）投标人须具有经年审合格（三证合一）的《营业执照》（如证件处于年审阶段，投标人应提供年审受理回执复印件，并承诺中标签订合同时提供通过年审的证件）；</w:t>
            </w:r>
          </w:p>
          <w:p>
            <w:pPr>
              <w:spacing w:line="360" w:lineRule="auto"/>
              <w:ind w:left="0" w:leftChars="0" w:right="0" w:righ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（3）法定代表人投标需携带法定代表人证明书（原件）及法定代表人身份证（原件）；委托代理人投标需携带法定代表人授权委托书（原件）及委托代理人身份证（原件）;</w:t>
            </w:r>
          </w:p>
          <w:p>
            <w:pPr>
              <w:spacing w:line="360" w:lineRule="auto"/>
              <w:ind w:left="0" w:leftChars="0" w:right="0" w:righ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（4）凡拟参加本次招标项目的投标人，近三年内（本项目投标截止期前）存在下述条件中的任意一项将拒绝其参加本次采购活动：</w:t>
            </w:r>
          </w:p>
          <w:p>
            <w:pPr>
              <w:spacing w:line="360" w:lineRule="auto"/>
              <w:ind w:left="0" w:leftChars="0" w:right="0" w:righ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信用中国网（www.creditchina.gov.cn）”被列入失信被执行人、税收违法黑名单、政府采购严重违法失信名单（尚在处罚期内的）；（网站主页点击“信用服务”选取被列入失信被执行人名单、税收违法黑名单、政府采购不良行为记录名单，进行查询；）</w:t>
            </w:r>
          </w:p>
          <w:p>
            <w:pPr>
              <w:spacing w:line="360" w:lineRule="auto"/>
              <w:ind w:left="0" w:leftChars="0" w:right="0" w:righ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2）“中国政府采购网（www.ccgp.gov.cn）”被列入政府采购严重违法失信行为记录名单的（尚在处罚期内的）；（网站主页点击“政府采购严重违法失信行为记录名单”，进行查询；）</w:t>
            </w:r>
          </w:p>
          <w:p>
            <w:pPr>
              <w:spacing w:line="360" w:lineRule="auto"/>
              <w:ind w:left="0" w:leftChars="0" w:right="0" w:right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中国裁判文书网（http://wenshu.court.gov.cn/）”有行贿受贿犯罪记录(尚在处罚期内)；（网站主页点击“高级检索-案由-刑事案件-贪污贿赂-行贿，查询单位、法定代表人（查询时先输入单位点击搜索后输入法定代表人”，进行查询）</w:t>
            </w:r>
          </w:p>
          <w:p>
            <w:pPr>
              <w:spacing w:line="360" w:lineRule="auto"/>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（5）企业负责人为同一人或者存在直接控股、管理关系的不同供应商，不得参加同一合同项下的政府采购活动，否则取消其投标资格；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1630" w:type="dxa"/>
            <w:noWrap w:val="0"/>
            <w:vAlign w:val="center"/>
          </w:tcPr>
          <w:p>
            <w:pPr>
              <w:spacing w:line="360"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是否接受联合体投标</w:t>
            </w:r>
          </w:p>
        </w:tc>
        <w:tc>
          <w:tcPr>
            <w:tcW w:w="7256" w:type="dxa"/>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1630" w:type="dxa"/>
            <w:noWrap w:val="0"/>
            <w:vAlign w:val="center"/>
          </w:tcPr>
          <w:p>
            <w:pPr>
              <w:spacing w:line="360" w:lineRule="auto"/>
              <w:ind w:left="0" w:leftChars="0" w:right="0" w:rightChars="0"/>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澄清及答疑</w:t>
            </w:r>
          </w:p>
        </w:tc>
        <w:tc>
          <w:tcPr>
            <w:tcW w:w="7256" w:type="dxa"/>
            <w:noWrap w:val="0"/>
            <w:vAlign w:val="center"/>
          </w:tcPr>
          <w:p>
            <w:pPr>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对招标文件有疑问、要求澄清的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，在投标截止时间15日前，将要求澄清的问题以书面形式送至招标代理机构。</w:t>
            </w:r>
            <w:r>
              <w:rPr>
                <w:rFonts w:hint="eastAsia" w:ascii="仿宋" w:hAnsi="仿宋" w:eastAsia="仿宋" w:cs="仿宋"/>
                <w:bCs/>
                <w:color w:val="auto"/>
                <w:sz w:val="24"/>
                <w:highlight w:val="none"/>
                <w:lang w:eastAsia="zh-CN"/>
              </w:rPr>
              <w:t>招标人</w:t>
            </w:r>
            <w:r>
              <w:rPr>
                <w:rFonts w:hint="eastAsia" w:ascii="仿宋" w:hAnsi="仿宋" w:eastAsia="仿宋" w:cs="仿宋"/>
                <w:bCs/>
                <w:color w:val="auto"/>
                <w:sz w:val="24"/>
                <w:highlight w:val="none"/>
              </w:rPr>
              <w:t>或招标代理机构自收到异议之日起3日内作出答复。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2"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p>
        </w:tc>
        <w:tc>
          <w:tcPr>
            <w:tcW w:w="1630"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投标保证金汇款开户行及账户</w:t>
            </w:r>
          </w:p>
        </w:tc>
        <w:tc>
          <w:tcPr>
            <w:tcW w:w="7256" w:type="dxa"/>
            <w:noWrap w:val="0"/>
            <w:vAlign w:val="center"/>
          </w:tcPr>
          <w:p>
            <w:pPr>
              <w:pStyle w:val="22"/>
              <w:spacing w:line="360" w:lineRule="auto"/>
              <w:ind w:firstLine="0" w:firstLineChars="0"/>
              <w:rPr>
                <w:rFonts w:hint="eastAsia" w:ascii="仿宋" w:hAnsi="仿宋" w:eastAsia="仿宋" w:cs="仿宋"/>
                <w:color w:val="auto"/>
                <w:sz w:val="24"/>
                <w:szCs w:val="22"/>
                <w:highlight w:val="none"/>
                <w:lang w:val="zh-CN" w:eastAsia="zh-CN" w:bidi="zh-CN"/>
              </w:rPr>
            </w:pPr>
            <w:r>
              <w:rPr>
                <w:rFonts w:hint="eastAsia" w:ascii="仿宋" w:hAnsi="仿宋" w:eastAsia="仿宋" w:cs="仿宋"/>
                <w:color w:val="auto"/>
                <w:sz w:val="24"/>
                <w:szCs w:val="22"/>
                <w:highlight w:val="none"/>
                <w:lang w:val="zh-CN" w:eastAsia="zh-CN" w:bidi="zh-CN"/>
              </w:rPr>
              <w:t>保证金金额：小写：</w:t>
            </w:r>
            <w:r>
              <w:rPr>
                <w:rFonts w:hint="eastAsia" w:ascii="仿宋" w:hAnsi="仿宋" w:eastAsia="仿宋" w:cs="仿宋"/>
                <w:color w:val="auto"/>
                <w:sz w:val="24"/>
                <w:szCs w:val="22"/>
                <w:highlight w:val="none"/>
                <w:lang w:val="en-US" w:eastAsia="zh-CN" w:bidi="zh-CN"/>
              </w:rPr>
              <w:t>20000.00元</w:t>
            </w:r>
            <w:r>
              <w:rPr>
                <w:rFonts w:hint="eastAsia" w:ascii="仿宋" w:hAnsi="仿宋" w:eastAsia="仿宋" w:cs="仿宋"/>
                <w:color w:val="auto"/>
                <w:sz w:val="24"/>
                <w:szCs w:val="22"/>
                <w:highlight w:val="none"/>
                <w:lang w:val="zh-CN" w:eastAsia="zh-CN" w:bidi="zh-CN"/>
              </w:rPr>
              <w:t>(大写；</w:t>
            </w:r>
            <w:r>
              <w:rPr>
                <w:rFonts w:hint="eastAsia" w:ascii="仿宋" w:hAnsi="仿宋" w:eastAsia="仿宋" w:cs="仿宋"/>
                <w:color w:val="auto"/>
                <w:sz w:val="24"/>
                <w:szCs w:val="22"/>
                <w:highlight w:val="none"/>
                <w:lang w:val="en-US" w:eastAsia="zh-CN" w:bidi="zh-CN"/>
              </w:rPr>
              <w:t>贰万元整</w:t>
            </w:r>
            <w:r>
              <w:rPr>
                <w:rFonts w:hint="eastAsia" w:ascii="仿宋" w:hAnsi="仿宋" w:eastAsia="仿宋" w:cs="仿宋"/>
                <w:color w:val="auto"/>
                <w:sz w:val="24"/>
                <w:szCs w:val="22"/>
                <w:highlight w:val="none"/>
                <w:lang w:val="zh-CN" w:eastAsia="zh-CN" w:bidi="zh-CN"/>
              </w:rPr>
              <w:t>）；</w:t>
            </w:r>
          </w:p>
          <w:p>
            <w:pPr>
              <w:pStyle w:val="22"/>
              <w:spacing w:line="360" w:lineRule="auto"/>
              <w:ind w:firstLine="0" w:firstLineChars="0"/>
              <w:rPr>
                <w:rFonts w:hint="eastAsia" w:ascii="仿宋" w:hAnsi="仿宋" w:eastAsia="仿宋" w:cs="仿宋"/>
                <w:color w:val="auto"/>
                <w:sz w:val="24"/>
                <w:szCs w:val="22"/>
                <w:highlight w:val="none"/>
                <w:lang w:val="zh-CN" w:eastAsia="zh-CN" w:bidi="zh-CN"/>
              </w:rPr>
            </w:pPr>
            <w:r>
              <w:rPr>
                <w:rFonts w:hint="eastAsia" w:ascii="仿宋" w:hAnsi="仿宋" w:eastAsia="仿宋" w:cs="仿宋"/>
                <w:color w:val="auto"/>
                <w:sz w:val="24"/>
                <w:szCs w:val="22"/>
                <w:highlight w:val="none"/>
                <w:lang w:val="zh-CN" w:eastAsia="zh-CN" w:bidi="zh-CN"/>
              </w:rPr>
              <w:t>标保证金缴纳方式：银行电汇或网银；</w:t>
            </w:r>
          </w:p>
          <w:p>
            <w:pPr>
              <w:pStyle w:val="22"/>
              <w:spacing w:line="360" w:lineRule="auto"/>
              <w:ind w:firstLine="0" w:firstLineChars="0"/>
              <w:rPr>
                <w:rFonts w:hint="eastAsia" w:ascii="仿宋" w:hAnsi="仿宋" w:eastAsia="仿宋" w:cs="仿宋"/>
                <w:color w:val="auto"/>
                <w:sz w:val="24"/>
                <w:szCs w:val="22"/>
                <w:highlight w:val="none"/>
                <w:lang w:val="zh-CN" w:eastAsia="zh-CN" w:bidi="zh-CN"/>
              </w:rPr>
            </w:pPr>
            <w:r>
              <w:rPr>
                <w:rFonts w:hint="eastAsia" w:ascii="仿宋" w:hAnsi="仿宋" w:eastAsia="仿宋" w:cs="仿宋"/>
                <w:color w:val="auto"/>
                <w:sz w:val="24"/>
                <w:szCs w:val="22"/>
                <w:highlight w:val="none"/>
                <w:lang w:val="zh-CN" w:eastAsia="zh-CN" w:bidi="zh-CN"/>
              </w:rPr>
              <w:t>投标保证金形式：投标保证金在投标截止时间之前以公司的基本账户一次性汇入招标代理机构指定账户（以到帐时间为准，逾期无效），不接受现金、支票、分（子）公司及任何个人汇款；</w:t>
            </w:r>
          </w:p>
          <w:p>
            <w:pPr>
              <w:pStyle w:val="22"/>
              <w:spacing w:line="360" w:lineRule="auto"/>
              <w:ind w:firstLine="0" w:firstLineChars="0"/>
              <w:rPr>
                <w:rFonts w:hint="eastAsia" w:ascii="仿宋" w:hAnsi="仿宋" w:eastAsia="仿宋" w:cs="仿宋"/>
                <w:color w:val="auto"/>
                <w:sz w:val="24"/>
                <w:szCs w:val="22"/>
                <w:highlight w:val="none"/>
                <w:lang w:val="zh-CN" w:eastAsia="zh-CN" w:bidi="zh-CN"/>
              </w:rPr>
            </w:pPr>
            <w:r>
              <w:rPr>
                <w:rFonts w:hint="eastAsia" w:ascii="仿宋" w:hAnsi="仿宋" w:eastAsia="仿宋" w:cs="仿宋"/>
                <w:color w:val="auto"/>
                <w:sz w:val="24"/>
                <w:szCs w:val="22"/>
                <w:highlight w:val="none"/>
                <w:lang w:val="zh-CN" w:eastAsia="zh-CN" w:bidi="zh-CN"/>
              </w:rPr>
              <w:t>备注：汇款时请备注项目简称及汇款事由“投标保证金”</w:t>
            </w:r>
          </w:p>
          <w:p>
            <w:pPr>
              <w:pStyle w:val="22"/>
              <w:spacing w:line="360" w:lineRule="auto"/>
              <w:ind w:firstLine="0" w:firstLineChars="0"/>
              <w:rPr>
                <w:rFonts w:hint="eastAsia" w:ascii="仿宋" w:hAnsi="仿宋" w:eastAsia="仿宋" w:cs="仿宋"/>
                <w:color w:val="auto"/>
                <w:sz w:val="24"/>
                <w:szCs w:val="22"/>
                <w:highlight w:val="none"/>
                <w:lang w:val="zh-CN" w:eastAsia="zh-CN" w:bidi="zh-CN"/>
              </w:rPr>
            </w:pPr>
            <w:r>
              <w:rPr>
                <w:rFonts w:hint="eastAsia" w:ascii="仿宋" w:hAnsi="仿宋" w:eastAsia="仿宋" w:cs="仿宋"/>
                <w:color w:val="auto"/>
                <w:sz w:val="24"/>
                <w:szCs w:val="22"/>
                <w:highlight w:val="none"/>
                <w:lang w:val="zh-CN" w:eastAsia="zh-CN" w:bidi="zh-CN"/>
              </w:rPr>
              <w:t>银行信息：</w:t>
            </w:r>
          </w:p>
          <w:p>
            <w:pPr>
              <w:pStyle w:val="22"/>
              <w:spacing w:line="360" w:lineRule="auto"/>
              <w:ind w:firstLine="0" w:firstLineChars="0"/>
              <w:rPr>
                <w:rFonts w:hint="eastAsia" w:ascii="仿宋" w:hAnsi="仿宋" w:eastAsia="仿宋" w:cs="仿宋"/>
                <w:color w:val="auto"/>
                <w:sz w:val="24"/>
                <w:szCs w:val="22"/>
                <w:highlight w:val="none"/>
                <w:lang w:val="zh-CN" w:eastAsia="zh-CN" w:bidi="zh-CN"/>
              </w:rPr>
            </w:pPr>
            <w:r>
              <w:rPr>
                <w:rFonts w:hint="eastAsia" w:ascii="仿宋" w:hAnsi="仿宋" w:eastAsia="仿宋" w:cs="仿宋"/>
                <w:color w:val="auto"/>
                <w:sz w:val="24"/>
                <w:szCs w:val="22"/>
                <w:highlight w:val="none"/>
                <w:lang w:val="zh-CN" w:eastAsia="zh-CN" w:bidi="zh-CN"/>
              </w:rPr>
              <w:t>账</w:t>
            </w:r>
            <w:r>
              <w:rPr>
                <w:rFonts w:hint="eastAsia" w:ascii="仿宋" w:hAnsi="仿宋" w:eastAsia="仿宋" w:cs="仿宋"/>
                <w:color w:val="auto"/>
                <w:sz w:val="24"/>
                <w:szCs w:val="22"/>
                <w:highlight w:val="none"/>
                <w:lang w:val="en-US" w:eastAsia="zh-CN" w:bidi="zh-CN"/>
              </w:rPr>
              <w:t xml:space="preserve"> </w:t>
            </w:r>
            <w:r>
              <w:rPr>
                <w:rFonts w:hint="eastAsia" w:ascii="仿宋" w:hAnsi="仿宋" w:eastAsia="仿宋" w:cs="仿宋"/>
                <w:color w:val="auto"/>
                <w:sz w:val="24"/>
                <w:szCs w:val="22"/>
                <w:highlight w:val="none"/>
                <w:lang w:val="zh-CN" w:eastAsia="zh-CN" w:bidi="zh-CN"/>
              </w:rPr>
              <w:t>户</w:t>
            </w:r>
            <w:r>
              <w:rPr>
                <w:rFonts w:hint="eastAsia" w:ascii="仿宋" w:hAnsi="仿宋" w:eastAsia="仿宋" w:cs="仿宋"/>
                <w:color w:val="auto"/>
                <w:sz w:val="24"/>
                <w:szCs w:val="22"/>
                <w:highlight w:val="none"/>
                <w:lang w:val="en-US" w:eastAsia="zh-CN" w:bidi="zh-CN"/>
              </w:rPr>
              <w:t xml:space="preserve"> </w:t>
            </w:r>
            <w:r>
              <w:rPr>
                <w:rFonts w:hint="eastAsia" w:ascii="仿宋" w:hAnsi="仿宋" w:eastAsia="仿宋" w:cs="仿宋"/>
                <w:color w:val="auto"/>
                <w:sz w:val="24"/>
                <w:szCs w:val="22"/>
                <w:highlight w:val="none"/>
                <w:lang w:val="zh-CN" w:eastAsia="zh-CN" w:bidi="zh-CN"/>
              </w:rPr>
              <w:t>名</w:t>
            </w:r>
            <w:r>
              <w:rPr>
                <w:rFonts w:hint="eastAsia" w:ascii="仿宋" w:hAnsi="仿宋" w:eastAsia="仿宋" w:cs="仿宋"/>
                <w:color w:val="auto"/>
                <w:sz w:val="24"/>
                <w:szCs w:val="22"/>
                <w:highlight w:val="none"/>
                <w:lang w:val="en-US" w:eastAsia="zh-CN" w:bidi="zh-CN"/>
              </w:rPr>
              <w:t xml:space="preserve"> </w:t>
            </w:r>
            <w:r>
              <w:rPr>
                <w:rFonts w:hint="eastAsia" w:ascii="仿宋" w:hAnsi="仿宋" w:eastAsia="仿宋" w:cs="仿宋"/>
                <w:color w:val="auto"/>
                <w:sz w:val="24"/>
                <w:szCs w:val="22"/>
                <w:highlight w:val="none"/>
                <w:lang w:val="zh-CN" w:eastAsia="zh-CN" w:bidi="zh-CN"/>
              </w:rPr>
              <w:t>称：新疆新之建工程咨询有限公司</w:t>
            </w:r>
          </w:p>
          <w:p>
            <w:pPr>
              <w:pStyle w:val="22"/>
              <w:spacing w:line="360" w:lineRule="auto"/>
              <w:ind w:firstLine="0" w:firstLineChars="0"/>
              <w:rPr>
                <w:rFonts w:hint="eastAsia" w:ascii="仿宋" w:hAnsi="仿宋" w:eastAsia="仿宋" w:cs="仿宋"/>
                <w:color w:val="auto"/>
                <w:sz w:val="24"/>
                <w:szCs w:val="22"/>
                <w:highlight w:val="none"/>
                <w:lang w:val="zh-CN" w:eastAsia="zh-CN" w:bidi="zh-CN"/>
              </w:rPr>
            </w:pPr>
            <w:r>
              <w:rPr>
                <w:rFonts w:hint="eastAsia" w:ascii="仿宋" w:hAnsi="仿宋" w:eastAsia="仿宋" w:cs="仿宋"/>
                <w:color w:val="auto"/>
                <w:sz w:val="24"/>
                <w:szCs w:val="22"/>
                <w:highlight w:val="none"/>
                <w:lang w:val="zh-CN" w:eastAsia="zh-CN" w:bidi="zh-CN"/>
              </w:rPr>
              <w:t>开户行名称：中国银行乌鲁木齐市青年路支行</w:t>
            </w:r>
          </w:p>
          <w:p>
            <w:pPr>
              <w:pStyle w:val="22"/>
              <w:spacing w:line="360" w:lineRule="auto"/>
              <w:ind w:firstLine="0" w:firstLineChars="0"/>
              <w:rPr>
                <w:rFonts w:hint="eastAsia" w:ascii="仿宋" w:hAnsi="仿宋" w:eastAsia="仿宋" w:cs="仿宋"/>
                <w:color w:val="auto"/>
                <w:sz w:val="24"/>
                <w:szCs w:val="22"/>
                <w:highlight w:val="none"/>
                <w:lang w:val="zh-CN" w:eastAsia="zh-CN" w:bidi="zh-CN"/>
              </w:rPr>
            </w:pPr>
            <w:r>
              <w:rPr>
                <w:rFonts w:hint="eastAsia" w:ascii="仿宋" w:hAnsi="仿宋" w:eastAsia="仿宋" w:cs="仿宋"/>
                <w:color w:val="auto"/>
                <w:sz w:val="24"/>
                <w:szCs w:val="22"/>
                <w:highlight w:val="none"/>
                <w:lang w:val="zh-CN" w:eastAsia="zh-CN" w:bidi="zh-CN"/>
              </w:rPr>
              <w:t>账      号：107673584569</w:t>
            </w:r>
          </w:p>
          <w:p>
            <w:pPr>
              <w:pStyle w:val="22"/>
              <w:spacing w:line="360" w:lineRule="auto"/>
              <w:ind w:firstLine="0" w:firstLineChars="0"/>
              <w:rPr>
                <w:rFonts w:hint="eastAsia" w:ascii="仿宋" w:hAnsi="仿宋" w:eastAsia="仿宋" w:cs="仿宋"/>
                <w:color w:val="auto"/>
                <w:sz w:val="24"/>
                <w:szCs w:val="22"/>
                <w:highlight w:val="none"/>
                <w:lang w:val="zh-CN" w:eastAsia="zh-CN" w:bidi="zh-CN"/>
              </w:rPr>
            </w:pPr>
            <w:r>
              <w:rPr>
                <w:rFonts w:hint="eastAsia" w:ascii="仿宋" w:hAnsi="仿宋" w:eastAsia="仿宋" w:cs="仿宋"/>
                <w:color w:val="auto"/>
                <w:sz w:val="24"/>
                <w:szCs w:val="22"/>
                <w:highlight w:val="none"/>
                <w:lang w:val="zh-CN" w:eastAsia="zh-CN" w:bidi="zh-CN"/>
              </w:rPr>
              <w:t>行      号：104881006022</w:t>
            </w:r>
          </w:p>
          <w:p>
            <w:pPr>
              <w:widowControl/>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注：</w:t>
            </w:r>
            <w:r>
              <w:rPr>
                <w:rFonts w:hint="eastAsia" w:ascii="仿宋" w:hAnsi="仿宋" w:eastAsia="仿宋" w:cs="仿宋"/>
                <w:b/>
                <w:bCs/>
                <w:color w:val="auto"/>
                <w:sz w:val="24"/>
                <w:highlight w:val="none"/>
              </w:rPr>
              <w:t>开标前参与投标的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无需换取保证金收据原件，开标时，</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须提供能够证明投标保证金从其基本账户中转出且已交存的银行回执单。</w:t>
            </w:r>
            <w:r>
              <w:rPr>
                <w:rFonts w:hint="eastAsia" w:ascii="仿宋" w:hAnsi="仿宋" w:eastAsia="仿宋" w:cs="仿宋"/>
                <w:b/>
                <w:bCs/>
                <w:color w:val="auto"/>
                <w:sz w:val="24"/>
                <w:highlight w:val="none"/>
                <w:lang w:val="en-US" w:eastAsia="zh-CN"/>
              </w:rPr>
              <w:t>未按上述规定提交投标保证金的投标文件无效。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2"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p>
        </w:tc>
        <w:tc>
          <w:tcPr>
            <w:tcW w:w="1630"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w:t>
            </w:r>
          </w:p>
        </w:tc>
        <w:tc>
          <w:tcPr>
            <w:tcW w:w="7256" w:type="dxa"/>
            <w:noWrap w:val="0"/>
            <w:vAlign w:val="center"/>
          </w:tcPr>
          <w:p>
            <w:pPr>
              <w:numPr>
                <w:ilvl w:val="0"/>
                <w:numId w:val="0"/>
              </w:numPr>
              <w:spacing w:line="360" w:lineRule="auto"/>
              <w:ind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投标文件份数</w:t>
            </w:r>
            <w:r>
              <w:rPr>
                <w:rFonts w:hint="eastAsia" w:ascii="仿宋" w:hAnsi="仿宋" w:eastAsia="仿宋" w:cs="仿宋"/>
                <w:color w:val="auto"/>
                <w:sz w:val="24"/>
                <w:highlight w:val="none"/>
                <w:lang w:eastAsia="zh-CN"/>
              </w:rPr>
              <w:t>：</w:t>
            </w:r>
          </w:p>
          <w:p>
            <w:pPr>
              <w:numPr>
                <w:ilvl w:val="0"/>
                <w:numId w:val="0"/>
              </w:numPr>
              <w:spacing w:line="360" w:lineRule="auto"/>
              <w:ind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正本1份；副本4份；</w:t>
            </w:r>
          </w:p>
          <w:p>
            <w:pPr>
              <w:numPr>
                <w:ilvl w:val="0"/>
                <w:numId w:val="0"/>
              </w:numPr>
              <w:spacing w:line="360" w:lineRule="auto"/>
              <w:ind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电子版投标文件（U盘）1份单独密封；</w:t>
            </w:r>
          </w:p>
          <w:p>
            <w:pPr>
              <w:numPr>
                <w:ilvl w:val="0"/>
                <w:numId w:val="0"/>
              </w:numPr>
              <w:spacing w:line="360" w:lineRule="auto"/>
              <w:ind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开标一览表1份单独密封；</w:t>
            </w:r>
          </w:p>
          <w:p>
            <w:pPr>
              <w:numPr>
                <w:ilvl w:val="0"/>
                <w:numId w:val="0"/>
              </w:numPr>
              <w:spacing w:line="360" w:lineRule="auto"/>
              <w:ind w:right="0" w:rightChars="0" w:firstLine="241" w:firstLineChars="1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以上资料均应在投标截止时间前按要求密封递交，未按招标文件要求密封或投标截止时间后递交的，不予接收。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必须按招标文件规定制作投标文件，正、副本分别密封在文件袋中。并在封袋上标明“投标文件正</w:t>
            </w:r>
            <w:r>
              <w:rPr>
                <w:rFonts w:hint="eastAsia" w:ascii="仿宋" w:hAnsi="仿宋" w:eastAsia="仿宋" w:cs="仿宋"/>
                <w:color w:val="auto"/>
                <w:sz w:val="24"/>
                <w:highlight w:val="none"/>
                <w:lang w:eastAsia="zh-CN"/>
              </w:rPr>
              <w:t>本</w:t>
            </w:r>
            <w:r>
              <w:rPr>
                <w:rFonts w:hint="eastAsia" w:ascii="仿宋" w:hAnsi="仿宋" w:eastAsia="仿宋" w:cs="仿宋"/>
                <w:color w:val="auto"/>
                <w:sz w:val="24"/>
                <w:highlight w:val="none"/>
              </w:rPr>
              <w:t>”、“投标文件副本”</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电子版投标文件</w:t>
            </w:r>
            <w:r>
              <w:rPr>
                <w:rFonts w:hint="eastAsia" w:ascii="仿宋" w:hAnsi="仿宋" w:eastAsia="仿宋" w:cs="仿宋"/>
                <w:color w:val="auto"/>
                <w:sz w:val="24"/>
                <w:highlight w:val="none"/>
                <w:lang w:eastAsia="zh-CN"/>
              </w:rPr>
              <w:t>”、“开标一览表”</w:t>
            </w:r>
            <w:r>
              <w:rPr>
                <w:rFonts w:hint="eastAsia" w:ascii="仿宋" w:hAnsi="仿宋" w:eastAsia="仿宋" w:cs="仿宋"/>
                <w:color w:val="auto"/>
                <w:sz w:val="24"/>
                <w:highlight w:val="none"/>
              </w:rPr>
              <w:t xml:space="preserve">的字样。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必须制作“电子版投标文件”并单独密封提交，并在信封上标明“电子版投标文件”的字样。不单独提交电子版投标文件，其投标被拒绝。</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必须制作“开标一览表”并单独密封提交，并在信封上标明“开标一览表”的字样。不单独提交开标一览表，其投标被拒绝。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1630"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封袋标注</w:t>
            </w:r>
          </w:p>
        </w:tc>
        <w:tc>
          <w:tcPr>
            <w:tcW w:w="7256" w:type="dxa"/>
            <w:noWrap w:val="0"/>
            <w:vAlign w:val="center"/>
          </w:tcPr>
          <w:p>
            <w:pPr>
              <w:pStyle w:val="24"/>
              <w:spacing w:line="360" w:lineRule="auto"/>
              <w:jc w:val="both"/>
              <w:rPr>
                <w:rFonts w:hint="eastAsia" w:ascii="仿宋" w:hAnsi="仿宋" w:eastAsia="仿宋" w:cs="仿宋"/>
                <w:b/>
                <w:bCs/>
                <w:color w:val="auto"/>
                <w:kern w:val="2"/>
                <w:highlight w:val="none"/>
                <w:lang w:eastAsia="zh-CN"/>
              </w:rPr>
            </w:pPr>
            <w:r>
              <w:rPr>
                <w:rFonts w:hint="eastAsia" w:ascii="仿宋" w:hAnsi="仿宋" w:eastAsia="仿宋" w:cs="仿宋"/>
                <w:color w:val="auto"/>
                <w:highlight w:val="none"/>
              </w:rPr>
              <w:t>投标文件封袋</w:t>
            </w:r>
            <w:r>
              <w:rPr>
                <w:rFonts w:hint="eastAsia" w:ascii="仿宋" w:hAnsi="仿宋" w:eastAsia="仿宋" w:cs="仿宋"/>
                <w:color w:val="auto"/>
                <w:highlight w:val="none"/>
                <w:lang w:eastAsia="zh-CN"/>
              </w:rPr>
              <w:t>，即</w:t>
            </w:r>
            <w:r>
              <w:rPr>
                <w:rFonts w:hint="eastAsia" w:ascii="仿宋" w:hAnsi="仿宋" w:eastAsia="仿宋" w:cs="仿宋"/>
                <w:color w:val="auto"/>
                <w:sz w:val="24"/>
                <w:highlight w:val="none"/>
              </w:rPr>
              <w:t>“投标文件正</w:t>
            </w:r>
            <w:r>
              <w:rPr>
                <w:rFonts w:hint="eastAsia" w:ascii="仿宋" w:hAnsi="仿宋" w:eastAsia="仿宋" w:cs="仿宋"/>
                <w:color w:val="auto"/>
                <w:sz w:val="24"/>
                <w:highlight w:val="none"/>
                <w:lang w:eastAsia="zh-CN"/>
              </w:rPr>
              <w:t>本</w:t>
            </w:r>
            <w:r>
              <w:rPr>
                <w:rFonts w:hint="eastAsia" w:ascii="仿宋" w:hAnsi="仿宋" w:eastAsia="仿宋" w:cs="仿宋"/>
                <w:color w:val="auto"/>
                <w:sz w:val="24"/>
                <w:highlight w:val="none"/>
              </w:rPr>
              <w:t>”、“投标文件副本”</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电子版投标文件</w:t>
            </w:r>
            <w:r>
              <w:rPr>
                <w:rFonts w:hint="eastAsia" w:ascii="仿宋" w:hAnsi="仿宋" w:eastAsia="仿宋" w:cs="仿宋"/>
                <w:color w:val="auto"/>
                <w:sz w:val="24"/>
                <w:highlight w:val="none"/>
                <w:lang w:eastAsia="zh-CN"/>
              </w:rPr>
              <w:t>”、“开标一览表”</w:t>
            </w:r>
            <w:r>
              <w:rPr>
                <w:rFonts w:hint="eastAsia" w:ascii="仿宋" w:hAnsi="仿宋" w:eastAsia="仿宋" w:cs="仿宋"/>
                <w:color w:val="auto"/>
                <w:highlight w:val="none"/>
                <w:lang w:eastAsia="zh-CN"/>
              </w:rPr>
              <w:t>；</w:t>
            </w:r>
            <w:r>
              <w:rPr>
                <w:rFonts w:hint="eastAsia" w:ascii="仿宋" w:hAnsi="仿宋" w:eastAsia="仿宋" w:cs="仿宋"/>
                <w:b/>
                <w:bCs/>
                <w:color w:val="auto"/>
                <w:kern w:val="2"/>
                <w:highlight w:val="none"/>
              </w:rPr>
              <w:t>所有投标文件封袋上均应贴上</w:t>
            </w:r>
            <w:r>
              <w:rPr>
                <w:rFonts w:hint="eastAsia" w:ascii="仿宋" w:hAnsi="仿宋" w:eastAsia="仿宋" w:cs="仿宋"/>
                <w:b/>
                <w:bCs/>
                <w:color w:val="auto"/>
                <w:kern w:val="2"/>
                <w:highlight w:val="none"/>
                <w:lang w:eastAsia="zh-CN"/>
              </w:rPr>
              <w:t>密</w:t>
            </w:r>
            <w:r>
              <w:rPr>
                <w:rFonts w:hint="eastAsia" w:ascii="仿宋" w:hAnsi="仿宋" w:eastAsia="仿宋" w:cs="仿宋"/>
                <w:b/>
                <w:bCs/>
                <w:color w:val="auto"/>
                <w:kern w:val="2"/>
                <w:highlight w:val="none"/>
              </w:rPr>
              <w:t>封条,且加盖公章</w:t>
            </w:r>
            <w:r>
              <w:rPr>
                <w:rFonts w:hint="eastAsia" w:ascii="仿宋" w:hAnsi="仿宋" w:eastAsia="仿宋" w:cs="仿宋"/>
                <w:b/>
                <w:bCs/>
                <w:color w:val="auto"/>
                <w:kern w:val="2"/>
                <w:highlight w:val="none"/>
                <w:lang w:eastAsia="zh-CN"/>
              </w:rPr>
              <w:t>；</w:t>
            </w:r>
          </w:p>
          <w:p>
            <w:pPr>
              <w:pStyle w:val="24"/>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封袋上应写明：</w:t>
            </w:r>
          </w:p>
          <w:p>
            <w:pPr>
              <w:pStyle w:val="24"/>
              <w:spacing w:line="36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w:t>
            </w:r>
          </w:p>
          <w:p>
            <w:pPr>
              <w:pStyle w:val="24"/>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w:t>
            </w:r>
          </w:p>
          <w:p>
            <w:pPr>
              <w:pStyle w:val="24"/>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标包名称</w:t>
            </w:r>
            <w:r>
              <w:rPr>
                <w:rFonts w:hint="eastAsia" w:ascii="仿宋" w:hAnsi="仿宋" w:eastAsia="仿宋" w:cs="仿宋"/>
                <w:color w:val="auto"/>
                <w:sz w:val="24"/>
                <w:highlight w:val="none"/>
                <w:lang w:eastAsia="zh-CN"/>
              </w:rPr>
              <w:t>：</w:t>
            </w:r>
          </w:p>
          <w:p>
            <w:pPr>
              <w:pStyle w:val="24"/>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w:t>
            </w:r>
          </w:p>
          <w:p>
            <w:pPr>
              <w:pStyle w:val="24"/>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r>
              <w:rPr>
                <w:rFonts w:hint="eastAsia" w:ascii="仿宋" w:hAnsi="仿宋" w:eastAsia="仿宋" w:cs="仿宋"/>
                <w:color w:val="auto"/>
                <w:sz w:val="24"/>
                <w:highlight w:val="none"/>
                <w:lang w:eastAsia="zh-CN"/>
              </w:rPr>
              <w:t>：</w:t>
            </w:r>
          </w:p>
          <w:p>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注“开标时才能启封”。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c>
          <w:tcPr>
            <w:tcW w:w="1630"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投标文件递交截止时间、地点</w:t>
            </w:r>
          </w:p>
        </w:tc>
        <w:tc>
          <w:tcPr>
            <w:tcW w:w="7256" w:type="dxa"/>
            <w:noWrap w:val="0"/>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时间：</w:t>
            </w:r>
            <w:r>
              <w:rPr>
                <w:rFonts w:hint="eastAsia" w:ascii="仿宋" w:hAnsi="仿宋" w:eastAsia="仿宋" w:cs="仿宋"/>
                <w:b/>
                <w:bCs/>
                <w:color w:val="auto"/>
                <w:sz w:val="24"/>
                <w:highlight w:val="none"/>
              </w:rPr>
              <w:t>20</w:t>
            </w:r>
            <w:r>
              <w:rPr>
                <w:rFonts w:hint="eastAsia" w:ascii="仿宋" w:hAnsi="仿宋" w:eastAsia="仿宋" w:cs="仿宋"/>
                <w:b/>
                <w:bCs/>
                <w:color w:val="auto"/>
                <w:sz w:val="24"/>
                <w:highlight w:val="none"/>
                <w:lang w:val="en-US" w:eastAsia="zh-CN"/>
              </w:rPr>
              <w:t>22</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lang w:val="en-US" w:eastAsia="zh-CN"/>
              </w:rPr>
              <w:t>06</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23</w:t>
            </w:r>
            <w:r>
              <w:rPr>
                <w:rFonts w:hint="eastAsia" w:ascii="仿宋" w:hAnsi="仿宋" w:eastAsia="仿宋" w:cs="仿宋"/>
                <w:b/>
                <w:bCs/>
                <w:color w:val="auto"/>
                <w:sz w:val="24"/>
                <w:highlight w:val="none"/>
              </w:rPr>
              <w:t>日1</w:t>
            </w:r>
            <w:r>
              <w:rPr>
                <w:rFonts w:hint="eastAsia" w:ascii="仿宋" w:hAnsi="仿宋" w:eastAsia="仿宋" w:cs="仿宋"/>
                <w:b/>
                <w:bCs/>
                <w:color w:val="auto"/>
                <w:sz w:val="24"/>
                <w:highlight w:val="none"/>
                <w:lang w:val="en-US" w:eastAsia="zh-CN"/>
              </w:rPr>
              <w:t>11</w:t>
            </w:r>
            <w:r>
              <w:rPr>
                <w:rFonts w:hint="eastAsia" w:ascii="仿宋" w:hAnsi="仿宋" w:eastAsia="仿宋" w:cs="仿宋"/>
                <w:b/>
                <w:bCs/>
                <w:color w:val="auto"/>
                <w:sz w:val="24"/>
                <w:highlight w:val="none"/>
                <w:lang w:eastAsia="zh-CN"/>
              </w:rPr>
              <w:t>时</w:t>
            </w:r>
            <w:r>
              <w:rPr>
                <w:rFonts w:hint="eastAsia" w:ascii="仿宋" w:hAnsi="仿宋" w:eastAsia="仿宋" w:cs="仿宋"/>
                <w:b/>
                <w:bCs/>
                <w:color w:val="auto"/>
                <w:sz w:val="24"/>
                <w:highlight w:val="none"/>
                <w:lang w:val="en-US" w:eastAsia="zh-CN"/>
              </w:rPr>
              <w:t>00</w:t>
            </w:r>
            <w:r>
              <w:rPr>
                <w:rFonts w:hint="eastAsia" w:ascii="仿宋" w:hAnsi="仿宋" w:eastAsia="仿宋" w:cs="仿宋"/>
                <w:b/>
                <w:bCs/>
                <w:color w:val="auto"/>
                <w:sz w:val="24"/>
                <w:highlight w:val="none"/>
                <w:lang w:eastAsia="zh-CN"/>
              </w:rPr>
              <w:t>分</w:t>
            </w:r>
            <w:r>
              <w:rPr>
                <w:rFonts w:hint="eastAsia" w:ascii="仿宋" w:hAnsi="仿宋" w:eastAsia="仿宋" w:cs="仿宋"/>
                <w:b/>
                <w:bCs/>
                <w:color w:val="auto"/>
                <w:sz w:val="24"/>
                <w:highlight w:val="none"/>
              </w:rPr>
              <w:t>（北京时间）</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val="en-US" w:eastAsia="zh-CN"/>
              </w:rPr>
              <w:t>新疆乌鲁木齐市沙依巴克区公园北街162号文苑综合楼七楼会议室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w:t>
            </w:r>
          </w:p>
        </w:tc>
        <w:tc>
          <w:tcPr>
            <w:tcW w:w="1630"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标书装订要求</w:t>
            </w:r>
          </w:p>
        </w:tc>
        <w:tc>
          <w:tcPr>
            <w:tcW w:w="7256" w:type="dxa"/>
            <w:noWrap w:val="0"/>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按照投标文件组成内容，投标文件应按以下要求装订：</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投标文件应装订成册用死页胶装方式装订,装订应牢固、不易拆散和换页，不得采用活页装订。</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（字迹潦草、表达不清、未按要求填写或可能导致非唯一理解的投标文件将被定为否决投标）。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w:t>
            </w:r>
          </w:p>
        </w:tc>
        <w:tc>
          <w:tcPr>
            <w:tcW w:w="1630"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开标时间及地点</w:t>
            </w:r>
          </w:p>
        </w:tc>
        <w:tc>
          <w:tcPr>
            <w:tcW w:w="7256" w:type="dxa"/>
            <w:noWrap w:val="0"/>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时间：</w:t>
            </w:r>
            <w:r>
              <w:rPr>
                <w:rFonts w:hint="eastAsia" w:ascii="仿宋" w:hAnsi="仿宋" w:eastAsia="仿宋" w:cs="仿宋"/>
                <w:b/>
                <w:bCs/>
                <w:color w:val="auto"/>
                <w:sz w:val="24"/>
                <w:highlight w:val="none"/>
              </w:rPr>
              <w:t>20</w:t>
            </w:r>
            <w:r>
              <w:rPr>
                <w:rFonts w:hint="eastAsia" w:ascii="仿宋" w:hAnsi="仿宋" w:eastAsia="仿宋" w:cs="仿宋"/>
                <w:b/>
                <w:bCs/>
                <w:color w:val="auto"/>
                <w:sz w:val="24"/>
                <w:highlight w:val="none"/>
                <w:lang w:val="en-US" w:eastAsia="zh-CN"/>
              </w:rPr>
              <w:t>22</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lang w:val="en-US" w:eastAsia="zh-CN"/>
              </w:rPr>
              <w:t>06</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23</w:t>
            </w:r>
            <w:r>
              <w:rPr>
                <w:rFonts w:hint="eastAsia" w:ascii="仿宋" w:hAnsi="仿宋" w:eastAsia="仿宋" w:cs="仿宋"/>
                <w:b/>
                <w:bCs/>
                <w:color w:val="auto"/>
                <w:sz w:val="24"/>
                <w:highlight w:val="none"/>
              </w:rPr>
              <w:t>日</w:t>
            </w:r>
            <w:r>
              <w:rPr>
                <w:rFonts w:hint="eastAsia" w:ascii="仿宋" w:hAnsi="仿宋" w:eastAsia="仿宋" w:cs="仿宋"/>
                <w:b/>
                <w:bCs/>
                <w:color w:val="auto"/>
                <w:sz w:val="24"/>
                <w:highlight w:val="none"/>
                <w:lang w:val="en-US" w:eastAsia="zh-CN"/>
              </w:rPr>
              <w:t>11</w:t>
            </w:r>
            <w:r>
              <w:rPr>
                <w:rFonts w:hint="eastAsia" w:ascii="仿宋" w:hAnsi="仿宋" w:eastAsia="仿宋" w:cs="仿宋"/>
                <w:b/>
                <w:bCs/>
                <w:color w:val="auto"/>
                <w:sz w:val="24"/>
                <w:highlight w:val="none"/>
                <w:lang w:eastAsia="zh-CN"/>
              </w:rPr>
              <w:t>时</w:t>
            </w:r>
            <w:r>
              <w:rPr>
                <w:rFonts w:hint="eastAsia" w:ascii="仿宋" w:hAnsi="仿宋" w:eastAsia="仿宋" w:cs="仿宋"/>
                <w:b/>
                <w:bCs/>
                <w:color w:val="auto"/>
                <w:sz w:val="24"/>
                <w:highlight w:val="none"/>
                <w:lang w:val="en-US" w:eastAsia="zh-CN"/>
              </w:rPr>
              <w:t>00</w:t>
            </w:r>
            <w:r>
              <w:rPr>
                <w:rFonts w:hint="eastAsia" w:ascii="仿宋" w:hAnsi="仿宋" w:eastAsia="仿宋" w:cs="仿宋"/>
                <w:b/>
                <w:bCs/>
                <w:color w:val="auto"/>
                <w:sz w:val="24"/>
                <w:highlight w:val="none"/>
                <w:lang w:eastAsia="zh-CN"/>
              </w:rPr>
              <w:t>分</w:t>
            </w:r>
            <w:r>
              <w:rPr>
                <w:rFonts w:hint="eastAsia" w:ascii="仿宋" w:hAnsi="仿宋" w:eastAsia="仿宋" w:cs="仿宋"/>
                <w:b/>
                <w:bCs/>
                <w:color w:val="auto"/>
                <w:sz w:val="24"/>
                <w:highlight w:val="none"/>
              </w:rPr>
              <w:t>（北京时间）</w:t>
            </w:r>
          </w:p>
          <w:p>
            <w:pPr>
              <w:spacing w:line="360" w:lineRule="auto"/>
              <w:jc w:val="left"/>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val="en-US" w:eastAsia="zh-CN"/>
              </w:rPr>
              <w:t>新疆乌鲁木齐市沙依巴克区公园北街162号文苑综合楼七楼会议室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p>
        </w:tc>
        <w:tc>
          <w:tcPr>
            <w:tcW w:w="1630"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签订合同时</w:t>
            </w:r>
            <w:r>
              <w:rPr>
                <w:rFonts w:hint="eastAsia" w:ascii="仿宋" w:hAnsi="仿宋" w:eastAsia="仿宋" w:cs="仿宋"/>
                <w:color w:val="auto"/>
                <w:sz w:val="24"/>
                <w:highlight w:val="none"/>
                <w:lang w:eastAsia="zh-CN"/>
              </w:rPr>
              <w:t>间</w:t>
            </w:r>
            <w:r>
              <w:rPr>
                <w:rFonts w:hint="eastAsia" w:ascii="仿宋" w:hAnsi="仿宋" w:eastAsia="仿宋" w:cs="仿宋"/>
                <w:color w:val="auto"/>
                <w:sz w:val="24"/>
                <w:highlight w:val="none"/>
              </w:rPr>
              <w:t>间</w:t>
            </w:r>
          </w:p>
        </w:tc>
        <w:tc>
          <w:tcPr>
            <w:tcW w:w="7256" w:type="dxa"/>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中标通知书发出后30日内。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w:t>
            </w:r>
          </w:p>
        </w:tc>
        <w:tc>
          <w:tcPr>
            <w:tcW w:w="1630" w:type="dxa"/>
            <w:noWrap w:val="0"/>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履约保证金</w:t>
            </w:r>
          </w:p>
        </w:tc>
        <w:tc>
          <w:tcPr>
            <w:tcW w:w="7256" w:type="dxa"/>
            <w:noWrap w:val="0"/>
            <w:vAlign w:val="center"/>
          </w:tcPr>
          <w:p>
            <w:pPr>
              <w:spacing w:line="360" w:lineRule="auto"/>
              <w:jc w:val="left"/>
              <w:rPr>
                <w:rFonts w:hint="eastAsia"/>
                <w:color w:val="auto"/>
                <w:lang w:val="en-US" w:eastAsia="zh-CN"/>
              </w:rPr>
            </w:pPr>
            <w:r>
              <w:rPr>
                <w:rFonts w:hint="eastAsia" w:ascii="仿宋" w:hAnsi="仿宋" w:eastAsia="仿宋" w:cs="仿宋"/>
                <w:color w:val="auto"/>
                <w:sz w:val="24"/>
                <w:highlight w:val="none"/>
                <w:lang w:val="en-US" w:eastAsia="zh-CN"/>
              </w:rPr>
              <w:t>本项目无需缴纳履约保证金。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26</w:t>
            </w:r>
          </w:p>
        </w:tc>
        <w:tc>
          <w:tcPr>
            <w:tcW w:w="1630" w:type="dxa"/>
            <w:noWrap w:val="0"/>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pacing w:val="-1"/>
                <w:sz w:val="24"/>
                <w:highlight w:val="none"/>
              </w:rPr>
              <w:t>评标委员会</w:t>
            </w:r>
            <w:r>
              <w:rPr>
                <w:rFonts w:hint="eastAsia" w:ascii="仿宋" w:hAnsi="仿宋" w:eastAsia="仿宋" w:cs="仿宋"/>
                <w:color w:val="auto"/>
                <w:spacing w:val="-1"/>
                <w:sz w:val="24"/>
                <w:highlight w:val="none"/>
                <w:lang w:eastAsia="zh-CN"/>
              </w:rPr>
              <w:t>的组成</w:t>
            </w:r>
          </w:p>
        </w:tc>
        <w:tc>
          <w:tcPr>
            <w:tcW w:w="7256" w:type="dxa"/>
            <w:noWrap w:val="0"/>
            <w:vAlign w:val="center"/>
          </w:tcPr>
          <w:p>
            <w:pPr>
              <w:pStyle w:val="18"/>
              <w:spacing w:line="360" w:lineRule="auto"/>
              <w:ind w:left="0" w:leftChars="0" w:firstLine="0" w:firstLineChars="0"/>
              <w:rPr>
                <w:rFonts w:hint="eastAsia" w:ascii="仿宋" w:hAnsi="仿宋" w:eastAsia="仿宋" w:cs="仿宋"/>
                <w:color w:val="auto"/>
                <w:sz w:val="24"/>
                <w:szCs w:val="22"/>
                <w:highlight w:val="none"/>
                <w:lang w:val="en-US" w:eastAsia="zh-CN" w:bidi="zh-CN"/>
              </w:rPr>
            </w:pPr>
            <w:r>
              <w:rPr>
                <w:rFonts w:hint="eastAsia" w:ascii="仿宋" w:hAnsi="仿宋" w:eastAsia="仿宋" w:cs="仿宋"/>
                <w:color w:val="auto"/>
                <w:sz w:val="24"/>
                <w:szCs w:val="22"/>
                <w:highlight w:val="none"/>
                <w:lang w:val="en-US" w:eastAsia="zh-CN" w:bidi="zh-CN"/>
              </w:rPr>
              <w:t>（1）构成：5人；</w:t>
            </w:r>
            <w:r>
              <w:rPr>
                <w:rFonts w:hint="eastAsia" w:ascii="仿宋" w:hAnsi="仿宋" w:eastAsia="仿宋" w:cs="仿宋"/>
                <w:color w:val="auto"/>
                <w:sz w:val="24"/>
                <w:szCs w:val="24"/>
                <w:highlight w:val="none"/>
              </w:rPr>
              <w:t>专家</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en-US" w:eastAsia="zh-CN"/>
              </w:rPr>
              <w:t>招标人代表：工程学院1人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专家信息不向任何人公布。</w:t>
            </w:r>
          </w:p>
          <w:p>
            <w:pPr>
              <w:pStyle w:val="18"/>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sz w:val="24"/>
                <w:szCs w:val="22"/>
                <w:highlight w:val="none"/>
                <w:lang w:val="en-US" w:eastAsia="zh-CN" w:bidi="zh-CN"/>
              </w:rPr>
              <w:t>（2）评标专家确定方式：专家库中随机抽取此次评标专家。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jc w:val="center"/>
        </w:trPr>
        <w:tc>
          <w:tcPr>
            <w:tcW w:w="772"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27</w:t>
            </w:r>
          </w:p>
        </w:tc>
        <w:tc>
          <w:tcPr>
            <w:tcW w:w="1630" w:type="dxa"/>
            <w:noWrap w:val="0"/>
            <w:vAlign w:val="center"/>
          </w:tcPr>
          <w:p>
            <w:pPr>
              <w:spacing w:line="360" w:lineRule="auto"/>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lang w:eastAsia="zh-CN"/>
              </w:rPr>
              <w:t>评标顺序及入围家数</w:t>
            </w:r>
          </w:p>
        </w:tc>
        <w:tc>
          <w:tcPr>
            <w:tcW w:w="7256" w:type="dxa"/>
            <w:noWrap w:val="0"/>
            <w:vAlign w:val="center"/>
          </w:tcPr>
          <w:p>
            <w:pPr>
              <w:spacing w:line="360" w:lineRule="auto"/>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定标原则</w:t>
            </w:r>
          </w:p>
          <w:p>
            <w:pPr>
              <w:pStyle w:val="18"/>
              <w:spacing w:line="360" w:lineRule="auto"/>
              <w:ind w:left="0" w:leftChars="0"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评标委员会对通过技术</w:t>
            </w:r>
            <w:r>
              <w:rPr>
                <w:rFonts w:hint="eastAsia" w:ascii="仿宋" w:hAnsi="仿宋" w:eastAsia="仿宋" w:cs="仿宋"/>
                <w:color w:val="auto"/>
                <w:sz w:val="24"/>
                <w:szCs w:val="22"/>
                <w:highlight w:val="none"/>
                <w:lang w:eastAsia="zh-CN"/>
              </w:rPr>
              <w:t>部分</w:t>
            </w:r>
            <w:r>
              <w:rPr>
                <w:rFonts w:hint="eastAsia" w:ascii="仿宋" w:hAnsi="仿宋" w:eastAsia="仿宋" w:cs="仿宋"/>
                <w:color w:val="auto"/>
                <w:sz w:val="24"/>
                <w:szCs w:val="22"/>
                <w:highlight w:val="none"/>
              </w:rPr>
              <w:t>、商务部分及</w:t>
            </w:r>
            <w:r>
              <w:rPr>
                <w:rFonts w:hint="eastAsia" w:ascii="仿宋" w:hAnsi="仿宋" w:eastAsia="仿宋" w:cs="仿宋"/>
                <w:color w:val="auto"/>
                <w:sz w:val="24"/>
                <w:szCs w:val="22"/>
                <w:highlight w:val="none"/>
                <w:lang w:eastAsia="zh-CN"/>
              </w:rPr>
              <w:t>报价</w:t>
            </w:r>
            <w:r>
              <w:rPr>
                <w:rFonts w:hint="eastAsia" w:ascii="仿宋" w:hAnsi="仿宋" w:eastAsia="仿宋" w:cs="仿宋"/>
                <w:color w:val="auto"/>
                <w:sz w:val="24"/>
                <w:szCs w:val="22"/>
                <w:highlight w:val="none"/>
              </w:rPr>
              <w:t>部分评审合格的投标人，以</w:t>
            </w:r>
            <w:r>
              <w:rPr>
                <w:rFonts w:hint="eastAsia" w:ascii="仿宋" w:hAnsi="仿宋" w:eastAsia="仿宋" w:cs="仿宋"/>
                <w:color w:val="auto"/>
                <w:sz w:val="24"/>
                <w:highlight w:val="none"/>
              </w:rPr>
              <w:t>商务得分+技术得分+报价得分</w:t>
            </w:r>
            <w:r>
              <w:rPr>
                <w:rFonts w:hint="eastAsia" w:ascii="仿宋" w:hAnsi="仿宋" w:eastAsia="仿宋" w:cs="仿宋"/>
                <w:color w:val="auto"/>
                <w:sz w:val="24"/>
                <w:szCs w:val="22"/>
                <w:highlight w:val="none"/>
              </w:rPr>
              <w:t>之和由高到低排序，并推荐综合得分第一的为“第一</w:t>
            </w:r>
            <w:r>
              <w:rPr>
                <w:rFonts w:hint="eastAsia" w:ascii="仿宋" w:hAnsi="仿宋" w:eastAsia="仿宋" w:cs="仿宋"/>
                <w:color w:val="auto"/>
                <w:sz w:val="24"/>
                <w:szCs w:val="22"/>
                <w:highlight w:val="none"/>
                <w:lang w:eastAsia="zh-CN"/>
              </w:rPr>
              <w:t>中标</w:t>
            </w:r>
            <w:r>
              <w:rPr>
                <w:rFonts w:hint="eastAsia" w:ascii="仿宋" w:hAnsi="仿宋" w:eastAsia="仿宋" w:cs="仿宋"/>
                <w:color w:val="auto"/>
                <w:sz w:val="24"/>
                <w:szCs w:val="22"/>
                <w:highlight w:val="none"/>
              </w:rPr>
              <w:t>候选人”，</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的为“第</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中标候选人”、综合得分第</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的为“第</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中标候选人”</w:t>
            </w:r>
            <w:r>
              <w:rPr>
                <w:rFonts w:hint="eastAsia" w:ascii="仿宋" w:hAnsi="仿宋" w:eastAsia="仿宋" w:cs="仿宋"/>
                <w:color w:val="auto"/>
                <w:sz w:val="24"/>
                <w:szCs w:val="22"/>
                <w:highlight w:val="none"/>
              </w:rPr>
              <w:t>。投标人综合得分相同的，按照投标报价由低到高的顺序排列。投标人综合得分相同且投标报价也相同的并列，评标委员会将按照技术指标优劣顺序推荐。</w:t>
            </w:r>
          </w:p>
          <w:p>
            <w:pPr>
              <w:pStyle w:val="23"/>
              <w:spacing w:line="360" w:lineRule="auto"/>
              <w:ind w:left="108"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综合得分排名第一</w:t>
            </w:r>
            <w:r>
              <w:rPr>
                <w:rFonts w:hint="eastAsia" w:ascii="仿宋" w:hAnsi="仿宋" w:eastAsia="仿宋" w:cs="仿宋"/>
                <w:b/>
                <w:bCs/>
                <w:color w:val="auto"/>
                <w:sz w:val="24"/>
                <w:highlight w:val="none"/>
                <w:lang w:eastAsia="zh-CN"/>
              </w:rPr>
              <w:t>的</w:t>
            </w:r>
            <w:r>
              <w:rPr>
                <w:rFonts w:hint="eastAsia" w:ascii="仿宋" w:hAnsi="仿宋" w:eastAsia="仿宋" w:cs="仿宋"/>
                <w:b/>
                <w:bCs/>
                <w:color w:val="auto"/>
                <w:sz w:val="24"/>
                <w:highlight w:val="none"/>
              </w:rPr>
              <w:t>中标候选人为</w:t>
            </w:r>
            <w:r>
              <w:rPr>
                <w:rFonts w:hint="eastAsia" w:ascii="仿宋" w:hAnsi="仿宋" w:eastAsia="仿宋" w:cs="仿宋"/>
                <w:b/>
                <w:bCs/>
                <w:color w:val="auto"/>
                <w:sz w:val="24"/>
                <w:highlight w:val="none"/>
                <w:lang w:eastAsia="zh-CN"/>
              </w:rPr>
              <w:t>中标人</w:t>
            </w:r>
            <w:r>
              <w:rPr>
                <w:rFonts w:hint="eastAsia" w:ascii="仿宋" w:hAnsi="仿宋" w:eastAsia="仿宋" w:cs="仿宋"/>
                <w:b/>
                <w:bCs/>
                <w:color w:val="auto"/>
                <w:sz w:val="24"/>
                <w:highlight w:val="none"/>
              </w:rPr>
              <w:t>，如第一中标单位未按要求供货，</w:t>
            </w:r>
            <w:r>
              <w:rPr>
                <w:rFonts w:hint="eastAsia" w:ascii="仿宋" w:hAnsi="仿宋" w:eastAsia="仿宋" w:cs="仿宋"/>
                <w:b/>
                <w:bCs/>
                <w:color w:val="auto"/>
                <w:sz w:val="24"/>
                <w:highlight w:val="none"/>
                <w:lang w:eastAsia="zh-CN"/>
              </w:rPr>
              <w:t>或</w:t>
            </w:r>
            <w:r>
              <w:rPr>
                <w:rFonts w:hint="eastAsia" w:ascii="仿宋" w:hAnsi="仿宋" w:eastAsia="仿宋" w:cs="仿宋"/>
                <w:b/>
                <w:bCs/>
                <w:color w:val="auto"/>
                <w:sz w:val="24"/>
                <w:highlight w:val="none"/>
              </w:rPr>
              <w:t>放弃中标、因不可抗力提出不能履行合同</w:t>
            </w:r>
            <w:r>
              <w:rPr>
                <w:rFonts w:hint="eastAsia" w:ascii="仿宋" w:hAnsi="仿宋" w:eastAsia="仿宋" w:cs="仿宋"/>
                <w:b/>
                <w:bCs/>
                <w:color w:val="auto"/>
                <w:sz w:val="24"/>
                <w:highlight w:val="none"/>
                <w:lang w:eastAsia="zh-CN"/>
              </w:rPr>
              <w:t>的</w:t>
            </w:r>
            <w:r>
              <w:rPr>
                <w:rFonts w:hint="eastAsia" w:ascii="仿宋" w:hAnsi="仿宋" w:eastAsia="仿宋" w:cs="仿宋"/>
                <w:b/>
                <w:bCs/>
                <w:color w:val="auto"/>
                <w:sz w:val="24"/>
                <w:highlight w:val="none"/>
              </w:rPr>
              <w:t>，或者</w:t>
            </w:r>
            <w:r>
              <w:rPr>
                <w:rFonts w:hint="eastAsia" w:ascii="仿宋" w:hAnsi="仿宋" w:eastAsia="仿宋" w:cs="仿宋"/>
                <w:b/>
                <w:bCs/>
                <w:color w:val="auto"/>
                <w:sz w:val="24"/>
                <w:highlight w:val="none"/>
                <w:lang w:eastAsia="zh-CN"/>
              </w:rPr>
              <w:t>未按</w:t>
            </w:r>
            <w:r>
              <w:rPr>
                <w:rFonts w:hint="eastAsia" w:ascii="仿宋" w:hAnsi="仿宋" w:eastAsia="仿宋" w:cs="仿宋"/>
                <w:b/>
                <w:bCs/>
                <w:color w:val="auto"/>
                <w:sz w:val="24"/>
                <w:highlight w:val="none"/>
              </w:rPr>
              <w:t>招标文件规定提交履约保证金</w:t>
            </w:r>
            <w:r>
              <w:rPr>
                <w:rFonts w:hint="eastAsia" w:ascii="仿宋" w:hAnsi="仿宋" w:eastAsia="仿宋" w:cs="仿宋"/>
                <w:b/>
                <w:bCs/>
                <w:color w:val="auto"/>
                <w:sz w:val="24"/>
                <w:highlight w:val="none"/>
                <w:lang w:eastAsia="zh-CN"/>
              </w:rPr>
              <w:t>的</w:t>
            </w:r>
            <w:r>
              <w:rPr>
                <w:rFonts w:hint="eastAsia" w:ascii="仿宋" w:hAnsi="仿宋" w:eastAsia="仿宋" w:cs="仿宋"/>
                <w:b/>
                <w:bCs/>
                <w:color w:val="auto"/>
                <w:sz w:val="24"/>
                <w:highlight w:val="none"/>
              </w:rPr>
              <w:t>，或者不接受最终供应价的投标人，招标人可以按照评标委员会提出的</w:t>
            </w:r>
            <w:r>
              <w:rPr>
                <w:rFonts w:hint="eastAsia" w:ascii="仿宋" w:hAnsi="仿宋" w:eastAsia="仿宋" w:cs="仿宋"/>
                <w:b/>
                <w:bCs/>
                <w:color w:val="auto"/>
                <w:sz w:val="24"/>
                <w:highlight w:val="none"/>
                <w:lang w:eastAsia="zh-CN"/>
              </w:rPr>
              <w:t>推荐</w:t>
            </w:r>
            <w:r>
              <w:rPr>
                <w:rFonts w:hint="eastAsia" w:ascii="仿宋" w:hAnsi="仿宋" w:eastAsia="仿宋" w:cs="仿宋"/>
                <w:b/>
                <w:bCs/>
                <w:color w:val="auto"/>
                <w:sz w:val="24"/>
                <w:highlight w:val="none"/>
              </w:rPr>
              <w:t>名单排序</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依次确定排名第</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名的投标人为中标投标人（以此类推）。如果投标人综合得分相同的，按照投标报价由低到高的顺序排列，投标人综合得分相同且投标报价也相同的并列，评标委员会将按照技术指标优劣顺序推荐。</w:t>
            </w:r>
          </w:p>
          <w:p>
            <w:pPr>
              <w:pStyle w:val="23"/>
              <w:spacing w:line="360" w:lineRule="auto"/>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注：使用</w:t>
            </w:r>
            <w:r>
              <w:rPr>
                <w:rFonts w:hint="eastAsia" w:ascii="仿宋" w:hAnsi="仿宋" w:eastAsia="仿宋" w:cs="仿宋"/>
                <w:b/>
                <w:bCs/>
                <w:color w:val="auto"/>
                <w:sz w:val="24"/>
                <w:highlight w:val="none"/>
              </w:rPr>
              <w:t>综合评分法的采购项目，提供相同品牌核心产品且通过资格审查、符合性审查的不同</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参加同一合同项下投标的，按一家</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计算，评审后得分最高的同品牌</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获得中标人推荐资格，评审得分相同的，由评标委员会按照报价最低的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，推荐其作为中标候选人，其他同品牌</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772" w:type="dxa"/>
            <w:noWrap w:val="0"/>
            <w:vAlign w:val="center"/>
          </w:tcPr>
          <w:p>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28</w:t>
            </w:r>
          </w:p>
        </w:tc>
        <w:tc>
          <w:tcPr>
            <w:tcW w:w="1630" w:type="dxa"/>
            <w:noWrap w:val="0"/>
            <w:vAlign w:val="center"/>
          </w:tcPr>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开标现场手持证件</w:t>
            </w:r>
          </w:p>
        </w:tc>
        <w:tc>
          <w:tcPr>
            <w:tcW w:w="7256" w:type="dxa"/>
            <w:noWrap w:val="0"/>
            <w:vAlign w:val="center"/>
          </w:tcPr>
          <w:p>
            <w:pPr>
              <w:pStyle w:val="16"/>
              <w:shd w:val="clear" w:color="auto" w:fill="FFFFFF"/>
              <w:adjustRightInd w:val="0"/>
              <w:snapToGrid w:val="0"/>
              <w:spacing w:before="0" w:beforeAutospacing="0" w:after="0" w:afterAutospacing="0" w:line="360" w:lineRule="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投标人应在开标现场随身手持以下资料，由监督人员进行查验：</w:t>
            </w:r>
          </w:p>
          <w:p>
            <w:pPr>
              <w:pStyle w:val="16"/>
              <w:numPr>
                <w:ilvl w:val="0"/>
                <w:numId w:val="0"/>
              </w:numPr>
              <w:shd w:val="clear" w:color="auto" w:fill="FFFFFF"/>
              <w:adjustRightInd w:val="0"/>
              <w:snapToGrid w:val="0"/>
              <w:spacing w:before="0" w:beforeAutospacing="0" w:after="0" w:afterAutospacing="0" w:line="360" w:lineRule="auto"/>
              <w:ind w:right="0" w:rightChars="0"/>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1、在经营范围内的三证合一的营业执照副本</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kern w:val="2"/>
                <w:sz w:val="24"/>
                <w:szCs w:val="24"/>
                <w:highlight w:val="none"/>
                <w:lang w:val="en-US" w:eastAsia="zh-CN"/>
              </w:rPr>
              <w:t>复印件加盖公章</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kern w:val="2"/>
                <w:sz w:val="24"/>
                <w:szCs w:val="24"/>
                <w:highlight w:val="none"/>
                <w:lang w:val="en-US" w:eastAsia="zh-CN"/>
              </w:rPr>
              <w:t>；</w:t>
            </w:r>
          </w:p>
          <w:p>
            <w:pPr>
              <w:pStyle w:val="16"/>
              <w:numPr>
                <w:ilvl w:val="0"/>
                <w:numId w:val="0"/>
              </w:numPr>
              <w:shd w:val="clear" w:color="auto" w:fill="FFFFFF"/>
              <w:adjustRightInd w:val="0"/>
              <w:snapToGrid w:val="0"/>
              <w:spacing w:before="0" w:beforeAutospacing="0" w:after="0" w:afterAutospacing="0" w:line="360" w:lineRule="auto"/>
              <w:ind w:leftChars="0" w:right="0" w:rightChars="0"/>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sz w:val="24"/>
                <w:highlight w:val="none"/>
                <w:lang w:val="en-US" w:eastAsia="zh-CN"/>
              </w:rPr>
              <w:t>2、法定代表人投标需携带法定代表人证明书（原件）及法定代表人身份证（原件）；委托代理人投标需携带法定代表人授权委托书（原件）及委托代理人身份证（原件）</w:t>
            </w:r>
            <w:r>
              <w:rPr>
                <w:rFonts w:hint="eastAsia" w:ascii="仿宋" w:hAnsi="仿宋" w:eastAsia="仿宋" w:cs="仿宋"/>
                <w:b/>
                <w:bCs/>
                <w:color w:val="auto"/>
                <w:sz w:val="24"/>
                <w:highlight w:val="none"/>
                <w:lang w:eastAsia="zh-CN"/>
              </w:rPr>
              <w:t>；</w:t>
            </w:r>
          </w:p>
          <w:p>
            <w:pPr>
              <w:pStyle w:val="16"/>
              <w:numPr>
                <w:ilvl w:val="0"/>
                <w:numId w:val="0"/>
              </w:numPr>
              <w:shd w:val="clear" w:color="auto" w:fill="FFFFFF"/>
              <w:adjustRightInd w:val="0"/>
              <w:snapToGrid w:val="0"/>
              <w:spacing w:before="0" w:beforeAutospacing="0" w:after="0" w:afterAutospacing="0" w:line="360" w:lineRule="auto"/>
              <w:ind w:leftChars="0" w:right="0" w:rightChars="0"/>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3、投标保证金银行回单（复印件加盖公章）；</w:t>
            </w:r>
          </w:p>
          <w:p>
            <w:pPr>
              <w:pStyle w:val="16"/>
              <w:numPr>
                <w:ilvl w:val="0"/>
                <w:numId w:val="0"/>
              </w:numPr>
              <w:shd w:val="clear" w:color="auto" w:fill="FFFFFF"/>
              <w:adjustRightInd w:val="0"/>
              <w:snapToGrid w:val="0"/>
              <w:spacing w:before="0" w:beforeAutospacing="0" w:after="0" w:afterAutospacing="0" w:line="360" w:lineRule="auto"/>
              <w:ind w:leftChars="0" w:right="0" w:rightChars="0"/>
              <w:rPr>
                <w:rFonts w:hint="eastAsia"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lang w:val="en-US" w:eastAsia="zh-CN"/>
              </w:rPr>
              <w:t>注：未按上述要求提供者不得进入后续开标程序。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7" w:hRule="atLeast"/>
          <w:jc w:val="center"/>
        </w:trPr>
        <w:tc>
          <w:tcPr>
            <w:tcW w:w="772" w:type="dxa"/>
            <w:noWrap w:val="0"/>
            <w:vAlign w:val="center"/>
          </w:tcPr>
          <w:p>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29</w:t>
            </w:r>
          </w:p>
        </w:tc>
        <w:tc>
          <w:tcPr>
            <w:tcW w:w="1630" w:type="dxa"/>
            <w:noWrap w:val="0"/>
            <w:vAlign w:val="center"/>
          </w:tcPr>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kern w:val="0"/>
                <w:sz w:val="24"/>
                <w:szCs w:val="24"/>
                <w:highlight w:val="none"/>
                <w:lang w:val="en-US" w:eastAsia="zh-CN" w:bidi="zh-CN"/>
              </w:rPr>
              <w:t>退保证金须提供的资料</w:t>
            </w:r>
          </w:p>
        </w:tc>
        <w:tc>
          <w:tcPr>
            <w:tcW w:w="7256" w:type="dxa"/>
            <w:noWrap w:val="0"/>
            <w:vAlign w:val="center"/>
          </w:tcPr>
          <w:p>
            <w:pPr>
              <w:spacing w:line="360" w:lineRule="auto"/>
              <w:jc w:val="left"/>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退保证金需提供以下资料：</w:t>
            </w:r>
          </w:p>
          <w:p>
            <w:pPr>
              <w:spacing w:line="360" w:lineRule="auto"/>
              <w:jc w:val="left"/>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1、授权委托书、开户许可证（或基本账户信息）复印件盖公章；</w:t>
            </w:r>
          </w:p>
          <w:p>
            <w:pPr>
              <w:spacing w:line="360" w:lineRule="auto"/>
              <w:jc w:val="left"/>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2、对开收据（原件）；模板后附</w:t>
            </w:r>
          </w:p>
          <w:p>
            <w:pPr>
              <w:spacing w:line="360" w:lineRule="auto"/>
              <w:jc w:val="left"/>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3、填写完整的退保证金信息表</w:t>
            </w:r>
          </w:p>
          <w:p>
            <w:pPr>
              <w:spacing w:line="360" w:lineRule="auto"/>
              <w:jc w:val="left"/>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单位名称：</w:t>
            </w:r>
          </w:p>
          <w:p>
            <w:pPr>
              <w:spacing w:line="360" w:lineRule="auto"/>
              <w:jc w:val="left"/>
              <w:rPr>
                <w:rFonts w:hint="default"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开户银行：</w:t>
            </w:r>
          </w:p>
          <w:p>
            <w:pPr>
              <w:spacing w:line="360" w:lineRule="auto"/>
              <w:jc w:val="left"/>
              <w:rPr>
                <w:rFonts w:hint="default"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开户行行号：</w:t>
            </w:r>
          </w:p>
          <w:p>
            <w:pPr>
              <w:spacing w:line="360" w:lineRule="auto"/>
              <w:jc w:val="left"/>
              <w:rPr>
                <w:rFonts w:hint="default"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公司账号：</w:t>
            </w:r>
          </w:p>
          <w:p>
            <w:pPr>
              <w:spacing w:line="360" w:lineRule="auto"/>
              <w:jc w:val="left"/>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联系电话：</w:t>
            </w:r>
          </w:p>
          <w:p>
            <w:pPr>
              <w:spacing w:line="360" w:lineRule="auto"/>
              <w:jc w:val="left"/>
              <w:rPr>
                <w:rFonts w:hint="default"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4、对开收据模板：</w:t>
            </w:r>
          </w:p>
          <w:p>
            <w:pPr>
              <w:pStyle w:val="16"/>
              <w:numPr>
                <w:ilvl w:val="0"/>
                <w:numId w:val="0"/>
              </w:numPr>
              <w:shd w:val="clear" w:color="auto" w:fill="FFFFFF"/>
              <w:adjustRightInd w:val="0"/>
              <w:snapToGrid w:val="0"/>
              <w:spacing w:before="0" w:beforeAutospacing="0" w:after="0" w:afterAutospacing="0" w:line="360" w:lineRule="auto"/>
              <w:ind w:leftChars="0" w:right="0" w:rightChars="0"/>
              <w:rPr>
                <w:rFonts w:hint="eastAsia" w:ascii="仿宋" w:hAnsi="仿宋" w:eastAsia="仿宋" w:cs="仿宋"/>
                <w:b/>
                <w:bCs/>
                <w:color w:val="auto"/>
                <w:kern w:val="2"/>
                <w:sz w:val="24"/>
                <w:szCs w:val="24"/>
                <w:highlight w:val="none"/>
                <w:lang w:val="en-US" w:eastAsia="zh-CN"/>
              </w:rPr>
            </w:pPr>
            <w:r>
              <w:rPr>
                <w:rFonts w:hint="default"/>
                <w:b w:val="0"/>
                <w:bCs w:val="0"/>
                <w:sz w:val="28"/>
                <w:szCs w:val="28"/>
                <w:lang w:val="en-US" w:eastAsia="zh-CN"/>
              </w:rPr>
              <w:drawing>
                <wp:inline distT="0" distB="0" distL="114300" distR="114300">
                  <wp:extent cx="4355465" cy="2407285"/>
                  <wp:effectExtent l="0" t="0" r="6985" b="12065"/>
                  <wp:docPr id="2" name="图片 2" descr="963361764c1c6f5aae6bc729c47d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63361764c1c6f5aae6bc729c47daaf"/>
                          <pic:cNvPicPr>
                            <a:picLocks noChangeAspect="1"/>
                          </pic:cNvPicPr>
                        </pic:nvPicPr>
                        <pic:blipFill>
                          <a:blip r:embed="rId9"/>
                          <a:stretch>
                            <a:fillRect/>
                          </a:stretch>
                        </pic:blipFill>
                        <pic:spPr>
                          <a:xfrm>
                            <a:off x="0" y="0"/>
                            <a:ext cx="4355465" cy="24072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772" w:type="dxa"/>
            <w:noWrap w:val="0"/>
            <w:vAlign w:val="center"/>
          </w:tcPr>
          <w:p>
            <w:pPr>
              <w:spacing w:line="360" w:lineRule="auto"/>
              <w:jc w:val="center"/>
              <w:rPr>
                <w:rFonts w:hint="default" w:ascii="仿宋" w:hAnsi="仿宋" w:eastAsia="仿宋" w:cs="仿宋"/>
                <w:color w:val="auto"/>
                <w:sz w:val="24"/>
                <w:highlight w:val="green"/>
                <w:lang w:val="en-US" w:eastAsia="zh-CN"/>
              </w:rPr>
            </w:pPr>
            <w:r>
              <w:rPr>
                <w:rFonts w:hint="eastAsia" w:ascii="仿宋" w:hAnsi="仿宋" w:eastAsia="仿宋" w:cs="仿宋"/>
                <w:color w:val="auto"/>
                <w:sz w:val="24"/>
                <w:highlight w:val="green"/>
                <w:lang w:val="en-US" w:eastAsia="zh-CN"/>
              </w:rPr>
              <w:t>30</w:t>
            </w:r>
          </w:p>
        </w:tc>
        <w:tc>
          <w:tcPr>
            <w:tcW w:w="1630" w:type="dxa"/>
            <w:noWrap w:val="0"/>
            <w:vAlign w:val="center"/>
          </w:tcPr>
          <w:p>
            <w:pPr>
              <w:spacing w:line="360" w:lineRule="auto"/>
              <w:jc w:val="center"/>
              <w:rPr>
                <w:rFonts w:hint="eastAsia" w:ascii="仿宋" w:hAnsi="仿宋" w:eastAsia="仿宋" w:cs="仿宋"/>
                <w:color w:val="auto"/>
                <w:kern w:val="0"/>
                <w:sz w:val="24"/>
                <w:szCs w:val="24"/>
                <w:highlight w:val="green"/>
                <w:lang w:val="en-US" w:eastAsia="zh-CN" w:bidi="zh-CN"/>
              </w:rPr>
            </w:pPr>
            <w:r>
              <w:rPr>
                <w:rFonts w:hint="eastAsia" w:ascii="仿宋" w:hAnsi="仿宋" w:eastAsia="仿宋" w:cs="仿宋"/>
                <w:color w:val="auto"/>
                <w:kern w:val="0"/>
                <w:sz w:val="24"/>
                <w:szCs w:val="24"/>
                <w:highlight w:val="green"/>
                <w:lang w:val="en-US" w:eastAsia="zh-CN" w:bidi="zh-CN"/>
              </w:rPr>
              <w:t>招标代理服务费</w:t>
            </w:r>
          </w:p>
        </w:tc>
        <w:tc>
          <w:tcPr>
            <w:tcW w:w="7256" w:type="dxa"/>
            <w:noWrap w:val="0"/>
            <w:vAlign w:val="center"/>
          </w:tcPr>
          <w:p>
            <w:pPr>
              <w:pStyle w:val="16"/>
              <w:numPr>
                <w:ilvl w:val="0"/>
                <w:numId w:val="0"/>
              </w:numPr>
              <w:shd w:val="clear" w:color="auto" w:fill="FFFFFF"/>
              <w:adjustRightInd w:val="0"/>
              <w:snapToGrid w:val="0"/>
              <w:spacing w:before="0" w:beforeAutospacing="0" w:after="0" w:afterAutospacing="0" w:line="360" w:lineRule="auto"/>
              <w:ind w:leftChars="0" w:right="0" w:rightChars="0"/>
              <w:rPr>
                <w:rFonts w:hint="default" w:ascii="仿宋" w:hAnsi="仿宋" w:eastAsia="仿宋" w:cs="仿宋"/>
                <w:color w:val="auto"/>
                <w:kern w:val="0"/>
                <w:sz w:val="24"/>
                <w:szCs w:val="24"/>
                <w:highlight w:val="green"/>
                <w:lang w:val="en-US" w:eastAsia="zh-CN" w:bidi="zh-CN"/>
              </w:rPr>
            </w:pPr>
            <w:r>
              <w:rPr>
                <w:rFonts w:hint="default" w:ascii="仿宋" w:hAnsi="仿宋" w:eastAsia="仿宋" w:cs="仿宋"/>
                <w:color w:val="auto"/>
                <w:kern w:val="0"/>
                <w:sz w:val="24"/>
                <w:szCs w:val="24"/>
                <w:highlight w:val="green"/>
                <w:lang w:val="en-US" w:eastAsia="zh-CN" w:bidi="zh-CN"/>
              </w:rPr>
              <w:t>招标代理服务费收费标准:</w:t>
            </w:r>
          </w:p>
          <w:p>
            <w:pPr>
              <w:pStyle w:val="16"/>
              <w:numPr>
                <w:ilvl w:val="0"/>
                <w:numId w:val="0"/>
              </w:numPr>
              <w:shd w:val="clear" w:color="auto" w:fill="FFFFFF"/>
              <w:adjustRightInd w:val="0"/>
              <w:snapToGrid w:val="0"/>
              <w:spacing w:before="0" w:beforeAutospacing="0" w:after="0" w:afterAutospacing="0" w:line="360" w:lineRule="auto"/>
              <w:ind w:leftChars="0" w:right="0" w:rightChars="0"/>
              <w:rPr>
                <w:rFonts w:hint="default"/>
                <w:b w:val="0"/>
                <w:bCs w:val="0"/>
                <w:sz w:val="28"/>
                <w:szCs w:val="28"/>
                <w:highlight w:val="green"/>
                <w:lang w:val="en-US" w:eastAsia="zh-CN"/>
              </w:rPr>
            </w:pPr>
            <w:r>
              <w:rPr>
                <w:rFonts w:hint="default" w:ascii="仿宋" w:hAnsi="仿宋" w:eastAsia="仿宋" w:cs="仿宋"/>
                <w:color w:val="auto"/>
                <w:kern w:val="0"/>
                <w:sz w:val="24"/>
                <w:szCs w:val="24"/>
                <w:highlight w:val="green"/>
                <w:lang w:val="en-US" w:eastAsia="zh-CN" w:bidi="zh-CN"/>
              </w:rPr>
              <w:t>货物、服务类30万元以上，工程类50万元以上项目，执行市场指导价《国家发展改革委关于进一步放开建设项目专业服务价格的通知》发改价格[2015] 299号，经双方商定，按中标金额计取，执行国家发展改革委关于印发《招标代理服务收费管理暂行办法》的通知(计价格[2002] 1980 号)及国家发展改革委办公厅发改办价格[2003] 857号在取费标准上下浮</w:t>
            </w:r>
            <w:r>
              <w:rPr>
                <w:rFonts w:hint="default" w:ascii="仿宋" w:hAnsi="仿宋" w:eastAsia="仿宋" w:cs="仿宋"/>
                <w:color w:val="auto"/>
                <w:kern w:val="0"/>
                <w:sz w:val="24"/>
                <w:szCs w:val="24"/>
                <w:highlight w:val="green"/>
                <w:u w:val="single"/>
                <w:lang w:val="en-US" w:eastAsia="zh-CN" w:bidi="zh-CN"/>
              </w:rPr>
              <w:t xml:space="preserve"> 50 %</w:t>
            </w:r>
            <w:r>
              <w:rPr>
                <w:rFonts w:hint="eastAsia" w:ascii="仿宋" w:hAnsi="仿宋" w:eastAsia="仿宋" w:cs="仿宋"/>
                <w:color w:val="auto"/>
                <w:kern w:val="0"/>
                <w:sz w:val="24"/>
                <w:szCs w:val="24"/>
                <w:highlight w:val="green"/>
                <w:u w:val="single"/>
                <w:lang w:val="en-US" w:eastAsia="zh-CN" w:bidi="zh-CN"/>
              </w:rPr>
              <w:t xml:space="preserve"> </w:t>
            </w:r>
            <w:r>
              <w:rPr>
                <w:rFonts w:hint="default" w:ascii="仿宋" w:hAnsi="仿宋" w:eastAsia="仿宋" w:cs="仿宋"/>
                <w:color w:val="auto"/>
                <w:kern w:val="0"/>
                <w:sz w:val="24"/>
                <w:szCs w:val="24"/>
                <w:highlight w:val="green"/>
                <w:lang w:val="en-US" w:eastAsia="zh-CN" w:bidi="zh-CN"/>
              </w:rPr>
              <w:t>。</w:t>
            </w:r>
          </w:p>
        </w:tc>
      </w:tr>
    </w:tbl>
    <w:p>
      <w:pPr>
        <w:pStyle w:val="10"/>
        <w:snapToGrid w:val="0"/>
        <w:spacing w:line="360" w:lineRule="auto"/>
        <w:rPr>
          <w:rFonts w:hint="eastAsia" w:ascii="仿宋" w:hAnsi="仿宋" w:eastAsia="仿宋" w:cs="仿宋"/>
          <w:b/>
          <w:color w:val="auto"/>
          <w:sz w:val="24"/>
          <w:szCs w:val="24"/>
          <w:highlight w:val="none"/>
        </w:rPr>
        <w:sectPr>
          <w:headerReference r:id="rId5" w:type="default"/>
          <w:footerReference r:id="rId6" w:type="default"/>
          <w:pgSz w:w="11906" w:h="16838"/>
          <w:pgMar w:top="1440" w:right="1800" w:bottom="1440" w:left="1800" w:header="851" w:footer="851" w:gutter="0"/>
          <w:pgNumType w:start="1"/>
          <w:cols w:space="720" w:num="1"/>
          <w:docGrid w:type="lines" w:linePitch="312" w:charSpace="0"/>
        </w:sectPr>
      </w:pPr>
    </w:p>
    <w:p>
      <w:pPr>
        <w:pStyle w:val="4"/>
        <w:numPr>
          <w:ilvl w:val="0"/>
          <w:numId w:val="6"/>
        </w:numPr>
        <w:spacing w:before="0" w:after="0" w:line="360" w:lineRule="auto"/>
        <w:ind w:right="0" w:rightChars="0" w:firstLine="3213" w:firstLineChars="1000"/>
        <w:jc w:val="both"/>
        <w:rPr>
          <w:rFonts w:hint="eastAsia" w:ascii="仿宋" w:hAnsi="仿宋" w:eastAsia="仿宋" w:cs="仿宋"/>
          <w:color w:val="auto"/>
          <w:szCs w:val="32"/>
          <w:highlight w:val="none"/>
          <w:lang w:eastAsia="zh-CN"/>
        </w:rPr>
      </w:pPr>
      <w:r>
        <w:rPr>
          <w:rFonts w:hint="eastAsia" w:ascii="仿宋" w:hAnsi="仿宋" w:eastAsia="仿宋" w:cs="仿宋"/>
          <w:color w:val="auto"/>
          <w:szCs w:val="32"/>
          <w:highlight w:val="none"/>
          <w:lang w:eastAsia="zh-CN"/>
        </w:rPr>
        <w:t>投标须知</w:t>
      </w:r>
    </w:p>
    <w:p>
      <w:pPr>
        <w:numPr>
          <w:ilvl w:val="0"/>
          <w:numId w:val="0"/>
        </w:numPr>
        <w:ind w:right="0" w:rightChars="0" w:firstLine="3654" w:firstLineChars="13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一、总则</w:t>
      </w:r>
      <w:bookmarkStart w:id="109" w:name="_GoBack"/>
      <w:bookmarkEnd w:id="109"/>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本招标文件适用于本项目的招标、投标、评标、定标、验收、合同履约、付款等行为（法律、法规另有规定的，从其规定）。</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（二）定义</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1.招标采购单位系指组织本次招标</w:t>
      </w:r>
      <w:r>
        <w:rPr>
          <w:rFonts w:hint="eastAsia" w:ascii="仿宋" w:hAnsi="仿宋" w:eastAsia="仿宋" w:cs="仿宋"/>
          <w:color w:val="auto"/>
          <w:sz w:val="24"/>
          <w:highlight w:val="none"/>
          <w:lang w:eastAsia="zh-CN"/>
        </w:rPr>
        <w:t>的招标人</w:t>
      </w:r>
      <w:r>
        <w:rPr>
          <w:rFonts w:hint="eastAsia" w:ascii="仿宋" w:hAnsi="仿宋" w:eastAsia="仿宋" w:cs="仿宋"/>
          <w:color w:val="auto"/>
          <w:sz w:val="24"/>
          <w:highlight w:val="none"/>
        </w:rPr>
        <w:t>。</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2.“投标人”系指向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提交投标文件的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或个人。</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3.“产品”系指供方按招标文件规定，须向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提供的一切设备、保险、税金、备品备件、工具、手册及其它有关技术资料和材料。</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4.“服务”系指招标文件规定</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须承担的技术协助、校准、培训、技术指导以及其他类似的义务。</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5.“项目”系指</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按招标文件规定向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提供的产品和服务。</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6.“书面形式”包括信函、传真、电报等。</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7.“▲”系指实质性要求条款。</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（三）招标方式</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本次招标采用公开招标方式进行。</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（四）投标报名</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有意参加本次招标项目的</w:t>
      </w:r>
      <w:r>
        <w:rPr>
          <w:rFonts w:hint="eastAsia" w:ascii="仿宋" w:hAnsi="仿宋" w:eastAsia="仿宋" w:cs="仿宋"/>
          <w:color w:val="auto"/>
          <w:sz w:val="24"/>
          <w:highlight w:val="none"/>
          <w:lang w:eastAsia="zh-CN"/>
        </w:rPr>
        <w:t>投标投标人</w:t>
      </w:r>
      <w:r>
        <w:rPr>
          <w:rFonts w:hint="eastAsia" w:ascii="仿宋" w:hAnsi="仿宋" w:eastAsia="仿宋" w:cs="仿宋"/>
          <w:color w:val="auto"/>
          <w:sz w:val="24"/>
          <w:highlight w:val="none"/>
        </w:rPr>
        <w:t>，在符合招标公告报名条件的前提下，</w:t>
      </w:r>
      <w:r>
        <w:rPr>
          <w:rFonts w:hint="eastAsia" w:ascii="仿宋" w:hAnsi="仿宋" w:eastAsia="仿宋" w:cs="仿宋"/>
          <w:color w:val="auto"/>
          <w:sz w:val="24"/>
          <w:highlight w:val="none"/>
          <w:lang w:eastAsia="zh-CN"/>
        </w:rPr>
        <w:t>请</w:t>
      </w:r>
      <w:r>
        <w:rPr>
          <w:rFonts w:hint="eastAsia" w:ascii="仿宋" w:hAnsi="仿宋" w:eastAsia="仿宋" w:cs="仿宋"/>
          <w:color w:val="auto"/>
          <w:sz w:val="24"/>
          <w:highlight w:val="none"/>
          <w:lang w:val="en-US" w:eastAsia="zh-CN"/>
        </w:rPr>
        <w:t>投标人按照公告要求提供资料线上</w:t>
      </w:r>
      <w:r>
        <w:rPr>
          <w:rFonts w:hint="eastAsia" w:ascii="仿宋" w:hAnsi="仿宋" w:eastAsia="仿宋" w:cs="仿宋"/>
          <w:color w:val="auto"/>
          <w:sz w:val="24"/>
          <w:highlight w:val="none"/>
          <w:lang w:eastAsia="zh-CN"/>
        </w:rPr>
        <w:t>进行报名。</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（五）投标费用</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不论投标结果如何，</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均应自行承担所有与投标有关的全部费用。</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（六）联合体投标</w:t>
      </w:r>
    </w:p>
    <w:p>
      <w:pPr>
        <w:snapToGrid w:val="0"/>
        <w:spacing w:line="360" w:lineRule="auto"/>
        <w:ind w:firstLine="480" w:firstLineChars="200"/>
        <w:rPr>
          <w:rFonts w:hint="eastAsia" w:ascii="仿宋" w:hAnsi="仿宋" w:eastAsia="仿宋" w:cs="仿宋"/>
          <w:color w:val="auto"/>
          <w:spacing w:val="10"/>
          <w:sz w:val="24"/>
          <w:highlight w:val="none"/>
        </w:rPr>
      </w:pPr>
      <w:r>
        <w:rPr>
          <w:rFonts w:hint="eastAsia" w:ascii="仿宋" w:hAnsi="仿宋" w:eastAsia="仿宋" w:cs="仿宋"/>
          <w:color w:val="auto"/>
          <w:sz w:val="24"/>
          <w:highlight w:val="none"/>
        </w:rPr>
        <w:t>本项目不接受联合体投标。</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（七）转包与分包</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1.本项目不允许转包。</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2.本项目不可以分包。</w:t>
      </w:r>
    </w:p>
    <w:p>
      <w:pPr>
        <w:pStyle w:val="1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3.</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应仔细阅读招标文件的所有内容，按照招标文件的要求提交投标文件，并对所提供的全部资料的真实性承担法律责任。</w:t>
      </w:r>
    </w:p>
    <w:p>
      <w:pPr>
        <w:pStyle w:val="1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在投标活动中提供任何虚假材料,其投标无效，并报监管部门查处；中标后发现的,中标人须依照《中华人民共和国消费者权益保护法》第49条之规定双倍赔偿</w:t>
      </w:r>
      <w:r>
        <w:rPr>
          <w:rFonts w:hint="eastAsia" w:ascii="仿宋" w:hAnsi="仿宋" w:eastAsia="仿宋" w:cs="仿宋"/>
          <w:color w:val="auto"/>
          <w:kern w:val="0"/>
          <w:sz w:val="24"/>
          <w:szCs w:val="24"/>
          <w:highlight w:val="none"/>
          <w:lang w:eastAsia="zh-CN"/>
        </w:rPr>
        <w:t>招标人</w:t>
      </w:r>
      <w:r>
        <w:rPr>
          <w:rFonts w:hint="eastAsia" w:ascii="仿宋" w:hAnsi="仿宋" w:eastAsia="仿宋" w:cs="仿宋"/>
          <w:color w:val="auto"/>
          <w:kern w:val="0"/>
          <w:sz w:val="24"/>
          <w:szCs w:val="24"/>
          <w:highlight w:val="none"/>
        </w:rPr>
        <w:t>，且民事赔偿并不免除违法</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的行政与刑事责任。</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（八）质疑和投诉</w:t>
      </w:r>
    </w:p>
    <w:p>
      <w:pPr>
        <w:pStyle w:val="1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认为招标文件、招标过程或中标结果使自己的合法权益受到损害的，应当在知道或者应知其权益受到损害之日起七个工作日内，以书面形式向</w:t>
      </w:r>
      <w:r>
        <w:rPr>
          <w:rFonts w:hint="eastAsia" w:ascii="仿宋" w:hAnsi="仿宋" w:eastAsia="仿宋" w:cs="仿宋"/>
          <w:color w:val="auto"/>
          <w:kern w:val="0"/>
          <w:sz w:val="24"/>
          <w:szCs w:val="24"/>
          <w:highlight w:val="none"/>
          <w:lang w:eastAsia="zh-CN"/>
        </w:rPr>
        <w:t>招标人</w:t>
      </w:r>
      <w:r>
        <w:rPr>
          <w:rFonts w:hint="eastAsia" w:ascii="仿宋" w:hAnsi="仿宋" w:eastAsia="仿宋" w:cs="仿宋"/>
          <w:color w:val="auto"/>
          <w:kern w:val="0"/>
          <w:sz w:val="24"/>
          <w:szCs w:val="24"/>
          <w:highlight w:val="none"/>
        </w:rPr>
        <w:t>、招标代理机构提出质疑。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对招标</w:t>
      </w:r>
      <w:r>
        <w:rPr>
          <w:rFonts w:hint="eastAsia" w:ascii="仿宋" w:hAnsi="仿宋" w:eastAsia="仿宋" w:cs="仿宋"/>
          <w:color w:val="auto"/>
          <w:sz w:val="24"/>
          <w:szCs w:val="22"/>
          <w:highlight w:val="none"/>
          <w:lang w:val="en-US" w:eastAsia="zh-CN" w:bidi="zh-CN"/>
        </w:rPr>
        <w:t>招标人</w:t>
      </w:r>
      <w:r>
        <w:rPr>
          <w:rFonts w:hint="eastAsia" w:ascii="仿宋" w:hAnsi="仿宋" w:eastAsia="仿宋" w:cs="仿宋"/>
          <w:color w:val="auto"/>
          <w:kern w:val="0"/>
          <w:sz w:val="24"/>
          <w:szCs w:val="24"/>
          <w:highlight w:val="none"/>
        </w:rPr>
        <w:t>的质疑答复不满意或者招标</w:t>
      </w:r>
      <w:r>
        <w:rPr>
          <w:rFonts w:hint="eastAsia" w:ascii="仿宋" w:hAnsi="仿宋" w:eastAsia="仿宋" w:cs="仿宋"/>
          <w:color w:val="auto"/>
          <w:sz w:val="24"/>
          <w:szCs w:val="22"/>
          <w:highlight w:val="none"/>
          <w:lang w:val="en-US" w:eastAsia="zh-CN" w:bidi="zh-CN"/>
        </w:rPr>
        <w:t>招标人</w:t>
      </w:r>
      <w:r>
        <w:rPr>
          <w:rFonts w:hint="eastAsia" w:ascii="仿宋" w:hAnsi="仿宋" w:eastAsia="仿宋" w:cs="仿宋"/>
          <w:color w:val="auto"/>
          <w:kern w:val="0"/>
          <w:sz w:val="24"/>
          <w:szCs w:val="24"/>
          <w:highlight w:val="none"/>
        </w:rPr>
        <w:t>未在规定时间内作出答复的，可以在答复期满后十五个工作日内向</w:t>
      </w:r>
      <w:r>
        <w:rPr>
          <w:rFonts w:hint="eastAsia" w:ascii="仿宋" w:hAnsi="仿宋" w:eastAsia="仿宋" w:cs="仿宋"/>
          <w:color w:val="auto"/>
          <w:kern w:val="0"/>
          <w:sz w:val="24"/>
          <w:szCs w:val="24"/>
          <w:highlight w:val="none"/>
          <w:lang w:eastAsia="zh-CN"/>
        </w:rPr>
        <w:t>招标人</w:t>
      </w:r>
      <w:r>
        <w:rPr>
          <w:rFonts w:hint="eastAsia" w:ascii="仿宋" w:hAnsi="仿宋" w:eastAsia="仿宋" w:cs="仿宋"/>
          <w:color w:val="auto"/>
          <w:kern w:val="0"/>
          <w:sz w:val="24"/>
          <w:szCs w:val="24"/>
          <w:highlight w:val="none"/>
        </w:rPr>
        <w:t>投诉。</w:t>
      </w:r>
    </w:p>
    <w:p>
      <w:pPr>
        <w:pStyle w:val="1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4"/>
        <w:numPr>
          <w:ilvl w:val="1"/>
          <w:numId w:val="0"/>
        </w:numPr>
        <w:spacing w:before="0" w:after="0" w:line="360" w:lineRule="auto"/>
        <w:ind w:left="-420" w:leftChars="0" w:right="0" w:rightChars="0" w:firstLine="3855" w:firstLineChars="1600"/>
        <w:jc w:val="both"/>
        <w:rPr>
          <w:rFonts w:hint="eastAsia" w:ascii="仿宋" w:hAnsi="仿宋" w:eastAsia="仿宋" w:cs="仿宋"/>
          <w:color w:val="auto"/>
          <w:sz w:val="24"/>
          <w:szCs w:val="24"/>
          <w:highlight w:val="none"/>
        </w:rPr>
      </w:pPr>
      <w:bookmarkStart w:id="33" w:name="_Toc32144"/>
      <w:bookmarkStart w:id="34" w:name="_Toc503212209"/>
      <w:bookmarkStart w:id="35" w:name="_Toc521014777"/>
      <w:bookmarkStart w:id="36" w:name="_Toc30350"/>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招标文件</w:t>
      </w:r>
      <w:bookmarkEnd w:id="33"/>
      <w:bookmarkEnd w:id="34"/>
      <w:bookmarkEnd w:id="35"/>
      <w:bookmarkEnd w:id="36"/>
    </w:p>
    <w:p>
      <w:pPr>
        <w:snapToGrid w:val="0"/>
        <w:spacing w:line="360" w:lineRule="auto"/>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（一）招标文件的构成。本招标文件由以下部份组成：</w:t>
      </w:r>
    </w:p>
    <w:p>
      <w:pPr>
        <w:pStyle w:val="18"/>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b/>
          <w:color w:val="auto"/>
          <w:sz w:val="24"/>
          <w:highlight w:val="none"/>
          <w:lang w:val="en-US" w:eastAsia="zh-CN"/>
        </w:rPr>
        <w:t>1.招标文件包括下列内容</w:t>
      </w:r>
    </w:p>
    <w:p>
      <w:pPr>
        <w:pStyle w:val="14"/>
        <w:tabs>
          <w:tab w:val="left" w:pos="840"/>
          <w:tab w:val="right" w:leader="dot" w:pos="9008"/>
        </w:tabs>
        <w:spacing w:before="0" w:after="0" w:line="360" w:lineRule="auto"/>
        <w:ind w:firstLine="240" w:firstLineChars="100"/>
        <w:rPr>
          <w:rFonts w:hint="eastAsia" w:ascii="仿宋" w:hAnsi="仿宋" w:eastAsia="仿宋" w:cs="仿宋"/>
          <w:b w:val="0"/>
          <w:bCs w:val="0"/>
          <w:caps w:val="0"/>
          <w:color w:val="auto"/>
          <w:sz w:val="24"/>
          <w:szCs w:val="24"/>
          <w:highlight w:val="none"/>
        </w:rPr>
      </w:pPr>
      <w:r>
        <w:rPr>
          <w:rFonts w:hint="eastAsia" w:ascii="仿宋" w:hAnsi="仿宋" w:eastAsia="仿宋" w:cs="仿宋"/>
          <w:b w:val="0"/>
          <w:bCs w:val="0"/>
          <w:caps w:val="0"/>
          <w:color w:val="auto"/>
          <w:sz w:val="24"/>
          <w:szCs w:val="24"/>
          <w:highlight w:val="none"/>
        </w:rPr>
        <w:fldChar w:fldCharType="begin"/>
      </w:r>
      <w:r>
        <w:rPr>
          <w:rFonts w:hint="eastAsia" w:ascii="仿宋" w:hAnsi="仿宋" w:eastAsia="仿宋" w:cs="仿宋"/>
          <w:b w:val="0"/>
          <w:bCs w:val="0"/>
          <w:caps w:val="0"/>
          <w:color w:val="auto"/>
          <w:sz w:val="24"/>
          <w:szCs w:val="24"/>
          <w:highlight w:val="none"/>
        </w:rPr>
        <w:instrText xml:space="preserve"> HYPERLINK \l "_Toc521014774" </w:instrText>
      </w:r>
      <w:r>
        <w:rPr>
          <w:rFonts w:hint="eastAsia" w:ascii="仿宋" w:hAnsi="仿宋" w:eastAsia="仿宋" w:cs="仿宋"/>
          <w:b w:val="0"/>
          <w:bCs w:val="0"/>
          <w:caps w:val="0"/>
          <w:color w:val="auto"/>
          <w:sz w:val="24"/>
          <w:szCs w:val="24"/>
          <w:highlight w:val="none"/>
        </w:rPr>
        <w:fldChar w:fldCharType="separate"/>
      </w:r>
      <w:r>
        <w:rPr>
          <w:rFonts w:hint="eastAsia" w:ascii="仿宋" w:hAnsi="仿宋" w:eastAsia="仿宋" w:cs="仿宋"/>
          <w:b w:val="0"/>
          <w:bCs w:val="0"/>
          <w:caps w:val="0"/>
          <w:color w:val="auto"/>
          <w:sz w:val="24"/>
          <w:szCs w:val="24"/>
          <w:highlight w:val="none"/>
        </w:rPr>
        <w:t>第一章  招标公告</w:t>
      </w:r>
      <w:r>
        <w:rPr>
          <w:rFonts w:hint="eastAsia" w:ascii="仿宋" w:hAnsi="仿宋" w:eastAsia="仿宋" w:cs="仿宋"/>
          <w:b w:val="0"/>
          <w:bCs w:val="0"/>
          <w:caps w:val="0"/>
          <w:color w:val="auto"/>
          <w:sz w:val="24"/>
          <w:szCs w:val="24"/>
          <w:highlight w:val="none"/>
        </w:rPr>
        <w:fldChar w:fldCharType="end"/>
      </w:r>
    </w:p>
    <w:p>
      <w:pPr>
        <w:pStyle w:val="14"/>
        <w:tabs>
          <w:tab w:val="left" w:pos="840"/>
          <w:tab w:val="right" w:leader="dot" w:pos="9008"/>
        </w:tabs>
        <w:spacing w:before="0" w:after="0" w:line="360" w:lineRule="auto"/>
        <w:ind w:firstLine="240" w:firstLineChars="100"/>
        <w:rPr>
          <w:rFonts w:hint="eastAsia" w:ascii="仿宋" w:hAnsi="仿宋" w:eastAsia="仿宋" w:cs="仿宋"/>
          <w:b w:val="0"/>
          <w:bCs w:val="0"/>
          <w:caps w:val="0"/>
          <w:color w:val="auto"/>
          <w:sz w:val="24"/>
          <w:szCs w:val="24"/>
          <w:highlight w:val="none"/>
          <w:lang w:eastAsia="zh-CN"/>
        </w:rPr>
      </w:pPr>
      <w:r>
        <w:rPr>
          <w:rFonts w:hint="eastAsia" w:ascii="仿宋" w:hAnsi="仿宋" w:eastAsia="仿宋" w:cs="仿宋"/>
          <w:b w:val="0"/>
          <w:bCs w:val="0"/>
          <w:caps w:val="0"/>
          <w:color w:val="auto"/>
          <w:sz w:val="24"/>
          <w:szCs w:val="24"/>
          <w:highlight w:val="none"/>
        </w:rPr>
        <w:fldChar w:fldCharType="begin"/>
      </w:r>
      <w:r>
        <w:rPr>
          <w:rFonts w:hint="eastAsia" w:ascii="仿宋" w:hAnsi="仿宋" w:eastAsia="仿宋" w:cs="仿宋"/>
          <w:b w:val="0"/>
          <w:bCs w:val="0"/>
          <w:caps w:val="0"/>
          <w:color w:val="auto"/>
          <w:sz w:val="24"/>
          <w:szCs w:val="24"/>
          <w:highlight w:val="none"/>
        </w:rPr>
        <w:instrText xml:space="preserve"> HYPERLINK \l "_Toc521014775" </w:instrText>
      </w:r>
      <w:r>
        <w:rPr>
          <w:rFonts w:hint="eastAsia" w:ascii="仿宋" w:hAnsi="仿宋" w:eastAsia="仿宋" w:cs="仿宋"/>
          <w:b w:val="0"/>
          <w:bCs w:val="0"/>
          <w:caps w:val="0"/>
          <w:color w:val="auto"/>
          <w:sz w:val="24"/>
          <w:szCs w:val="24"/>
          <w:highlight w:val="none"/>
        </w:rPr>
        <w:fldChar w:fldCharType="separate"/>
      </w:r>
      <w:r>
        <w:rPr>
          <w:rFonts w:hint="eastAsia" w:ascii="仿宋" w:hAnsi="仿宋" w:eastAsia="仿宋" w:cs="仿宋"/>
          <w:b w:val="0"/>
          <w:bCs w:val="0"/>
          <w:caps w:val="0"/>
          <w:color w:val="auto"/>
          <w:sz w:val="24"/>
          <w:szCs w:val="24"/>
          <w:highlight w:val="none"/>
        </w:rPr>
        <w:t xml:space="preserve">第二章  </w:t>
      </w:r>
      <w:r>
        <w:rPr>
          <w:rFonts w:hint="eastAsia" w:ascii="仿宋" w:hAnsi="仿宋" w:eastAsia="仿宋" w:cs="仿宋"/>
          <w:b w:val="0"/>
          <w:bCs w:val="0"/>
          <w:caps w:val="0"/>
          <w:color w:val="auto"/>
          <w:sz w:val="24"/>
          <w:szCs w:val="24"/>
          <w:highlight w:val="none"/>
          <w:lang w:eastAsia="zh-CN"/>
        </w:rPr>
        <w:t>投标人</w:t>
      </w:r>
      <w:r>
        <w:rPr>
          <w:rFonts w:hint="eastAsia" w:ascii="仿宋" w:hAnsi="仿宋" w:eastAsia="仿宋" w:cs="仿宋"/>
          <w:b w:val="0"/>
          <w:bCs w:val="0"/>
          <w:caps w:val="0"/>
          <w:color w:val="auto"/>
          <w:sz w:val="24"/>
          <w:szCs w:val="24"/>
          <w:highlight w:val="none"/>
        </w:rPr>
        <w:t>须知</w:t>
      </w:r>
      <w:r>
        <w:rPr>
          <w:rFonts w:hint="eastAsia" w:ascii="仿宋" w:hAnsi="仿宋" w:eastAsia="仿宋" w:cs="仿宋"/>
          <w:b w:val="0"/>
          <w:bCs w:val="0"/>
          <w:caps w:val="0"/>
          <w:color w:val="auto"/>
          <w:sz w:val="24"/>
          <w:szCs w:val="24"/>
          <w:highlight w:val="none"/>
        </w:rPr>
        <w:fldChar w:fldCharType="end"/>
      </w:r>
      <w:r>
        <w:rPr>
          <w:rFonts w:hint="eastAsia" w:ascii="仿宋" w:hAnsi="仿宋" w:eastAsia="仿宋" w:cs="仿宋"/>
          <w:b w:val="0"/>
          <w:bCs w:val="0"/>
          <w:caps w:val="0"/>
          <w:color w:val="auto"/>
          <w:sz w:val="24"/>
          <w:szCs w:val="24"/>
          <w:highlight w:val="none"/>
          <w:lang w:eastAsia="zh-CN"/>
        </w:rPr>
        <w:t>前附表及投标人须知</w:t>
      </w:r>
    </w:p>
    <w:p>
      <w:pPr>
        <w:pStyle w:val="14"/>
        <w:tabs>
          <w:tab w:val="left" w:pos="840"/>
          <w:tab w:val="right" w:leader="dot" w:pos="9008"/>
        </w:tabs>
        <w:spacing w:before="0" w:after="0" w:line="360" w:lineRule="auto"/>
        <w:ind w:firstLine="240" w:firstLineChars="100"/>
        <w:rPr>
          <w:rFonts w:hint="eastAsia" w:ascii="仿宋" w:hAnsi="仿宋" w:eastAsia="仿宋" w:cs="仿宋"/>
          <w:b w:val="0"/>
          <w:bCs w:val="0"/>
          <w:caps w:val="0"/>
          <w:color w:val="auto"/>
          <w:sz w:val="24"/>
          <w:szCs w:val="24"/>
          <w:highlight w:val="none"/>
        </w:rPr>
      </w:pPr>
      <w:r>
        <w:rPr>
          <w:rFonts w:hint="eastAsia" w:ascii="仿宋" w:hAnsi="仿宋" w:eastAsia="仿宋" w:cs="仿宋"/>
          <w:b w:val="0"/>
          <w:bCs w:val="0"/>
          <w:caps w:val="0"/>
          <w:color w:val="auto"/>
          <w:sz w:val="24"/>
          <w:szCs w:val="24"/>
          <w:highlight w:val="none"/>
        </w:rPr>
        <w:fldChar w:fldCharType="begin"/>
      </w:r>
      <w:r>
        <w:rPr>
          <w:rFonts w:hint="eastAsia" w:ascii="仿宋" w:hAnsi="仿宋" w:eastAsia="仿宋" w:cs="仿宋"/>
          <w:b w:val="0"/>
          <w:bCs w:val="0"/>
          <w:caps w:val="0"/>
          <w:color w:val="auto"/>
          <w:sz w:val="24"/>
          <w:szCs w:val="24"/>
          <w:highlight w:val="none"/>
        </w:rPr>
        <w:instrText xml:space="preserve"> HYPERLINK \l "_Toc521014791" </w:instrText>
      </w:r>
      <w:r>
        <w:rPr>
          <w:rFonts w:hint="eastAsia" w:ascii="仿宋" w:hAnsi="仿宋" w:eastAsia="仿宋" w:cs="仿宋"/>
          <w:b w:val="0"/>
          <w:bCs w:val="0"/>
          <w:caps w:val="0"/>
          <w:color w:val="auto"/>
          <w:sz w:val="24"/>
          <w:szCs w:val="24"/>
          <w:highlight w:val="none"/>
        </w:rPr>
        <w:fldChar w:fldCharType="separate"/>
      </w:r>
      <w:r>
        <w:rPr>
          <w:rFonts w:hint="eastAsia" w:ascii="仿宋" w:hAnsi="仿宋" w:eastAsia="仿宋" w:cs="仿宋"/>
          <w:b w:val="0"/>
          <w:bCs w:val="0"/>
          <w:caps w:val="0"/>
          <w:color w:val="auto"/>
          <w:sz w:val="24"/>
          <w:szCs w:val="24"/>
          <w:highlight w:val="none"/>
        </w:rPr>
        <w:t>第三章  评标办法及标准</w:t>
      </w:r>
      <w:r>
        <w:rPr>
          <w:rFonts w:hint="eastAsia" w:ascii="仿宋" w:hAnsi="仿宋" w:eastAsia="仿宋" w:cs="仿宋"/>
          <w:b w:val="0"/>
          <w:bCs w:val="0"/>
          <w:caps w:val="0"/>
          <w:color w:val="auto"/>
          <w:sz w:val="24"/>
          <w:szCs w:val="24"/>
          <w:highlight w:val="none"/>
        </w:rPr>
        <w:fldChar w:fldCharType="end"/>
      </w:r>
    </w:p>
    <w:p>
      <w:pPr>
        <w:pStyle w:val="14"/>
        <w:tabs>
          <w:tab w:val="left" w:pos="840"/>
          <w:tab w:val="right" w:leader="dot" w:pos="9008"/>
        </w:tabs>
        <w:spacing w:before="0" w:after="0" w:line="360" w:lineRule="auto"/>
        <w:ind w:firstLine="240" w:firstLineChars="100"/>
        <w:rPr>
          <w:rFonts w:hint="eastAsia" w:ascii="仿宋" w:hAnsi="仿宋" w:eastAsia="仿宋" w:cs="仿宋"/>
          <w:b w:val="0"/>
          <w:bCs w:val="0"/>
          <w:caps w:val="0"/>
          <w:color w:val="auto"/>
          <w:sz w:val="24"/>
          <w:szCs w:val="24"/>
          <w:highlight w:val="none"/>
        </w:rPr>
      </w:pPr>
      <w:r>
        <w:rPr>
          <w:rFonts w:hint="eastAsia" w:ascii="仿宋" w:hAnsi="仿宋" w:eastAsia="仿宋" w:cs="仿宋"/>
          <w:b w:val="0"/>
          <w:bCs w:val="0"/>
          <w:caps w:val="0"/>
          <w:color w:val="auto"/>
          <w:sz w:val="24"/>
          <w:szCs w:val="24"/>
          <w:highlight w:val="none"/>
        </w:rPr>
        <w:fldChar w:fldCharType="begin"/>
      </w:r>
      <w:r>
        <w:rPr>
          <w:rFonts w:hint="eastAsia" w:ascii="仿宋" w:hAnsi="仿宋" w:eastAsia="仿宋" w:cs="仿宋"/>
          <w:b w:val="0"/>
          <w:bCs w:val="0"/>
          <w:caps w:val="0"/>
          <w:color w:val="auto"/>
          <w:sz w:val="24"/>
          <w:szCs w:val="24"/>
          <w:highlight w:val="none"/>
        </w:rPr>
        <w:instrText xml:space="preserve"> HYPERLINK \l "_Toc521014792" </w:instrText>
      </w:r>
      <w:r>
        <w:rPr>
          <w:rFonts w:hint="eastAsia" w:ascii="仿宋" w:hAnsi="仿宋" w:eastAsia="仿宋" w:cs="仿宋"/>
          <w:b w:val="0"/>
          <w:bCs w:val="0"/>
          <w:caps w:val="0"/>
          <w:color w:val="auto"/>
          <w:sz w:val="24"/>
          <w:szCs w:val="24"/>
          <w:highlight w:val="none"/>
        </w:rPr>
        <w:fldChar w:fldCharType="separate"/>
      </w:r>
      <w:r>
        <w:rPr>
          <w:rFonts w:hint="eastAsia" w:ascii="仿宋" w:hAnsi="仿宋" w:eastAsia="仿宋" w:cs="仿宋"/>
          <w:b w:val="0"/>
          <w:bCs w:val="0"/>
          <w:caps w:val="0"/>
          <w:color w:val="auto"/>
          <w:sz w:val="24"/>
          <w:szCs w:val="24"/>
          <w:highlight w:val="none"/>
        </w:rPr>
        <w:t>第四章  招标需求</w:t>
      </w:r>
      <w:r>
        <w:rPr>
          <w:rFonts w:hint="eastAsia" w:ascii="仿宋" w:hAnsi="仿宋" w:eastAsia="仿宋" w:cs="仿宋"/>
          <w:b w:val="0"/>
          <w:bCs w:val="0"/>
          <w:caps w:val="0"/>
          <w:color w:val="auto"/>
          <w:sz w:val="24"/>
          <w:szCs w:val="24"/>
          <w:highlight w:val="none"/>
        </w:rPr>
        <w:fldChar w:fldCharType="end"/>
      </w:r>
    </w:p>
    <w:p>
      <w:pPr>
        <w:pStyle w:val="14"/>
        <w:tabs>
          <w:tab w:val="left" w:pos="840"/>
          <w:tab w:val="right" w:leader="dot" w:pos="9008"/>
        </w:tabs>
        <w:spacing w:before="0" w:after="0" w:line="360" w:lineRule="auto"/>
        <w:ind w:firstLine="240" w:firstLineChars="100"/>
        <w:rPr>
          <w:rFonts w:hint="eastAsia" w:ascii="仿宋" w:hAnsi="仿宋" w:eastAsia="仿宋" w:cs="仿宋"/>
          <w:b w:val="0"/>
          <w:bCs w:val="0"/>
          <w:caps w:val="0"/>
          <w:color w:val="auto"/>
          <w:sz w:val="24"/>
          <w:szCs w:val="24"/>
          <w:highlight w:val="none"/>
        </w:rPr>
      </w:pPr>
      <w:r>
        <w:rPr>
          <w:rFonts w:hint="eastAsia" w:ascii="仿宋" w:hAnsi="仿宋" w:eastAsia="仿宋" w:cs="仿宋"/>
          <w:b w:val="0"/>
          <w:bCs w:val="0"/>
          <w:caps w:val="0"/>
          <w:color w:val="auto"/>
          <w:sz w:val="24"/>
          <w:szCs w:val="24"/>
          <w:highlight w:val="none"/>
        </w:rPr>
        <w:fldChar w:fldCharType="begin"/>
      </w:r>
      <w:r>
        <w:rPr>
          <w:rFonts w:hint="eastAsia" w:ascii="仿宋" w:hAnsi="仿宋" w:eastAsia="仿宋" w:cs="仿宋"/>
          <w:b w:val="0"/>
          <w:bCs w:val="0"/>
          <w:caps w:val="0"/>
          <w:color w:val="auto"/>
          <w:sz w:val="24"/>
          <w:szCs w:val="24"/>
          <w:highlight w:val="none"/>
        </w:rPr>
        <w:instrText xml:space="preserve"> HYPERLINK \l "_Toc521014793" </w:instrText>
      </w:r>
      <w:r>
        <w:rPr>
          <w:rFonts w:hint="eastAsia" w:ascii="仿宋" w:hAnsi="仿宋" w:eastAsia="仿宋" w:cs="仿宋"/>
          <w:b w:val="0"/>
          <w:bCs w:val="0"/>
          <w:caps w:val="0"/>
          <w:color w:val="auto"/>
          <w:sz w:val="24"/>
          <w:szCs w:val="24"/>
          <w:highlight w:val="none"/>
        </w:rPr>
        <w:fldChar w:fldCharType="separate"/>
      </w:r>
      <w:r>
        <w:rPr>
          <w:rFonts w:hint="eastAsia" w:ascii="仿宋" w:hAnsi="仿宋" w:eastAsia="仿宋" w:cs="仿宋"/>
          <w:b w:val="0"/>
          <w:bCs w:val="0"/>
          <w:caps w:val="0"/>
          <w:color w:val="auto"/>
          <w:sz w:val="24"/>
          <w:szCs w:val="24"/>
          <w:highlight w:val="none"/>
        </w:rPr>
        <w:t>第五章  合同条款及合同格式</w:t>
      </w:r>
      <w:r>
        <w:rPr>
          <w:rFonts w:hint="eastAsia" w:ascii="仿宋" w:hAnsi="仿宋" w:eastAsia="仿宋" w:cs="仿宋"/>
          <w:b w:val="0"/>
          <w:bCs w:val="0"/>
          <w:caps w:val="0"/>
          <w:color w:val="auto"/>
          <w:sz w:val="24"/>
          <w:szCs w:val="24"/>
          <w:highlight w:val="none"/>
        </w:rPr>
        <w:fldChar w:fldCharType="end"/>
      </w:r>
    </w:p>
    <w:p>
      <w:pPr>
        <w:pStyle w:val="14"/>
        <w:tabs>
          <w:tab w:val="left" w:pos="840"/>
          <w:tab w:val="right" w:leader="dot" w:pos="9008"/>
        </w:tabs>
        <w:spacing w:before="0" w:after="0" w:line="360" w:lineRule="auto"/>
        <w:ind w:firstLine="240" w:firstLineChars="100"/>
        <w:rPr>
          <w:rFonts w:hint="eastAsia" w:ascii="仿宋" w:hAnsi="仿宋" w:eastAsia="仿宋" w:cs="仿宋"/>
          <w:b w:val="0"/>
          <w:bCs w:val="0"/>
          <w:caps w:val="0"/>
          <w:color w:val="auto"/>
          <w:sz w:val="24"/>
          <w:szCs w:val="24"/>
          <w:highlight w:val="none"/>
        </w:rPr>
      </w:pPr>
      <w:r>
        <w:rPr>
          <w:rFonts w:hint="eastAsia" w:ascii="仿宋" w:hAnsi="仿宋" w:eastAsia="仿宋" w:cs="仿宋"/>
          <w:b w:val="0"/>
          <w:bCs w:val="0"/>
          <w:caps w:val="0"/>
          <w:color w:val="auto"/>
          <w:sz w:val="24"/>
          <w:szCs w:val="24"/>
          <w:highlight w:val="none"/>
        </w:rPr>
        <w:fldChar w:fldCharType="begin"/>
      </w:r>
      <w:r>
        <w:rPr>
          <w:rFonts w:hint="eastAsia" w:ascii="仿宋" w:hAnsi="仿宋" w:eastAsia="仿宋" w:cs="仿宋"/>
          <w:b w:val="0"/>
          <w:bCs w:val="0"/>
          <w:caps w:val="0"/>
          <w:color w:val="auto"/>
          <w:sz w:val="24"/>
          <w:szCs w:val="24"/>
          <w:highlight w:val="none"/>
        </w:rPr>
        <w:instrText xml:space="preserve"> HYPERLINK \l "_Toc521014794" </w:instrText>
      </w:r>
      <w:r>
        <w:rPr>
          <w:rFonts w:hint="eastAsia" w:ascii="仿宋" w:hAnsi="仿宋" w:eastAsia="仿宋" w:cs="仿宋"/>
          <w:b w:val="0"/>
          <w:bCs w:val="0"/>
          <w:caps w:val="0"/>
          <w:color w:val="auto"/>
          <w:sz w:val="24"/>
          <w:szCs w:val="24"/>
          <w:highlight w:val="none"/>
        </w:rPr>
        <w:fldChar w:fldCharType="separate"/>
      </w:r>
      <w:r>
        <w:rPr>
          <w:rFonts w:hint="eastAsia" w:ascii="仿宋" w:hAnsi="仿宋" w:eastAsia="仿宋" w:cs="仿宋"/>
          <w:b w:val="0"/>
          <w:bCs w:val="0"/>
          <w:caps w:val="0"/>
          <w:color w:val="auto"/>
          <w:sz w:val="24"/>
          <w:szCs w:val="24"/>
          <w:highlight w:val="none"/>
        </w:rPr>
        <w:t>第六章  投标文件格式</w:t>
      </w:r>
      <w:r>
        <w:rPr>
          <w:rFonts w:hint="eastAsia" w:ascii="仿宋" w:hAnsi="仿宋" w:eastAsia="仿宋" w:cs="仿宋"/>
          <w:b w:val="0"/>
          <w:bCs w:val="0"/>
          <w:caps w:val="0"/>
          <w:color w:val="auto"/>
          <w:sz w:val="24"/>
          <w:szCs w:val="24"/>
          <w:highlight w:val="none"/>
        </w:rPr>
        <w:fldChar w:fldCharType="end"/>
      </w:r>
    </w:p>
    <w:p>
      <w:pPr>
        <w:pStyle w:val="15"/>
        <w:spacing w:line="360" w:lineRule="auto"/>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u w:val="single"/>
          <w:lang w:val="en-US" w:eastAsia="zh-CN"/>
        </w:rPr>
        <w:t>招标的最小单位是包。招标文件未分包的，投标人须对全部招标内容投标，不得部分投标；招标文件分包的，投标人应当以包为单位编制并提交投标文件。</w:t>
      </w:r>
    </w:p>
    <w:p>
      <w:pPr>
        <w:snapToGrid w:val="0"/>
        <w:spacing w:line="360" w:lineRule="auto"/>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的风险</w:t>
      </w:r>
    </w:p>
    <w:p>
      <w:pPr>
        <w:pStyle w:val="15"/>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没有按照招标文件要求提供全部资料，或者</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没有对招标文件在各方面作出实质性响应是</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的风险，并可能导致其投标为无效标。</w:t>
      </w:r>
    </w:p>
    <w:p>
      <w:pPr>
        <w:pStyle w:val="15"/>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 xml:space="preserve">（三）招标文件的澄清与修改 </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1.招标代理机构必须以书面形式答复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要求澄清的问题，并将不包含问题来源的答复书面通知所有购买招标文件的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；除书面答复以外的其他澄清方式及澄清内容均无效。</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2.招标文件澄清、答复、修改、补充的内容为招标文件的组成部分。当招标文件与招标文件的答复、澄清、修改、补充通知就同一内容的表述不一致时，以最后发出的书面文件为准。</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3.招标文件的澄清、答复、修改或补充都应该通过本代理机构以法定形式发布，</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非通过本机构，不得擅自澄清、答复、修改或补充招标文件。</w:t>
      </w:r>
    </w:p>
    <w:p>
      <w:pPr>
        <w:pStyle w:val="4"/>
        <w:numPr>
          <w:ilvl w:val="1"/>
          <w:numId w:val="0"/>
        </w:numPr>
        <w:spacing w:before="0" w:after="0" w:line="360" w:lineRule="auto"/>
        <w:ind w:left="-420" w:leftChars="0" w:right="0" w:rightChars="0" w:firstLine="3855" w:firstLineChars="1600"/>
        <w:jc w:val="both"/>
        <w:rPr>
          <w:rFonts w:hint="eastAsia" w:ascii="仿宋" w:hAnsi="仿宋" w:eastAsia="仿宋" w:cs="仿宋"/>
          <w:color w:val="auto"/>
          <w:sz w:val="24"/>
          <w:szCs w:val="24"/>
          <w:highlight w:val="none"/>
        </w:rPr>
      </w:pPr>
      <w:bookmarkStart w:id="37" w:name="_Toc12173"/>
      <w:bookmarkStart w:id="38" w:name="_Toc27918"/>
      <w:bookmarkStart w:id="39" w:name="_Toc503212210"/>
      <w:bookmarkStart w:id="40" w:name="_Toc521014778"/>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投标文件的编制</w:t>
      </w:r>
      <w:bookmarkEnd w:id="37"/>
      <w:bookmarkEnd w:id="38"/>
      <w:bookmarkEnd w:id="39"/>
      <w:bookmarkEnd w:id="40"/>
    </w:p>
    <w:p>
      <w:pPr>
        <w:pStyle w:val="4"/>
        <w:numPr>
          <w:ilvl w:val="1"/>
          <w:numId w:val="7"/>
        </w:numPr>
        <w:spacing w:before="0" w:after="0" w:line="360" w:lineRule="auto"/>
        <w:ind w:left="0"/>
        <w:rPr>
          <w:rFonts w:hint="eastAsia" w:ascii="仿宋" w:hAnsi="仿宋" w:eastAsia="仿宋" w:cs="仿宋"/>
          <w:color w:val="auto"/>
          <w:sz w:val="24"/>
          <w:szCs w:val="24"/>
          <w:highlight w:val="none"/>
        </w:rPr>
      </w:pPr>
      <w:bookmarkStart w:id="41" w:name="_Toc23068"/>
      <w:bookmarkStart w:id="42" w:name="_Toc521014779"/>
      <w:bookmarkStart w:id="43" w:name="_Toc503212211"/>
      <w:bookmarkStart w:id="44" w:name="_Toc29977"/>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投标文件的组成</w:t>
      </w:r>
      <w:bookmarkEnd w:id="41"/>
      <w:bookmarkEnd w:id="42"/>
      <w:bookmarkEnd w:id="43"/>
      <w:bookmarkEnd w:id="44"/>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投标文件由以下内容组成：</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1.商务技术部分：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应按招标文件的要求提供</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文件，并保证所有材料的真实性，以确保其投标对招标文件做出实质性的响应。</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2、招标文件使用的计量单位，应采用国家法定的计量单位。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所递交的投标文件应包含以下文件：</w:t>
      </w:r>
    </w:p>
    <w:tbl>
      <w:tblPr>
        <w:tblStyle w:val="19"/>
        <w:tblW w:w="7785" w:type="dxa"/>
        <w:tblInd w:w="0" w:type="dxa"/>
        <w:shd w:val="clear" w:color="auto" w:fill="auto"/>
        <w:tblLayout w:type="autofit"/>
        <w:tblCellMar>
          <w:top w:w="0" w:type="dxa"/>
          <w:left w:w="0" w:type="dxa"/>
          <w:bottom w:w="0" w:type="dxa"/>
          <w:right w:w="0" w:type="dxa"/>
        </w:tblCellMar>
      </w:tblPr>
      <w:tblGrid>
        <w:gridCol w:w="7785"/>
      </w:tblGrid>
      <w:tr>
        <w:tblPrEx>
          <w:shd w:val="clear" w:color="auto" w:fill="auto"/>
          <w:tblCellMar>
            <w:top w:w="0" w:type="dxa"/>
            <w:left w:w="0" w:type="dxa"/>
            <w:bottom w:w="0" w:type="dxa"/>
            <w:right w:w="0" w:type="dxa"/>
          </w:tblCellMar>
        </w:tblPrEx>
        <w:trPr>
          <w:trHeight w:val="270" w:hRule="atLeast"/>
        </w:trPr>
        <w:tc>
          <w:tcPr>
            <w:tcW w:w="7785" w:type="dxa"/>
            <w:tcBorders>
              <w:top w:val="nil"/>
              <w:left w:val="nil"/>
              <w:bottom w:val="nil"/>
              <w:right w:val="nil"/>
            </w:tcBorders>
            <w:shd w:val="clear" w:color="auto" w:fill="auto"/>
            <w:noWrap/>
            <w:tcMar>
              <w:top w:w="15" w:type="dxa"/>
              <w:left w:w="15" w:type="dxa"/>
              <w:right w:w="15" w:type="dxa"/>
            </w:tcMar>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（一）投 标 函</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（二）法定代表人证明书</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（三）法定代表人授权书</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（四）投标资格证明文件</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（五 ）开标一览表</w:t>
            </w:r>
          </w:p>
        </w:tc>
      </w:tr>
      <w:tr>
        <w:tblPrEx>
          <w:shd w:val="clear" w:color="auto" w:fill="auto"/>
          <w:tblCellMar>
            <w:top w:w="0" w:type="dxa"/>
            <w:left w:w="0" w:type="dxa"/>
            <w:bottom w:w="0" w:type="dxa"/>
            <w:right w:w="0" w:type="dxa"/>
          </w:tblCellMar>
        </w:tblPrEx>
        <w:trPr>
          <w:trHeight w:val="9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（六）近投标产品名称、数量、规格明细报价表</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（七）商 务 条 款 偏 离 表</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（八）技 术 规 格 偏 离 表</w:t>
            </w:r>
          </w:p>
        </w:tc>
      </w:tr>
      <w:tr>
        <w:tblPrEx>
          <w:shd w:val="clear" w:color="auto" w:fill="auto"/>
          <w:tblCellMar>
            <w:top w:w="0" w:type="dxa"/>
            <w:left w:w="0" w:type="dxa"/>
            <w:bottom w:w="0" w:type="dxa"/>
            <w:right w:w="0" w:type="dxa"/>
          </w:tblCellMar>
        </w:tblPrEx>
        <w:trPr>
          <w:trHeight w:val="429"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（九）近三年（2019年1月1日至今）类似业绩</w:t>
            </w:r>
          </w:p>
        </w:tc>
      </w:tr>
      <w:tr>
        <w:tblPrEx>
          <w:tblCellMar>
            <w:top w:w="0" w:type="dxa"/>
            <w:left w:w="0" w:type="dxa"/>
            <w:bottom w:w="0" w:type="dxa"/>
            <w:right w:w="0" w:type="dxa"/>
          </w:tblCellMar>
        </w:tblPrEx>
        <w:trPr>
          <w:trHeight w:val="9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（十）诚信投标承诺书</w:t>
            </w: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（十一）无重大违法记录声明书</w:t>
            </w: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（十二）技术方案</w:t>
            </w: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（十三）投标人《反商业贿赂承诺书》</w:t>
            </w: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（十四）中小微企业声明函</w:t>
            </w: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（十五）投标人其他承诺及优惠条件</w:t>
            </w:r>
          </w:p>
        </w:tc>
      </w:tr>
    </w:tbl>
    <w:p>
      <w:pPr>
        <w:pStyle w:val="4"/>
        <w:numPr>
          <w:ilvl w:val="1"/>
          <w:numId w:val="0"/>
        </w:numPr>
        <w:spacing w:before="0" w:after="0" w:line="360" w:lineRule="auto"/>
        <w:ind w:left="-420" w:leftChars="0" w:right="0" w:rightChars="0" w:firstLine="241" w:firstLineChars="100"/>
        <w:rPr>
          <w:rFonts w:hint="eastAsia" w:ascii="仿宋" w:hAnsi="仿宋" w:eastAsia="仿宋" w:cs="仿宋"/>
          <w:color w:val="auto"/>
          <w:sz w:val="24"/>
          <w:szCs w:val="24"/>
          <w:highlight w:val="none"/>
        </w:rPr>
      </w:pPr>
      <w:bookmarkStart w:id="45" w:name="_Toc18015"/>
      <w:bookmarkStart w:id="46" w:name="_Toc503212212"/>
      <w:bookmarkStart w:id="47" w:name="_Toc14838"/>
      <w:bookmarkStart w:id="48" w:name="_Toc521014780"/>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投标文件的语言及计量</w:t>
      </w:r>
      <w:bookmarkEnd w:id="45"/>
      <w:bookmarkEnd w:id="46"/>
      <w:bookmarkEnd w:id="47"/>
      <w:bookmarkEnd w:id="48"/>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▲1.投标文件以及投标</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与招标</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pStyle w:val="4"/>
        <w:numPr>
          <w:ilvl w:val="1"/>
          <w:numId w:val="0"/>
        </w:numPr>
        <w:spacing w:before="0" w:after="0" w:line="360" w:lineRule="auto"/>
        <w:ind w:left="-420" w:leftChars="0" w:right="0" w:rightChars="0"/>
        <w:rPr>
          <w:rFonts w:hint="eastAsia" w:ascii="仿宋" w:hAnsi="仿宋" w:eastAsia="仿宋" w:cs="仿宋"/>
          <w:color w:val="auto"/>
          <w:sz w:val="24"/>
          <w:szCs w:val="24"/>
          <w:highlight w:val="none"/>
        </w:rPr>
      </w:pPr>
      <w:bookmarkStart w:id="49" w:name="_Toc3970"/>
      <w:bookmarkStart w:id="50" w:name="_Toc521014781"/>
      <w:bookmarkStart w:id="51" w:name="_Toc503212213"/>
      <w:bookmarkStart w:id="52" w:name="_Toc6985"/>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投标报价</w:t>
      </w:r>
      <w:bookmarkEnd w:id="49"/>
      <w:bookmarkEnd w:id="50"/>
      <w:bookmarkEnd w:id="51"/>
      <w:bookmarkEnd w:id="52"/>
    </w:p>
    <w:p>
      <w:pPr>
        <w:pStyle w:val="1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▲1.投标报价应按招标文件中相关附表格式填写。</w:t>
      </w:r>
    </w:p>
    <w:p>
      <w:pPr>
        <w:pStyle w:val="1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color w:val="auto"/>
          <w:sz w:val="24"/>
          <w:szCs w:val="24"/>
          <w:highlight w:val="none"/>
          <w:u w:val="single"/>
        </w:rPr>
        <w:t>投标报价（开标一览表）必须按投标须知</w:t>
      </w:r>
      <w:r>
        <w:rPr>
          <w:rFonts w:hint="eastAsia" w:ascii="仿宋" w:hAnsi="仿宋" w:eastAsia="仿宋" w:cs="仿宋"/>
          <w:b/>
          <w:color w:val="auto"/>
          <w:sz w:val="24"/>
          <w:szCs w:val="24"/>
          <w:highlight w:val="none"/>
          <w:u w:val="single"/>
          <w:lang w:eastAsia="zh-CN"/>
        </w:rPr>
        <w:t>中</w:t>
      </w:r>
      <w:r>
        <w:rPr>
          <w:rFonts w:hint="eastAsia" w:ascii="仿宋" w:hAnsi="仿宋" w:eastAsia="仿宋" w:cs="仿宋"/>
          <w:b/>
          <w:color w:val="auto"/>
          <w:sz w:val="24"/>
          <w:szCs w:val="24"/>
          <w:highlight w:val="none"/>
          <w:u w:val="single"/>
        </w:rPr>
        <w:t>付费标准要求执行，否则其报价无效，不进入评审阶段。</w:t>
      </w:r>
    </w:p>
    <w:p>
      <w:pPr>
        <w:tabs>
          <w:tab w:val="left" w:pos="525"/>
        </w:tabs>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▲3.投标文件只允许有一个报价，有选择的或有条件的报价将不予接受。</w:t>
      </w:r>
    </w:p>
    <w:p>
      <w:pPr>
        <w:tabs>
          <w:tab w:val="left" w:pos="525"/>
        </w:tabs>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▲4.招标代理服务费由中标单位支付，投标</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在报价时请考虑。</w:t>
      </w:r>
    </w:p>
    <w:p>
      <w:pPr>
        <w:pStyle w:val="4"/>
        <w:numPr>
          <w:ilvl w:val="1"/>
          <w:numId w:val="0"/>
        </w:numPr>
        <w:spacing w:before="0" w:after="0" w:line="360" w:lineRule="auto"/>
        <w:ind w:left="-420" w:leftChars="0" w:right="0" w:rightChars="0"/>
        <w:rPr>
          <w:rFonts w:hint="eastAsia" w:ascii="仿宋" w:hAnsi="仿宋" w:eastAsia="仿宋" w:cs="仿宋"/>
          <w:b w:val="0"/>
          <w:color w:val="auto"/>
          <w:kern w:val="0"/>
          <w:sz w:val="24"/>
          <w:szCs w:val="24"/>
          <w:highlight w:val="none"/>
          <w:lang w:val="zh-CN" w:eastAsia="zh-CN" w:bidi="zh-CN"/>
        </w:rPr>
      </w:pPr>
      <w:bookmarkStart w:id="53" w:name="_Toc21800"/>
      <w:bookmarkStart w:id="54" w:name="_Toc21211"/>
      <w:bookmarkStart w:id="55" w:name="_Toc503212214"/>
      <w:bookmarkStart w:id="56" w:name="_Toc521014782"/>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投标文</w:t>
      </w:r>
      <w:r>
        <w:rPr>
          <w:rFonts w:hint="eastAsia" w:ascii="仿宋" w:hAnsi="仿宋" w:eastAsia="仿宋" w:cs="仿宋"/>
          <w:b w:val="0"/>
          <w:color w:val="auto"/>
          <w:kern w:val="0"/>
          <w:sz w:val="24"/>
          <w:szCs w:val="24"/>
          <w:highlight w:val="none"/>
          <w:lang w:val="zh-CN" w:eastAsia="zh-CN" w:bidi="zh-CN"/>
        </w:rPr>
        <w:t>件的有效期</w:t>
      </w:r>
      <w:bookmarkEnd w:id="53"/>
      <w:bookmarkEnd w:id="54"/>
      <w:bookmarkEnd w:id="55"/>
      <w:bookmarkEnd w:id="56"/>
    </w:p>
    <w:p>
      <w:pPr>
        <w:pStyle w:val="6"/>
        <w:widowControl w:val="0"/>
        <w:numPr>
          <w:ilvl w:val="0"/>
          <w:numId w:val="0"/>
        </w:numPr>
        <w:tabs>
          <w:tab w:val="left" w:pos="0"/>
          <w:tab w:val="left" w:pos="454"/>
        </w:tabs>
        <w:snapToGrid w:val="0"/>
        <w:spacing w:after="0" w:afterLines="0" w:line="360" w:lineRule="auto"/>
        <w:rPr>
          <w:rFonts w:hint="eastAsia" w:ascii="仿宋" w:hAnsi="仿宋" w:eastAsia="仿宋" w:cs="仿宋"/>
          <w:b w:val="0"/>
          <w:color w:val="auto"/>
          <w:kern w:val="0"/>
          <w:sz w:val="24"/>
          <w:szCs w:val="24"/>
          <w:highlight w:val="none"/>
          <w:lang w:val="zh-CN" w:eastAsia="zh-CN" w:bidi="zh-CN"/>
        </w:rPr>
      </w:pPr>
      <w:r>
        <w:rPr>
          <w:rFonts w:hint="eastAsia" w:ascii="仿宋" w:hAnsi="仿宋" w:eastAsia="仿宋" w:cs="仿宋"/>
          <w:b w:val="0"/>
          <w:color w:val="auto"/>
          <w:kern w:val="0"/>
          <w:sz w:val="24"/>
          <w:szCs w:val="24"/>
          <w:highlight w:val="none"/>
          <w:lang w:val="zh-CN" w:eastAsia="zh-CN" w:bidi="zh-CN"/>
        </w:rPr>
        <w:t xml:space="preserve">    ▲1.自投标截止日起</w:t>
      </w:r>
      <w:r>
        <w:rPr>
          <w:rFonts w:hint="eastAsia" w:ascii="仿宋" w:hAnsi="仿宋" w:eastAsia="仿宋" w:cs="仿宋"/>
          <w:b w:val="0"/>
          <w:color w:val="auto"/>
          <w:kern w:val="0"/>
          <w:sz w:val="24"/>
          <w:szCs w:val="24"/>
          <w:highlight w:val="none"/>
          <w:u w:val="single"/>
          <w:lang w:val="zh-CN" w:eastAsia="zh-CN" w:bidi="zh-CN"/>
        </w:rPr>
        <w:t xml:space="preserve"> </w:t>
      </w:r>
      <w:r>
        <w:rPr>
          <w:rFonts w:hint="eastAsia" w:ascii="仿宋" w:hAnsi="仿宋" w:eastAsia="仿宋" w:cs="仿宋"/>
          <w:b w:val="0"/>
          <w:color w:val="auto"/>
          <w:kern w:val="0"/>
          <w:sz w:val="24"/>
          <w:szCs w:val="24"/>
          <w:highlight w:val="none"/>
          <w:u w:val="single"/>
          <w:lang w:val="en-US" w:eastAsia="zh-CN" w:bidi="zh-CN"/>
        </w:rPr>
        <w:t>9</w:t>
      </w:r>
      <w:r>
        <w:rPr>
          <w:rFonts w:hint="eastAsia" w:ascii="仿宋" w:hAnsi="仿宋" w:eastAsia="仿宋" w:cs="仿宋"/>
          <w:b w:val="0"/>
          <w:color w:val="auto"/>
          <w:kern w:val="0"/>
          <w:sz w:val="24"/>
          <w:szCs w:val="24"/>
          <w:highlight w:val="none"/>
          <w:u w:val="single"/>
          <w:lang w:val="zh-CN" w:eastAsia="zh-CN" w:bidi="zh-CN"/>
        </w:rPr>
        <w:t xml:space="preserve">0 </w:t>
      </w:r>
      <w:r>
        <w:rPr>
          <w:rFonts w:hint="eastAsia" w:ascii="仿宋" w:hAnsi="仿宋" w:eastAsia="仿宋" w:cs="仿宋"/>
          <w:b w:val="0"/>
          <w:color w:val="auto"/>
          <w:kern w:val="0"/>
          <w:sz w:val="24"/>
          <w:szCs w:val="24"/>
          <w:highlight w:val="none"/>
          <w:lang w:val="zh-CN" w:eastAsia="zh-CN" w:bidi="zh-CN"/>
        </w:rPr>
        <w:t>日历日内投标文件应保持有效。有效期不足的投标文件将被拒绝。</w:t>
      </w:r>
    </w:p>
    <w:p>
      <w:pPr>
        <w:pStyle w:val="6"/>
        <w:widowControl w:val="0"/>
        <w:numPr>
          <w:ilvl w:val="0"/>
          <w:numId w:val="0"/>
        </w:numPr>
        <w:tabs>
          <w:tab w:val="left" w:pos="0"/>
          <w:tab w:val="left" w:pos="454"/>
        </w:tabs>
        <w:snapToGrid w:val="0"/>
        <w:spacing w:after="0" w:afterLines="0" w:line="360" w:lineRule="auto"/>
        <w:rPr>
          <w:rFonts w:hint="eastAsia" w:ascii="仿宋" w:hAnsi="仿宋" w:eastAsia="仿宋" w:cs="仿宋"/>
          <w:b w:val="0"/>
          <w:color w:val="auto"/>
          <w:kern w:val="0"/>
          <w:sz w:val="24"/>
          <w:szCs w:val="24"/>
          <w:highlight w:val="none"/>
          <w:lang w:val="zh-CN" w:eastAsia="zh-CN" w:bidi="zh-CN"/>
        </w:rPr>
      </w:pPr>
      <w:r>
        <w:rPr>
          <w:rFonts w:hint="eastAsia" w:ascii="仿宋" w:hAnsi="仿宋" w:eastAsia="仿宋" w:cs="仿宋"/>
          <w:b w:val="0"/>
          <w:color w:val="auto"/>
          <w:kern w:val="0"/>
          <w:sz w:val="24"/>
          <w:szCs w:val="24"/>
          <w:highlight w:val="none"/>
          <w:lang w:val="zh-CN" w:eastAsia="zh-CN" w:bidi="zh-CN"/>
        </w:rPr>
        <w:t xml:space="preserve">    2.在特殊情况下，招标人可与投标人协商延长</w:t>
      </w:r>
      <w:r>
        <w:rPr>
          <w:rFonts w:hint="eastAsia" w:ascii="仿宋" w:hAnsi="仿宋" w:eastAsia="仿宋" w:cs="仿宋"/>
          <w:color w:val="auto"/>
          <w:sz w:val="24"/>
          <w:highlight w:val="none"/>
        </w:rPr>
        <w:t>投标文件</w:t>
      </w:r>
      <w:r>
        <w:rPr>
          <w:rFonts w:hint="eastAsia" w:ascii="仿宋" w:hAnsi="仿宋" w:eastAsia="仿宋" w:cs="仿宋"/>
          <w:b w:val="0"/>
          <w:color w:val="auto"/>
          <w:kern w:val="0"/>
          <w:sz w:val="24"/>
          <w:szCs w:val="24"/>
          <w:highlight w:val="none"/>
          <w:lang w:val="zh-CN" w:eastAsia="zh-CN" w:bidi="zh-CN"/>
        </w:rPr>
        <w:t>的有效期，这种要求和答复均以书面形式进行。</w:t>
      </w:r>
    </w:p>
    <w:p>
      <w:pPr>
        <w:pStyle w:val="6"/>
        <w:widowControl w:val="0"/>
        <w:numPr>
          <w:ilvl w:val="0"/>
          <w:numId w:val="0"/>
        </w:numPr>
        <w:tabs>
          <w:tab w:val="left" w:pos="0"/>
          <w:tab w:val="left" w:pos="454"/>
        </w:tabs>
        <w:snapToGrid w:val="0"/>
        <w:spacing w:after="0" w:afterLines="0" w:line="360" w:lineRule="auto"/>
        <w:rPr>
          <w:rFonts w:hint="eastAsia" w:ascii="仿宋" w:hAnsi="仿宋" w:eastAsia="仿宋" w:cs="仿宋"/>
          <w:b w:val="0"/>
          <w:color w:val="auto"/>
          <w:kern w:val="0"/>
          <w:sz w:val="24"/>
          <w:szCs w:val="24"/>
          <w:highlight w:val="none"/>
          <w:lang w:val="zh-CN" w:eastAsia="zh-CN" w:bidi="zh-CN"/>
        </w:rPr>
      </w:pPr>
      <w:r>
        <w:rPr>
          <w:rFonts w:hint="eastAsia" w:ascii="仿宋" w:hAnsi="仿宋" w:eastAsia="仿宋" w:cs="仿宋"/>
          <w:b w:val="0"/>
          <w:color w:val="auto"/>
          <w:kern w:val="0"/>
          <w:sz w:val="24"/>
          <w:szCs w:val="24"/>
          <w:highlight w:val="none"/>
          <w:lang w:val="zh-CN" w:eastAsia="zh-CN" w:bidi="zh-CN"/>
        </w:rPr>
        <w:t xml:space="preserve">    3.投标人可拒绝接受延期要求而不会导致投标保证金被没收。同意延长有效期的投标人需要相应延长投标保证金的有效期，但不能修改投标文件。 </w:t>
      </w:r>
    </w:p>
    <w:p>
      <w:pPr>
        <w:pStyle w:val="6"/>
        <w:widowControl w:val="0"/>
        <w:numPr>
          <w:ilvl w:val="0"/>
          <w:numId w:val="0"/>
        </w:numPr>
        <w:tabs>
          <w:tab w:val="left" w:pos="0"/>
          <w:tab w:val="left" w:pos="454"/>
        </w:tabs>
        <w:snapToGrid w:val="0"/>
        <w:spacing w:after="0" w:afterLines="0" w:line="360" w:lineRule="auto"/>
        <w:rPr>
          <w:rFonts w:hint="eastAsia" w:ascii="仿宋" w:hAnsi="仿宋" w:eastAsia="仿宋" w:cs="仿宋"/>
          <w:b w:val="0"/>
          <w:color w:val="auto"/>
          <w:kern w:val="0"/>
          <w:sz w:val="24"/>
          <w:szCs w:val="24"/>
          <w:highlight w:val="none"/>
          <w:lang w:val="zh-CN" w:eastAsia="zh-CN" w:bidi="zh-CN"/>
        </w:rPr>
      </w:pPr>
      <w:r>
        <w:rPr>
          <w:rFonts w:hint="eastAsia" w:ascii="仿宋" w:hAnsi="仿宋" w:eastAsia="仿宋" w:cs="仿宋"/>
          <w:b w:val="0"/>
          <w:color w:val="auto"/>
          <w:kern w:val="0"/>
          <w:sz w:val="24"/>
          <w:szCs w:val="24"/>
          <w:highlight w:val="none"/>
          <w:lang w:val="zh-CN" w:eastAsia="zh-CN" w:bidi="zh-CN"/>
        </w:rPr>
        <w:t xml:space="preserve">    4.中标人的投标文件自开标之日起至合同履行完毕止均应保持有效。</w:t>
      </w:r>
    </w:p>
    <w:p>
      <w:pPr>
        <w:pStyle w:val="4"/>
        <w:numPr>
          <w:ilvl w:val="1"/>
          <w:numId w:val="0"/>
        </w:numPr>
        <w:spacing w:before="0" w:after="0" w:line="360" w:lineRule="auto"/>
        <w:ind w:left="-420" w:leftChars="0" w:right="0" w:rightChars="0"/>
        <w:rPr>
          <w:rFonts w:hint="eastAsia" w:ascii="仿宋" w:hAnsi="仿宋" w:eastAsia="仿宋" w:cs="仿宋"/>
          <w:color w:val="auto"/>
          <w:sz w:val="24"/>
          <w:szCs w:val="24"/>
          <w:highlight w:val="none"/>
        </w:rPr>
      </w:pPr>
      <w:bookmarkStart w:id="57" w:name="_Toc16117"/>
      <w:bookmarkStart w:id="58" w:name="_Toc22838"/>
      <w:bookmarkStart w:id="59" w:name="_Toc521014783"/>
      <w:bookmarkStart w:id="60" w:name="_Toc503212215"/>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投标保证金</w:t>
      </w:r>
      <w:bookmarkEnd w:id="57"/>
      <w:bookmarkEnd w:id="58"/>
      <w:bookmarkEnd w:id="59"/>
      <w:bookmarkEnd w:id="60"/>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须按规定提交投标保证金。否则，其投标将被拒绝。</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2.保证金形式： </w:t>
      </w:r>
      <w:r>
        <w:rPr>
          <w:rFonts w:hint="eastAsia" w:ascii="仿宋" w:hAnsi="仿宋" w:eastAsia="仿宋" w:cs="仿宋"/>
          <w:color w:val="auto"/>
          <w:sz w:val="24"/>
          <w:highlight w:val="none"/>
          <w:u w:val="single"/>
        </w:rPr>
        <w:t xml:space="preserve"> 银行电汇或网银（</w:t>
      </w:r>
      <w:r>
        <w:rPr>
          <w:rFonts w:hint="eastAsia" w:ascii="仿宋" w:hAnsi="仿宋" w:eastAsia="仿宋" w:cs="仿宋"/>
          <w:b/>
          <w:bCs/>
          <w:color w:val="auto"/>
          <w:sz w:val="24"/>
          <w:highlight w:val="none"/>
          <w:u w:val="single"/>
        </w:rPr>
        <w:t>必须从基本账户转出</w:t>
      </w:r>
      <w:r>
        <w:rPr>
          <w:rFonts w:hint="eastAsia" w:ascii="仿宋" w:hAnsi="仿宋" w:eastAsia="仿宋" w:cs="仿宋"/>
          <w:color w:val="auto"/>
          <w:sz w:val="24"/>
          <w:highlight w:val="none"/>
          <w:u w:val="single"/>
        </w:rPr>
        <w:t xml:space="preserve">）。 </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3.未中标人的投标保证金在公示期截止后退还。</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4.中标人的投标保证金在中标通知书发出签订正式采购合同，履约保证金打到指定账户后退还。</w:t>
      </w:r>
    </w:p>
    <w:p>
      <w:pPr>
        <w:snapToGrid w:val="0"/>
        <w:spacing w:line="36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5.保证金不计息。</w:t>
      </w:r>
    </w:p>
    <w:p>
      <w:pPr>
        <w:snapToGrid w:val="0"/>
        <w:spacing w:line="360" w:lineRule="auto"/>
        <w:ind w:firstLine="472" w:firstLineChars="196"/>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有下列情形之一的，投标保证金将不予退还：</w:t>
      </w:r>
    </w:p>
    <w:p>
      <w:pPr>
        <w:snapToGrid w:val="0"/>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在投标有效期内撤回投标文件的；</w:t>
      </w:r>
    </w:p>
    <w:p>
      <w:pPr>
        <w:snapToGrid w:val="0"/>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在投标过程中弄虚作假，提供虚假材料的；</w:t>
      </w:r>
    </w:p>
    <w:p>
      <w:pPr>
        <w:snapToGrid w:val="0"/>
        <w:spacing w:line="360" w:lineRule="auto"/>
        <w:ind w:firstLine="472" w:firstLineChars="196"/>
        <w:rPr>
          <w:rFonts w:hint="eastAsia" w:ascii="仿宋" w:hAnsi="仿宋" w:eastAsia="仿宋" w:cs="仿宋"/>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sz w:val="24"/>
          <w:highlight w:val="none"/>
        </w:rPr>
        <w:t>中标人无正当理由不与</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签订合同的；</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color w:val="auto"/>
          <w:sz w:val="24"/>
          <w:highlight w:val="none"/>
        </w:rPr>
        <w:t>其他严重扰乱招投标程序的。</w:t>
      </w:r>
    </w:p>
    <w:p>
      <w:pPr>
        <w:pStyle w:val="4"/>
        <w:numPr>
          <w:ilvl w:val="1"/>
          <w:numId w:val="0"/>
        </w:numPr>
        <w:spacing w:before="0" w:after="0" w:line="360" w:lineRule="auto"/>
        <w:ind w:left="-420" w:leftChars="0" w:right="0" w:rightChars="0"/>
        <w:rPr>
          <w:rFonts w:hint="eastAsia" w:ascii="仿宋" w:hAnsi="仿宋" w:eastAsia="仿宋" w:cs="仿宋"/>
          <w:color w:val="auto"/>
          <w:sz w:val="24"/>
          <w:szCs w:val="24"/>
          <w:highlight w:val="none"/>
        </w:rPr>
      </w:pPr>
      <w:bookmarkStart w:id="61" w:name="_Toc521014784"/>
      <w:bookmarkStart w:id="62" w:name="_Toc503212216"/>
      <w:bookmarkStart w:id="63" w:name="_Toc4584"/>
      <w:bookmarkStart w:id="64" w:name="_Toc25982"/>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投标文件的签署和份数</w:t>
      </w:r>
      <w:bookmarkEnd w:id="61"/>
      <w:bookmarkEnd w:id="62"/>
      <w:bookmarkEnd w:id="63"/>
      <w:bookmarkEnd w:id="64"/>
    </w:p>
    <w:p>
      <w:pPr>
        <w:numPr>
          <w:ilvl w:val="0"/>
          <w:numId w:val="8"/>
        </w:num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应按本招标文件规定的格式和顺序编制、装订投标文件并标注页码，投标文件内容不完整、编排混乱导致投标文件被误读、漏读或者查找不到相关内容的，是</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的责任。投标文件应装订成册用死页胶装方式装订,装订应牢固、不易拆散和换页，不得采用活页装订。</w:t>
      </w:r>
    </w:p>
    <w:p>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将投标文件正</w:t>
      </w:r>
      <w:r>
        <w:rPr>
          <w:rFonts w:hint="eastAsia" w:ascii="仿宋" w:hAnsi="仿宋" w:eastAsia="仿宋" w:cs="仿宋"/>
          <w:b/>
          <w:bCs/>
          <w:color w:val="auto"/>
          <w:sz w:val="24"/>
          <w:highlight w:val="none"/>
          <w:lang w:eastAsia="zh-CN"/>
        </w:rPr>
        <w:t>本、</w:t>
      </w:r>
      <w:r>
        <w:rPr>
          <w:rFonts w:hint="eastAsia" w:ascii="仿宋" w:hAnsi="仿宋" w:eastAsia="仿宋" w:cs="仿宋"/>
          <w:b/>
          <w:bCs/>
          <w:color w:val="auto"/>
          <w:sz w:val="24"/>
          <w:highlight w:val="none"/>
        </w:rPr>
        <w:t>副本分别装订成册并密封，开标一览表</w:t>
      </w:r>
      <w:r>
        <w:rPr>
          <w:rFonts w:hint="eastAsia" w:ascii="仿宋" w:hAnsi="仿宋" w:eastAsia="仿宋" w:cs="仿宋"/>
          <w:b/>
          <w:bCs/>
          <w:color w:val="auto"/>
          <w:sz w:val="24"/>
          <w:highlight w:val="none"/>
          <w:u w:val="single"/>
        </w:rPr>
        <w:t>1</w:t>
      </w:r>
      <w:r>
        <w:rPr>
          <w:rFonts w:hint="eastAsia" w:ascii="仿宋" w:hAnsi="仿宋" w:eastAsia="仿宋" w:cs="仿宋"/>
          <w:b/>
          <w:bCs/>
          <w:color w:val="auto"/>
          <w:sz w:val="24"/>
          <w:highlight w:val="none"/>
        </w:rPr>
        <w:t>份（单独密封），</w:t>
      </w:r>
      <w:r>
        <w:rPr>
          <w:rFonts w:hint="eastAsia" w:ascii="仿宋" w:hAnsi="仿宋" w:eastAsia="仿宋" w:cs="仿宋"/>
          <w:b/>
          <w:bCs/>
          <w:color w:val="auto"/>
          <w:sz w:val="24"/>
          <w:highlight w:val="none"/>
          <w:lang w:eastAsia="zh-CN"/>
        </w:rPr>
        <w:t>电子版投标文件</w:t>
      </w:r>
      <w:r>
        <w:rPr>
          <w:rFonts w:hint="eastAsia" w:ascii="仿宋" w:hAnsi="仿宋" w:eastAsia="仿宋" w:cs="仿宋"/>
          <w:b/>
          <w:bCs/>
          <w:color w:val="auto"/>
          <w:sz w:val="24"/>
          <w:highlight w:val="none"/>
          <w:u w:val="single"/>
        </w:rPr>
        <w:t>1</w:t>
      </w:r>
      <w:r>
        <w:rPr>
          <w:rFonts w:hint="eastAsia" w:ascii="仿宋" w:hAnsi="仿宋" w:eastAsia="仿宋" w:cs="仿宋"/>
          <w:b/>
          <w:bCs/>
          <w:color w:val="auto"/>
          <w:sz w:val="24"/>
          <w:highlight w:val="none"/>
        </w:rPr>
        <w:t>份（单独密封）。</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3.投标文件的</w:t>
      </w:r>
      <w:r>
        <w:rPr>
          <w:rFonts w:hint="eastAsia" w:ascii="仿宋" w:hAnsi="仿宋" w:eastAsia="仿宋" w:cs="仿宋"/>
          <w:b/>
          <w:bCs/>
          <w:color w:val="auto"/>
          <w:sz w:val="24"/>
          <w:highlight w:val="none"/>
        </w:rPr>
        <w:t>正本和副本的封面上应标记“正本”或“副本”的字样，</w:t>
      </w:r>
      <w:r>
        <w:rPr>
          <w:rFonts w:hint="eastAsia" w:ascii="仿宋" w:hAnsi="仿宋" w:eastAsia="仿宋" w:cs="仿宋"/>
          <w:color w:val="auto"/>
          <w:sz w:val="24"/>
          <w:highlight w:val="none"/>
        </w:rPr>
        <w:t>需打印或用不褪色的墨水填写，内容清晰可辨。</w:t>
      </w:r>
      <w:r>
        <w:rPr>
          <w:rFonts w:hint="eastAsia" w:ascii="仿宋" w:hAnsi="仿宋" w:eastAsia="仿宋" w:cs="仿宋"/>
          <w:b/>
          <w:bCs/>
          <w:color w:val="auto"/>
          <w:sz w:val="24"/>
          <w:highlight w:val="none"/>
        </w:rPr>
        <w:t>当正本和副本内容有差异时，以正本为准。</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4.投标文件须由</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在规定位置盖章并由法定代表人或法定代表人的授权委托人签字或盖章。</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5.投标文件不得涂改，若有修改错漏处，须加盖单位公章或者法定代表人或授权委托人签字或盖章。投标文件因字迹潦草或表达不清所引起的后果由</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负责。</w:t>
      </w:r>
      <w:bookmarkStart w:id="65" w:name="_Toc28926"/>
      <w:bookmarkStart w:id="66" w:name="_Toc9280"/>
    </w:p>
    <w:p>
      <w:pPr>
        <w:pStyle w:val="4"/>
        <w:numPr>
          <w:ilvl w:val="1"/>
          <w:numId w:val="0"/>
        </w:numPr>
        <w:spacing w:before="0" w:after="0" w:line="360" w:lineRule="auto"/>
        <w:ind w:left="-420" w:leftChars="0" w:right="0" w:rightChars="0"/>
        <w:rPr>
          <w:rFonts w:hint="eastAsia" w:ascii="仿宋" w:hAnsi="仿宋" w:eastAsia="仿宋" w:cs="仿宋"/>
          <w:color w:val="auto"/>
          <w:sz w:val="24"/>
          <w:szCs w:val="24"/>
          <w:highlight w:val="none"/>
        </w:rPr>
      </w:pPr>
      <w:bookmarkStart w:id="67" w:name="_Toc503212217"/>
      <w:bookmarkStart w:id="68" w:name="_Toc521014785"/>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投标文件的包装、递交、修改和撤回</w:t>
      </w:r>
      <w:bookmarkEnd w:id="65"/>
      <w:bookmarkEnd w:id="66"/>
      <w:bookmarkEnd w:id="67"/>
      <w:bookmarkEnd w:id="68"/>
    </w:p>
    <w:p>
      <w:pPr>
        <w:numPr>
          <w:ilvl w:val="0"/>
          <w:numId w:val="0"/>
        </w:numPr>
        <w:spacing w:line="360" w:lineRule="auto"/>
        <w:ind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投标文件份数</w:t>
      </w:r>
      <w:r>
        <w:rPr>
          <w:rFonts w:hint="eastAsia" w:ascii="仿宋" w:hAnsi="仿宋" w:eastAsia="仿宋" w:cs="仿宋"/>
          <w:color w:val="auto"/>
          <w:sz w:val="24"/>
          <w:highlight w:val="none"/>
          <w:lang w:eastAsia="zh-CN"/>
        </w:rPr>
        <w:t>：</w:t>
      </w:r>
    </w:p>
    <w:p>
      <w:pPr>
        <w:numPr>
          <w:ilvl w:val="0"/>
          <w:numId w:val="0"/>
        </w:numPr>
        <w:spacing w:line="360" w:lineRule="auto"/>
        <w:ind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正本1份；副本4份；</w:t>
      </w:r>
    </w:p>
    <w:p>
      <w:pPr>
        <w:numPr>
          <w:ilvl w:val="0"/>
          <w:numId w:val="0"/>
        </w:numPr>
        <w:spacing w:line="360" w:lineRule="auto"/>
        <w:ind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电子版投标文件（U盘）1份单独密封；</w:t>
      </w:r>
    </w:p>
    <w:p>
      <w:pPr>
        <w:numPr>
          <w:ilvl w:val="0"/>
          <w:numId w:val="0"/>
        </w:numPr>
        <w:spacing w:line="360" w:lineRule="auto"/>
        <w:ind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开标一览表1份单独密封；</w:t>
      </w:r>
    </w:p>
    <w:p>
      <w:pPr>
        <w:numPr>
          <w:ilvl w:val="0"/>
          <w:numId w:val="0"/>
        </w:numPr>
        <w:spacing w:line="360" w:lineRule="auto"/>
        <w:ind w:right="0" w:rightChars="0" w:firstLine="241" w:firstLineChars="1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以上资料均应在投标截止时间前按要求密封递交，未按招标文件要求密封或投标截止时间后递交的，不予接收。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必须按招标文件规定制作投标文件，正、副本分别密封在文件袋中。并在封袋上标明“投标文件正</w:t>
      </w:r>
      <w:r>
        <w:rPr>
          <w:rFonts w:hint="eastAsia" w:ascii="仿宋" w:hAnsi="仿宋" w:eastAsia="仿宋" w:cs="仿宋"/>
          <w:color w:val="auto"/>
          <w:sz w:val="24"/>
          <w:highlight w:val="none"/>
          <w:lang w:eastAsia="zh-CN"/>
        </w:rPr>
        <w:t>本</w:t>
      </w:r>
      <w:r>
        <w:rPr>
          <w:rFonts w:hint="eastAsia" w:ascii="仿宋" w:hAnsi="仿宋" w:eastAsia="仿宋" w:cs="仿宋"/>
          <w:color w:val="auto"/>
          <w:sz w:val="24"/>
          <w:highlight w:val="none"/>
        </w:rPr>
        <w:t>”、“投标文件副本”</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电子版投标文件</w:t>
      </w:r>
      <w:r>
        <w:rPr>
          <w:rFonts w:hint="eastAsia" w:ascii="仿宋" w:hAnsi="仿宋" w:eastAsia="仿宋" w:cs="仿宋"/>
          <w:color w:val="auto"/>
          <w:sz w:val="24"/>
          <w:highlight w:val="none"/>
          <w:lang w:eastAsia="zh-CN"/>
        </w:rPr>
        <w:t>”、“开标一览表”</w:t>
      </w:r>
      <w:r>
        <w:rPr>
          <w:rFonts w:hint="eastAsia" w:ascii="仿宋" w:hAnsi="仿宋" w:eastAsia="仿宋" w:cs="仿宋"/>
          <w:color w:val="auto"/>
          <w:sz w:val="24"/>
          <w:highlight w:val="none"/>
        </w:rPr>
        <w:t xml:space="preserve">的字样。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必须制作“电子版投标文件”并单独密封提交，并在信封上标明“电子版投标文件”的字样。不单独提交电子版投标文件，其投标被拒绝。</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必须制作“开标一览表”并单独密封提交，并在信封上标明“开标一览表”的字样。不单独提交开标一览表，其投标被拒绝。</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在投标截止时间之前，可以对已提交的投标文件进行修改或撤回，并书面通知招标</w:t>
      </w:r>
      <w:r>
        <w:rPr>
          <w:rFonts w:hint="eastAsia" w:ascii="仿宋" w:hAnsi="仿宋" w:eastAsia="仿宋" w:cs="仿宋"/>
          <w:color w:val="auto"/>
          <w:sz w:val="24"/>
          <w:szCs w:val="22"/>
          <w:highlight w:val="none"/>
          <w:lang w:val="en-US" w:eastAsia="zh-CN" w:bidi="zh-CN"/>
        </w:rPr>
        <w:t>招标人</w:t>
      </w:r>
      <w:r>
        <w:rPr>
          <w:rFonts w:hint="eastAsia" w:ascii="仿宋" w:hAnsi="仿宋" w:eastAsia="仿宋" w:cs="仿宋"/>
          <w:color w:val="auto"/>
          <w:sz w:val="24"/>
          <w:highlight w:val="none"/>
        </w:rPr>
        <w:t>；投标截止时间后，</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不得撤回、修改投标文件。修改后重新递交的投标文件应当按本招标文件的要求签署、盖章和密封。</w:t>
      </w:r>
    </w:p>
    <w:p>
      <w:pPr>
        <w:pStyle w:val="4"/>
        <w:numPr>
          <w:ilvl w:val="1"/>
          <w:numId w:val="0"/>
        </w:numPr>
        <w:spacing w:before="0" w:after="0" w:line="360" w:lineRule="auto"/>
        <w:ind w:left="-420" w:leftChars="0" w:right="0" w:rightChars="0"/>
        <w:rPr>
          <w:rFonts w:hint="eastAsia" w:ascii="仿宋" w:hAnsi="仿宋" w:eastAsia="仿宋" w:cs="仿宋"/>
          <w:color w:val="auto"/>
          <w:sz w:val="24"/>
          <w:szCs w:val="24"/>
          <w:highlight w:val="none"/>
        </w:rPr>
      </w:pPr>
      <w:bookmarkStart w:id="69" w:name="_Toc503212218"/>
      <w:bookmarkStart w:id="70" w:name="_Toc4197"/>
      <w:bookmarkStart w:id="71" w:name="_Toc6355"/>
      <w:bookmarkStart w:id="72" w:name="_Toc521014786"/>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投标无效的情形</w:t>
      </w:r>
      <w:bookmarkEnd w:id="69"/>
      <w:bookmarkEnd w:id="70"/>
      <w:bookmarkEnd w:id="71"/>
      <w:bookmarkEnd w:id="72"/>
    </w:p>
    <w:p>
      <w:pPr>
        <w:snapToGrid w:val="0"/>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实质上没有响应招标文件要求的投标将被视为无效投标。</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不得通过修正或撤消不合要求的偏离或保留从而使其投标成为实质上响应的投标，但经评标委员会认定属于</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修改、补正投标文件后，不影响评标委员会对其投标文件所作的评价和评分结果。</w:t>
      </w:r>
      <w:bookmarkStart w:id="73" w:name="_Toc4280"/>
      <w:bookmarkStart w:id="74" w:name="_Toc13224"/>
    </w:p>
    <w:p>
      <w:pPr>
        <w:pStyle w:val="4"/>
        <w:numPr>
          <w:ilvl w:val="1"/>
          <w:numId w:val="0"/>
        </w:numPr>
        <w:spacing w:before="0" w:after="0" w:line="360" w:lineRule="auto"/>
        <w:ind w:left="-420" w:leftChars="0" w:right="0" w:rightChars="0" w:firstLine="4337" w:firstLineChars="1800"/>
        <w:jc w:val="both"/>
        <w:rPr>
          <w:rFonts w:hint="eastAsia" w:ascii="仿宋" w:hAnsi="仿宋" w:eastAsia="仿宋" w:cs="仿宋"/>
          <w:color w:val="auto"/>
          <w:sz w:val="24"/>
          <w:szCs w:val="24"/>
          <w:highlight w:val="none"/>
        </w:rPr>
      </w:pPr>
      <w:bookmarkStart w:id="75" w:name="_Toc521014787"/>
      <w:bookmarkStart w:id="76" w:name="_Toc503212219"/>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开标</w:t>
      </w:r>
      <w:bookmarkEnd w:id="73"/>
      <w:bookmarkEnd w:id="74"/>
      <w:bookmarkEnd w:id="75"/>
      <w:bookmarkEnd w:id="76"/>
    </w:p>
    <w:p>
      <w:pPr>
        <w:pStyle w:val="1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（一）开标准备</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招标代理机构将在规定的时间和地点进行开标。</w:t>
      </w:r>
    </w:p>
    <w:p>
      <w:pPr>
        <w:pStyle w:val="1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 开标程序：</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1.开标会由代理机构主持，</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监督人、投标人</w:t>
      </w:r>
      <w:r>
        <w:rPr>
          <w:rFonts w:hint="eastAsia" w:ascii="仿宋" w:hAnsi="仿宋" w:eastAsia="仿宋" w:cs="仿宋"/>
          <w:color w:val="auto"/>
          <w:sz w:val="24"/>
          <w:szCs w:val="24"/>
          <w:highlight w:val="none"/>
        </w:rPr>
        <w:t>代表参加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主持人宣布开标会议开始；</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2.主持人介绍参加开标会的人员名单； </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3.主持人宣布评标期间的</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事项；告知应当回避的情形,提请有关人员回避；</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4.监督人现场审查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资格情况，未通过资格审查投标无效。</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当场推荐代表检查投标文件密封的完整性；</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6.由主持人按照递交标书顺序逐一宣读</w:t>
      </w:r>
      <w:r>
        <w:rPr>
          <w:rFonts w:hint="eastAsia" w:ascii="仿宋" w:hAnsi="仿宋" w:eastAsia="仿宋" w:cs="仿宋"/>
          <w:color w:val="auto"/>
          <w:sz w:val="24"/>
          <w:szCs w:val="24"/>
          <w:highlight w:val="none"/>
          <w:lang w:eastAsia="zh-CN"/>
        </w:rPr>
        <w:t>投标投标人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开标</w:t>
      </w:r>
      <w:r>
        <w:rPr>
          <w:rFonts w:hint="eastAsia" w:ascii="仿宋" w:hAnsi="仿宋" w:eastAsia="仿宋" w:cs="仿宋"/>
          <w:color w:val="auto"/>
          <w:sz w:val="24"/>
          <w:szCs w:val="24"/>
          <w:highlight w:val="none"/>
        </w:rPr>
        <w:t>一览表》，宣读其中的投标人名称及在其投标文件中承诺的投标报价和</w:t>
      </w:r>
      <w:r>
        <w:rPr>
          <w:rFonts w:hint="eastAsia" w:ascii="仿宋" w:hAnsi="仿宋" w:eastAsia="仿宋" w:cs="仿宋"/>
          <w:color w:val="auto"/>
          <w:sz w:val="24"/>
          <w:szCs w:val="24"/>
          <w:highlight w:val="none"/>
          <w:lang w:val="en-US" w:eastAsia="zh-CN"/>
        </w:rPr>
        <w:t>服务期</w:t>
      </w:r>
      <w:r>
        <w:rPr>
          <w:rFonts w:hint="eastAsia" w:ascii="仿宋" w:hAnsi="仿宋" w:eastAsia="仿宋" w:cs="仿宋"/>
          <w:color w:val="auto"/>
          <w:sz w:val="24"/>
          <w:szCs w:val="24"/>
          <w:highlight w:val="none"/>
        </w:rPr>
        <w:t>，以及主持人认为有必要宣读的其他内容，宣读完毕后投标人退场。</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7.专家进入会场进入评标阶段，宣读评标纪律。</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8.符合性审查由评标委员会组织。</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9.符合性审查通过的企业评标委员会组织对商务部分</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技术部分评分，招标代理公司负责本环节的录音录像工作。</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10.复会时由主持人公布无效投标的投标人名单、投标无效的原因及其他有效投标的评分结果；</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记录人做开标记录, 投标人代表对开标记录进行当场校核，并签字确认；同时由记录人、监督人当场签字确认。</w:t>
      </w:r>
    </w:p>
    <w:p>
      <w:pPr>
        <w:pStyle w:val="10"/>
        <w:snapToGrid w:val="0"/>
        <w:spacing w:line="360" w:lineRule="auto"/>
        <w:ind w:left="240" w:leftChars="109"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12.开标会议结束。</w:t>
      </w:r>
    </w:p>
    <w:p>
      <w:pPr>
        <w:pStyle w:val="4"/>
        <w:numPr>
          <w:ilvl w:val="1"/>
          <w:numId w:val="0"/>
        </w:numPr>
        <w:spacing w:before="0" w:after="0" w:line="360" w:lineRule="auto"/>
        <w:ind w:left="-420" w:leftChars="0" w:right="0" w:rightChars="0" w:firstLine="4337" w:firstLineChars="1800"/>
        <w:jc w:val="both"/>
        <w:rPr>
          <w:rFonts w:hint="eastAsia" w:ascii="仿宋" w:hAnsi="仿宋" w:eastAsia="仿宋" w:cs="仿宋"/>
          <w:color w:val="auto"/>
          <w:sz w:val="24"/>
          <w:szCs w:val="24"/>
          <w:highlight w:val="none"/>
        </w:rPr>
      </w:pPr>
      <w:bookmarkStart w:id="77" w:name="_Toc521014788"/>
      <w:bookmarkStart w:id="78" w:name="_Toc503212220"/>
      <w:bookmarkStart w:id="79" w:name="_Toc12263"/>
      <w:bookmarkStart w:id="80" w:name="_Toc24288"/>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评标</w:t>
      </w:r>
      <w:bookmarkEnd w:id="77"/>
      <w:bookmarkEnd w:id="78"/>
      <w:bookmarkEnd w:id="79"/>
      <w:bookmarkEnd w:id="80"/>
    </w:p>
    <w:p>
      <w:pPr>
        <w:pStyle w:val="1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（一）组建评标委员会</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本项目评标委员会</w:t>
      </w: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rPr>
        <w:t>监督人</w:t>
      </w:r>
      <w:r>
        <w:rPr>
          <w:rFonts w:hint="eastAsia" w:ascii="仿宋" w:hAnsi="仿宋" w:eastAsia="仿宋" w:cs="仿宋"/>
          <w:color w:val="auto"/>
          <w:sz w:val="24"/>
          <w:szCs w:val="24"/>
          <w:highlight w:val="none"/>
          <w:lang w:val="en-US" w:eastAsia="zh-CN"/>
        </w:rPr>
        <w:t>的监督下，专家构成共5人，从专家库中随机</w:t>
      </w:r>
      <w:r>
        <w:rPr>
          <w:rFonts w:hint="eastAsia" w:ascii="仿宋" w:hAnsi="仿宋" w:eastAsia="仿宋" w:cs="仿宋"/>
          <w:color w:val="auto"/>
          <w:sz w:val="24"/>
          <w:szCs w:val="24"/>
          <w:highlight w:val="none"/>
        </w:rPr>
        <w:t>抽取评审专家</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en-US" w:eastAsia="zh-CN"/>
        </w:rPr>
        <w:t>招标人代表:工程学院1人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专家信息不向任何人公布。</w:t>
      </w:r>
    </w:p>
    <w:p>
      <w:pPr>
        <w:pStyle w:val="1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（二）评标的方式</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本项目采用不公开方式评标，评标的依据为《中华人民共和国政府采购法》、《中华人民共和国财政部令第87号--政府采购货物和服务招标投标管理办法》及招标文件。</w:t>
      </w:r>
    </w:p>
    <w:p>
      <w:pPr>
        <w:pStyle w:val="1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评标程序</w:t>
      </w:r>
    </w:p>
    <w:p>
      <w:pPr>
        <w:pStyle w:val="1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1.符合性评审</w:t>
      </w:r>
      <w:r>
        <w:rPr>
          <w:rFonts w:hint="eastAsia" w:ascii="仿宋" w:hAnsi="仿宋" w:eastAsia="仿宋" w:cs="仿宋"/>
          <w:color w:val="auto"/>
          <w:sz w:val="24"/>
          <w:szCs w:val="24"/>
          <w:highlight w:val="none"/>
          <w:lang w:val="en-US" w:eastAsia="zh-CN"/>
        </w:rPr>
        <w:t>及资格审查</w:t>
      </w:r>
    </w:p>
    <w:p>
      <w:pPr>
        <w:pStyle w:val="1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评标委员会对投标人提交的投标文件进行符合性评审</w:t>
      </w:r>
      <w:r>
        <w:rPr>
          <w:rFonts w:hint="eastAsia" w:ascii="仿宋" w:hAnsi="仿宋" w:eastAsia="仿宋" w:cs="仿宋"/>
          <w:color w:val="auto"/>
          <w:sz w:val="24"/>
          <w:szCs w:val="24"/>
          <w:highlight w:val="none"/>
          <w:lang w:val="en-US" w:eastAsia="zh-CN"/>
        </w:rPr>
        <w:t>及资格审查</w:t>
      </w:r>
      <w:r>
        <w:rPr>
          <w:rFonts w:hint="eastAsia" w:ascii="仿宋" w:hAnsi="仿宋" w:eastAsia="仿宋" w:cs="仿宋"/>
          <w:color w:val="auto"/>
          <w:sz w:val="24"/>
          <w:szCs w:val="24"/>
          <w:highlight w:val="none"/>
        </w:rPr>
        <w:t>。</w:t>
      </w:r>
    </w:p>
    <w:p>
      <w:pPr>
        <w:snapToGrid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2.实质审查与比较</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（1）评标委员会审查投标文件的实质性内容是否符合招标文件的实质性要求。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（2）评标委员会将根据投标人的与投标文件进行审查、核对,如有疑问,将对投标人进行询标,投标人要向评标委员会澄清有关问题,并最终以书面形式进行答复。</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（3）各投标人的商务评分、技术评分按照评标委员会成员的独立评分的算术平均值计算，由指定专人进行计算复核。</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 工作人员协助评标委员会根据本项目的评分标准计算各投标人的报价得分。</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（5）评标委员会完成评标后,评委对得分进行汇总,计算出本项目最终得分等。</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（四）澄清问题的形式</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0"/>
        <w:snapToGrid w:val="0"/>
        <w:spacing w:line="360" w:lineRule="auto"/>
        <w:ind w:left="24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（五）错误修正</w:t>
      </w:r>
    </w:p>
    <w:p>
      <w:pPr>
        <w:pStyle w:val="10"/>
        <w:snapToGrid w:val="0"/>
        <w:spacing w:line="360" w:lineRule="auto"/>
        <w:ind w:left="24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投标文件如果出现计算或表达上的错误，修正错误的原则如下：</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1.投标报价一览表总价与投标报价明细表汇总数不一致的，以投标报价一览表为准；</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2.投标文件的大写金额和小写金额不一致的，以大写金额为准；</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3.总价金额与按单价汇总金额不一致的，以单价金额计算结果为准；</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4.对不同文字文本投标文件的解释发生异议的，以中文文本为准。</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0"/>
        <w:tabs>
          <w:tab w:val="left" w:pos="63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（六）评标原则和评标办法</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2.评标办法。本项目评标办法是</w:t>
      </w:r>
      <w:r>
        <w:rPr>
          <w:rFonts w:hint="eastAsia" w:ascii="仿宋" w:hAnsi="仿宋" w:eastAsia="仿宋" w:cs="仿宋"/>
          <w:color w:val="auto"/>
          <w:sz w:val="24"/>
          <w:szCs w:val="24"/>
          <w:highlight w:val="none"/>
          <w:u w:val="single"/>
        </w:rPr>
        <w:t>综合评分法</w:t>
      </w:r>
      <w:r>
        <w:rPr>
          <w:rFonts w:hint="eastAsia" w:ascii="仿宋" w:hAnsi="仿宋" w:eastAsia="仿宋" w:cs="仿宋"/>
          <w:color w:val="auto"/>
          <w:sz w:val="24"/>
          <w:szCs w:val="24"/>
          <w:highlight w:val="none"/>
        </w:rPr>
        <w:t>，具体评标内容及评分标准等详见《第</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章 评标办法及评分标准》。</w:t>
      </w:r>
    </w:p>
    <w:p>
      <w:pPr>
        <w:pStyle w:val="1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（七）评标过程的监控</w:t>
      </w:r>
    </w:p>
    <w:p>
      <w:pPr>
        <w:pStyle w:val="1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开</w:t>
      </w:r>
      <w:r>
        <w:rPr>
          <w:rFonts w:hint="eastAsia" w:ascii="仿宋" w:hAnsi="仿宋" w:eastAsia="仿宋" w:cs="仿宋"/>
          <w:color w:val="auto"/>
          <w:sz w:val="24"/>
          <w:szCs w:val="24"/>
          <w:highlight w:val="none"/>
        </w:rPr>
        <w:t>标过程实行录像监控记录，且由监标人员进行现场监督，投标人在评标过程中所进行的试图影响评标结果的不公正活动，可能导致其投标被拒绝。</w:t>
      </w:r>
    </w:p>
    <w:p>
      <w:pPr>
        <w:pStyle w:val="4"/>
        <w:numPr>
          <w:ilvl w:val="1"/>
          <w:numId w:val="0"/>
        </w:numPr>
        <w:spacing w:before="0" w:after="0" w:line="360" w:lineRule="auto"/>
        <w:ind w:left="-420" w:leftChars="0" w:right="0" w:rightChars="0" w:firstLine="4096" w:firstLineChars="1700"/>
        <w:jc w:val="both"/>
        <w:rPr>
          <w:rFonts w:hint="eastAsia" w:ascii="仿宋" w:hAnsi="仿宋" w:eastAsia="仿宋" w:cs="仿宋"/>
          <w:color w:val="auto"/>
          <w:sz w:val="24"/>
          <w:szCs w:val="24"/>
          <w:highlight w:val="none"/>
        </w:rPr>
      </w:pPr>
      <w:bookmarkStart w:id="81" w:name="_Toc521014789"/>
      <w:bookmarkStart w:id="82" w:name="_Toc2497"/>
      <w:bookmarkStart w:id="83" w:name="_Toc503212221"/>
      <w:bookmarkStart w:id="84" w:name="_Toc28372"/>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定标</w:t>
      </w:r>
      <w:bookmarkEnd w:id="81"/>
      <w:bookmarkEnd w:id="82"/>
      <w:bookmarkEnd w:id="83"/>
      <w:bookmarkEnd w:id="84"/>
    </w:p>
    <w:p>
      <w:pPr>
        <w:adjustRightInd w:val="0"/>
        <w:snapToGrid w:val="0"/>
        <w:spacing w:line="42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评标委员会对通过资格审查、</w:t>
      </w: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评审的合格投标</w:t>
      </w:r>
      <w:r>
        <w:rPr>
          <w:rFonts w:hint="eastAsia" w:ascii="仿宋" w:hAnsi="仿宋" w:eastAsia="仿宋" w:cs="仿宋"/>
          <w:bCs/>
          <w:color w:val="auto"/>
          <w:sz w:val="24"/>
          <w:highlight w:val="none"/>
          <w:lang w:eastAsia="zh-CN"/>
        </w:rPr>
        <w:t>人</w:t>
      </w:r>
      <w:r>
        <w:rPr>
          <w:rFonts w:hint="eastAsia" w:ascii="仿宋" w:hAnsi="仿宋" w:eastAsia="仿宋" w:cs="仿宋"/>
          <w:bCs/>
          <w:color w:val="auto"/>
          <w:sz w:val="24"/>
          <w:highlight w:val="none"/>
        </w:rPr>
        <w:t>，以投标人得分由高到低排序，得分最高为第一</w:t>
      </w:r>
      <w:r>
        <w:rPr>
          <w:rFonts w:hint="eastAsia" w:ascii="仿宋" w:hAnsi="仿宋" w:eastAsia="仿宋" w:cs="仿宋"/>
          <w:bCs/>
          <w:color w:val="auto"/>
          <w:sz w:val="24"/>
          <w:highlight w:val="none"/>
          <w:lang w:eastAsia="zh-CN"/>
        </w:rPr>
        <w:t>中标候选人</w:t>
      </w:r>
      <w:r>
        <w:rPr>
          <w:rFonts w:hint="eastAsia" w:ascii="仿宋" w:hAnsi="仿宋" w:eastAsia="仿宋" w:cs="仿宋"/>
          <w:bCs/>
          <w:color w:val="auto"/>
          <w:sz w:val="24"/>
          <w:highlight w:val="none"/>
        </w:rPr>
        <w:t>，以此类推，</w:t>
      </w:r>
      <w:r>
        <w:rPr>
          <w:rFonts w:hint="eastAsia" w:ascii="仿宋" w:hAnsi="仿宋" w:eastAsia="仿宋" w:cs="仿宋"/>
          <w:bCs/>
          <w:color w:val="auto"/>
          <w:sz w:val="24"/>
          <w:highlight w:val="none"/>
          <w:lang w:eastAsia="zh-CN"/>
        </w:rPr>
        <w:t>推荐</w:t>
      </w:r>
      <w:r>
        <w:rPr>
          <w:rFonts w:hint="eastAsia" w:ascii="仿宋" w:hAnsi="仿宋" w:eastAsia="仿宋" w:cs="仿宋"/>
          <w:bCs/>
          <w:color w:val="auto"/>
          <w:sz w:val="24"/>
          <w:highlight w:val="none"/>
        </w:rPr>
        <w:t>出前</w:t>
      </w:r>
      <w:r>
        <w:rPr>
          <w:rFonts w:hint="eastAsia" w:ascii="仿宋" w:hAnsi="仿宋" w:eastAsia="仿宋" w:cs="仿宋"/>
          <w:bCs/>
          <w:color w:val="auto"/>
          <w:sz w:val="24"/>
          <w:highlight w:val="none"/>
          <w:lang w:eastAsia="zh-CN"/>
        </w:rPr>
        <w:t>三</w:t>
      </w:r>
      <w:r>
        <w:rPr>
          <w:rFonts w:hint="eastAsia" w:ascii="仿宋" w:hAnsi="仿宋" w:eastAsia="仿宋" w:cs="仿宋"/>
          <w:bCs/>
          <w:color w:val="auto"/>
          <w:sz w:val="24"/>
          <w:highlight w:val="none"/>
        </w:rPr>
        <w:t>名作为</w:t>
      </w:r>
      <w:r>
        <w:rPr>
          <w:rFonts w:hint="eastAsia" w:ascii="仿宋" w:hAnsi="仿宋" w:eastAsia="仿宋" w:cs="仿宋"/>
          <w:bCs/>
          <w:color w:val="auto"/>
          <w:sz w:val="24"/>
          <w:highlight w:val="none"/>
          <w:lang w:eastAsia="zh-CN"/>
        </w:rPr>
        <w:t>中标后选人</w:t>
      </w:r>
      <w:r>
        <w:rPr>
          <w:rFonts w:hint="eastAsia" w:ascii="仿宋" w:hAnsi="仿宋" w:eastAsia="仿宋" w:cs="仿宋"/>
          <w:bCs/>
          <w:color w:val="auto"/>
          <w:sz w:val="24"/>
          <w:highlight w:val="none"/>
        </w:rPr>
        <w:t>推荐给</w:t>
      </w:r>
      <w:r>
        <w:rPr>
          <w:rFonts w:hint="eastAsia" w:ascii="仿宋" w:hAnsi="仿宋" w:eastAsia="仿宋" w:cs="仿宋"/>
          <w:bCs/>
          <w:color w:val="auto"/>
          <w:sz w:val="24"/>
          <w:highlight w:val="none"/>
          <w:lang w:eastAsia="zh-CN"/>
        </w:rPr>
        <w:t>招标人</w:t>
      </w:r>
      <w:r>
        <w:rPr>
          <w:rFonts w:hint="eastAsia" w:ascii="仿宋" w:hAnsi="仿宋" w:eastAsia="仿宋" w:cs="仿宋"/>
          <w:bCs/>
          <w:color w:val="auto"/>
          <w:sz w:val="24"/>
          <w:highlight w:val="none"/>
        </w:rPr>
        <w:t>。</w:t>
      </w:r>
    </w:p>
    <w:p>
      <w:pPr>
        <w:pStyle w:val="18"/>
        <w:spacing w:line="360" w:lineRule="auto"/>
        <w:ind w:left="0" w:leftChars="0" w:firstLine="480" w:firstLineChars="200"/>
        <w:rPr>
          <w:rFonts w:hint="eastAsia" w:ascii="仿宋" w:hAnsi="仿宋" w:eastAsia="仿宋" w:cs="仿宋"/>
          <w:color w:val="auto"/>
          <w:sz w:val="24"/>
          <w:szCs w:val="22"/>
          <w:highlight w:val="none"/>
        </w:rPr>
      </w:pPr>
      <w:r>
        <w:rPr>
          <w:rFonts w:hint="eastAsia" w:ascii="仿宋" w:hAnsi="仿宋" w:eastAsia="仿宋" w:cs="仿宋"/>
          <w:bCs/>
          <w:color w:val="auto"/>
          <w:sz w:val="24"/>
          <w:highlight w:val="none"/>
          <w:lang w:eastAsia="zh-CN"/>
        </w:rPr>
        <w:t>招标人</w:t>
      </w:r>
      <w:r>
        <w:rPr>
          <w:rFonts w:hint="eastAsia" w:ascii="仿宋" w:hAnsi="仿宋" w:eastAsia="仿宋" w:cs="仿宋"/>
          <w:bCs/>
          <w:color w:val="auto"/>
          <w:sz w:val="24"/>
          <w:highlight w:val="none"/>
        </w:rPr>
        <w:t>确定中标人时的原则：</w:t>
      </w:r>
      <w:r>
        <w:rPr>
          <w:rFonts w:hint="eastAsia" w:ascii="仿宋" w:hAnsi="仿宋" w:eastAsia="仿宋" w:cs="仿宋"/>
          <w:color w:val="auto"/>
          <w:sz w:val="24"/>
          <w:szCs w:val="22"/>
          <w:highlight w:val="none"/>
        </w:rPr>
        <w:t>评标委员会对通过技术</w:t>
      </w:r>
      <w:r>
        <w:rPr>
          <w:rFonts w:hint="eastAsia" w:ascii="仿宋" w:hAnsi="仿宋" w:eastAsia="仿宋" w:cs="仿宋"/>
          <w:color w:val="auto"/>
          <w:sz w:val="24"/>
          <w:szCs w:val="22"/>
          <w:highlight w:val="none"/>
          <w:lang w:eastAsia="zh-CN"/>
        </w:rPr>
        <w:t>部分</w:t>
      </w:r>
      <w:r>
        <w:rPr>
          <w:rFonts w:hint="eastAsia" w:ascii="仿宋" w:hAnsi="仿宋" w:eastAsia="仿宋" w:cs="仿宋"/>
          <w:color w:val="auto"/>
          <w:sz w:val="24"/>
          <w:szCs w:val="22"/>
          <w:highlight w:val="none"/>
        </w:rPr>
        <w:t>、商务部分及</w:t>
      </w:r>
      <w:r>
        <w:rPr>
          <w:rFonts w:hint="eastAsia" w:ascii="仿宋" w:hAnsi="仿宋" w:eastAsia="仿宋" w:cs="仿宋"/>
          <w:color w:val="auto"/>
          <w:sz w:val="24"/>
          <w:szCs w:val="22"/>
          <w:highlight w:val="none"/>
          <w:lang w:eastAsia="zh-CN"/>
        </w:rPr>
        <w:t>报价</w:t>
      </w:r>
      <w:r>
        <w:rPr>
          <w:rFonts w:hint="eastAsia" w:ascii="仿宋" w:hAnsi="仿宋" w:eastAsia="仿宋" w:cs="仿宋"/>
          <w:color w:val="auto"/>
          <w:sz w:val="24"/>
          <w:szCs w:val="22"/>
          <w:highlight w:val="none"/>
        </w:rPr>
        <w:t>部分评审合格的投标人，以</w:t>
      </w:r>
      <w:r>
        <w:rPr>
          <w:rFonts w:hint="eastAsia" w:ascii="仿宋" w:hAnsi="仿宋" w:eastAsia="仿宋" w:cs="仿宋"/>
          <w:color w:val="auto"/>
          <w:sz w:val="24"/>
          <w:highlight w:val="none"/>
        </w:rPr>
        <w:t>商务得分+技术得分+报价得分</w:t>
      </w:r>
      <w:r>
        <w:rPr>
          <w:rFonts w:hint="eastAsia" w:ascii="仿宋" w:hAnsi="仿宋" w:eastAsia="仿宋" w:cs="仿宋"/>
          <w:color w:val="auto"/>
          <w:sz w:val="24"/>
          <w:szCs w:val="22"/>
          <w:highlight w:val="none"/>
        </w:rPr>
        <w:t>之和由高到低排序，并推荐综合得分第一的为“第一</w:t>
      </w:r>
      <w:r>
        <w:rPr>
          <w:rFonts w:hint="eastAsia" w:ascii="仿宋" w:hAnsi="仿宋" w:eastAsia="仿宋" w:cs="仿宋"/>
          <w:color w:val="auto"/>
          <w:sz w:val="24"/>
          <w:szCs w:val="22"/>
          <w:highlight w:val="none"/>
          <w:lang w:eastAsia="zh-CN"/>
        </w:rPr>
        <w:t>中标</w:t>
      </w:r>
      <w:r>
        <w:rPr>
          <w:rFonts w:hint="eastAsia" w:ascii="仿宋" w:hAnsi="仿宋" w:eastAsia="仿宋" w:cs="仿宋"/>
          <w:color w:val="auto"/>
          <w:sz w:val="24"/>
          <w:szCs w:val="22"/>
          <w:highlight w:val="none"/>
        </w:rPr>
        <w:t>候选人”，</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的为“第</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中标候选人”、综合得分第</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的为“第</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中标候选人”</w:t>
      </w:r>
      <w:r>
        <w:rPr>
          <w:rFonts w:hint="eastAsia" w:ascii="仿宋" w:hAnsi="仿宋" w:eastAsia="仿宋" w:cs="仿宋"/>
          <w:color w:val="auto"/>
          <w:sz w:val="24"/>
          <w:szCs w:val="22"/>
          <w:highlight w:val="none"/>
        </w:rPr>
        <w:t>。投标人综合得分相同的，按照投标报价由低到高的顺序排列。投标人综合得分相同且投标报价也相同的并列，评标委员会将按照技术指标优劣顺序推荐。</w:t>
      </w:r>
    </w:p>
    <w:p>
      <w:pPr>
        <w:pStyle w:val="23"/>
        <w:spacing w:line="360" w:lineRule="auto"/>
        <w:ind w:left="108" w:firstLine="482" w:firstLineChars="200"/>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综合得分排名第一</w:t>
      </w:r>
      <w:r>
        <w:rPr>
          <w:rFonts w:hint="eastAsia" w:ascii="仿宋" w:hAnsi="仿宋" w:eastAsia="仿宋" w:cs="仿宋"/>
          <w:b/>
          <w:bCs/>
          <w:color w:val="auto"/>
          <w:sz w:val="24"/>
          <w:highlight w:val="none"/>
          <w:lang w:eastAsia="zh-CN"/>
        </w:rPr>
        <w:t>的</w:t>
      </w:r>
      <w:r>
        <w:rPr>
          <w:rFonts w:hint="eastAsia" w:ascii="仿宋" w:hAnsi="仿宋" w:eastAsia="仿宋" w:cs="仿宋"/>
          <w:b/>
          <w:bCs/>
          <w:color w:val="auto"/>
          <w:sz w:val="24"/>
          <w:highlight w:val="none"/>
        </w:rPr>
        <w:t>中标候选人为</w:t>
      </w:r>
      <w:r>
        <w:rPr>
          <w:rFonts w:hint="eastAsia" w:ascii="仿宋" w:hAnsi="仿宋" w:eastAsia="仿宋" w:cs="仿宋"/>
          <w:b/>
          <w:bCs/>
          <w:color w:val="auto"/>
          <w:sz w:val="24"/>
          <w:highlight w:val="none"/>
          <w:lang w:eastAsia="zh-CN"/>
        </w:rPr>
        <w:t>中标人</w:t>
      </w:r>
      <w:r>
        <w:rPr>
          <w:rFonts w:hint="eastAsia" w:ascii="仿宋" w:hAnsi="仿宋" w:eastAsia="仿宋" w:cs="仿宋"/>
          <w:b/>
          <w:bCs/>
          <w:color w:val="auto"/>
          <w:sz w:val="24"/>
          <w:highlight w:val="none"/>
        </w:rPr>
        <w:t>，如第一中标单位未按要求供货，</w:t>
      </w:r>
      <w:r>
        <w:rPr>
          <w:rFonts w:hint="eastAsia" w:ascii="仿宋" w:hAnsi="仿宋" w:eastAsia="仿宋" w:cs="仿宋"/>
          <w:b/>
          <w:bCs/>
          <w:color w:val="auto"/>
          <w:sz w:val="24"/>
          <w:highlight w:val="none"/>
          <w:lang w:eastAsia="zh-CN"/>
        </w:rPr>
        <w:t>或</w:t>
      </w:r>
      <w:r>
        <w:rPr>
          <w:rFonts w:hint="eastAsia" w:ascii="仿宋" w:hAnsi="仿宋" w:eastAsia="仿宋" w:cs="仿宋"/>
          <w:b/>
          <w:bCs/>
          <w:color w:val="auto"/>
          <w:sz w:val="24"/>
          <w:highlight w:val="none"/>
        </w:rPr>
        <w:t>放弃中标、因不可抗力提出不能履行合同</w:t>
      </w:r>
      <w:r>
        <w:rPr>
          <w:rFonts w:hint="eastAsia" w:ascii="仿宋" w:hAnsi="仿宋" w:eastAsia="仿宋" w:cs="仿宋"/>
          <w:b/>
          <w:bCs/>
          <w:color w:val="auto"/>
          <w:sz w:val="24"/>
          <w:highlight w:val="none"/>
          <w:lang w:eastAsia="zh-CN"/>
        </w:rPr>
        <w:t>的</w:t>
      </w:r>
      <w:r>
        <w:rPr>
          <w:rFonts w:hint="eastAsia" w:ascii="仿宋" w:hAnsi="仿宋" w:eastAsia="仿宋" w:cs="仿宋"/>
          <w:b/>
          <w:bCs/>
          <w:color w:val="auto"/>
          <w:sz w:val="24"/>
          <w:highlight w:val="none"/>
        </w:rPr>
        <w:t>，或者</w:t>
      </w:r>
      <w:r>
        <w:rPr>
          <w:rFonts w:hint="eastAsia" w:ascii="仿宋" w:hAnsi="仿宋" w:eastAsia="仿宋" w:cs="仿宋"/>
          <w:b/>
          <w:bCs/>
          <w:color w:val="auto"/>
          <w:sz w:val="24"/>
          <w:highlight w:val="none"/>
          <w:lang w:eastAsia="zh-CN"/>
        </w:rPr>
        <w:t>未按</w:t>
      </w:r>
      <w:r>
        <w:rPr>
          <w:rFonts w:hint="eastAsia" w:ascii="仿宋" w:hAnsi="仿宋" w:eastAsia="仿宋" w:cs="仿宋"/>
          <w:b/>
          <w:bCs/>
          <w:color w:val="auto"/>
          <w:sz w:val="24"/>
          <w:highlight w:val="none"/>
        </w:rPr>
        <w:t>招标文件规定提交履约保证金</w:t>
      </w:r>
      <w:r>
        <w:rPr>
          <w:rFonts w:hint="eastAsia" w:ascii="仿宋" w:hAnsi="仿宋" w:eastAsia="仿宋" w:cs="仿宋"/>
          <w:b/>
          <w:bCs/>
          <w:color w:val="auto"/>
          <w:sz w:val="24"/>
          <w:highlight w:val="none"/>
          <w:lang w:eastAsia="zh-CN"/>
        </w:rPr>
        <w:t>的</w:t>
      </w:r>
      <w:r>
        <w:rPr>
          <w:rFonts w:hint="eastAsia" w:ascii="仿宋" w:hAnsi="仿宋" w:eastAsia="仿宋" w:cs="仿宋"/>
          <w:b/>
          <w:bCs/>
          <w:color w:val="auto"/>
          <w:sz w:val="24"/>
          <w:highlight w:val="none"/>
        </w:rPr>
        <w:t>，或者不接受最终供应价的投标人，招标人可以按照评标委员会提出的</w:t>
      </w:r>
      <w:r>
        <w:rPr>
          <w:rFonts w:hint="eastAsia" w:ascii="仿宋" w:hAnsi="仿宋" w:eastAsia="仿宋" w:cs="仿宋"/>
          <w:b/>
          <w:bCs/>
          <w:color w:val="auto"/>
          <w:sz w:val="24"/>
          <w:highlight w:val="none"/>
          <w:lang w:eastAsia="zh-CN"/>
        </w:rPr>
        <w:t>推荐</w:t>
      </w:r>
      <w:r>
        <w:rPr>
          <w:rFonts w:hint="eastAsia" w:ascii="仿宋" w:hAnsi="仿宋" w:eastAsia="仿宋" w:cs="仿宋"/>
          <w:b/>
          <w:bCs/>
          <w:color w:val="auto"/>
          <w:sz w:val="24"/>
          <w:highlight w:val="none"/>
        </w:rPr>
        <w:t>名单排序</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依次确定排名第</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名的投标人为中标投标人（以此类推）。如果投标人综合得分相同的，按照投标报价由低到高的顺序排列，投标人综合得分相同且投标报价也相同的并列，评标委员会将按照技术指标优劣顺序推荐。</w:t>
      </w:r>
    </w:p>
    <w:p>
      <w:pPr>
        <w:pStyle w:val="18"/>
        <w:spacing w:line="360" w:lineRule="auto"/>
        <w:ind w:left="0" w:leftChars="0" w:firstLine="0" w:firstLineChars="0"/>
        <w:rPr>
          <w:rFonts w:hint="eastAsia" w:ascii="仿宋" w:hAnsi="仿宋" w:eastAsia="仿宋" w:cs="仿宋"/>
          <w:b/>
          <w:bCs/>
          <w:color w:val="auto"/>
          <w:sz w:val="24"/>
          <w:szCs w:val="22"/>
          <w:highlight w:val="none"/>
          <w:lang w:val="zh-CN" w:eastAsia="zh-CN" w:bidi="zh-CN"/>
        </w:rPr>
      </w:pPr>
      <w:r>
        <w:rPr>
          <w:rFonts w:hint="eastAsia" w:ascii="仿宋" w:hAnsi="仿宋" w:eastAsia="仿宋" w:cs="仿宋"/>
          <w:b/>
          <w:bCs/>
          <w:color w:val="auto"/>
          <w:sz w:val="24"/>
          <w:szCs w:val="22"/>
          <w:highlight w:val="none"/>
          <w:lang w:val="zh-CN" w:eastAsia="zh-CN" w:bidi="zh-CN"/>
        </w:rPr>
        <w:t>注：使用综合评分法的采购项目，提供相同品牌核心产品且通过资格审查、符合性审查的不同投标人参加同一合同项下投标的，按一家投标人计算，评审后得分最高的同品牌投标人获得中标人推荐资格，评审得分相同的，由评标委员会按照报价最低的投标人，推荐其作为中标候选人，其他同品牌投标人不作为中标候选人。</w:t>
      </w:r>
    </w:p>
    <w:p>
      <w:pPr>
        <w:pStyle w:val="4"/>
        <w:numPr>
          <w:ilvl w:val="1"/>
          <w:numId w:val="0"/>
        </w:numPr>
        <w:spacing w:before="0" w:after="0" w:line="360" w:lineRule="auto"/>
        <w:ind w:left="-420" w:leftChars="0" w:right="0" w:rightChars="0" w:firstLine="4096" w:firstLineChars="1700"/>
        <w:jc w:val="both"/>
        <w:rPr>
          <w:rFonts w:hint="eastAsia" w:ascii="仿宋" w:hAnsi="仿宋" w:eastAsia="仿宋" w:cs="仿宋"/>
          <w:color w:val="auto"/>
          <w:sz w:val="24"/>
          <w:szCs w:val="24"/>
          <w:highlight w:val="none"/>
        </w:rPr>
      </w:pPr>
      <w:bookmarkStart w:id="85" w:name="_Toc503212222"/>
      <w:bookmarkStart w:id="86" w:name="_Toc15327"/>
      <w:bookmarkStart w:id="87" w:name="_Toc521014790"/>
      <w:bookmarkStart w:id="88" w:name="_Toc20063"/>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合同授予</w:t>
      </w:r>
      <w:bookmarkEnd w:id="85"/>
      <w:bookmarkEnd w:id="86"/>
      <w:bookmarkEnd w:id="87"/>
      <w:bookmarkEnd w:id="88"/>
    </w:p>
    <w:p>
      <w:pPr>
        <w:snapToGrid w:val="0"/>
        <w:spacing w:line="360" w:lineRule="auto"/>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（一）签订合同</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与中标人应当在《中标通知书》发出之日起30日内签订合同。同时，招标代理机构对合同内容进行审查，如发现与采购结果和投标承诺内容不一致的，应予以纠正。</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2.中标人拖延、拒签合同的,将被扣罚投标保证金并取消中标资格。</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szCs w:val="22"/>
          <w:highlight w:val="none"/>
          <w:lang w:val="en-US" w:eastAsia="zh-CN" w:bidi="zh-CN"/>
        </w:rPr>
        <w:t>3.所有参与投标的投标人一旦中标，必须保障能够提供银行账户和统一发票（不能在税务局代开发票），如达不到要求视为自行放弃供货资格，且中标投标人保证在供货时遵从招标人关于本项目的采购程序，保证不会将合同及（或）其中的权利、义务转让，不得转包、分包；</w:t>
      </w:r>
    </w:p>
    <w:p>
      <w:pPr>
        <w:rPr>
          <w:rFonts w:hint="eastAsia" w:ascii="仿宋" w:hAnsi="仿宋" w:eastAsia="仿宋" w:cs="仿宋"/>
          <w:color w:val="auto"/>
          <w:highlight w:val="none"/>
          <w:lang w:val="en-US" w:eastAsia="zh-CN"/>
        </w:rPr>
      </w:pPr>
      <w:bookmarkStart w:id="89" w:name="_Toc4147"/>
      <w:bookmarkStart w:id="90" w:name="_Toc503212223"/>
      <w:bookmarkStart w:id="91" w:name="_Toc521014791"/>
      <w:bookmarkStart w:id="92" w:name="_Toc4784"/>
    </w:p>
    <w:p>
      <w:pPr>
        <w:pStyle w:val="18"/>
        <w:rPr>
          <w:rFonts w:hint="eastAsia" w:ascii="仿宋" w:hAnsi="仿宋" w:eastAsia="仿宋" w:cs="仿宋"/>
          <w:color w:val="auto"/>
          <w:highlight w:val="none"/>
          <w:lang w:val="en-US" w:eastAsia="zh-CN"/>
        </w:rPr>
      </w:pPr>
    </w:p>
    <w:p>
      <w:pPr>
        <w:pStyle w:val="18"/>
        <w:rPr>
          <w:rFonts w:hint="eastAsia" w:ascii="仿宋" w:hAnsi="仿宋" w:eastAsia="仿宋" w:cs="仿宋"/>
          <w:color w:val="auto"/>
          <w:highlight w:val="none"/>
          <w:lang w:val="en-US" w:eastAsia="zh-CN"/>
        </w:rPr>
      </w:pPr>
    </w:p>
    <w:p>
      <w:pPr>
        <w:pStyle w:val="18"/>
        <w:rPr>
          <w:rFonts w:hint="eastAsia" w:ascii="仿宋" w:hAnsi="仿宋" w:eastAsia="仿宋" w:cs="仿宋"/>
          <w:color w:val="auto"/>
          <w:highlight w:val="none"/>
          <w:lang w:val="en-US" w:eastAsia="zh-CN"/>
        </w:rPr>
      </w:pPr>
    </w:p>
    <w:p>
      <w:pPr>
        <w:pStyle w:val="18"/>
        <w:rPr>
          <w:rFonts w:hint="eastAsia" w:ascii="仿宋" w:hAnsi="仿宋" w:eastAsia="仿宋" w:cs="仿宋"/>
          <w:color w:val="auto"/>
          <w:highlight w:val="none"/>
          <w:lang w:val="en-US" w:eastAsia="zh-CN"/>
        </w:rPr>
      </w:pPr>
    </w:p>
    <w:p>
      <w:pPr>
        <w:pStyle w:val="18"/>
        <w:rPr>
          <w:rFonts w:hint="eastAsia" w:ascii="仿宋" w:hAnsi="仿宋" w:eastAsia="仿宋" w:cs="仿宋"/>
          <w:color w:val="auto"/>
          <w:highlight w:val="none"/>
          <w:lang w:val="en-US" w:eastAsia="zh-CN"/>
        </w:rPr>
      </w:pPr>
    </w:p>
    <w:p>
      <w:pPr>
        <w:pStyle w:val="18"/>
        <w:rPr>
          <w:rFonts w:hint="eastAsia" w:ascii="仿宋" w:hAnsi="仿宋" w:eastAsia="仿宋" w:cs="仿宋"/>
          <w:color w:val="auto"/>
          <w:highlight w:val="none"/>
          <w:lang w:val="en-US" w:eastAsia="zh-CN"/>
        </w:rPr>
      </w:pPr>
    </w:p>
    <w:p>
      <w:pPr>
        <w:pStyle w:val="18"/>
        <w:rPr>
          <w:rFonts w:hint="eastAsia" w:ascii="仿宋" w:hAnsi="仿宋" w:eastAsia="仿宋" w:cs="仿宋"/>
          <w:color w:val="auto"/>
          <w:highlight w:val="none"/>
          <w:lang w:val="en-US" w:eastAsia="zh-CN"/>
        </w:rPr>
      </w:pPr>
    </w:p>
    <w:p>
      <w:pPr>
        <w:pStyle w:val="18"/>
        <w:rPr>
          <w:rFonts w:hint="eastAsia" w:ascii="仿宋" w:hAnsi="仿宋" w:eastAsia="仿宋" w:cs="仿宋"/>
          <w:color w:val="auto"/>
          <w:highlight w:val="none"/>
          <w:lang w:val="en-US" w:eastAsia="zh-CN"/>
        </w:rPr>
      </w:pPr>
    </w:p>
    <w:p>
      <w:pPr>
        <w:pStyle w:val="18"/>
        <w:rPr>
          <w:rFonts w:hint="eastAsia" w:ascii="仿宋" w:hAnsi="仿宋" w:eastAsia="仿宋" w:cs="仿宋"/>
          <w:color w:val="auto"/>
          <w:highlight w:val="none"/>
          <w:lang w:val="en-US" w:eastAsia="zh-CN"/>
        </w:rPr>
      </w:pPr>
    </w:p>
    <w:p>
      <w:pPr>
        <w:pStyle w:val="18"/>
        <w:rPr>
          <w:rFonts w:hint="eastAsia" w:ascii="仿宋" w:hAnsi="仿宋" w:eastAsia="仿宋" w:cs="仿宋"/>
          <w:color w:val="auto"/>
          <w:highlight w:val="none"/>
          <w:lang w:val="en-US" w:eastAsia="zh-CN"/>
        </w:rPr>
      </w:pPr>
    </w:p>
    <w:p>
      <w:pPr>
        <w:pStyle w:val="18"/>
        <w:rPr>
          <w:rFonts w:hint="eastAsia" w:ascii="仿宋" w:hAnsi="仿宋" w:eastAsia="仿宋" w:cs="仿宋"/>
          <w:color w:val="auto"/>
          <w:highlight w:val="none"/>
          <w:lang w:val="en-US" w:eastAsia="zh-CN"/>
        </w:rPr>
      </w:pPr>
    </w:p>
    <w:p>
      <w:pPr>
        <w:pStyle w:val="18"/>
        <w:rPr>
          <w:rFonts w:hint="eastAsia" w:ascii="仿宋" w:hAnsi="仿宋" w:eastAsia="仿宋" w:cs="仿宋"/>
          <w:color w:val="auto"/>
          <w:highlight w:val="none"/>
          <w:lang w:val="en-US" w:eastAsia="zh-CN"/>
        </w:rPr>
      </w:pPr>
    </w:p>
    <w:p>
      <w:pPr>
        <w:pStyle w:val="18"/>
        <w:rPr>
          <w:rFonts w:hint="eastAsia" w:ascii="仿宋" w:hAnsi="仿宋" w:eastAsia="仿宋" w:cs="仿宋"/>
          <w:color w:val="auto"/>
          <w:highlight w:val="none"/>
          <w:lang w:val="en-US" w:eastAsia="zh-CN"/>
        </w:rPr>
      </w:pPr>
    </w:p>
    <w:p>
      <w:pPr>
        <w:pStyle w:val="18"/>
        <w:rPr>
          <w:rFonts w:hint="eastAsia" w:ascii="仿宋" w:hAnsi="仿宋" w:eastAsia="仿宋" w:cs="仿宋"/>
          <w:color w:val="auto"/>
          <w:highlight w:val="none"/>
          <w:lang w:val="en-US" w:eastAsia="zh-CN"/>
        </w:rPr>
      </w:pPr>
    </w:p>
    <w:p>
      <w:pPr>
        <w:pStyle w:val="18"/>
        <w:rPr>
          <w:rFonts w:hint="eastAsia" w:ascii="仿宋" w:hAnsi="仿宋" w:eastAsia="仿宋" w:cs="仿宋"/>
          <w:color w:val="auto"/>
          <w:highlight w:val="none"/>
          <w:lang w:val="en-US" w:eastAsia="zh-CN"/>
        </w:rPr>
      </w:pPr>
    </w:p>
    <w:p>
      <w:pPr>
        <w:pStyle w:val="3"/>
        <w:numPr>
          <w:ilvl w:val="0"/>
          <w:numId w:val="0"/>
        </w:numPr>
        <w:tabs>
          <w:tab w:val="left" w:pos="0"/>
        </w:tabs>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第三章</w:t>
      </w:r>
      <w:r>
        <w:rPr>
          <w:rFonts w:hint="eastAsia" w:ascii="仿宋" w:hAnsi="仿宋" w:eastAsia="仿宋" w:cs="仿宋"/>
          <w:b/>
          <w:bCs/>
          <w:color w:val="auto"/>
          <w:sz w:val="24"/>
          <w:szCs w:val="24"/>
          <w:highlight w:val="none"/>
        </w:rPr>
        <w:t xml:space="preserve">  评标办法及标准</w:t>
      </w:r>
      <w:bookmarkEnd w:id="89"/>
      <w:bookmarkEnd w:id="90"/>
      <w:bookmarkEnd w:id="91"/>
    </w:p>
    <w:p>
      <w:pPr>
        <w:rPr>
          <w:rFonts w:hint="eastAsia" w:ascii="仿宋" w:hAnsi="仿宋" w:eastAsia="仿宋" w:cs="仿宋"/>
          <w:color w:val="auto"/>
          <w:sz w:val="24"/>
          <w:highlight w:val="none"/>
        </w:rPr>
      </w:pPr>
    </w:p>
    <w:p>
      <w:pPr>
        <w:pStyle w:val="3"/>
        <w:numPr>
          <w:ilvl w:val="0"/>
          <w:numId w:val="0"/>
        </w:numPr>
        <w:tabs>
          <w:tab w:val="left" w:pos="0"/>
        </w:tabs>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一、资格审查（未通过查验的不得进入后续评审阶段）</w:t>
      </w:r>
    </w:p>
    <w:tbl>
      <w:tblPr>
        <w:tblStyle w:val="19"/>
        <w:tblpPr w:leftFromText="180" w:rightFromText="180" w:vertAnchor="text" w:horzAnchor="page" w:tblpX="1227" w:tblpY="478"/>
        <w:tblOverlap w:val="never"/>
        <w:tblW w:w="9520" w:type="dxa"/>
        <w:tblInd w:w="0" w:type="dxa"/>
        <w:tblLayout w:type="fixed"/>
        <w:tblCellMar>
          <w:top w:w="0" w:type="dxa"/>
          <w:left w:w="0" w:type="dxa"/>
          <w:bottom w:w="0" w:type="dxa"/>
          <w:right w:w="0" w:type="dxa"/>
        </w:tblCellMar>
      </w:tblPr>
      <w:tblGrid>
        <w:gridCol w:w="542"/>
        <w:gridCol w:w="4970"/>
        <w:gridCol w:w="1009"/>
        <w:gridCol w:w="964"/>
        <w:gridCol w:w="1039"/>
        <w:gridCol w:w="996"/>
      </w:tblGrid>
      <w:tr>
        <w:tblPrEx>
          <w:tblCellMar>
            <w:top w:w="0" w:type="dxa"/>
            <w:left w:w="0" w:type="dxa"/>
            <w:bottom w:w="0" w:type="dxa"/>
            <w:right w:w="0" w:type="dxa"/>
          </w:tblCellMar>
        </w:tblPrEx>
        <w:trPr>
          <w:trHeight w:val="778" w:hRule="atLeast"/>
        </w:trPr>
        <w:tc>
          <w:tcPr>
            <w:tcW w:w="952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资 格 审 查 表</w:t>
            </w:r>
          </w:p>
        </w:tc>
      </w:tr>
      <w:tr>
        <w:tblPrEx>
          <w:tblCellMar>
            <w:top w:w="0" w:type="dxa"/>
            <w:left w:w="0" w:type="dxa"/>
            <w:bottom w:w="0" w:type="dxa"/>
            <w:right w:w="0" w:type="dxa"/>
          </w:tblCellMar>
        </w:tblPrEx>
        <w:trPr>
          <w:trHeight w:val="356" w:hRule="atLeast"/>
        </w:trPr>
        <w:tc>
          <w:tcPr>
            <w:tcW w:w="5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序号</w:t>
            </w:r>
          </w:p>
        </w:tc>
        <w:tc>
          <w:tcPr>
            <w:tcW w:w="49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标准</w:t>
            </w:r>
          </w:p>
        </w:tc>
        <w:tc>
          <w:tcPr>
            <w:tcW w:w="400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投 标 企 业</w:t>
            </w:r>
          </w:p>
        </w:tc>
      </w:tr>
      <w:tr>
        <w:tblPrEx>
          <w:tblCellMar>
            <w:top w:w="0" w:type="dxa"/>
            <w:left w:w="0" w:type="dxa"/>
            <w:bottom w:w="0" w:type="dxa"/>
            <w:right w:w="0" w:type="dxa"/>
          </w:tblCellMar>
        </w:tblPrEx>
        <w:trPr>
          <w:trHeight w:val="356" w:hRule="atLeast"/>
        </w:trPr>
        <w:tc>
          <w:tcPr>
            <w:tcW w:w="5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49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957" w:hRule="atLeast"/>
        </w:trPr>
        <w:tc>
          <w:tcPr>
            <w:tcW w:w="54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497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投标人须满足《中华人民共和国政府采购法》第二十二条规定；</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1348" w:hRule="atLeast"/>
        </w:trPr>
        <w:tc>
          <w:tcPr>
            <w:tcW w:w="54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4970" w:type="dxa"/>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投标人须具有经年审合格（三证合一）的《营业执照》（如证件处于年审阶段，投标人应提供年审受理回执复印件，并承诺中标签订合同时提供通过年审的证件）；</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1348" w:hRule="atLeast"/>
        </w:trPr>
        <w:tc>
          <w:tcPr>
            <w:tcW w:w="5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9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法定代表人投标需携带法定代表人证明书（原件）及法定代表人身份证（原件）；委托代理人投标需携带法定代表人授权委托书（原件）及委托代理人身份证（原件）;</w:t>
            </w:r>
          </w:p>
        </w:tc>
        <w:tc>
          <w:tcPr>
            <w:tcW w:w="100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991" w:hRule="atLeast"/>
        </w:trPr>
        <w:tc>
          <w:tcPr>
            <w:tcW w:w="5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49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凡拟参加本次招标项目的投标人，近三年内（本项目投标截止期前）存在下述条件中的任意一项将拒绝其参加本次采购活动：</w:t>
            </w:r>
          </w:p>
          <w:p>
            <w:pPr>
              <w:widowControl/>
              <w:jc w:val="left"/>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1）“信用中国网（www.creditchina.gov.cn）”被列入失信被执行人、税收违法黑名单、政府采购严重违法失信名单（尚在处罚期内的）；</w:t>
            </w:r>
          </w:p>
          <w:p>
            <w:pPr>
              <w:widowControl/>
              <w:jc w:val="left"/>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2）“中国政府采购网（www.ccgp.gov.cn）”被列入政府采购严重违法失信行为记录名单的（尚在处罚期内的）；</w:t>
            </w:r>
          </w:p>
          <w:p>
            <w:pPr>
              <w:widowControl/>
              <w:jc w:val="left"/>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3）“中国裁判文书网（http://wenshu.court.gov.cn/）”有行贿受贿犯罪记录(尚在处罚期内)；</w:t>
            </w:r>
          </w:p>
        </w:tc>
        <w:tc>
          <w:tcPr>
            <w:tcW w:w="100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1017" w:hRule="atLeast"/>
        </w:trPr>
        <w:tc>
          <w:tcPr>
            <w:tcW w:w="5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49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企业负责人为同一人或者存在直接控股、管理关系的不同投标人，不得参加同一合同项下的政府采购活动，否则取消其投标资格；</w:t>
            </w:r>
          </w:p>
        </w:tc>
        <w:tc>
          <w:tcPr>
            <w:tcW w:w="100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613" w:hRule="atLeast"/>
        </w:trPr>
        <w:tc>
          <w:tcPr>
            <w:tcW w:w="5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49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本项目不接受联合体投标。</w:t>
            </w:r>
          </w:p>
        </w:tc>
        <w:tc>
          <w:tcPr>
            <w:tcW w:w="100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544" w:hRule="atLeast"/>
        </w:trPr>
        <w:tc>
          <w:tcPr>
            <w:tcW w:w="5512"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结论：是否通过评审</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color w:val="auto"/>
                <w:sz w:val="24"/>
                <w:highlight w:val="none"/>
              </w:rPr>
            </w:pPr>
          </w:p>
        </w:tc>
        <w:tc>
          <w:tcPr>
            <w:tcW w:w="9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color w:val="auto"/>
                <w:sz w:val="24"/>
                <w:highlight w:val="none"/>
              </w:rPr>
            </w:pP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仿宋" w:hAnsi="仿宋" w:eastAsia="仿宋" w:cs="仿宋"/>
                <w:color w:val="auto"/>
                <w:sz w:val="24"/>
                <w:highlight w:val="none"/>
              </w:rPr>
            </w:pPr>
          </w:p>
        </w:tc>
      </w:tr>
    </w:tbl>
    <w:p>
      <w:pPr>
        <w:rPr>
          <w:rFonts w:hint="eastAsia" w:ascii="仿宋" w:hAnsi="仿宋" w:eastAsia="仿宋" w:cs="仿宋"/>
          <w:color w:val="auto"/>
          <w:sz w:val="24"/>
          <w:highlight w:val="none"/>
        </w:rPr>
      </w:pPr>
    </w:p>
    <w:p>
      <w:pPr>
        <w:pStyle w:val="18"/>
        <w:ind w:left="0" w:leftChars="0" w:firstLine="0" w:firstLineChars="0"/>
        <w:rPr>
          <w:rFonts w:hint="eastAsia" w:ascii="仿宋" w:hAnsi="仿宋" w:eastAsia="仿宋" w:cs="仿宋"/>
          <w:color w:val="auto"/>
          <w:highlight w:val="none"/>
        </w:rPr>
      </w:pPr>
    </w:p>
    <w:p>
      <w:pPr>
        <w:pStyle w:val="18"/>
        <w:ind w:left="0" w:leftChars="0" w:firstLine="0" w:firstLineChars="0"/>
        <w:rPr>
          <w:rFonts w:hint="eastAsia" w:ascii="仿宋" w:hAnsi="仿宋" w:eastAsia="仿宋" w:cs="仿宋"/>
          <w:color w:val="auto"/>
          <w:highlight w:val="none"/>
        </w:rPr>
      </w:pPr>
    </w:p>
    <w:p>
      <w:pPr>
        <w:snapToGrid w:val="0"/>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、符合性评审标准（有一项不通过，否决投标文件）：</w:t>
      </w:r>
    </w:p>
    <w:tbl>
      <w:tblPr>
        <w:tblStyle w:val="19"/>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573"/>
        <w:gridCol w:w="5952"/>
        <w:gridCol w:w="709"/>
        <w:gridCol w:w="709"/>
        <w:gridCol w:w="709"/>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523" w:type="dxa"/>
            <w:noWrap w:val="0"/>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w:t>
            </w:r>
          </w:p>
        </w:tc>
        <w:tc>
          <w:tcPr>
            <w:tcW w:w="6525" w:type="dxa"/>
            <w:gridSpan w:val="2"/>
            <w:noWrap w:val="0"/>
            <w:vAlign w:val="center"/>
          </w:tcPr>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  审  内  容</w:t>
            </w:r>
          </w:p>
        </w:tc>
        <w:tc>
          <w:tcPr>
            <w:tcW w:w="709" w:type="dxa"/>
            <w:noWrap w:val="0"/>
            <w:vAlign w:val="center"/>
          </w:tcPr>
          <w:p>
            <w:pPr>
              <w:jc w:val="center"/>
              <w:rPr>
                <w:rFonts w:hint="eastAsia" w:ascii="仿宋" w:hAnsi="仿宋" w:eastAsia="仿宋" w:cs="仿宋"/>
                <w:color w:val="auto"/>
                <w:sz w:val="24"/>
                <w:highlight w:val="none"/>
              </w:rPr>
            </w:pPr>
          </w:p>
        </w:tc>
        <w:tc>
          <w:tcPr>
            <w:tcW w:w="709" w:type="dxa"/>
            <w:noWrap w:val="0"/>
            <w:vAlign w:val="center"/>
          </w:tcPr>
          <w:p>
            <w:pPr>
              <w:jc w:val="center"/>
              <w:rPr>
                <w:rFonts w:hint="eastAsia" w:ascii="仿宋" w:hAnsi="仿宋" w:eastAsia="仿宋" w:cs="仿宋"/>
                <w:color w:val="auto"/>
                <w:sz w:val="24"/>
                <w:highlight w:val="none"/>
              </w:rPr>
            </w:pPr>
          </w:p>
        </w:tc>
        <w:tc>
          <w:tcPr>
            <w:tcW w:w="709" w:type="dxa"/>
            <w:noWrap w:val="0"/>
            <w:vAlign w:val="center"/>
          </w:tcPr>
          <w:p>
            <w:pPr>
              <w:jc w:val="center"/>
              <w:rPr>
                <w:rFonts w:hint="eastAsia" w:ascii="仿宋" w:hAnsi="仿宋" w:eastAsia="仿宋" w:cs="仿宋"/>
                <w:color w:val="auto"/>
                <w:sz w:val="24"/>
                <w:highlight w:val="none"/>
              </w:rPr>
            </w:pPr>
          </w:p>
        </w:tc>
        <w:tc>
          <w:tcPr>
            <w:tcW w:w="661"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23" w:type="dxa"/>
            <w:vMerge w:val="restar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符合性评审</w:t>
            </w:r>
          </w:p>
        </w:tc>
        <w:tc>
          <w:tcPr>
            <w:tcW w:w="57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952" w:type="dxa"/>
            <w:noWrap w:val="0"/>
            <w:vAlign w:val="center"/>
          </w:tcPr>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投标文件未按招标文件规定格式完整提供的；</w:t>
            </w: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661"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523" w:type="dxa"/>
            <w:vMerge w:val="continue"/>
            <w:noWrap w:val="0"/>
            <w:vAlign w:val="center"/>
          </w:tcPr>
          <w:p>
            <w:pPr>
              <w:rPr>
                <w:rFonts w:hint="eastAsia" w:ascii="仿宋" w:hAnsi="仿宋" w:eastAsia="仿宋" w:cs="仿宋"/>
                <w:color w:val="auto"/>
                <w:sz w:val="24"/>
                <w:highlight w:val="none"/>
              </w:rPr>
            </w:pPr>
          </w:p>
        </w:tc>
        <w:tc>
          <w:tcPr>
            <w:tcW w:w="573" w:type="dxa"/>
            <w:noWrap w:val="0"/>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595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投标保证金的缴纳主体与投标人不一致的，没有按照招标文件要求提供投标担保，或者所提供的投标担保有瑕疵的；</w:t>
            </w: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661"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523" w:type="dxa"/>
            <w:vMerge w:val="continue"/>
            <w:noWrap w:val="0"/>
            <w:vAlign w:val="center"/>
          </w:tcPr>
          <w:p>
            <w:pPr>
              <w:rPr>
                <w:rFonts w:hint="eastAsia" w:ascii="仿宋" w:hAnsi="仿宋" w:eastAsia="仿宋" w:cs="仿宋"/>
                <w:color w:val="auto"/>
                <w:sz w:val="24"/>
                <w:highlight w:val="none"/>
              </w:rPr>
            </w:pPr>
          </w:p>
        </w:tc>
        <w:tc>
          <w:tcPr>
            <w:tcW w:w="573" w:type="dxa"/>
            <w:noWrap w:val="0"/>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595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投标代表人未能出具身份证明或与法定代表人授权委托人身份不符的；</w:t>
            </w: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661"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523" w:type="dxa"/>
            <w:vMerge w:val="continue"/>
            <w:noWrap w:val="0"/>
            <w:vAlign w:val="center"/>
          </w:tcPr>
          <w:p>
            <w:pPr>
              <w:rPr>
                <w:rFonts w:hint="eastAsia" w:ascii="仿宋" w:hAnsi="仿宋" w:eastAsia="仿宋" w:cs="仿宋"/>
                <w:color w:val="auto"/>
                <w:sz w:val="24"/>
                <w:highlight w:val="none"/>
              </w:rPr>
            </w:pPr>
          </w:p>
        </w:tc>
        <w:tc>
          <w:tcPr>
            <w:tcW w:w="573" w:type="dxa"/>
            <w:noWrap w:val="0"/>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5952" w:type="dxa"/>
            <w:noWrap w:val="0"/>
            <w:vAlign w:val="center"/>
          </w:tcPr>
          <w:p>
            <w:pPr>
              <w:kinsoku w:val="0"/>
              <w:overflowPunct w:val="0"/>
              <w:autoSpaceDE w:val="0"/>
              <w:autoSpaceDN w:val="0"/>
              <w:snapToGrid w:val="0"/>
              <w:spacing w:line="43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投标报价不符合招标文件规定的要求</w:t>
            </w:r>
            <w:r>
              <w:rPr>
                <w:rFonts w:hint="eastAsia" w:ascii="仿宋" w:hAnsi="仿宋" w:eastAsia="仿宋" w:cs="仿宋"/>
                <w:color w:val="auto"/>
                <w:kern w:val="0"/>
                <w:sz w:val="24"/>
                <w:highlight w:val="none"/>
                <w:lang w:eastAsia="zh-CN"/>
              </w:rPr>
              <w:t>且</w:t>
            </w:r>
            <w:r>
              <w:rPr>
                <w:rFonts w:hint="eastAsia" w:ascii="仿宋" w:hAnsi="仿宋" w:eastAsia="仿宋" w:cs="仿宋"/>
                <w:color w:val="auto"/>
                <w:kern w:val="0"/>
                <w:sz w:val="24"/>
                <w:highlight w:val="none"/>
              </w:rPr>
              <w:t>超过预算价或最高限价</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kern w:val="0"/>
                <w:sz w:val="24"/>
                <w:highlight w:val="none"/>
              </w:rPr>
              <w:t>；</w:t>
            </w: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661"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523" w:type="dxa"/>
            <w:vMerge w:val="continue"/>
            <w:noWrap w:val="0"/>
            <w:vAlign w:val="center"/>
          </w:tcPr>
          <w:p>
            <w:pPr>
              <w:rPr>
                <w:rFonts w:hint="eastAsia" w:ascii="仿宋" w:hAnsi="仿宋" w:eastAsia="仿宋" w:cs="仿宋"/>
                <w:color w:val="auto"/>
                <w:sz w:val="24"/>
                <w:highlight w:val="none"/>
              </w:rPr>
            </w:pPr>
          </w:p>
        </w:tc>
        <w:tc>
          <w:tcPr>
            <w:tcW w:w="573" w:type="dxa"/>
            <w:noWrap w:val="0"/>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5952" w:type="dxa"/>
            <w:noWrap w:val="0"/>
            <w:vAlign w:val="center"/>
          </w:tcPr>
          <w:p>
            <w:pPr>
              <w:kinsoku w:val="0"/>
              <w:overflowPunct w:val="0"/>
              <w:autoSpaceDE w:val="0"/>
              <w:autoSpaceDN w:val="0"/>
              <w:snapToGrid w:val="0"/>
              <w:spacing w:line="43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投标文件载明的</w:t>
            </w:r>
            <w:r>
              <w:rPr>
                <w:rFonts w:hint="eastAsia" w:ascii="仿宋" w:hAnsi="仿宋" w:eastAsia="仿宋" w:cs="仿宋"/>
                <w:color w:val="auto"/>
                <w:kern w:val="0"/>
                <w:sz w:val="24"/>
                <w:highlight w:val="none"/>
                <w:lang w:val="en-US" w:eastAsia="zh-CN"/>
              </w:rPr>
              <w:t>交付期限（合同履行期限）</w:t>
            </w:r>
            <w:r>
              <w:rPr>
                <w:rFonts w:hint="eastAsia" w:ascii="仿宋" w:hAnsi="仿宋" w:eastAsia="仿宋" w:cs="仿宋"/>
                <w:color w:val="auto"/>
                <w:kern w:val="0"/>
                <w:sz w:val="24"/>
                <w:highlight w:val="none"/>
              </w:rPr>
              <w:t>超过招标文件规定的期限；</w:t>
            </w: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661"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23" w:type="dxa"/>
            <w:vMerge w:val="continue"/>
            <w:noWrap w:val="0"/>
            <w:vAlign w:val="center"/>
          </w:tcPr>
          <w:p>
            <w:pPr>
              <w:rPr>
                <w:rFonts w:hint="eastAsia" w:ascii="仿宋" w:hAnsi="仿宋" w:eastAsia="仿宋" w:cs="仿宋"/>
                <w:color w:val="auto"/>
                <w:sz w:val="24"/>
                <w:highlight w:val="none"/>
              </w:rPr>
            </w:pPr>
          </w:p>
        </w:tc>
        <w:tc>
          <w:tcPr>
            <w:tcW w:w="573" w:type="dxa"/>
            <w:noWrap w:val="0"/>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595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明显不符合技术规格和技术标准（技术规格、合同条款有偏离情况的）；</w:t>
            </w: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661"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523" w:type="dxa"/>
            <w:vMerge w:val="continue"/>
            <w:noWrap w:val="0"/>
            <w:vAlign w:val="center"/>
          </w:tcPr>
          <w:p>
            <w:pPr>
              <w:rPr>
                <w:rFonts w:hint="eastAsia" w:ascii="仿宋" w:hAnsi="仿宋" w:eastAsia="仿宋" w:cs="仿宋"/>
                <w:color w:val="auto"/>
                <w:sz w:val="24"/>
                <w:highlight w:val="none"/>
              </w:rPr>
            </w:pPr>
          </w:p>
        </w:tc>
        <w:tc>
          <w:tcPr>
            <w:tcW w:w="573" w:type="dxa"/>
            <w:noWrap w:val="0"/>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595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商务条款，技术参数、功能偏离表有偏离情况的；</w:t>
            </w: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661"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523" w:type="dxa"/>
            <w:vMerge w:val="continue"/>
            <w:noWrap w:val="0"/>
            <w:vAlign w:val="center"/>
          </w:tcPr>
          <w:p>
            <w:pPr>
              <w:rPr>
                <w:rFonts w:hint="eastAsia" w:ascii="仿宋" w:hAnsi="仿宋" w:eastAsia="仿宋" w:cs="仿宋"/>
                <w:color w:val="auto"/>
                <w:sz w:val="24"/>
                <w:highlight w:val="none"/>
              </w:rPr>
            </w:pPr>
          </w:p>
        </w:tc>
        <w:tc>
          <w:tcPr>
            <w:tcW w:w="573" w:type="dxa"/>
            <w:noWrap w:val="0"/>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595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未实质性响应招标文件要求或者投标文件有招标方不能接受的附加条件的；</w:t>
            </w: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661"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523" w:type="dxa"/>
            <w:vMerge w:val="continue"/>
            <w:noWrap w:val="0"/>
            <w:vAlign w:val="center"/>
          </w:tcPr>
          <w:p>
            <w:pPr>
              <w:rPr>
                <w:rFonts w:hint="eastAsia" w:ascii="仿宋" w:hAnsi="仿宋" w:eastAsia="仿宋" w:cs="仿宋"/>
                <w:color w:val="auto"/>
                <w:sz w:val="24"/>
                <w:highlight w:val="none"/>
              </w:rPr>
            </w:pPr>
          </w:p>
        </w:tc>
        <w:tc>
          <w:tcPr>
            <w:tcW w:w="573" w:type="dxa"/>
            <w:noWrap w:val="0"/>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595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不满足招标文件实质性要求的其他情形；</w:t>
            </w: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661"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523" w:type="dxa"/>
            <w:vMerge w:val="continue"/>
            <w:noWrap w:val="0"/>
            <w:vAlign w:val="center"/>
          </w:tcPr>
          <w:p>
            <w:pPr>
              <w:rPr>
                <w:rFonts w:hint="eastAsia" w:ascii="仿宋" w:hAnsi="仿宋" w:eastAsia="仿宋" w:cs="仿宋"/>
                <w:color w:val="auto"/>
                <w:sz w:val="24"/>
                <w:highlight w:val="none"/>
              </w:rPr>
            </w:pPr>
          </w:p>
        </w:tc>
        <w:tc>
          <w:tcPr>
            <w:tcW w:w="573" w:type="dxa"/>
            <w:noWrap w:val="0"/>
            <w:vAlign w:val="center"/>
          </w:tcPr>
          <w:p>
            <w:pPr>
              <w:spacing w:line="360" w:lineRule="auto"/>
              <w:ind w:left="0" w:leftChars="0" w:right="0" w:rightChars="0"/>
              <w:jc w:val="center"/>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10</w:t>
            </w:r>
          </w:p>
        </w:tc>
        <w:tc>
          <w:tcPr>
            <w:tcW w:w="5952" w:type="dxa"/>
            <w:noWrap w:val="0"/>
            <w:vAlign w:val="center"/>
          </w:tcPr>
          <w:p>
            <w:pPr>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未按招标文件规定</w:t>
            </w:r>
            <w:r>
              <w:rPr>
                <w:rFonts w:hint="eastAsia" w:ascii="仿宋" w:hAnsi="仿宋" w:eastAsia="仿宋" w:cs="仿宋"/>
                <w:color w:val="auto"/>
                <w:sz w:val="24"/>
                <w:highlight w:val="none"/>
                <w:lang w:eastAsia="zh-CN"/>
              </w:rPr>
              <w:t>格式</w:t>
            </w:r>
            <w:r>
              <w:rPr>
                <w:rFonts w:hint="eastAsia" w:ascii="仿宋" w:hAnsi="仿宋" w:eastAsia="仿宋" w:cs="仿宋"/>
                <w:color w:val="auto"/>
                <w:sz w:val="24"/>
                <w:highlight w:val="none"/>
              </w:rPr>
              <w:t>填写，内容不全或关键字迹模糊，无法辨认。</w:t>
            </w: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661"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048" w:type="dxa"/>
            <w:gridSpan w:val="3"/>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结论：</w:t>
            </w:r>
            <w:r>
              <w:rPr>
                <w:rFonts w:hint="eastAsia" w:ascii="仿宋" w:hAnsi="仿宋" w:eastAsia="仿宋" w:cs="仿宋"/>
                <w:color w:val="auto"/>
                <w:sz w:val="24"/>
                <w:highlight w:val="none"/>
                <w:lang w:eastAsia="zh-CN"/>
              </w:rPr>
              <w:t>符合</w:t>
            </w:r>
            <w:r>
              <w:rPr>
                <w:rFonts w:hint="eastAsia" w:ascii="仿宋" w:hAnsi="仿宋" w:eastAsia="仿宋" w:cs="仿宋"/>
                <w:color w:val="auto"/>
                <w:sz w:val="24"/>
                <w:highlight w:val="none"/>
              </w:rPr>
              <w:t>/不</w:t>
            </w:r>
            <w:r>
              <w:rPr>
                <w:rFonts w:hint="eastAsia" w:ascii="仿宋" w:hAnsi="仿宋" w:eastAsia="仿宋" w:cs="仿宋"/>
                <w:color w:val="auto"/>
                <w:sz w:val="24"/>
                <w:highlight w:val="none"/>
                <w:lang w:eastAsia="zh-CN"/>
              </w:rPr>
              <w:t>符合</w:t>
            </w: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709" w:type="dxa"/>
            <w:noWrap w:val="0"/>
            <w:vAlign w:val="center"/>
          </w:tcPr>
          <w:p>
            <w:pPr>
              <w:rPr>
                <w:rFonts w:hint="eastAsia" w:ascii="仿宋" w:hAnsi="仿宋" w:eastAsia="仿宋" w:cs="仿宋"/>
                <w:color w:val="auto"/>
                <w:sz w:val="24"/>
                <w:highlight w:val="none"/>
              </w:rPr>
            </w:pPr>
          </w:p>
        </w:tc>
        <w:tc>
          <w:tcPr>
            <w:tcW w:w="661"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9836" w:type="dxa"/>
            <w:gridSpan w:val="7"/>
            <w:noWrap w:val="0"/>
            <w:vAlign w:val="center"/>
          </w:tcPr>
          <w:p>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评标委员会成员签名：</w:t>
            </w:r>
          </w:p>
          <w:p>
            <w:pP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9836" w:type="dxa"/>
            <w:gridSpan w:val="7"/>
            <w:noWrap w:val="0"/>
            <w:vAlign w:val="center"/>
          </w:tcPr>
          <w:p>
            <w:pPr>
              <w:rPr>
                <w:rFonts w:hint="eastAsia" w:ascii="仿宋" w:hAnsi="仿宋" w:eastAsia="仿宋" w:cs="仿宋"/>
                <w:b/>
                <w:color w:val="auto"/>
                <w:sz w:val="24"/>
                <w:highlight w:val="none"/>
              </w:rPr>
            </w:pPr>
            <w:r>
              <w:rPr>
                <w:rFonts w:hint="eastAsia" w:ascii="仿宋" w:hAnsi="仿宋" w:eastAsia="仿宋" w:cs="仿宋"/>
                <w:color w:val="auto"/>
                <w:sz w:val="24"/>
                <w:highlight w:val="none"/>
              </w:rPr>
              <w:t>备注：符合性评审合格后方可进入详细评审阶段，如果投标文件中有一项未通过上述审查标准，评标委员会将认定整个投标文件不响应招标文件而予以废标，并且不允许投标人通过修改或撤销其不符合要求的差异或保留，使之成为具有响应性的投标。</w:t>
            </w:r>
          </w:p>
        </w:tc>
      </w:tr>
    </w:tbl>
    <w:p>
      <w:pPr>
        <w:snapToGrid w:val="0"/>
        <w:spacing w:line="360" w:lineRule="auto"/>
        <w:jc w:val="both"/>
        <w:rPr>
          <w:rFonts w:hint="eastAsia" w:ascii="仿宋" w:hAnsi="仿宋" w:eastAsia="仿宋" w:cs="仿宋"/>
          <w:b/>
          <w:bCs/>
          <w:color w:val="auto"/>
          <w:sz w:val="24"/>
          <w:highlight w:val="none"/>
        </w:rPr>
      </w:pPr>
      <w:bookmarkStart w:id="93" w:name="_Toc18720"/>
    </w:p>
    <w:p>
      <w:pPr>
        <w:pStyle w:val="18"/>
        <w:rPr>
          <w:rFonts w:hint="eastAsia"/>
          <w:color w:val="auto"/>
        </w:rPr>
      </w:pPr>
    </w:p>
    <w:p>
      <w:pPr>
        <w:snapToGrid w:val="0"/>
        <w:spacing w:line="360" w:lineRule="auto"/>
        <w:jc w:val="center"/>
        <w:rPr>
          <w:rFonts w:hint="eastAsia" w:ascii="仿宋" w:hAnsi="仿宋" w:eastAsia="仿宋" w:cs="仿宋"/>
          <w:b/>
          <w:bCs/>
          <w:color w:val="auto"/>
          <w:sz w:val="24"/>
          <w:highlight w:val="none"/>
        </w:rPr>
      </w:pPr>
      <w:bookmarkStart w:id="94" w:name="_Toc485900038"/>
      <w:bookmarkStart w:id="95" w:name="_Toc503212224"/>
      <w:bookmarkStart w:id="96" w:name="_Toc521014792"/>
      <w:r>
        <w:rPr>
          <w:rFonts w:hint="eastAsia" w:ascii="仿宋" w:hAnsi="仿宋" w:eastAsia="仿宋" w:cs="仿宋"/>
          <w:b/>
          <w:bCs/>
          <w:color w:val="auto"/>
          <w:sz w:val="24"/>
          <w:highlight w:val="none"/>
        </w:rPr>
        <w:t>三、</w:t>
      </w:r>
      <w:r>
        <w:rPr>
          <w:rFonts w:hint="eastAsia" w:ascii="仿宋" w:hAnsi="仿宋" w:eastAsia="仿宋" w:cs="仿宋"/>
          <w:b/>
          <w:bCs/>
          <w:color w:val="auto"/>
          <w:sz w:val="24"/>
          <w:highlight w:val="none"/>
          <w:lang w:eastAsia="zh-CN"/>
        </w:rPr>
        <w:t>商务、技术详细</w:t>
      </w:r>
      <w:r>
        <w:rPr>
          <w:rFonts w:hint="eastAsia" w:ascii="仿宋" w:hAnsi="仿宋" w:eastAsia="仿宋" w:cs="仿宋"/>
          <w:b/>
          <w:bCs/>
          <w:color w:val="auto"/>
          <w:sz w:val="24"/>
          <w:highlight w:val="none"/>
        </w:rPr>
        <w:t>评分标准</w:t>
      </w:r>
      <w:bookmarkStart w:id="97" w:name="_Toc492503510"/>
    </w:p>
    <w:bookmarkEnd w:id="97"/>
    <w:tbl>
      <w:tblPr>
        <w:tblStyle w:val="19"/>
        <w:tblW w:w="101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3"/>
        <w:gridCol w:w="1664"/>
        <w:gridCol w:w="787"/>
        <w:gridCol w:w="70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w:t>
            </w:r>
          </w:p>
        </w:tc>
        <w:tc>
          <w:tcPr>
            <w:tcW w:w="78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015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lang w:eastAsia="zh-CN"/>
              </w:rPr>
            </w:pPr>
            <w:bookmarkStart w:id="98" w:name="OLE_LINK2"/>
            <w:r>
              <w:rPr>
                <w:rFonts w:hint="eastAsia" w:ascii="仿宋" w:hAnsi="仿宋" w:eastAsia="仿宋" w:cs="仿宋"/>
                <w:color w:val="auto"/>
                <w:sz w:val="24"/>
                <w:highlight w:val="none"/>
                <w:lang w:eastAsia="zh-CN"/>
              </w:rPr>
              <w:t>商务部分评分标准（</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6"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组建情况</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分</w:t>
            </w:r>
          </w:p>
        </w:tc>
        <w:tc>
          <w:tcPr>
            <w:tcW w:w="7083"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1、有常驻机构及服务团队，能提供长期良好的本地化服务支持及升级服务支持，能够提供企业在本地服务的证明，满足得5分。</w:t>
            </w:r>
          </w:p>
          <w:p>
            <w:pPr>
              <w:spacing w:line="276" w:lineRule="auto"/>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2、有常驻机构及服务团队，只能提供一般的本地化服务支持及升级服务支持，得1-4分。</w:t>
            </w:r>
          </w:p>
          <w:p>
            <w:pPr>
              <w:spacing w:line="276" w:lineRule="auto"/>
              <w:ind w:left="0" w:leftChars="0" w:right="0" w:rightChars="0"/>
              <w:rPr>
                <w:rFonts w:hint="default"/>
                <w:color w:val="auto"/>
                <w:sz w:val="24"/>
                <w:szCs w:val="24"/>
                <w:lang w:val="en-US" w:eastAsia="zh-CN"/>
              </w:rPr>
            </w:pPr>
            <w:r>
              <w:rPr>
                <w:rFonts w:hint="eastAsia" w:ascii="仿宋" w:hAnsi="仿宋" w:eastAsia="仿宋" w:cs="仿宋"/>
                <w:color w:val="auto"/>
                <w:sz w:val="24"/>
                <w:szCs w:val="24"/>
                <w:highlight w:val="none"/>
                <w:lang w:val="en-US" w:eastAsia="zh-CN"/>
              </w:rPr>
              <w:t>3、没有常驻机构及服务团队，不能提供本地化服务支持及升级服务支持，不得分。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6"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产品授权</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0" w:right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4分</w:t>
            </w:r>
          </w:p>
        </w:tc>
        <w:tc>
          <w:tcPr>
            <w:tcW w:w="7083"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如果是经销商的，需提供生产厂或代理商的授权及售后服务承诺证明复印件加盖公章得4分，未提供证明材料不得分；投标人如果是生产厂家的，需提供营业执照及售后服务承诺证明复印件加盖公章得4分，未提供证明材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类似业绩</w:t>
            </w: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tc>
        <w:tc>
          <w:tcPr>
            <w:tcW w:w="7083"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投标人提供近三年（201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年1月1日至今）类似采购项目的业绩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每提供一项业绩得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，未提供不得分。</w:t>
            </w:r>
          </w:p>
          <w:p>
            <w:pPr>
              <w:spacing w:line="276" w:lineRule="auto"/>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注：提供</w:t>
            </w:r>
            <w:r>
              <w:rPr>
                <w:rFonts w:hint="eastAsia" w:ascii="仿宋" w:hAnsi="仿宋" w:eastAsia="仿宋" w:cs="仿宋"/>
                <w:color w:val="auto"/>
                <w:sz w:val="24"/>
                <w:szCs w:val="24"/>
                <w:highlight w:val="none"/>
                <w:lang w:val="en-US"/>
              </w:rPr>
              <w:t>供货协议或供货合同或中标通知书</w:t>
            </w: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 w:hRule="atLeast"/>
          <w:jc w:val="center"/>
        </w:trPr>
        <w:tc>
          <w:tcPr>
            <w:tcW w:w="10157"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4102"/>
              </w:tabs>
              <w:spacing w:line="276" w:lineRule="auto"/>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highlight w:val="none"/>
                <w:lang w:eastAsia="zh-CN"/>
              </w:rPr>
              <w:t>技术部分评分标准（</w:t>
            </w:r>
            <w:r>
              <w:rPr>
                <w:rFonts w:hint="eastAsia" w:ascii="仿宋" w:hAnsi="仿宋" w:eastAsia="仿宋" w:cs="仿宋"/>
                <w:color w:val="auto"/>
                <w:sz w:val="24"/>
                <w:highlight w:val="none"/>
                <w:lang w:val="en-US" w:eastAsia="zh-CN"/>
              </w:rPr>
              <w:t>55分</w:t>
            </w:r>
            <w:r>
              <w:rPr>
                <w:rFonts w:hint="eastAsia" w:ascii="仿宋" w:hAnsi="仿宋" w:eastAsia="仿宋" w:cs="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2"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产品性能技术指标</w:t>
            </w: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p>
        </w:tc>
        <w:tc>
          <w:tcPr>
            <w:tcW w:w="70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972"/>
              </w:tabs>
              <w:spacing w:line="276" w:lineRule="auto"/>
              <w:ind w:left="0" w:leftChars="0" w:right="0" w:rightChars="0" w:firstLine="0" w:firstLineChars="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eastAsia="zh-CN"/>
              </w:rPr>
              <w:t>产品质量、性能满足招标项目采购需求，产品性价比高，产品材料新颖、技术指标描述详细（需提供清晰可辨的相关说明文件及产品检验报告或产品合格证复印件），满分</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val="en-GB" w:eastAsia="zh-CN"/>
              </w:rPr>
              <w:t>分；</w:t>
            </w:r>
            <w:r>
              <w:rPr>
                <w:rFonts w:hint="eastAsia" w:ascii="仿宋" w:hAnsi="仿宋" w:eastAsia="仿宋" w:cs="仿宋"/>
                <w:color w:val="auto"/>
                <w:sz w:val="24"/>
                <w:szCs w:val="24"/>
                <w:highlight w:val="none"/>
                <w:lang w:val="en-GB"/>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2"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仿宋" w:hAnsi="仿宋" w:eastAsia="仿宋"/>
                <w:color w:val="auto"/>
                <w:sz w:val="24"/>
                <w:szCs w:val="24"/>
              </w:rPr>
            </w:pPr>
            <w:r>
              <w:rPr>
                <w:rFonts w:hint="eastAsia" w:ascii="仿宋" w:hAnsi="仿宋" w:eastAsia="仿宋" w:cs="仿宋"/>
                <w:color w:val="auto"/>
                <w:sz w:val="24"/>
                <w:szCs w:val="24"/>
                <w:highlight w:val="none"/>
                <w:lang w:eastAsia="zh-CN"/>
              </w:rPr>
              <w:t>项目实施方案</w:t>
            </w: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c>
        <w:tc>
          <w:tcPr>
            <w:tcW w:w="70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76" w:lineRule="auto"/>
              <w:ind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根据投标人所提供的项目实施方案，综合评审：</w:t>
            </w:r>
          </w:p>
          <w:p>
            <w:pPr>
              <w:numPr>
                <w:ilvl w:val="0"/>
                <w:numId w:val="0"/>
              </w:numPr>
              <w:spacing w:line="276" w:lineRule="auto"/>
              <w:ind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优秀：对整体项目需求十分理解、供货时间合理、安装调试计划完整、可实施性强，有充足的备品备件库，得8-10分； </w:t>
            </w:r>
          </w:p>
          <w:p>
            <w:pPr>
              <w:numPr>
                <w:ilvl w:val="0"/>
                <w:numId w:val="0"/>
              </w:numPr>
              <w:spacing w:line="276" w:lineRule="auto"/>
              <w:ind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良好：对整体项目需求基本理解、供货时间较合理、安装调试计划尚可、可实施性一般，得4-7分；</w:t>
            </w:r>
          </w:p>
          <w:p>
            <w:pPr>
              <w:numPr>
                <w:ilvl w:val="0"/>
                <w:numId w:val="0"/>
              </w:numPr>
              <w:spacing w:line="276" w:lineRule="auto"/>
              <w:ind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一般：对整体项目需求理解不清楚、供货时间不够清晰、安装调试计划粗糙，没有针对性、无应急保障能力及备品备件库存，得1-3分；</w:t>
            </w:r>
          </w:p>
          <w:p>
            <w:pPr>
              <w:numPr>
                <w:ilvl w:val="0"/>
                <w:numId w:val="0"/>
              </w:numPr>
              <w:spacing w:line="276" w:lineRule="auto"/>
              <w:ind w:left="0" w:leftChars="0" w:right="0" w:rightChars="0" w:firstLine="0" w:firstLineChars="0"/>
              <w:rPr>
                <w:rFonts w:hint="eastAsia" w:ascii="仿宋" w:hAnsi="仿宋" w:eastAsia="仿宋"/>
                <w:color w:val="auto"/>
                <w:sz w:val="24"/>
                <w:szCs w:val="24"/>
              </w:rPr>
            </w:pPr>
            <w:r>
              <w:rPr>
                <w:rFonts w:hint="eastAsia" w:ascii="仿宋" w:hAnsi="仿宋" w:eastAsia="仿宋" w:cs="仿宋"/>
                <w:color w:val="auto"/>
                <w:sz w:val="24"/>
                <w:szCs w:val="24"/>
                <w:highlight w:val="none"/>
                <w:lang w:val="en-US" w:eastAsia="zh-CN"/>
              </w:rPr>
              <w:t>缺失：未能提供相应的实施方案，不得分。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保证项目实施的人力资源安排</w:t>
            </w: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w:t>
            </w:r>
          </w:p>
        </w:tc>
        <w:tc>
          <w:tcPr>
            <w:tcW w:w="70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76" w:lineRule="auto"/>
              <w:ind w:left="0" w:leftChars="0" w:right="0" w:rightChars="0" w:firstLine="0" w:firstLineChars="0"/>
              <w:rPr>
                <w:rFonts w:hint="default"/>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拟派负责人基本情况及相关专业人员配备情况，是否能够达到本项目服务要求（现场项目负责人、技术人员、安装人员，需提供相关证书如学历证书、上岗证书、作业证书、</w:t>
            </w:r>
            <w:r>
              <w:rPr>
                <w:rFonts w:hint="eastAsia" w:ascii="仿宋" w:hAnsi="仿宋" w:eastAsia="仿宋" w:cs="仿宋"/>
                <w:color w:val="auto"/>
                <w:kern w:val="0"/>
                <w:sz w:val="24"/>
                <w:szCs w:val="24"/>
                <w:highlight w:val="green"/>
                <w:lang w:val="en-US" w:eastAsia="zh-CN"/>
              </w:rPr>
              <w:t>近三个月社保缴纳证明等</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lang w:val="en-US" w:eastAsia="zh-CN"/>
              </w:rPr>
              <w:t>优得6-8分；良得3-5分；差0-2分；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应急保障方案</w:t>
            </w: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c>
          <w:tcPr>
            <w:tcW w:w="70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76" w:lineRule="auto"/>
              <w:ind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方案完整、详细,体现对需求的深入理解，具有成熟性，具有较强的可操作性，得4-5分；</w:t>
            </w:r>
          </w:p>
          <w:p>
            <w:pPr>
              <w:numPr>
                <w:ilvl w:val="0"/>
                <w:numId w:val="0"/>
              </w:numPr>
              <w:spacing w:line="276" w:lineRule="auto"/>
              <w:ind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方案基本完整，对需求把握基本到位，基本可操作得2-3分；</w:t>
            </w:r>
          </w:p>
          <w:p>
            <w:pPr>
              <w:numPr>
                <w:ilvl w:val="0"/>
                <w:numId w:val="0"/>
              </w:numPr>
              <w:spacing w:line="276" w:lineRule="auto"/>
              <w:ind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方案不完整，没有很好的细化，可操作性较差得0-1分；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9"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针对本项目方案的科学性、合理性</w:t>
            </w: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5分</w:t>
            </w:r>
          </w:p>
        </w:tc>
        <w:tc>
          <w:tcPr>
            <w:tcW w:w="70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76" w:lineRule="auto"/>
              <w:ind w:right="0" w:right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拟投入项目的设备及货物兼具稳定性、先进性、易用性、可管理性、可实施性的基础上兼具合理的性能价格比；优得4-5分；良得2-3分；差0-1分；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9"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售后服务方案</w:t>
            </w: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5分</w:t>
            </w:r>
          </w:p>
        </w:tc>
        <w:tc>
          <w:tcPr>
            <w:tcW w:w="70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76" w:lineRule="auto"/>
              <w:ind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根据投标人所提供的售后服务方案，综合评审：</w:t>
            </w:r>
          </w:p>
          <w:p>
            <w:pPr>
              <w:numPr>
                <w:ilvl w:val="0"/>
                <w:numId w:val="0"/>
              </w:numPr>
              <w:spacing w:line="276" w:lineRule="auto"/>
              <w:ind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优秀：售后服务方案完整、可行，响应时间高效、及时，配件充足，能完全满足或优于采购要求，得4-5分；</w:t>
            </w:r>
          </w:p>
          <w:p>
            <w:pPr>
              <w:numPr>
                <w:ilvl w:val="0"/>
                <w:numId w:val="0"/>
              </w:numPr>
              <w:spacing w:line="276" w:lineRule="auto"/>
              <w:ind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良好：售后服务方案较具体、可行，响应时间较及时，配件较充足，能基本满足采购要求，得2-3分；</w:t>
            </w:r>
          </w:p>
          <w:p>
            <w:pPr>
              <w:numPr>
                <w:ilvl w:val="0"/>
                <w:numId w:val="0"/>
              </w:numPr>
              <w:spacing w:line="276" w:lineRule="auto"/>
              <w:ind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差：售后方案内容简单，响应时间一般，配件不充足，部分满足采购需求，得0-1分；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9"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default" w:ascii="仿宋" w:hAnsi="仿宋" w:eastAsia="仿宋" w:cs="仿宋"/>
                <w:color w:val="auto"/>
                <w:sz w:val="24"/>
                <w:highlight w:val="green"/>
                <w:lang w:val="en-US" w:eastAsia="zh-CN"/>
              </w:rPr>
            </w:pPr>
            <w:r>
              <w:rPr>
                <w:rFonts w:hint="eastAsia" w:ascii="仿宋" w:hAnsi="仿宋" w:eastAsia="仿宋" w:cs="仿宋"/>
                <w:color w:val="auto"/>
                <w:sz w:val="24"/>
                <w:highlight w:val="green"/>
                <w:lang w:val="en-US" w:eastAsia="zh-CN"/>
              </w:rPr>
              <w:t>7</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仿宋" w:hAnsi="仿宋" w:eastAsia="仿宋" w:cs="仿宋"/>
                <w:color w:val="auto"/>
                <w:sz w:val="24"/>
                <w:szCs w:val="24"/>
                <w:highlight w:val="green"/>
                <w:lang w:eastAsia="zh-CN"/>
              </w:rPr>
            </w:pPr>
            <w:r>
              <w:rPr>
                <w:rFonts w:hint="eastAsia" w:ascii="仿宋" w:hAnsi="仿宋" w:eastAsia="仿宋" w:cs="仿宋"/>
                <w:color w:val="auto"/>
                <w:sz w:val="24"/>
                <w:szCs w:val="24"/>
                <w:highlight w:val="green"/>
                <w:lang w:eastAsia="zh-CN"/>
              </w:rPr>
              <w:t>质保期</w:t>
            </w:r>
          </w:p>
        </w:tc>
        <w:tc>
          <w:tcPr>
            <w:tcW w:w="787"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default" w:ascii="仿宋" w:hAnsi="仿宋" w:eastAsia="仿宋" w:cs="仿宋"/>
                <w:color w:val="auto"/>
                <w:sz w:val="24"/>
                <w:highlight w:val="green"/>
                <w:lang w:val="en-US" w:eastAsia="zh-CN"/>
              </w:rPr>
            </w:pPr>
            <w:r>
              <w:rPr>
                <w:rFonts w:hint="eastAsia" w:ascii="仿宋" w:hAnsi="仿宋" w:eastAsia="仿宋" w:cs="仿宋"/>
                <w:color w:val="auto"/>
                <w:sz w:val="24"/>
                <w:highlight w:val="green"/>
                <w:lang w:val="en-US" w:eastAsia="zh-CN"/>
              </w:rPr>
              <w:t>2分</w:t>
            </w:r>
          </w:p>
        </w:tc>
        <w:tc>
          <w:tcPr>
            <w:tcW w:w="70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76" w:lineRule="auto"/>
              <w:ind w:right="0" w:rightChars="0"/>
              <w:rPr>
                <w:rFonts w:hint="default" w:ascii="仿宋" w:hAnsi="仿宋" w:eastAsia="仿宋" w:cs="仿宋"/>
                <w:color w:val="auto"/>
                <w:sz w:val="24"/>
                <w:szCs w:val="24"/>
                <w:highlight w:val="green"/>
                <w:lang w:val="en-US" w:eastAsia="zh-CN"/>
              </w:rPr>
            </w:pPr>
            <w:r>
              <w:rPr>
                <w:rFonts w:hint="eastAsia" w:ascii="仿宋" w:hAnsi="仿宋" w:eastAsia="仿宋" w:cs="仿宋"/>
                <w:color w:val="auto"/>
                <w:sz w:val="24"/>
                <w:szCs w:val="24"/>
                <w:highlight w:val="green"/>
                <w:lang w:val="en-US" w:eastAsia="zh-CN"/>
              </w:rPr>
              <w:t>满足招标文件的基础上，每增加一年质保期加0.5分，最多加2分；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9"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其他承诺及优惠条件</w:t>
            </w:r>
          </w:p>
        </w:tc>
        <w:tc>
          <w:tcPr>
            <w:tcW w:w="7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76" w:lineRule="auto"/>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tc>
        <w:tc>
          <w:tcPr>
            <w:tcW w:w="70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76" w:lineRule="auto"/>
              <w:ind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基本服务要求以外的，对开展有利的资源、技术支撑手段或服务等，考察提供额外的其他承诺及优惠条件。 </w:t>
            </w:r>
          </w:p>
          <w:p>
            <w:pPr>
              <w:numPr>
                <w:ilvl w:val="0"/>
                <w:numId w:val="0"/>
              </w:numPr>
              <w:spacing w:line="276" w:lineRule="auto"/>
              <w:ind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1）对提供的其他承诺及优惠条件完整的得2-3分； </w:t>
            </w:r>
          </w:p>
          <w:p>
            <w:pPr>
              <w:numPr>
                <w:ilvl w:val="0"/>
                <w:numId w:val="0"/>
              </w:numPr>
              <w:spacing w:line="276" w:lineRule="auto"/>
              <w:ind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2）对提供的其他承诺及优惠条件基本完整1-2分； </w:t>
            </w:r>
          </w:p>
          <w:p>
            <w:pPr>
              <w:numPr>
                <w:ilvl w:val="0"/>
                <w:numId w:val="0"/>
              </w:numPr>
              <w:spacing w:line="276" w:lineRule="auto"/>
              <w:ind w:left="0" w:leftChars="0" w:right="0" w:righ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3）对提供的其他承诺及优惠条件一般的或</w:t>
            </w:r>
            <w:r>
              <w:rPr>
                <w:rFonts w:hint="eastAsia" w:ascii="仿宋" w:hAnsi="仿宋" w:eastAsia="仿宋" w:cs="仿宋"/>
                <w:color w:val="auto"/>
                <w:sz w:val="24"/>
                <w:szCs w:val="24"/>
                <w:highlight w:val="none"/>
                <w:lang w:eastAsia="zh-CN"/>
              </w:rPr>
              <w:t>内容缺失</w:t>
            </w:r>
            <w:r>
              <w:rPr>
                <w:rFonts w:hint="eastAsia" w:ascii="仿宋" w:hAnsi="仿宋" w:eastAsia="仿宋" w:cs="仿宋"/>
                <w:color w:val="auto"/>
                <w:sz w:val="24"/>
                <w:szCs w:val="24"/>
                <w:highlight w:val="none"/>
                <w:lang w:val="en-US" w:eastAsia="zh-CN"/>
              </w:rPr>
              <w:t>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9"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仿宋" w:hAnsi="仿宋" w:eastAsia="仿宋" w:cs="仿宋"/>
                <w:color w:val="auto"/>
                <w:sz w:val="24"/>
                <w:szCs w:val="24"/>
                <w:highlight w:val="none"/>
                <w:lang w:val="zh-CN" w:eastAsia="zh-CN"/>
              </w:rPr>
            </w:pPr>
            <w:r>
              <w:rPr>
                <w:rFonts w:hint="eastAsia" w:ascii="仿宋" w:hAnsi="仿宋" w:eastAsia="仿宋" w:cs="仿宋"/>
                <w:color w:val="auto"/>
                <w:kern w:val="0"/>
                <w:sz w:val="24"/>
                <w:szCs w:val="24"/>
                <w:highlight w:val="none"/>
              </w:rPr>
              <w:t>标函质量</w:t>
            </w:r>
          </w:p>
        </w:tc>
        <w:tc>
          <w:tcPr>
            <w:tcW w:w="7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76" w:lineRule="auto"/>
              <w:ind w:left="0" w:leftChars="0" w:right="0" w:rightChars="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2分</w:t>
            </w:r>
          </w:p>
        </w:tc>
        <w:tc>
          <w:tcPr>
            <w:tcW w:w="70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标函编制内容完整、齐全、叙述严谨；标书无涂改、错页、漏页现象；履约措施具体、合理、可行</w:t>
            </w:r>
            <w:r>
              <w:rPr>
                <w:rFonts w:hint="eastAsia" w:ascii="仿宋" w:hAnsi="仿宋" w:eastAsia="仿宋" w:cs="仿宋"/>
                <w:color w:val="auto"/>
                <w:kern w:val="0"/>
                <w:sz w:val="24"/>
                <w:szCs w:val="24"/>
                <w:highlight w:val="none"/>
                <w:lang w:eastAsia="zh-CN"/>
              </w:rPr>
              <w:t>得</w:t>
            </w:r>
            <w:r>
              <w:rPr>
                <w:rFonts w:hint="eastAsia" w:ascii="仿宋" w:hAnsi="仿宋" w:eastAsia="仿宋" w:cs="仿宋"/>
                <w:color w:val="auto"/>
                <w:kern w:val="0"/>
                <w:sz w:val="24"/>
                <w:szCs w:val="24"/>
                <w:highlight w:val="none"/>
                <w:lang w:val="en-US" w:eastAsia="zh-CN"/>
              </w:rPr>
              <w:t>1-2分；</w:t>
            </w:r>
          </w:p>
          <w:p>
            <w:pPr>
              <w:numPr>
                <w:ilvl w:val="0"/>
                <w:numId w:val="0"/>
              </w:numPr>
              <w:spacing w:line="276" w:lineRule="auto"/>
              <w:ind w:left="0" w:leftChars="0" w:right="0" w:righ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标</w:t>
            </w:r>
            <w:r>
              <w:rPr>
                <w:rFonts w:hint="eastAsia" w:ascii="仿宋" w:hAnsi="仿宋" w:eastAsia="仿宋" w:cs="仿宋"/>
                <w:color w:val="auto"/>
                <w:kern w:val="0"/>
                <w:sz w:val="24"/>
                <w:szCs w:val="24"/>
                <w:highlight w:val="none"/>
                <w:lang w:val="en-US" w:eastAsia="zh-CN"/>
              </w:rPr>
              <w:t>函编制内容不完整、叙述简单；履约措施不具体得0分；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7" w:hRule="atLeast"/>
          <w:jc w:val="center"/>
        </w:trPr>
        <w:tc>
          <w:tcPr>
            <w:tcW w:w="10157"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76" w:lineRule="auto"/>
              <w:ind w:left="0" w:leftChars="0" w:right="0" w:rightChars="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eastAsia="zh-CN"/>
              </w:rPr>
              <w:t>报价部分评分标准（</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8" w:hRule="atLeast"/>
          <w:jc w:val="center"/>
        </w:trPr>
        <w:tc>
          <w:tcPr>
            <w:tcW w:w="228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76" w:lineRule="auto"/>
              <w:ind w:left="0" w:leftChars="0" w:right="0" w:rightChars="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eastAsia="zh-CN"/>
              </w:rPr>
              <w:t>报价部分计算</w:t>
            </w:r>
          </w:p>
        </w:tc>
        <w:tc>
          <w:tcPr>
            <w:tcW w:w="7870" w:type="dxa"/>
            <w:gridSpan w:val="2"/>
            <w:tcBorders>
              <w:top w:val="single" w:color="auto" w:sz="4" w:space="0"/>
              <w:left w:val="single" w:color="auto" w:sz="4" w:space="0"/>
              <w:bottom w:val="single" w:color="auto" w:sz="4" w:space="0"/>
              <w:right w:val="single" w:color="auto" w:sz="4" w:space="0"/>
            </w:tcBorders>
            <w:noWrap w:val="0"/>
            <w:vAlign w:val="center"/>
          </w:tcPr>
          <w:p>
            <w:pPr>
              <w:pStyle w:val="16"/>
              <w:shd w:val="clear" w:color="auto" w:fill="FFFFFF"/>
              <w:spacing w:before="0" w:beforeAutospacing="0" w:after="0" w:afterAutospacing="0" w:line="360" w:lineRule="auto"/>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综合评分法中的价格分统一采用低价优先法计算，即满足招标要求且投标价格最低的投标报价为评标基准价，其价格分为满分。其他投标人的价格分统一按照下列公式计算：投标报价得分=(评标基准价／投标报价)×30。（计算分值时，百分比按四舍五入原则，保留小数点 后二位数。）</w:t>
            </w:r>
          </w:p>
        </w:tc>
      </w:tr>
      <w:bookmarkEnd w:id="98"/>
    </w:tbl>
    <w:tbl>
      <w:tblPr>
        <w:tblStyle w:val="20"/>
        <w:tblpPr w:leftFromText="180" w:rightFromText="180" w:vertAnchor="text" w:horzAnchor="page" w:tblpX="974" w:tblpY="8"/>
        <w:tblOverlap w:val="never"/>
        <w:tblW w:w="10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9" w:hRule="atLeast"/>
        </w:trPr>
        <w:tc>
          <w:tcPr>
            <w:tcW w:w="10477" w:type="dxa"/>
          </w:tcPr>
          <w:p>
            <w:pPr>
              <w:pStyle w:val="8"/>
              <w:numPr>
                <w:ilvl w:val="0"/>
                <w:numId w:val="0"/>
              </w:numPr>
              <w:spacing w:before="144" w:line="343" w:lineRule="auto"/>
              <w:ind w:leftChars="0" w:right="245" w:rightChars="0"/>
              <w:jc w:val="both"/>
              <w:rPr>
                <w:rFonts w:hint="eastAsia" w:ascii="仿宋" w:hAnsi="仿宋" w:eastAsia="仿宋" w:cs="仿宋"/>
                <w:color w:val="auto"/>
                <w:highlight w:val="none"/>
                <w:vertAlign w:val="baseline"/>
              </w:rPr>
            </w:pPr>
            <w:r>
              <w:rPr>
                <w:rFonts w:hint="eastAsia" w:ascii="仿宋" w:hAnsi="仿宋" w:eastAsia="仿宋" w:cs="仿宋"/>
                <w:color w:val="auto"/>
                <w:highlight w:val="none"/>
              </w:rPr>
              <w:t>根据中华人民共和国财政部、中华人民共和国工业和信息化部《政府采购促进中</w:t>
            </w:r>
          </w:p>
          <w:p>
            <w:pPr>
              <w:pStyle w:val="8"/>
              <w:numPr>
                <w:ilvl w:val="0"/>
                <w:numId w:val="0"/>
              </w:numPr>
              <w:spacing w:before="144" w:line="343" w:lineRule="auto"/>
              <w:ind w:leftChars="0" w:right="245" w:rightChars="0"/>
              <w:jc w:val="both"/>
              <w:rPr>
                <w:rFonts w:hint="eastAsia" w:ascii="仿宋" w:hAnsi="仿宋" w:eastAsia="仿宋" w:cs="仿宋"/>
                <w:color w:val="auto"/>
                <w:highlight w:val="none"/>
              </w:rPr>
            </w:pPr>
            <w:r>
              <w:rPr>
                <w:rFonts w:hint="eastAsia" w:ascii="仿宋" w:hAnsi="仿宋" w:eastAsia="仿宋" w:cs="仿宋"/>
                <w:color w:val="auto"/>
                <w:highlight w:val="none"/>
              </w:rPr>
              <w:t>小企业发展暂行办法》（财库[2011]181 号）文件的规定，属于中小企业评审优惠内容及幅度如下：</w:t>
            </w:r>
          </w:p>
          <w:p>
            <w:pPr>
              <w:numPr>
                <w:ilvl w:val="0"/>
                <w:numId w:val="0"/>
              </w:numPr>
              <w:spacing w:before="0" w:line="306" w:lineRule="exact"/>
              <w:ind w:leftChars="0" w:right="0" w:rightChars="0"/>
              <w:jc w:val="both"/>
              <w:rPr>
                <w:rFonts w:hint="eastAsia" w:ascii="仿宋" w:hAnsi="仿宋" w:eastAsia="仿宋" w:cs="仿宋"/>
                <w:color w:val="auto"/>
                <w:sz w:val="24"/>
                <w:highlight w:val="none"/>
              </w:rPr>
            </w:pPr>
            <w:r>
              <w:rPr>
                <w:rFonts w:hint="eastAsia" w:ascii="仿宋" w:hAnsi="仿宋" w:eastAsia="仿宋" w:cs="仿宋"/>
                <w:b/>
                <w:color w:val="auto"/>
                <w:sz w:val="24"/>
                <w:highlight w:val="none"/>
              </w:rPr>
              <w:t>（一）</w:t>
            </w:r>
            <w:r>
              <w:rPr>
                <w:rFonts w:hint="eastAsia" w:ascii="仿宋" w:hAnsi="仿宋" w:eastAsia="仿宋" w:cs="仿宋"/>
                <w:color w:val="auto"/>
                <w:sz w:val="24"/>
                <w:highlight w:val="none"/>
              </w:rPr>
              <w:t>中小企业（含中型、小型、微型企业）应当</w:t>
            </w:r>
            <w:r>
              <w:rPr>
                <w:rFonts w:hint="eastAsia" w:ascii="仿宋" w:hAnsi="仿宋" w:eastAsia="仿宋" w:cs="仿宋"/>
                <w:b/>
                <w:color w:val="auto"/>
                <w:sz w:val="24"/>
                <w:highlight w:val="none"/>
              </w:rPr>
              <w:t>同时符合</w:t>
            </w:r>
            <w:r>
              <w:rPr>
                <w:rFonts w:hint="eastAsia" w:ascii="仿宋" w:hAnsi="仿宋" w:eastAsia="仿宋" w:cs="仿宋"/>
                <w:color w:val="auto"/>
                <w:sz w:val="24"/>
                <w:highlight w:val="none"/>
              </w:rPr>
              <w:t>以下条件：</w:t>
            </w:r>
          </w:p>
          <w:p>
            <w:pPr>
              <w:pStyle w:val="8"/>
              <w:numPr>
                <w:ilvl w:val="0"/>
                <w:numId w:val="0"/>
              </w:numPr>
              <w:spacing w:before="134"/>
              <w:ind w:leftChars="0" w:right="0" w:rightChars="0"/>
              <w:jc w:val="both"/>
              <w:rPr>
                <w:rFonts w:hint="eastAsia" w:ascii="仿宋" w:hAnsi="仿宋" w:eastAsia="仿宋" w:cs="仿宋"/>
                <w:color w:val="auto"/>
                <w:highlight w:val="none"/>
              </w:rPr>
            </w:pPr>
            <w:r>
              <w:rPr>
                <w:rFonts w:hint="eastAsia" w:ascii="仿宋" w:hAnsi="仿宋" w:eastAsia="仿宋" w:cs="仿宋"/>
                <w:color w:val="auto"/>
                <w:highlight w:val="none"/>
              </w:rPr>
              <w:t>①符合中小企业划分标准（按《关于印发中小企业划型标准规定的通知》（工信部联企业〔2011〕300 号）执行）；</w:t>
            </w:r>
          </w:p>
          <w:p>
            <w:pPr>
              <w:pStyle w:val="8"/>
              <w:numPr>
                <w:ilvl w:val="0"/>
                <w:numId w:val="0"/>
              </w:numPr>
              <w:spacing w:before="132" w:line="345" w:lineRule="auto"/>
              <w:ind w:leftChars="0" w:right="245" w:rightChars="0"/>
              <w:jc w:val="both"/>
              <w:rPr>
                <w:rFonts w:hint="eastAsia" w:ascii="仿宋" w:hAnsi="仿宋" w:eastAsia="仿宋" w:cs="仿宋"/>
                <w:color w:val="auto"/>
                <w:highlight w:val="none"/>
              </w:rPr>
            </w:pPr>
            <w:r>
              <w:rPr>
                <w:rFonts w:hint="eastAsia" w:ascii="仿宋" w:hAnsi="仿宋" w:eastAsia="仿宋" w:cs="仿宋"/>
                <w:color w:val="auto"/>
                <w:highlight w:val="none"/>
              </w:rPr>
              <w:t>②提供本企业制造的货物、承担的项目或者服务，或者提供其他中小企业制造的货物。本项所称货物不包括使用大型企业注册商标的货物；</w:t>
            </w:r>
          </w:p>
          <w:p>
            <w:pPr>
              <w:pStyle w:val="8"/>
              <w:numPr>
                <w:ilvl w:val="0"/>
                <w:numId w:val="0"/>
              </w:numPr>
              <w:spacing w:line="303" w:lineRule="exact"/>
              <w:ind w:leftChars="0" w:right="0" w:rightChars="0"/>
              <w:jc w:val="both"/>
              <w:rPr>
                <w:rFonts w:hint="eastAsia" w:ascii="仿宋" w:hAnsi="仿宋" w:eastAsia="仿宋" w:cs="仿宋"/>
                <w:color w:val="auto"/>
                <w:highlight w:val="none"/>
              </w:rPr>
            </w:pPr>
            <w:r>
              <w:rPr>
                <w:rFonts w:hint="eastAsia" w:ascii="仿宋" w:hAnsi="仿宋" w:eastAsia="仿宋" w:cs="仿宋"/>
                <w:color w:val="auto"/>
                <w:highlight w:val="none"/>
              </w:rPr>
              <w:t>③小型、微型企业提供中型企业制造的货物的，视同为中型企业。</w:t>
            </w:r>
          </w:p>
          <w:p>
            <w:pPr>
              <w:numPr>
                <w:ilvl w:val="0"/>
                <w:numId w:val="0"/>
              </w:numPr>
              <w:spacing w:before="132"/>
              <w:ind w:leftChars="0" w:right="0" w:rightChars="0"/>
              <w:jc w:val="both"/>
              <w:rPr>
                <w:rFonts w:hint="eastAsia" w:ascii="仿宋" w:hAnsi="仿宋" w:eastAsia="仿宋" w:cs="仿宋"/>
                <w:color w:val="auto"/>
                <w:sz w:val="24"/>
                <w:highlight w:val="none"/>
              </w:rPr>
            </w:pPr>
            <w:r>
              <w:rPr>
                <w:rFonts w:hint="eastAsia" w:ascii="仿宋" w:hAnsi="仿宋" w:eastAsia="仿宋" w:cs="仿宋"/>
                <w:b/>
                <w:color w:val="auto"/>
                <w:sz w:val="24"/>
                <w:highlight w:val="none"/>
              </w:rPr>
              <w:t>（二）</w:t>
            </w:r>
            <w:r>
              <w:rPr>
                <w:rFonts w:hint="eastAsia" w:ascii="仿宋" w:hAnsi="仿宋" w:eastAsia="仿宋" w:cs="仿宋"/>
                <w:color w:val="auto"/>
                <w:sz w:val="24"/>
                <w:highlight w:val="none"/>
              </w:rPr>
              <w:t>价格扣除办法：</w:t>
            </w:r>
          </w:p>
          <w:p>
            <w:pPr>
              <w:pStyle w:val="8"/>
              <w:numPr>
                <w:ilvl w:val="0"/>
                <w:numId w:val="0"/>
              </w:numPr>
              <w:spacing w:before="134"/>
              <w:ind w:leftChars="0" w:right="0" w:rightChars="0"/>
              <w:jc w:val="both"/>
              <w:rPr>
                <w:rFonts w:hint="eastAsia" w:ascii="仿宋" w:hAnsi="仿宋" w:eastAsia="仿宋" w:cs="仿宋"/>
                <w:color w:val="auto"/>
                <w:highlight w:val="none"/>
              </w:rPr>
            </w:pPr>
            <w:r>
              <w:rPr>
                <w:rFonts w:hint="eastAsia" w:ascii="仿宋" w:hAnsi="仿宋" w:eastAsia="仿宋" w:cs="仿宋"/>
                <w:color w:val="auto"/>
                <w:highlight w:val="none"/>
              </w:rPr>
              <w:t>①对于非专门面向中小企业的项目，对小型和微型企业（或联合体各方均为小型、微型企业的，残疾人福利性单位、监狱企业视为小微企业）产品的价格给予6%的扣除，用扣除后的价格参与价格的评审。</w:t>
            </w:r>
          </w:p>
          <w:p>
            <w:pPr>
              <w:pStyle w:val="8"/>
              <w:numPr>
                <w:ilvl w:val="0"/>
                <w:numId w:val="0"/>
              </w:numPr>
              <w:spacing w:before="1"/>
              <w:ind w:leftChars="0" w:right="0" w:rightChars="0"/>
              <w:jc w:val="both"/>
              <w:rPr>
                <w:rFonts w:hint="eastAsia" w:ascii="仿宋" w:hAnsi="仿宋" w:eastAsia="仿宋" w:cs="仿宋"/>
                <w:color w:val="auto"/>
                <w:highlight w:val="none"/>
              </w:rPr>
            </w:pPr>
            <w:r>
              <w:rPr>
                <w:rFonts w:hint="eastAsia" w:ascii="仿宋" w:hAnsi="仿宋" w:eastAsia="仿宋" w:cs="仿宋"/>
                <w:b/>
                <w:color w:val="auto"/>
                <w:highlight w:val="none"/>
              </w:rPr>
              <w:t>（三）</w:t>
            </w:r>
            <w:r>
              <w:rPr>
                <w:rFonts w:hint="eastAsia" w:ascii="仿宋" w:hAnsi="仿宋" w:eastAsia="仿宋" w:cs="仿宋"/>
                <w:color w:val="auto"/>
                <w:highlight w:val="none"/>
              </w:rPr>
              <w:t>小型和微型企业适用价格扣除办法时应提供的相关资料：</w:t>
            </w:r>
          </w:p>
          <w:p>
            <w:pPr>
              <w:pStyle w:val="8"/>
              <w:numPr>
                <w:ilvl w:val="0"/>
                <w:numId w:val="0"/>
              </w:numPr>
              <w:spacing w:before="132"/>
              <w:ind w:leftChars="0" w:right="0" w:rightChars="0"/>
              <w:jc w:val="both"/>
              <w:rPr>
                <w:rFonts w:hint="eastAsia" w:ascii="仿宋" w:hAnsi="仿宋" w:eastAsia="仿宋" w:cs="仿宋"/>
                <w:color w:val="auto"/>
                <w:highlight w:val="none"/>
              </w:rPr>
            </w:pPr>
            <w:r>
              <w:rPr>
                <w:rFonts w:hint="eastAsia" w:ascii="仿宋" w:hAnsi="仿宋" w:eastAsia="仿宋" w:cs="仿宋"/>
                <w:color w:val="auto"/>
                <w:highlight w:val="none"/>
              </w:rPr>
              <w:t>①、制造商、代理商《中小企业声明函》或残疾人福利性单位声明函、监狱企业声明函。</w:t>
            </w:r>
          </w:p>
          <w:p>
            <w:pPr>
              <w:pStyle w:val="8"/>
              <w:numPr>
                <w:ilvl w:val="0"/>
                <w:numId w:val="0"/>
              </w:numPr>
              <w:spacing w:before="131"/>
              <w:ind w:leftChars="0" w:right="0" w:rightChars="0"/>
              <w:jc w:val="both"/>
              <w:rPr>
                <w:rFonts w:hint="eastAsia" w:ascii="仿宋" w:hAnsi="仿宋" w:eastAsia="仿宋" w:cs="仿宋"/>
                <w:color w:val="auto"/>
                <w:highlight w:val="none"/>
              </w:rPr>
            </w:pPr>
            <w:r>
              <w:rPr>
                <w:rFonts w:hint="eastAsia" w:ascii="仿宋" w:hAnsi="仿宋" w:eastAsia="仿宋" w:cs="仿宋"/>
                <w:color w:val="auto"/>
                <w:highlight w:val="none"/>
              </w:rPr>
              <w:t>②、制造商、代理商应提供其属地主管部门出具的证明函；</w:t>
            </w:r>
          </w:p>
          <w:p>
            <w:pPr>
              <w:pStyle w:val="8"/>
              <w:numPr>
                <w:ilvl w:val="0"/>
                <w:numId w:val="0"/>
              </w:numPr>
              <w:spacing w:before="135"/>
              <w:ind w:leftChars="0" w:right="0" w:rightChars="0"/>
              <w:jc w:val="both"/>
              <w:rPr>
                <w:rFonts w:hint="eastAsia" w:ascii="仿宋" w:hAnsi="仿宋" w:eastAsia="仿宋" w:cs="仿宋"/>
                <w:color w:val="auto"/>
                <w:highlight w:val="none"/>
              </w:rPr>
            </w:pPr>
            <w:r>
              <w:rPr>
                <w:rFonts w:hint="eastAsia" w:ascii="仿宋" w:hAnsi="仿宋" w:eastAsia="仿宋" w:cs="仿宋"/>
                <w:color w:val="auto"/>
                <w:highlight w:val="none"/>
              </w:rPr>
              <w:t>③、制造商、代理商应提供产品生产厂家的属地主管部门出具的证明函；</w:t>
            </w:r>
          </w:p>
          <w:p>
            <w:pPr>
              <w:pStyle w:val="8"/>
              <w:numPr>
                <w:ilvl w:val="0"/>
                <w:numId w:val="0"/>
              </w:numPr>
              <w:spacing w:before="131" w:line="343" w:lineRule="auto"/>
              <w:ind w:leftChars="0" w:right="245" w:rightChars="0"/>
              <w:jc w:val="both"/>
              <w:rPr>
                <w:rFonts w:hint="eastAsia" w:ascii="仿宋" w:hAnsi="仿宋" w:eastAsia="仿宋" w:cs="仿宋"/>
                <w:color w:val="auto"/>
                <w:highlight w:val="none"/>
                <w:vertAlign w:val="baseline"/>
              </w:rPr>
            </w:pPr>
            <w:r>
              <w:rPr>
                <w:rFonts w:hint="eastAsia" w:ascii="仿宋" w:hAnsi="仿宋" w:eastAsia="仿宋" w:cs="仿宋"/>
                <w:color w:val="auto"/>
                <w:highlight w:val="none"/>
              </w:rPr>
              <w:t>制造商、代理商应同时提供以上三个材料，否则将不给予价格扣除。若所供应产品为进口产品的，不适用《政府采购促进中小企业发展暂行办法》。残疾人福利性单位、监狱企业仅需提供声明函，不须要提供其他证明材料。</w:t>
            </w:r>
          </w:p>
        </w:tc>
      </w:tr>
    </w:tbl>
    <w:p>
      <w:pPr>
        <w:pStyle w:val="3"/>
        <w:numPr>
          <w:ilvl w:val="0"/>
          <w:numId w:val="0"/>
        </w:numPr>
        <w:tabs>
          <w:tab w:val="left" w:pos="0"/>
        </w:tabs>
        <w:jc w:val="center"/>
        <w:rPr>
          <w:rFonts w:hint="eastAsia" w:ascii="仿宋" w:hAnsi="仿宋" w:eastAsia="仿宋" w:cs="仿宋"/>
          <w:b/>
          <w:bCs/>
          <w:color w:val="auto"/>
          <w:sz w:val="24"/>
          <w:szCs w:val="24"/>
          <w:highlight w:val="none"/>
          <w:lang w:val="en-US" w:eastAsia="zh-CN"/>
        </w:rPr>
      </w:pPr>
    </w:p>
    <w:p>
      <w:pPr>
        <w:pStyle w:val="3"/>
        <w:numPr>
          <w:ilvl w:val="0"/>
          <w:numId w:val="0"/>
        </w:numPr>
        <w:tabs>
          <w:tab w:val="left" w:pos="0"/>
        </w:tabs>
        <w:jc w:val="center"/>
        <w:rPr>
          <w:rFonts w:hint="eastAsia" w:ascii="仿宋" w:hAnsi="仿宋" w:eastAsia="仿宋" w:cs="仿宋"/>
          <w:b/>
          <w:bCs/>
          <w:color w:val="auto"/>
          <w:sz w:val="24"/>
          <w:szCs w:val="24"/>
          <w:highlight w:val="none"/>
          <w:lang w:val="en-US" w:eastAsia="zh-CN"/>
        </w:rPr>
      </w:pPr>
    </w:p>
    <w:p>
      <w:pPr>
        <w:pStyle w:val="3"/>
        <w:numPr>
          <w:ilvl w:val="0"/>
          <w:numId w:val="0"/>
        </w:numPr>
        <w:tabs>
          <w:tab w:val="left" w:pos="0"/>
        </w:tabs>
        <w:jc w:val="center"/>
        <w:rPr>
          <w:rFonts w:hint="eastAsia" w:ascii="仿宋" w:hAnsi="仿宋" w:eastAsia="仿宋" w:cs="仿宋"/>
          <w:b/>
          <w:bCs/>
          <w:color w:val="auto"/>
          <w:sz w:val="24"/>
          <w:szCs w:val="24"/>
          <w:highlight w:val="none"/>
          <w:lang w:val="en-US" w:eastAsia="zh-CN"/>
        </w:rPr>
      </w:pPr>
    </w:p>
    <w:p>
      <w:pPr>
        <w:pStyle w:val="3"/>
        <w:numPr>
          <w:ilvl w:val="0"/>
          <w:numId w:val="0"/>
        </w:numPr>
        <w:tabs>
          <w:tab w:val="left" w:pos="0"/>
        </w:tabs>
        <w:jc w:val="center"/>
        <w:rPr>
          <w:rFonts w:hint="eastAsia" w:ascii="仿宋" w:hAnsi="仿宋" w:eastAsia="仿宋" w:cs="仿宋"/>
          <w:b/>
          <w:bCs/>
          <w:color w:val="auto"/>
          <w:sz w:val="24"/>
          <w:szCs w:val="24"/>
          <w:highlight w:val="none"/>
          <w:lang w:val="en-US" w:eastAsia="zh-CN"/>
        </w:rPr>
      </w:pPr>
    </w:p>
    <w:p>
      <w:pPr>
        <w:pStyle w:val="3"/>
        <w:numPr>
          <w:ilvl w:val="0"/>
          <w:numId w:val="0"/>
        </w:numPr>
        <w:tabs>
          <w:tab w:val="left" w:pos="0"/>
        </w:tabs>
        <w:jc w:val="center"/>
        <w:rPr>
          <w:rFonts w:hint="eastAsia" w:ascii="仿宋" w:hAnsi="仿宋" w:eastAsia="仿宋" w:cs="仿宋"/>
          <w:b/>
          <w:bCs/>
          <w:color w:val="auto"/>
          <w:sz w:val="24"/>
          <w:szCs w:val="24"/>
          <w:highlight w:val="none"/>
          <w:lang w:val="en-US" w:eastAsia="zh-CN"/>
        </w:rPr>
      </w:pPr>
    </w:p>
    <w:p>
      <w:pPr>
        <w:pStyle w:val="3"/>
        <w:numPr>
          <w:ilvl w:val="0"/>
          <w:numId w:val="0"/>
        </w:numPr>
        <w:tabs>
          <w:tab w:val="left" w:pos="0"/>
        </w:tabs>
        <w:jc w:val="center"/>
        <w:rPr>
          <w:rFonts w:hint="eastAsia" w:ascii="仿宋" w:hAnsi="仿宋" w:eastAsia="仿宋" w:cs="仿宋"/>
          <w:b/>
          <w:bCs/>
          <w:color w:val="auto"/>
          <w:sz w:val="24"/>
          <w:szCs w:val="24"/>
          <w:highlight w:val="none"/>
          <w:lang w:val="en-US" w:eastAsia="zh-CN"/>
        </w:rPr>
      </w:pPr>
    </w:p>
    <w:p>
      <w:pPr>
        <w:pStyle w:val="3"/>
        <w:numPr>
          <w:ilvl w:val="0"/>
          <w:numId w:val="0"/>
        </w:numPr>
        <w:tabs>
          <w:tab w:val="left" w:pos="0"/>
        </w:tabs>
        <w:jc w:val="center"/>
        <w:rPr>
          <w:rFonts w:hint="eastAsia" w:ascii="仿宋" w:hAnsi="仿宋" w:eastAsia="仿宋" w:cs="仿宋"/>
          <w:b/>
          <w:bCs/>
          <w:color w:val="auto"/>
          <w:sz w:val="24"/>
          <w:szCs w:val="24"/>
          <w:highlight w:val="none"/>
          <w:lang w:val="en-US" w:eastAsia="zh-CN"/>
        </w:rPr>
      </w:pPr>
    </w:p>
    <w:p>
      <w:pPr>
        <w:pStyle w:val="3"/>
        <w:numPr>
          <w:ilvl w:val="0"/>
          <w:numId w:val="0"/>
        </w:numPr>
        <w:tabs>
          <w:tab w:val="left" w:pos="0"/>
        </w:tabs>
        <w:jc w:val="center"/>
        <w:rPr>
          <w:rFonts w:hint="eastAsia" w:ascii="仿宋" w:hAnsi="仿宋" w:eastAsia="仿宋" w:cs="仿宋"/>
          <w:b/>
          <w:bCs/>
          <w:color w:val="auto"/>
          <w:sz w:val="24"/>
          <w:szCs w:val="24"/>
          <w:highlight w:val="none"/>
          <w:lang w:val="en-US" w:eastAsia="zh-CN"/>
        </w:rPr>
      </w:pPr>
    </w:p>
    <w:p>
      <w:pPr>
        <w:pStyle w:val="3"/>
        <w:numPr>
          <w:ilvl w:val="0"/>
          <w:numId w:val="0"/>
        </w:numPr>
        <w:tabs>
          <w:tab w:val="left" w:pos="0"/>
        </w:tabs>
        <w:jc w:val="center"/>
        <w:rPr>
          <w:rFonts w:hint="eastAsia" w:ascii="仿宋" w:hAnsi="仿宋" w:eastAsia="仿宋" w:cs="仿宋"/>
          <w:b/>
          <w:bCs/>
          <w:color w:val="auto"/>
          <w:sz w:val="24"/>
          <w:szCs w:val="24"/>
          <w:highlight w:val="none"/>
          <w:lang w:val="en-US" w:eastAsia="zh-CN"/>
        </w:rPr>
      </w:pPr>
    </w:p>
    <w:p>
      <w:pPr>
        <w:pStyle w:val="3"/>
        <w:numPr>
          <w:ilvl w:val="0"/>
          <w:numId w:val="0"/>
        </w:numPr>
        <w:tabs>
          <w:tab w:val="left" w:pos="0"/>
        </w:tabs>
        <w:jc w:val="center"/>
        <w:rPr>
          <w:rFonts w:hint="eastAsia" w:ascii="仿宋" w:hAnsi="仿宋" w:eastAsia="仿宋" w:cs="仿宋"/>
          <w:b/>
          <w:bCs/>
          <w:color w:val="auto"/>
          <w:sz w:val="24"/>
          <w:szCs w:val="24"/>
          <w:highlight w:val="none"/>
          <w:lang w:val="en-US" w:eastAsia="zh-CN"/>
        </w:rPr>
      </w:pPr>
    </w:p>
    <w:p>
      <w:pPr>
        <w:pStyle w:val="3"/>
        <w:numPr>
          <w:ilvl w:val="0"/>
          <w:numId w:val="0"/>
        </w:numPr>
        <w:tabs>
          <w:tab w:val="left" w:pos="0"/>
        </w:tabs>
        <w:jc w:val="center"/>
        <w:rPr>
          <w:rFonts w:hint="eastAsia" w:ascii="仿宋" w:hAnsi="仿宋" w:eastAsia="仿宋" w:cs="仿宋"/>
          <w:b/>
          <w:bCs/>
          <w:color w:val="auto"/>
          <w:sz w:val="24"/>
          <w:szCs w:val="24"/>
          <w:highlight w:val="none"/>
          <w:lang w:val="en-US" w:eastAsia="zh-CN"/>
        </w:rPr>
      </w:pPr>
    </w:p>
    <w:p>
      <w:pPr>
        <w:pStyle w:val="3"/>
        <w:numPr>
          <w:ilvl w:val="0"/>
          <w:numId w:val="0"/>
        </w:numPr>
        <w:tabs>
          <w:tab w:val="left" w:pos="0"/>
        </w:tabs>
        <w:jc w:val="center"/>
        <w:rPr>
          <w:rFonts w:hint="eastAsia" w:ascii="仿宋" w:hAnsi="仿宋" w:eastAsia="仿宋" w:cs="仿宋"/>
          <w:b/>
          <w:bCs/>
          <w:color w:val="auto"/>
          <w:sz w:val="24"/>
          <w:szCs w:val="24"/>
          <w:highlight w:val="none"/>
          <w:lang w:val="en-US" w:eastAsia="zh-CN"/>
        </w:rPr>
      </w:pPr>
    </w:p>
    <w:p>
      <w:pPr>
        <w:pStyle w:val="3"/>
        <w:numPr>
          <w:ilvl w:val="0"/>
          <w:numId w:val="0"/>
        </w:numPr>
        <w:tabs>
          <w:tab w:val="left" w:pos="0"/>
        </w:tabs>
        <w:jc w:val="center"/>
        <w:rPr>
          <w:rFonts w:hint="eastAsia" w:ascii="仿宋" w:hAnsi="仿宋" w:eastAsia="仿宋" w:cs="仿宋"/>
          <w:b/>
          <w:bCs/>
          <w:color w:val="auto"/>
          <w:sz w:val="24"/>
          <w:szCs w:val="24"/>
          <w:highlight w:val="none"/>
          <w:lang w:val="en-US" w:eastAsia="zh-CN"/>
        </w:rPr>
      </w:pPr>
    </w:p>
    <w:p>
      <w:pPr>
        <w:pStyle w:val="3"/>
        <w:numPr>
          <w:ilvl w:val="0"/>
          <w:numId w:val="0"/>
        </w:numPr>
        <w:tabs>
          <w:tab w:val="left" w:pos="0"/>
        </w:tabs>
        <w:jc w:val="center"/>
        <w:rPr>
          <w:rFonts w:hint="eastAsia" w:ascii="仿宋" w:hAnsi="仿宋" w:eastAsia="仿宋" w:cs="仿宋"/>
          <w:b/>
          <w:bCs/>
          <w:color w:val="auto"/>
          <w:sz w:val="24"/>
          <w:szCs w:val="24"/>
          <w:highlight w:val="none"/>
          <w:lang w:val="en-US" w:eastAsia="zh-CN"/>
        </w:rPr>
      </w:pPr>
    </w:p>
    <w:p>
      <w:pPr>
        <w:pStyle w:val="3"/>
        <w:numPr>
          <w:ilvl w:val="0"/>
          <w:numId w:val="0"/>
        </w:numPr>
        <w:tabs>
          <w:tab w:val="left" w:pos="0"/>
        </w:tabs>
        <w:jc w:val="center"/>
        <w:rPr>
          <w:rFonts w:hint="eastAsia" w:ascii="仿宋" w:hAnsi="仿宋" w:eastAsia="仿宋" w:cs="仿宋"/>
          <w:b/>
          <w:bCs/>
          <w:color w:val="auto"/>
          <w:sz w:val="24"/>
          <w:szCs w:val="24"/>
          <w:highlight w:val="none"/>
          <w:lang w:val="en-US" w:eastAsia="zh-CN"/>
        </w:rPr>
      </w:pPr>
    </w:p>
    <w:p>
      <w:pPr>
        <w:pStyle w:val="3"/>
        <w:numPr>
          <w:ilvl w:val="0"/>
          <w:numId w:val="0"/>
        </w:num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第四章</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招标</w:t>
      </w:r>
      <w:bookmarkEnd w:id="94"/>
      <w:bookmarkEnd w:id="95"/>
      <w:bookmarkEnd w:id="96"/>
      <w:r>
        <w:rPr>
          <w:rFonts w:hint="eastAsia" w:ascii="仿宋" w:hAnsi="仿宋" w:eastAsia="仿宋" w:cs="仿宋"/>
          <w:b/>
          <w:bCs/>
          <w:color w:val="auto"/>
          <w:sz w:val="24"/>
          <w:szCs w:val="24"/>
          <w:highlight w:val="none"/>
        </w:rPr>
        <w:t>需求</w:t>
      </w:r>
    </w:p>
    <w:bookmarkEnd w:id="92"/>
    <w:bookmarkEnd w:id="93"/>
    <w:p>
      <w:pPr>
        <w:pStyle w:val="16"/>
        <w:shd w:val="clear" w:color="auto" w:fill="FFFFFF"/>
        <w:spacing w:before="0" w:beforeAutospacing="0" w:after="0" w:afterAutospacing="0" w:line="520" w:lineRule="exact"/>
        <w:ind w:firstLine="241" w:firstLineChars="100"/>
        <w:rPr>
          <w:rFonts w:hint="eastAsia" w:ascii="仿宋" w:hAnsi="仿宋" w:eastAsia="仿宋" w:cs="仿宋"/>
          <w:b/>
          <w:color w:val="auto"/>
          <w:highlight w:val="none"/>
        </w:rPr>
      </w:pPr>
      <w:bookmarkStart w:id="99" w:name="_Toc521014793"/>
      <w:bookmarkStart w:id="100" w:name="_Toc503212226"/>
      <w:bookmarkStart w:id="101" w:name="_Toc23242"/>
      <w:r>
        <w:rPr>
          <w:rFonts w:hint="eastAsia" w:ascii="仿宋" w:hAnsi="仿宋" w:eastAsia="仿宋" w:cs="仿宋"/>
          <w:b/>
          <w:color w:val="auto"/>
          <w:highlight w:val="none"/>
        </w:rPr>
        <w:t>（一）采购需求</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能源工程学院电气工程及其自动化专业拟建电力系统继电保护实训室，采购包括常规类、智能类发电厂-变电站在内的220kV发-变组发电机、变压器、母线、高压线路继电保护装置及测控装置，合并单元及智能终端，分相操作箱，模拟断路器，以太网交换机，直流电源或UPS设备，变电站后台监控系统软件及微机五防系统，屏柜及附件。</w:t>
      </w:r>
    </w:p>
    <w:p>
      <w:pPr>
        <w:spacing w:line="520" w:lineRule="exact"/>
        <w:ind w:firstLine="241" w:firstLineChars="1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（二）</w:t>
      </w:r>
      <w:r>
        <w:rPr>
          <w:rFonts w:hint="eastAsia" w:ascii="仿宋" w:hAnsi="仿宋" w:eastAsia="仿宋" w:cs="仿宋"/>
          <w:b/>
          <w:bCs/>
          <w:color w:val="auto"/>
          <w:sz w:val="24"/>
          <w:highlight w:val="none"/>
          <w:lang w:eastAsia="zh-CN"/>
        </w:rPr>
        <w:t>技术规格、参数与要求</w:t>
      </w:r>
    </w:p>
    <w:tbl>
      <w:tblPr>
        <w:tblStyle w:val="19"/>
        <w:tblpPr w:leftFromText="180" w:rightFromText="180" w:vertAnchor="text" w:horzAnchor="page" w:tblpX="1170" w:tblpY="596"/>
        <w:tblOverlap w:val="never"/>
        <w:tblW w:w="9374" w:type="dxa"/>
        <w:tblInd w:w="0" w:type="dxa"/>
        <w:tblLayout w:type="fixed"/>
        <w:tblCellMar>
          <w:top w:w="0" w:type="dxa"/>
          <w:left w:w="0" w:type="dxa"/>
          <w:bottom w:w="0" w:type="dxa"/>
          <w:right w:w="0" w:type="dxa"/>
        </w:tblCellMar>
      </w:tblPr>
      <w:tblGrid>
        <w:gridCol w:w="406"/>
        <w:gridCol w:w="1308"/>
        <w:gridCol w:w="6260"/>
        <w:gridCol w:w="700"/>
        <w:gridCol w:w="700"/>
      </w:tblGrid>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rPr>
            </w:pPr>
            <w:r>
              <w:rPr>
                <w:rFonts w:hint="eastAsia" w:ascii="仿宋" w:hAnsi="仿宋" w:eastAsia="仿宋" w:cs="仿宋"/>
                <w:b/>
                <w:color w:val="auto"/>
                <w:kern w:val="0"/>
                <w:szCs w:val="21"/>
                <w:lang w:bidi="ar"/>
              </w:rPr>
              <w:t>序号</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rPr>
            </w:pPr>
            <w:r>
              <w:rPr>
                <w:rFonts w:hint="eastAsia" w:ascii="仿宋" w:hAnsi="仿宋" w:eastAsia="仿宋" w:cs="仿宋"/>
                <w:b/>
                <w:color w:val="auto"/>
                <w:kern w:val="0"/>
                <w:szCs w:val="21"/>
                <w:lang w:bidi="ar"/>
              </w:rPr>
              <w:t>名称</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rPr>
            </w:pPr>
            <w:r>
              <w:rPr>
                <w:rFonts w:hint="eastAsia" w:ascii="仿宋" w:hAnsi="仿宋" w:eastAsia="仿宋" w:cs="仿宋"/>
                <w:b/>
                <w:color w:val="auto"/>
                <w:kern w:val="0"/>
                <w:szCs w:val="21"/>
                <w:lang w:bidi="ar"/>
              </w:rPr>
              <w:t>参数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rPr>
            </w:pPr>
            <w:r>
              <w:rPr>
                <w:rFonts w:hint="eastAsia" w:ascii="仿宋" w:hAnsi="仿宋" w:eastAsia="仿宋" w:cs="仿宋"/>
                <w:b/>
                <w:color w:val="auto"/>
                <w:kern w:val="0"/>
                <w:szCs w:val="21"/>
                <w:lang w:bidi="ar"/>
              </w:rPr>
              <w:t>单位</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b/>
                <w:color w:val="auto"/>
                <w:szCs w:val="21"/>
              </w:rPr>
            </w:pPr>
            <w:r>
              <w:rPr>
                <w:rFonts w:hint="eastAsia" w:ascii="仿宋" w:hAnsi="仿宋" w:eastAsia="仿宋" w:cs="仿宋"/>
                <w:b/>
                <w:color w:val="auto"/>
                <w:kern w:val="0"/>
                <w:szCs w:val="21"/>
                <w:lang w:bidi="ar"/>
              </w:rPr>
              <w:t>数量</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rPr>
            </w:pPr>
            <w:r>
              <w:rPr>
                <w:rFonts w:hint="eastAsia" w:ascii="仿宋" w:hAnsi="仿宋" w:eastAsia="仿宋" w:cs="仿宋"/>
                <w:color w:val="auto"/>
              </w:rPr>
              <w:t>超高压线路光纤差动保护装置（常规变电站）</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过载能力：</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1）交流电流回路：在2倍额定电流下连续工作，40倍额定电流下允许1s。</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2）交流电压回路：在1.4倍额定电压下连续工作，2倍额定电压下允许10s。</w:t>
            </w:r>
          </w:p>
          <w:p>
            <w:pPr>
              <w:widowControl/>
              <w:jc w:val="left"/>
              <w:rPr>
                <w:rFonts w:hint="eastAsia" w:ascii="仿宋" w:hAnsi="仿宋" w:eastAsia="仿宋" w:cs="仿宋"/>
                <w:color w:val="auto"/>
                <w:kern w:val="0"/>
                <w:sz w:val="22"/>
                <w:szCs w:val="22"/>
              </w:rPr>
            </w:pPr>
            <w:r>
              <w:rPr>
                <w:rFonts w:hint="eastAsia" w:ascii="仿宋" w:hAnsi="仿宋" w:eastAsia="仿宋" w:cs="仿宋"/>
                <w:color w:val="auto"/>
                <w:sz w:val="22"/>
                <w:szCs w:val="22"/>
              </w:rPr>
              <w:t>整组动作时间(ms)(≤)：</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sz w:val="22"/>
                <w:szCs w:val="22"/>
              </w:rPr>
              <w:t>20(近端故障)；30(远端故障)(不包括通道延时)；</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高性能、大容量的硬件系统：</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1）采用DSP和MCU合一的32位单片机，程序完全在片内运行，保持了总线不出芯片的优点。同时高性能、高速的芯片满足了并行实时计算要求。</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2）采用全新的前插拔组合结构，保持了前插拔维护方便的优点，兼有后插拔强弱电分离、强电回路直接从插件上出线的优点。</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3）其内部总体结构为网络化设计，有利于提高硬件的可靠性、灵活性和可扩展性，简化的硬件实现了“积木式”结构，例如增加开入、开出，只须增加插件而不影响CPU插件。</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4）大容量的故障录波，全过程记录故障，故障录波报告可以打印输出，也可以COMTRADE兼容格式输出至串口或以太网接口。可以保存不少于24次最新录波，打印时可以选择数据或图形方式。完整的事件记录，可保存最新报文不少于2000条。保存的录波和报告掉电不丢失。</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5）双CPU和双A/D采集，并实现了A/D的互检。</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6）装置高性能的硬件系统，多层印制板、SMT表面贴装和涂敷工艺，加上完善的软件抗干扰措施，使得装置的整体抗干扰能力通过了IEC 61000-4标准中相关EMC的10项抗扰度最高等级要求。</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软件设计：</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1）软件设计模块化，保护功能配置灵活，可满足用户的不同要求。</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2）各种保护原理的综合应用</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充分利用各种突变量、稳态量保护原理的优点，完善振荡闭锁的算法，实现在任何时候、任何故障情况都有全线快速保护。</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3）各种选相原理的综合应用</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充分利用电流突变量选相、低电压选相、零负序稳态量选相原理的优点，实现在振荡闭锁、弱电源、复杂故障等情况下都能正确选相跳闸。</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4）振荡闭锁解决方案</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采用零序和负序电流比较、△R/△T等判据，综合判断振荡闭锁期间的各种故障，并可根据不同系统情况、不同振荡周期等运行工况，自适应调整其动作门槛，保证了系统振荡时不失去快速保护功能。</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5）采用按相补偿方法</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将“按相补偿”方法应用于阻抗测量中，使接地阻抗继电器具备较好的选相功能。结合按相补偿和快速滤波、快速计算等方法，构成了快速距离Ⅰ段。</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6）为解决中长线路躲负荷阻抗和灵敏度要求之间的矛盾，距离保护采取了防止线路过负荷导致保护误动的措施。</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7）光纤通信采用32位CRC校验，具有超强的抗误码能力。</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8）具有电容电流精确补偿功能。</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9）具有CT断线闭锁、CT饱和检测及CT变比补偿功能。</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10）具有光纤通道监视功能，实时记录并累计丢帧数、误码情况，通道严重故障时告警。实时记录电容电流、通道延时、两侧电流向量等通道状态数据；</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kern w:val="0"/>
                <w:szCs w:val="21"/>
                <w:lang w:bidi="ar"/>
              </w:rPr>
              <w:t>装置可以实现单相重合闸、三相重合闸、禁止重合闸和停用重合闸四种重合闸方式。</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rPr>
            </w:pPr>
            <w:r>
              <w:rPr>
                <w:rFonts w:hint="eastAsia" w:ascii="仿宋" w:hAnsi="仿宋" w:eastAsia="仿宋" w:cs="仿宋"/>
                <w:color w:val="auto"/>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2</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kern w:val="0"/>
                <w:szCs w:val="21"/>
                <w:lang w:bidi="ar"/>
              </w:rPr>
            </w:pPr>
            <w:r>
              <w:rPr>
                <w:rFonts w:hint="eastAsia" w:ascii="仿宋" w:hAnsi="仿宋" w:eastAsia="仿宋" w:cs="仿宋"/>
                <w:color w:val="auto"/>
                <w:szCs w:val="21"/>
              </w:rPr>
              <w:t>分相操作箱</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跳合闸继电器启动功率不小于5W；</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继电器动作时间&lt;10ms；</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机箱采用标准4U、整层19”机箱，整背板前插拔开启式面板结构，面板设有灯光及光字排显示；</w:t>
            </w:r>
          </w:p>
          <w:p>
            <w:pPr>
              <w:widowControl/>
              <w:spacing w:line="0" w:lineRule="atLeast"/>
              <w:jc w:val="left"/>
              <w:textAlignment w:val="center"/>
              <w:rPr>
                <w:rFonts w:hint="eastAsia" w:ascii="仿宋" w:hAnsi="仿宋" w:eastAsia="仿宋" w:cs="仿宋"/>
                <w:color w:val="auto"/>
                <w:kern w:val="0"/>
                <w:szCs w:val="21"/>
                <w:lang w:bidi="ar"/>
              </w:rPr>
            </w:pPr>
            <w:bookmarkStart w:id="102" w:name="_Toc498678131"/>
            <w:r>
              <w:rPr>
                <w:rFonts w:hint="eastAsia" w:ascii="仿宋" w:hAnsi="仿宋" w:eastAsia="仿宋" w:cs="仿宋"/>
                <w:color w:val="auto"/>
                <w:kern w:val="0"/>
                <w:szCs w:val="21"/>
                <w:lang w:bidi="ar"/>
              </w:rPr>
              <w:t>主要特点</w:t>
            </w:r>
            <w:bookmarkEnd w:id="102"/>
            <w:r>
              <w:rPr>
                <w:rFonts w:hint="eastAsia" w:ascii="仿宋" w:hAnsi="仿宋" w:eastAsia="仿宋" w:cs="仿宋"/>
                <w:color w:val="auto"/>
                <w:kern w:val="0"/>
                <w:szCs w:val="21"/>
                <w:lang w:bidi="ar"/>
              </w:rPr>
              <w:t>：</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1）分相操作回路功能完备；</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2）出口继电器回路安全可靠；</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3）备用中间回路丰富；</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4）跳合闸电流宽范围参数自适应。</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kern w:val="0"/>
                <w:szCs w:val="21"/>
                <w:lang w:bidi="ar"/>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kern w:val="0"/>
                <w:szCs w:val="21"/>
                <w:lang w:bidi="ar"/>
              </w:rPr>
            </w:pPr>
            <w:r>
              <w:rPr>
                <w:rFonts w:hint="eastAsia" w:ascii="仿宋" w:hAnsi="仿宋" w:eastAsia="仿宋" w:cs="仿宋"/>
                <w:color w:val="auto"/>
                <w:szCs w:val="21"/>
              </w:rPr>
              <w:t>2</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rPr>
            </w:pPr>
            <w:r>
              <w:rPr>
                <w:rFonts w:hint="eastAsia" w:ascii="仿宋" w:hAnsi="仿宋" w:eastAsia="仿宋" w:cs="仿宋"/>
                <w:color w:val="auto"/>
              </w:rPr>
              <w:t>模拟断路器</w:t>
            </w:r>
          </w:p>
          <w:p>
            <w:pPr>
              <w:widowControl/>
              <w:spacing w:line="0" w:lineRule="atLeast"/>
              <w:jc w:val="center"/>
              <w:textAlignment w:val="center"/>
              <w:rPr>
                <w:rFonts w:hint="eastAsia" w:ascii="仿宋" w:hAnsi="仿宋" w:eastAsia="仿宋" w:cs="仿宋"/>
                <w:color w:val="auto"/>
              </w:rPr>
            </w:pPr>
            <w:r>
              <w:rPr>
                <w:rFonts w:hint="eastAsia" w:ascii="仿宋" w:hAnsi="仿宋" w:eastAsia="仿宋" w:cs="仿宋"/>
                <w:color w:val="auto"/>
              </w:rPr>
              <w:t>（常规保护线路）</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1、4U机箱，5分相回路配置。</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kern w:val="0"/>
                <w:szCs w:val="21"/>
                <w:lang w:bidi="ar"/>
              </w:rPr>
              <w:t>2、常规保护线路ABC分相，预留两路。</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rPr>
            </w:pPr>
            <w:r>
              <w:rPr>
                <w:rFonts w:hint="eastAsia" w:ascii="仿宋" w:hAnsi="仿宋" w:eastAsia="仿宋" w:cs="仿宋"/>
                <w:color w:val="auto"/>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4</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屏柜及附件（高压线路）</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国网标准柜体2260*800*600mm</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菲尼克斯端子排、ABB空开、弹簧插拔式压板</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面</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2</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5</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母线保护装置</w:t>
            </w:r>
            <w:r>
              <w:rPr>
                <w:rFonts w:hint="eastAsia" w:ascii="仿宋" w:hAnsi="仿宋" w:eastAsia="仿宋" w:cs="仿宋"/>
                <w:color w:val="auto"/>
              </w:rPr>
              <w:t>（常规变电站）</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0" w:lineRule="atLeast"/>
              <w:textAlignment w:val="center"/>
              <w:rPr>
                <w:rFonts w:hint="eastAsia" w:ascii="仿宋" w:hAnsi="仿宋" w:eastAsia="仿宋" w:cs="仿宋"/>
                <w:color w:val="auto"/>
                <w:szCs w:val="21"/>
              </w:rPr>
            </w:pPr>
            <w:r>
              <w:rPr>
                <w:rFonts w:hint="eastAsia" w:ascii="仿宋" w:hAnsi="仿宋" w:eastAsia="仿宋" w:cs="仿宋"/>
                <w:color w:val="auto"/>
                <w:szCs w:val="21"/>
              </w:rPr>
              <w:t>1、过载能力：</w:t>
            </w:r>
          </w:p>
          <w:p>
            <w:pPr>
              <w:widowControl/>
              <w:spacing w:line="0" w:lineRule="atLeast"/>
              <w:textAlignment w:val="center"/>
              <w:rPr>
                <w:rFonts w:hint="eastAsia" w:ascii="仿宋" w:hAnsi="仿宋" w:eastAsia="仿宋" w:cs="仿宋"/>
                <w:color w:val="auto"/>
                <w:szCs w:val="21"/>
              </w:rPr>
            </w:pPr>
            <w:r>
              <w:rPr>
                <w:rFonts w:hint="eastAsia" w:ascii="仿宋" w:hAnsi="仿宋" w:eastAsia="仿宋" w:cs="仿宋"/>
                <w:color w:val="auto"/>
                <w:szCs w:val="21"/>
              </w:rPr>
              <w:t>1）交流电压回路过载能力：连续工作(1.2UN)；10s(1.4UN)</w:t>
            </w:r>
          </w:p>
          <w:p>
            <w:pPr>
              <w:widowControl/>
              <w:spacing w:line="0" w:lineRule="atLeast"/>
              <w:textAlignment w:val="center"/>
              <w:rPr>
                <w:rFonts w:hint="eastAsia" w:ascii="仿宋" w:hAnsi="仿宋" w:eastAsia="仿宋" w:cs="仿宋"/>
                <w:color w:val="auto"/>
                <w:szCs w:val="21"/>
              </w:rPr>
            </w:pPr>
            <w:r>
              <w:rPr>
                <w:rFonts w:hint="eastAsia" w:ascii="仿宋" w:hAnsi="仿宋" w:eastAsia="仿宋" w:cs="仿宋"/>
                <w:color w:val="auto"/>
                <w:szCs w:val="21"/>
              </w:rPr>
              <w:t>2）交流电流回路过载能力：连续工作(2IN)；10s(10IN)；1s(40IN)；2、差动保护整组动作时间小于20ms（动作条件：典型金属性故障，大于2倍的动作电流，并有电压突变）；</w:t>
            </w:r>
          </w:p>
          <w:p>
            <w:pPr>
              <w:widowControl/>
              <w:spacing w:line="0" w:lineRule="atLeast"/>
              <w:textAlignment w:val="center"/>
              <w:rPr>
                <w:rFonts w:hint="eastAsia" w:ascii="仿宋" w:hAnsi="仿宋" w:eastAsia="仿宋" w:cs="仿宋"/>
                <w:color w:val="auto"/>
                <w:szCs w:val="21"/>
              </w:rPr>
            </w:pPr>
            <w:r>
              <w:rPr>
                <w:rFonts w:hint="eastAsia" w:ascii="仿宋" w:hAnsi="仿宋" w:eastAsia="仿宋" w:cs="仿宋"/>
                <w:color w:val="auto"/>
                <w:szCs w:val="21"/>
              </w:rPr>
              <w:t>3、装置内部的功能组件具有锁紧机构，主机和从机采用后插拔方式，模拟盘采用前插拔方式；</w:t>
            </w:r>
          </w:p>
          <w:p>
            <w:pPr>
              <w:widowControl/>
              <w:spacing w:line="0" w:lineRule="atLeast"/>
              <w:textAlignment w:val="center"/>
              <w:rPr>
                <w:rFonts w:hint="eastAsia" w:ascii="仿宋" w:hAnsi="仿宋" w:eastAsia="仿宋" w:cs="仿宋"/>
                <w:color w:val="auto"/>
                <w:szCs w:val="21"/>
              </w:rPr>
            </w:pPr>
            <w:r>
              <w:rPr>
                <w:rFonts w:hint="eastAsia" w:ascii="仿宋" w:hAnsi="仿宋" w:eastAsia="仿宋" w:cs="仿宋"/>
                <w:color w:val="auto"/>
                <w:szCs w:val="21"/>
              </w:rPr>
              <w:t>4、装置包括一个4U的主机箱、一个4U从机箱和一个4U模拟盘机箱。主机箱共配置14个插件，包括3块交流插件、CPU1插件、CPU2插件、开入插件1、管理板、开出插件1、开出插件2、开出插件3、开出插件4、开出插件5、 1块电源插件、1块CAN网通信插件。从机箱共配置7个插件，包括4块交流插件、两块采样插件、1个电源插件。4U模拟盘机箱是隔离刀闸辅助触点和启动失灵开入的接入装置，共配置10个插件和1个CAN网接口，插件包括开入连接板1、开入插件2、开入插件3、开入插件4、开入插件5、开入插件6、开入插件7、开入连接板2、开出插件6及一个电源插件；此外对于双母线和双母单分段系统模拟盘机箱还配置了模拟盘显示功能，除直观显示主接线型式外，还提供强分/强合控制开关供用户强行干预不对应的隔离刀闸辅助触点状态。交流插件、开出插件、开入插件和电源插件为“直通式”，即插件连接器直接与机箱端子相连，增加了接线的可靠性；</w:t>
            </w:r>
          </w:p>
          <w:p>
            <w:pPr>
              <w:widowControl/>
              <w:spacing w:line="0" w:lineRule="atLeast"/>
              <w:textAlignment w:val="center"/>
              <w:rPr>
                <w:rFonts w:hint="eastAsia" w:ascii="仿宋" w:hAnsi="仿宋" w:eastAsia="仿宋" w:cs="仿宋"/>
                <w:color w:val="auto"/>
                <w:szCs w:val="21"/>
              </w:rPr>
            </w:pPr>
            <w:r>
              <w:rPr>
                <w:rFonts w:hint="eastAsia" w:ascii="仿宋" w:hAnsi="仿宋" w:eastAsia="仿宋" w:cs="仿宋"/>
                <w:color w:val="auto"/>
                <w:szCs w:val="21"/>
              </w:rPr>
              <w:t>5、保护CPU软件包括主程序、采样中断程序和故障处理中断程序。主程序完成装置的硬件自检、投切压板、固化定值、上送报告等功能。每隔一个采样间隔时间执行一次采样中断程序，进行电气量的采集、录波、突变量启动判别等。故障处理中断也是每隔固定时间执行一次，完成保护功能的逻辑和PT、CT异常判别等，如果有异常，则发出相应的告警信号和报文。对于危及保护安全性和可靠性的严重告警，发出信号的同时闭锁保护出口，对于普通告警，发出信号提示运行人员注意检查处理。发生故障时，在故障处理中断中完成故障判别、出口跳闸等功能。</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6</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屏柜及附件（母线）</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国网标准柜体2260*800*600mm</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菲尼克斯端子排、ABB空开、弹簧插拔式压板</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面</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2</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7</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变压器保护装置</w:t>
            </w:r>
            <w:r>
              <w:rPr>
                <w:rFonts w:hint="eastAsia" w:ascii="仿宋" w:hAnsi="仿宋" w:eastAsia="仿宋" w:cs="仿宋"/>
                <w:color w:val="auto"/>
              </w:rPr>
              <w:t>（常规变电站）</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过载能力：</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1）交流电流回路：在2倍额定电流下连续工作，40倍额定电流下允许1s。</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2）交流电压回路：在1.4倍额定电压下连续工作，2倍额定电压下允许10s；</w:t>
            </w:r>
          </w:p>
          <w:p>
            <w:pPr>
              <w:widowControl/>
              <w:spacing w:line="0" w:lineRule="atLeas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差动动作时间：</w:t>
            </w:r>
          </w:p>
          <w:p>
            <w:pPr>
              <w:widowControl/>
              <w:spacing w:line="0" w:lineRule="atLeas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差动速断保护的固有动作时间为1.5倍整定值时，不大于20ms；</w:t>
            </w:r>
          </w:p>
          <w:p>
            <w:pPr>
              <w:widowControl/>
              <w:spacing w:line="0" w:lineRule="atLeas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比率差动保护的固有动作时间为2倍整定值时，不大于30ms；</w:t>
            </w:r>
          </w:p>
          <w:p>
            <w:pPr>
              <w:widowControl/>
              <w:spacing w:line="0" w:lineRule="atLeas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高性能、高可靠、大资源的硬件系统 ：</w:t>
            </w:r>
          </w:p>
          <w:p>
            <w:pPr>
              <w:widowControl/>
              <w:spacing w:line="0" w:lineRule="atLeas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采用DSP和MCU合一的32位单片机，程序完全在片内运行，保持了总线不出芯片的优点，保护CPU经过了多年运行考验，性能好、可靠性高。</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 xml:space="preserve">大容量的故障录波，全过程分段记录故障。可以保存不少于24次录波，打印时可以选择数据或图形方式。完整的事件记录，可保存动作报告、告警报告、启动报告和操作记录均不少于2000条，停电不丢失。 </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采用硬件完全相同的双CPU插件冗余设计，实现了数据采集、数据处理及逻辑运算等硬件模块的全方位冗余设计，极大的提高了现场装置的安全运行水平。</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装置的保护功能与人机界面、通信功能完全分开，提高了装置的可靠性，并使装置更便于调试、维护和使用。</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装置高性能的硬件系统，多层印制板、SMT表面贴装和涂敷工艺，加上完善的软件抗干扰措施，使得装置的整体抗干扰能力通过了IEC61000-4标准中相关EMC的10项抗扰度最高等级要求；</w:t>
            </w:r>
          </w:p>
          <w:p>
            <w:pPr>
              <w:widowControl/>
              <w:spacing w:line="0" w:lineRule="atLeas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模块化软件：</w:t>
            </w:r>
          </w:p>
          <w:p>
            <w:pPr>
              <w:spacing w:after="166" w:afterLines="50"/>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模块化的程序使保护功能配置灵活，可满足不同用户的要求。</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8</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主变高压侧分相操作箱</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跳合闸继电器启动功率不小于5W；</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继电器动作时间&lt;10ms；</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机箱采用标准4U、整层19”机箱，整背板前插拔开启式面板结构，面板设有灯光及光字排显示；</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主要特点：</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1）分相操作回路功能完备；</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2）出口继电器回路安全可靠；</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3）备用中间回路丰富；</w:t>
            </w:r>
          </w:p>
          <w:p>
            <w:pPr>
              <w:widowControl/>
              <w:spacing w:line="0" w:lineRule="atLeast"/>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4）跳合闸电流宽范围参数自适应。</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9</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主变低压侧三相操作箱</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跳合闸回路自保持电流0.5A～4A</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机箱采用标准4U、半层19”/2机箱，整背板前插拔开启式面板结构，面板设有灯光及光字排显示。</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主要特点：</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1）三相单跳闸线圈操作回路功能完备；</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2）组合形式灵活，最大支持变压器3侧操作回路；</w:t>
            </w:r>
          </w:p>
          <w:p>
            <w:pPr>
              <w:widowControl/>
              <w:spacing w:line="0" w:lineRule="atLeast"/>
              <w:jc w:val="left"/>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3）跳合闸电流宽范围参数自适应。</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10</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模拟断路器（主变压器）</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0" w:lineRule="atLeast"/>
              <w:textAlignment w:val="center"/>
              <w:rPr>
                <w:rFonts w:hint="eastAsia" w:ascii="仿宋" w:hAnsi="仿宋" w:eastAsia="仿宋" w:cs="仿宋"/>
                <w:color w:val="auto"/>
                <w:szCs w:val="21"/>
              </w:rPr>
            </w:pPr>
            <w:r>
              <w:rPr>
                <w:rFonts w:hint="eastAsia" w:ascii="仿宋" w:hAnsi="仿宋" w:eastAsia="仿宋" w:cs="仿宋"/>
                <w:color w:val="auto"/>
                <w:szCs w:val="21"/>
              </w:rPr>
              <w:t>1、4U机箱，6分相回路配置</w:t>
            </w:r>
          </w:p>
          <w:p>
            <w:pPr>
              <w:widowControl/>
              <w:spacing w:line="0" w:lineRule="atLeast"/>
              <w:textAlignment w:val="center"/>
              <w:rPr>
                <w:rFonts w:hint="eastAsia" w:ascii="仿宋" w:hAnsi="仿宋" w:eastAsia="仿宋" w:cs="仿宋"/>
                <w:color w:val="auto"/>
                <w:szCs w:val="21"/>
              </w:rPr>
            </w:pPr>
            <w:r>
              <w:rPr>
                <w:rFonts w:hint="eastAsia" w:ascii="仿宋" w:hAnsi="仿宋" w:eastAsia="仿宋" w:cs="仿宋"/>
                <w:color w:val="auto"/>
                <w:szCs w:val="21"/>
              </w:rPr>
              <w:t>2、高压侧ABC分相，低压侧三相</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11</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屏柜及附件（主变压器）</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国网标准柜体2260*800*600mm</w:t>
            </w:r>
          </w:p>
          <w:p>
            <w:pPr>
              <w:widowControl/>
              <w:spacing w:line="0" w:lineRule="atLeast"/>
              <w:textAlignment w:val="center"/>
              <w:rPr>
                <w:rFonts w:hint="eastAsia" w:ascii="仿宋" w:hAnsi="仿宋" w:eastAsia="仿宋" w:cs="仿宋"/>
                <w:color w:val="auto"/>
                <w:szCs w:val="21"/>
              </w:rPr>
            </w:pPr>
            <w:r>
              <w:rPr>
                <w:rFonts w:hint="eastAsia" w:ascii="仿宋" w:hAnsi="仿宋" w:eastAsia="仿宋" w:cs="仿宋"/>
                <w:color w:val="auto"/>
                <w:szCs w:val="21"/>
              </w:rPr>
              <w:t>菲尼克斯端子排、ABB空开、弹簧插拔式压板</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面</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12</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发电机保护装置</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过载能力：</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1）交流电流回路：在2倍额定电流下连续工作，10倍额定电流下允许10s，50倍额定电流下允许1s；</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2）交流电压回路：在1.2倍额定电压下连续工作，1.4倍额定电压下允许10s；</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3）直流电源回路：80%~120%额定电压，连续工作；</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比率制动动作时间（2倍整定电流时）不大于30ms；</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差动速断动作时间（1.5倍整定电流时）不大于20ms；</w:t>
            </w:r>
          </w:p>
          <w:p>
            <w:pPr>
              <w:rPr>
                <w:rFonts w:hint="eastAsia" w:ascii="仿宋" w:hAnsi="仿宋" w:eastAsia="仿宋" w:cs="仿宋"/>
                <w:color w:val="auto"/>
              </w:rPr>
            </w:pPr>
            <w:r>
              <w:rPr>
                <w:rFonts w:hint="eastAsia" w:ascii="仿宋" w:hAnsi="仿宋" w:eastAsia="仿宋" w:cs="仿宋"/>
                <w:color w:val="auto"/>
              </w:rPr>
              <w:t>基于DSP和MCU合一的32位单片机，一体化设计思想，适用于各种容量等级、各种类型的发电机变压器（包括发电机变压器组、发电机、调相机、主变压器、高压厂用变压器、起动/备用变压器、励磁机/励磁变等）的数字式继电保护装置。CSC-300为发电机变压器组保护装置，该装置最大包含一套完整的发电机、励磁机/励磁变、主变、两台高厂变的电气量保护；</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bCs/>
                <w:color w:val="auto"/>
                <w:szCs w:val="21"/>
              </w:rPr>
              <w:t>装置可以提供发电机纵差保护、裂相横差保护、不完全差动保护、励磁</w:t>
            </w:r>
            <w:r>
              <w:rPr>
                <w:rFonts w:hint="eastAsia" w:ascii="仿宋" w:hAnsi="仿宋" w:eastAsia="仿宋" w:cs="仿宋"/>
                <w:color w:val="auto"/>
                <w:kern w:val="0"/>
                <w:szCs w:val="21"/>
                <w:lang w:bidi="ar"/>
              </w:rPr>
              <w:t>变或励磁机差动保护、主变压器差动保护、高压厂用变压器差动保护、发变组差动保护、电缆差动保护等方案；</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装置采用变数据窗和循环闭锁原理，结合采样值差动辅助判据，既加快了保护的出口时间，又极大地提高了发电机差动保护的可靠性。综合智能发电机差动保护具有完善的抗TA饱和能力以及故障恢复过程中不平衡电流对发电机差动保护的影响；</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变压器差动保护提供两种识别励磁涌流的方法，即二次谐波原理和基于模糊识别的波形判别原理；</w:t>
            </w:r>
          </w:p>
          <w:p>
            <w:pPr>
              <w:widowControl/>
              <w:spacing w:line="0" w:lineRule="atLeast"/>
              <w:jc w:val="left"/>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装置软件设计结合发电机变压器保护的特点采用标准化、模块化设计，针对不同场合的需求，可实现不必改变程序，对软件功能进行重新配置，定值项自适应改变，即真正的软件功能可配置。</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13</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屏柜及附件（发电机）</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国网标准柜体2260*800*600mm</w:t>
            </w:r>
          </w:p>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菲尼克斯端子排、ABB空开、弹簧插拔式压板</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面</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14</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超高压线路光纤差动保护装置（智能变电站）</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过载能力：</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1）交流电流回路：在2倍额定电流下连续工作，40倍额定电流下允许1s。</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2）交流电压回路：在1.4倍额定电压下连续工作，2倍额定电压下允许10s。</w:t>
            </w:r>
          </w:p>
          <w:p>
            <w:pPr>
              <w:widowControl/>
              <w:jc w:val="left"/>
              <w:rPr>
                <w:rFonts w:hint="eastAsia" w:ascii="仿宋" w:hAnsi="仿宋" w:eastAsia="仿宋" w:cs="仿宋"/>
                <w:color w:val="auto"/>
                <w:kern w:val="0"/>
                <w:sz w:val="22"/>
                <w:szCs w:val="22"/>
              </w:rPr>
            </w:pPr>
            <w:r>
              <w:rPr>
                <w:rFonts w:hint="eastAsia" w:ascii="仿宋" w:hAnsi="仿宋" w:eastAsia="仿宋" w:cs="仿宋"/>
                <w:color w:val="auto"/>
                <w:sz w:val="22"/>
                <w:szCs w:val="22"/>
              </w:rPr>
              <w:t>整组动作时间(ms)(≤)：</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sz w:val="22"/>
                <w:szCs w:val="22"/>
              </w:rPr>
              <w:t>20(近端故障)；30(远端故障)(不包括通道延时)；</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高性能、大容量的硬件系统：</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1）采用DSP和MCU合一的32位单片机，程序完全在片内运行，保持了总线不出芯片的优点。同时高性能、高速的芯片满足了并行实时计算要求。</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2）采用全新的前插拔组合结构，保持了前插拔维护方便的优点，兼有后插拔强弱电分离、强电回路直接从插件上出线的优点。</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3）其内部总体结构为网络化设计，有利于提高硬件的可靠性、灵活性和可扩展性，简化的硬件实现了“积木式”结构，例如增加开入、开出，只须增加插件而不影响CPU插件。</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4）大容量的故障录波，全过程记录故障，故障录波报告可以打印输出，也可以COMTRADE兼容格式输出至串口或以太网接口。可以保存不少于24次最新录波，打印时可以选择数据或图形方式。完整的事件记录，可保存最新报文不少于2000条。保存的录波和报告掉电不丢失。</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5）双CPU和双A/D采集，并实现了A/D的互检。</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6）装置高性能的硬件系统，多层印制板、SMT表面贴装和涂敷工艺，加上完善的软件抗干扰措施，使得装置的整体抗干扰能力通过了IEC 61000-4标准中相关EMC的10项抗扰度最高等级要求。</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软件设计：</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1）软件设计模块化，保护功能配置灵活，可满足用户的不同要求。</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2）各种保护原理的综合应用</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充分利用各种突变量、稳态量保护原理的优点，完善振荡闭锁的算法，实现在任何时候、任何故障情况都有全线快速保护。</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3）各种选相原理的综合应用</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充分利用电流突变量选相、低电压选相、零负序稳态量选相原理的优点，实现在振荡闭锁、弱电源、复杂故障等情况下都能正确选相跳闸。</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4）振荡闭锁解决方案</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采用零序和负序电流比较、△R/△T等判据，综合判断振荡闭锁期间的各种故障，并可根据不同系统情况、不同振荡周期等运行工况，自适应调整其动作门槛，保证了系统振荡时不失去快速保护功能。</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5）采用按相补偿方法</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将“按相补偿”方法应用于阻抗测量中，使接地阻抗继电器具备较好的选相功能。结合按相补偿和快速滤波、快速计算等方法，构成了快速距离Ⅰ段。</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kern w:val="0"/>
                <w:szCs w:val="21"/>
                <w:lang w:bidi="ar"/>
              </w:rPr>
              <w:t>6）为解决</w:t>
            </w:r>
            <w:r>
              <w:rPr>
                <w:rFonts w:hint="eastAsia" w:ascii="仿宋" w:hAnsi="仿宋" w:eastAsia="仿宋" w:cs="仿宋"/>
                <w:color w:val="auto"/>
              </w:rPr>
              <w:t>中长线路躲负荷阻抗和灵敏度要求之间的矛盾，距离保护采取了防止线路过负荷导致保护误动的措施。</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7）光纤通信采用32位CRC校验，具有超强的抗误码能力。</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8）具有电容电流精确补偿功能。</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9）具有CT断线闭锁、CT饱和检测及CT变比补偿功能。</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rPr>
              <w:t>10）具有光纤通道监视功能，实</w:t>
            </w:r>
            <w:r>
              <w:rPr>
                <w:rFonts w:hint="eastAsia" w:ascii="仿宋" w:hAnsi="仿宋" w:eastAsia="仿宋" w:cs="仿宋"/>
                <w:color w:val="auto"/>
                <w:kern w:val="0"/>
                <w:szCs w:val="21"/>
                <w:lang w:bidi="ar"/>
              </w:rPr>
              <w:t>时记录并累计丢帧数、误码情况，通道严重故障时告警。实时记录电容电流、通道延时、两侧电流向量等通道状态数据；</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kern w:val="0"/>
                <w:szCs w:val="21"/>
                <w:lang w:bidi="ar"/>
              </w:rPr>
              <w:t>装置可以实现单相重合闸、三相重合闸、禁止重合闸和停用重合闸四种重合闸方式。</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15</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合并单元（高压线路）</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1、一台合并单元可以完成24路常规PT/CT模拟量采集，其中包括两组三相保护电流，一组三相测量电流，一组三相保护电压，一组三相测量电压，一路零序电压；同时也可以通过扩展FT3或者IEC61850-9-2协议接收母线电压；</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2、装置采用浮点高性能DSP，实现大容量、高精度的信息处理。同时使用了高性能大容量工业级大规模现场可编程门阵列FPGA、高集成收发器件及快速以太网技术，具有高速、可靠特点；</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3、装置采用高分辨率的 16位并行 A/D转换器，每个交流通道采用双 A/D采样，每周波 80 点高速采样；</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4、装置采用符合IEC60297-3标准的高度为4U、宽度分为19英寸与19/2英寸的铝合金机箱，整体面板，带有锁紧的插拔式功能组件。插件均为后插拔方式，装置的安装方式为整体嵌入式水平安装，后接线方式。</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16</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智能终端（高压线路）</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出口继电器接点容量：长期通过6A；允许断开DC220V，τ=5ms，50W；</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szCs w:val="21"/>
              </w:rPr>
              <w:t>机箱高度为4U，分为19/2英寸机箱和19英寸机箱；</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智能终端能够完成所在间隔的信息采集、控制以及部分保护功能，包括断路器、隔离刀闸、接地刀闸的监视和控制。</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1、装置显示： </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本装置采用基于PC的以太网外接显示软件作为调试手段，同时装置面板具备LED指示灯。 </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2：遥信： </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每组开入可以定义成多种输入类型，如状态输入（重要信号可双位置输入）、告警输入、事件顺序记录（SOE）、主变分接头输入等。</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3、保护跳合闸： </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可接收保护装置下发的跳闸、重合闸命令，完成保护跳合闸。 </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4、控制命令： </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接收测控装置转发的主站遥控命令，完成对断路器及其相关刀闸的控制。</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5、温度采集： </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本装置可采集多种直流量，如DC0V～5V、DC4mA～20mA等，还能完成主变温度的采集上送。</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17</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过程层交换机（高压线路、主变压器、母线）</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16光口工业A级以太网交换机</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1、交换机采用背面接线方式，电源和通讯端口均位于装置背面，电源及告警状态指示灯位于装置前面，装置前后均提供端口状态指示灯；</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2、专为电力行业设计，符合IEC 61850标准，符合电力行业应用场景；</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3、出色的抗电磁干扰能力和高低温适应性，能够在恶劣环境下长期稳定运行；</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4、内部模块化设计，1～16口为百兆SFP光口，G1~G4口为千兆SFP光口，为用户提供灵活的组网方式，MMS-A、MMS-B为运维口，用于实时监控和管理；</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5、支持对非法数据报文的过滤功能，如CRC校验错误、FCS帧校验错误、超短帧、超长帧、MAC源地址（过滤源地址为广播地址或者多播地址的MAC地址）；</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6、支持SNMP网络管理能力；</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7、支持DL/T 860的网络关联服务、数据读写服务、报告服务、文件服务，采用MMS通信机制；</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8、支持基于端口的单播源MAC绑定功能；</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9、支持广播风暴抑制、组播风暴抑制和未知单播风暴抑制功能；</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10、支持组播流量控制功能，根据组播MAC地址自动识别不同的组播组并按设定的阈值进行流量控制；</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11、IP40等级防护，强抗干扰设计，高可靠性。</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3</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18</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屏柜及附件（智能站高压线路）</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国网标准柜体2260*800*600mm</w:t>
            </w:r>
          </w:p>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菲尼克斯端子排、ABB空开、弹簧插拔式压板</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面</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19</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母线保护装置（智能变电站）</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textAlignment w:val="center"/>
              <w:rPr>
                <w:rFonts w:hint="eastAsia" w:ascii="仿宋" w:hAnsi="仿宋" w:eastAsia="仿宋" w:cs="仿宋"/>
                <w:color w:val="auto"/>
                <w:szCs w:val="21"/>
              </w:rPr>
            </w:pPr>
            <w:r>
              <w:rPr>
                <w:rFonts w:hint="eastAsia" w:ascii="仿宋" w:hAnsi="仿宋" w:eastAsia="仿宋" w:cs="仿宋"/>
                <w:color w:val="auto"/>
                <w:szCs w:val="21"/>
              </w:rPr>
              <w:t>1、过载能力：</w:t>
            </w:r>
          </w:p>
          <w:p>
            <w:pPr>
              <w:widowControl/>
              <w:spacing w:line="0" w:lineRule="atLeast"/>
              <w:textAlignment w:val="center"/>
              <w:rPr>
                <w:rFonts w:hint="eastAsia" w:ascii="仿宋" w:hAnsi="仿宋" w:eastAsia="仿宋" w:cs="仿宋"/>
                <w:color w:val="auto"/>
                <w:szCs w:val="21"/>
              </w:rPr>
            </w:pPr>
            <w:r>
              <w:rPr>
                <w:rFonts w:hint="eastAsia" w:ascii="仿宋" w:hAnsi="仿宋" w:eastAsia="仿宋" w:cs="仿宋"/>
                <w:color w:val="auto"/>
                <w:szCs w:val="21"/>
              </w:rPr>
              <w:t>1）交流电压回路过载能力：连续工作(1.2UN)；10s(1.4UN)</w:t>
            </w:r>
          </w:p>
          <w:p>
            <w:pPr>
              <w:widowControl/>
              <w:spacing w:line="0" w:lineRule="atLeast"/>
              <w:textAlignment w:val="center"/>
              <w:rPr>
                <w:rFonts w:hint="eastAsia" w:ascii="仿宋" w:hAnsi="仿宋" w:eastAsia="仿宋" w:cs="仿宋"/>
                <w:color w:val="auto"/>
                <w:szCs w:val="21"/>
              </w:rPr>
            </w:pPr>
            <w:r>
              <w:rPr>
                <w:rFonts w:hint="eastAsia" w:ascii="仿宋" w:hAnsi="仿宋" w:eastAsia="仿宋" w:cs="仿宋"/>
                <w:color w:val="auto"/>
                <w:szCs w:val="21"/>
              </w:rPr>
              <w:t>2）交流电流回路过载能力：连续工作(2IN)；10s(10IN)；1s(40IN)；2、差动保护整组动作时间小于20ms（动作条件：典型金属性故障，大于2倍的动作电流，并有电压突变）；</w:t>
            </w:r>
          </w:p>
          <w:p>
            <w:pPr>
              <w:widowControl/>
              <w:spacing w:line="0" w:lineRule="atLeast"/>
              <w:textAlignment w:val="center"/>
              <w:rPr>
                <w:rFonts w:hint="eastAsia" w:ascii="仿宋" w:hAnsi="仿宋" w:eastAsia="仿宋" w:cs="仿宋"/>
                <w:color w:val="auto"/>
                <w:szCs w:val="21"/>
              </w:rPr>
            </w:pPr>
            <w:r>
              <w:rPr>
                <w:rFonts w:hint="eastAsia" w:ascii="仿宋" w:hAnsi="仿宋" w:eastAsia="仿宋" w:cs="仿宋"/>
                <w:color w:val="auto"/>
                <w:szCs w:val="21"/>
              </w:rPr>
              <w:t>3、装置内部的功能组件具有锁紧机构，主机和从机采用后插拔方式，模拟盘采用前插拔方式；</w:t>
            </w:r>
          </w:p>
          <w:p>
            <w:pPr>
              <w:widowControl/>
              <w:spacing w:line="0" w:lineRule="atLeast"/>
              <w:textAlignment w:val="center"/>
              <w:rPr>
                <w:rFonts w:hint="eastAsia" w:ascii="仿宋" w:hAnsi="仿宋" w:eastAsia="仿宋" w:cs="仿宋"/>
                <w:color w:val="auto"/>
                <w:szCs w:val="21"/>
              </w:rPr>
            </w:pPr>
            <w:r>
              <w:rPr>
                <w:rFonts w:hint="eastAsia" w:ascii="仿宋" w:hAnsi="仿宋" w:eastAsia="仿宋" w:cs="仿宋"/>
                <w:color w:val="auto"/>
                <w:szCs w:val="21"/>
              </w:rPr>
              <w:t>4、装置包括一个4U的主机箱、一个4U从机箱和一个4U模拟盘机箱。主机箱共配置14个插件，包括3块交流插件、CPU1插件、CPU2插件、开入插件1、管理板、开出插件1、开出插件2、开出插件3、开出插件4、开出插件5、 1块电源插件、1块CAN网通信插件。从机箱共配置7个插件，包括4块交流插件、两块采样插件、1个电源插件。4U模拟盘机箱是隔离刀闸辅助触点和启动失灵开入的接入装置，共配置10个插件和1个CAN网接口，插件包括开入连接板1、开入插件2、开入插件3、开入插件4、开入插件5、开入插件6、开入插件7、开入连接板2、开出插件6及一个电源插件；此外对于双母线和双母单分段系统模拟盘机箱还配置了模拟盘显示功能，除直观显示主接线型式外，还提供强分/强合控制开关供用户强行干预不对应的隔离刀闸辅助触点状态。交流插件、开出插件、开入插件和电源插件为“直通式”，即插件连接器直接与机箱端子相连，增加了接线的可靠性；</w:t>
            </w:r>
          </w:p>
          <w:p>
            <w:pPr>
              <w:jc w:val="left"/>
              <w:rPr>
                <w:rFonts w:hint="eastAsia" w:ascii="仿宋" w:hAnsi="仿宋" w:eastAsia="仿宋" w:cs="仿宋"/>
                <w:color w:val="auto"/>
                <w:szCs w:val="21"/>
              </w:rPr>
            </w:pPr>
            <w:r>
              <w:rPr>
                <w:rFonts w:hint="eastAsia" w:ascii="仿宋" w:hAnsi="仿宋" w:eastAsia="仿宋" w:cs="仿宋"/>
                <w:color w:val="auto"/>
                <w:szCs w:val="21"/>
              </w:rPr>
              <w:t>5、保护CPU软件包括主程序、采样中断程序和故障处理中断程序。主程序完成装置的硬件自检、投切压板、固化定值、上送报告等功能。每隔一个采样间隔时间执行一次采样中断程序，进行电气量的采集、录波、突变量启动判别等。故障处理中断也是每隔固定时间执行一次，完成保护功能的逻辑和PT、CT异常判别等，如果有异常，则发出相应的告警信号和报文。对于危及保护安全性和可靠性的严重告警，发出信号的同时闭锁保护出口，对于普通告警，发出信号提示运行人员注意检查处理。发生故障时，在故障处理中断中完成故障判别、出口跳闸等功能。</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20</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合并单元（母线）</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1、一台合并单元可以完成24路常规PT/CT模拟量采集，其中包括12路电压，2路零序电压；</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 2、装置采用浮点高性能DSP，实现大容量、高精度的信息处理。同时使用了高性能大容量工业级大规模现场可编程门阵列FPGA、高集成收发器件及快速以太网技术，具有高速、可靠特点；</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3、装置采用高分辨率的 16位并行 A/D转换器，每个交流通道采用双 A/D采样，每周波 80 点高速采样；</w:t>
            </w:r>
          </w:p>
          <w:p>
            <w:pPr>
              <w:rPr>
                <w:rFonts w:hint="eastAsia" w:ascii="仿宋" w:hAnsi="仿宋" w:eastAsia="仿宋" w:cs="仿宋"/>
                <w:color w:val="auto"/>
              </w:rPr>
            </w:pPr>
            <w:r>
              <w:rPr>
                <w:rFonts w:hint="eastAsia" w:ascii="仿宋" w:hAnsi="仿宋" w:eastAsia="仿宋" w:cs="仿宋"/>
                <w:color w:val="auto"/>
              </w:rPr>
              <w:t>4、装置采用符合IEC60297-3标准的高度为4U、宽度分为19英寸与19/2英寸的铝合金机箱，整体面板，带有锁紧的插拔式功能组件。插件均为后插拔方式，装置的安装方式为整体嵌入式水平安装，后接线方式。</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21</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智能终端（母线）</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出口继电器接点容量：长期通过6A；允许断开DC220V，τ=5ms，50W；</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szCs w:val="21"/>
              </w:rPr>
              <w:t>机箱高度为4U，分为19/2英寸机箱和19英寸机箱；</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智能终端能够完成所在间隔的信息采集、控制以及部分保护功能，包括断路器、隔离刀闸、接地刀闸的监视和控制。</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1、装置显示： </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本装置采用基于PC的以太网外接显示软件作为调试手段，同时装置面板具备LED指示灯。 </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2：遥信： </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每组开入可以定义成多种输入类型，如状态输入（重要信号可双位置输入）、告警输入、事件顺序记录（SOE）、主变分接头输入等。</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3、保护跳合闸： </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可接收保护装置下发的跳闸、重合闸命令，完成保护跳合闸。 </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4、控制命令： </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接收测控装置转发的主站遥控命令，完成对断路器及其相关刀闸的控制。</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5、温度采集： </w:t>
            </w:r>
          </w:p>
          <w:p>
            <w:pPr>
              <w:rPr>
                <w:rFonts w:hint="eastAsia" w:ascii="仿宋" w:hAnsi="仿宋" w:eastAsia="仿宋" w:cs="仿宋"/>
                <w:color w:val="auto"/>
              </w:rPr>
            </w:pPr>
            <w:r>
              <w:rPr>
                <w:rFonts w:hint="eastAsia" w:ascii="仿宋" w:hAnsi="仿宋" w:eastAsia="仿宋" w:cs="仿宋"/>
                <w:color w:val="auto"/>
              </w:rPr>
              <w:t>本装置可采集多种直流量，如DC0V～5V、DC4mA～20mA等，还能完成主变温度的采集上送。</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22</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屏柜及附件（智能变电站母线保护）</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国网标准柜体2260*800*600mm</w:t>
            </w:r>
          </w:p>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菲尼克斯端子排、ABB空开、弹簧插拔式压板</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面</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23</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变压器保护装置（智能变电站）</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过载能力：</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1）交流电流回路：在2倍额定电流下连续工作，40倍额定电流下允许1s。</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2）交流电压回路：在1.4倍额定电压下连续工作，2倍额定电压下允许10s；</w:t>
            </w:r>
          </w:p>
          <w:p>
            <w:pPr>
              <w:widowControl/>
              <w:spacing w:line="0" w:lineRule="atLeas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差动动作时间：</w:t>
            </w:r>
          </w:p>
          <w:p>
            <w:pPr>
              <w:widowControl/>
              <w:spacing w:line="0" w:lineRule="atLeas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差动速断保护的固有动作时间为1.5倍整定值时，不大于20ms；</w:t>
            </w:r>
          </w:p>
          <w:p>
            <w:pPr>
              <w:widowControl/>
              <w:spacing w:line="0" w:lineRule="atLeas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比率差动保护的固有动作时间为2倍整定值时，不大于30ms；</w:t>
            </w:r>
          </w:p>
          <w:p>
            <w:pPr>
              <w:widowControl/>
              <w:spacing w:line="0" w:lineRule="atLeas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高性能、高可靠、大资源的硬件系统 ：</w:t>
            </w:r>
          </w:p>
          <w:p>
            <w:pPr>
              <w:widowControl/>
              <w:spacing w:line="0" w:lineRule="atLeas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采用DSP和MCU合一的32位单片机，程序完全在片内运行，保持了总线不出芯片的优点，保护CPU经过了多年运行考验，性能好、可靠性高。</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 xml:space="preserve">大容量的故障录波，全过程分段记录故障。可以保存不少于24次录波，打印时可以选择数据或图形方式。完整的事件记录，可保存动作报告、告警报告、启动报告和操作记录均不少于2000条，停电不丢失。 </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采用硬件完全相同的双CPU插件冗余设计，实现了数据采集、数据处理及逻辑运算等硬件模块的全方位冗余设计，极大的提高了现场装置的安全运行水平。</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装置的保护功能与人机界面、通信功能完全分开，提高了装置的可靠性，并使装置更便于调试、维护和使用。</w:t>
            </w:r>
          </w:p>
          <w:p>
            <w:pPr>
              <w:widowControl/>
              <w:spacing w:line="0" w:lineRule="atLeast"/>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装置高性能的硬件系统，多层印制板、SMT表面贴装和涂敷工艺，加上完善的软件抗干扰措施，使得装置的整体抗干扰能力通过了IEC61000-4标准中相关EMC的10项抗扰度最高等级要求；</w:t>
            </w:r>
          </w:p>
          <w:p>
            <w:pPr>
              <w:widowControl/>
              <w:spacing w:line="0" w:lineRule="atLeas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模块化软件：</w:t>
            </w:r>
          </w:p>
          <w:p>
            <w:pPr>
              <w:jc w:val="left"/>
              <w:rPr>
                <w:rFonts w:hint="eastAsia" w:ascii="仿宋" w:hAnsi="仿宋" w:eastAsia="仿宋" w:cs="仿宋"/>
                <w:color w:val="auto"/>
                <w:szCs w:val="21"/>
              </w:rPr>
            </w:pPr>
            <w:r>
              <w:rPr>
                <w:rFonts w:hint="eastAsia" w:ascii="仿宋" w:hAnsi="仿宋" w:eastAsia="仿宋" w:cs="仿宋"/>
                <w:color w:val="auto"/>
                <w:kern w:val="0"/>
                <w:szCs w:val="21"/>
                <w:lang w:bidi="ar"/>
              </w:rPr>
              <w:t>模块化的程序使保护功能配置灵活，可满足不同用户的要求。</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24</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高压侧合并单元（变压器）</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1、一台合并单元可以完成24路常规PT/CT模拟量采集，其中包括两组三相保护电流，一组三相测量电流，一组三相保护电压，一组三相测量电压，一路零序电压；同时也可以通过扩展FT3或者IEC61850-9-2协议接收母线电压；</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2、装置采用浮点高性能DSP，实现大容量、高精度的信息处理。同时使用了高性能大容量工业级大规模现场可编程门阵列FPGA、高集成收发器件及快速以太网技术，具有高速、可靠特点；</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3、装置采用高分辨率的 16位并行 A/D转换器，每个交流通道采用双 A/D采样，每周波 80 点高速采样；</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4、装置采用符合IEC60297-3标准的高度为4U、宽度分为19英寸与19/2英寸的铝合金机箱，整体面板，带有锁紧的插拔式功能组件。插件均为后插拔方式，装置的安装方式为整体嵌入式水平安装，后接线方式。</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25</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高压侧智能终端（变压器）</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出口继电器接点容量：长期通过6A；允许断开DC220V，τ=5ms，50W；</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szCs w:val="21"/>
              </w:rPr>
              <w:t>机箱高度为4U，分为19/2英寸机箱和19英寸机箱；</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智能终端能够完成所在间隔的信息采集、控制以及部分保护功能，包括断路器、隔离刀闸、接地刀闸的监视和控制。</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1、装置显示： </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本装置采用基于PC的以太网外接显示软件作为调试手段，同时装置面板具备LED指示灯。 </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2：遥信： </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每组开入可以定义成多种输入类型，如状态输入（重要信号可双位置输入）、告警输入、事件顺序记录（SOE）、主变分接头输入等。</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3、保护跳合闸： </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可接收保护装置下发的跳闸、重合闸命令，完成保护跳合闸。 </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4、控制命令： </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接收测控装置转发的主站遥控命令，完成对断路器及其相关刀闸的控制。</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 xml:space="preserve">5、温度采集： </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本装置可采集多种直流量，如DC0V～5V、DC4mA～20mA等，还能完成主变温度的采集上送。</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26</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低压侧合智一体装置（变压器）</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可配置两块交流插件，最多24路常规互感器通道。每个互感器通道均为双A/D采样；</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1、装置采用浮点型高性能多DSP，实现了大容量、高精度的快速、实时信息处理；采用了高性能大容量工业级FPGA、高集成收发器件及快速以太网技术，具有高速、可靠等特点。装置高性能的硬件系统，多层印制板、SMT表面贴装和涂敷工艺，加上完善的软件抗干扰措施，使得装置的整体抗干扰能力通过了IEC61000标准中EMC相关的11项抗扰度最高等级试验。</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2、采用高分辨率的 16位并行 A/D转换器，每个交流通道采用双 A/D采样，每周波 80 点高速采样；</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3、合并单元模块可以接收常规互感器的输入，用于线路、变压器间隔等处，满足用户的不同需要；</w:t>
            </w:r>
          </w:p>
          <w:p>
            <w:pPr>
              <w:widowControl/>
              <w:spacing w:line="0" w:lineRule="atLeast"/>
              <w:jc w:val="left"/>
              <w:textAlignment w:val="center"/>
              <w:rPr>
                <w:rFonts w:hint="eastAsia" w:ascii="仿宋" w:hAnsi="仿宋" w:eastAsia="仿宋" w:cs="仿宋"/>
                <w:color w:val="auto"/>
              </w:rPr>
            </w:pPr>
            <w:r>
              <w:rPr>
                <w:rFonts w:hint="eastAsia" w:ascii="仿宋" w:hAnsi="仿宋" w:eastAsia="仿宋" w:cs="仿宋"/>
                <w:color w:val="auto"/>
              </w:rPr>
              <w:t>4、智能终端模块能够完成所在间隔的信息采集、控制以及部分保护功能，包括断路器、隔离刀闸、接地刀闸的监视和控制，实现对一次设备的测量和控制。</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27</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屏柜及附件（智能站变压器保护）</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国网标准柜体2260*800*600mm</w:t>
            </w:r>
          </w:p>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菲尼克斯端子排、ABB空开、弹簧插拔式压板</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面</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28</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线路测控装置</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hint="eastAsia" w:ascii="仿宋" w:hAnsi="仿宋" w:eastAsia="仿宋" w:cs="仿宋"/>
                <w:color w:val="auto"/>
              </w:rPr>
            </w:pPr>
            <w:r>
              <w:rPr>
                <w:rFonts w:hint="eastAsia" w:ascii="仿宋" w:hAnsi="仿宋" w:eastAsia="仿宋" w:cs="仿宋"/>
                <w:color w:val="auto"/>
              </w:rPr>
              <w:t>1、本装置的一大特点就是可灵活配置，它能满足用户的不同需求。</w:t>
            </w:r>
          </w:p>
          <w:p>
            <w:pPr>
              <w:rPr>
                <w:rFonts w:hint="eastAsia" w:ascii="仿宋" w:hAnsi="仿宋" w:eastAsia="仿宋" w:cs="仿宋"/>
                <w:color w:val="auto"/>
              </w:rPr>
            </w:pPr>
            <w:r>
              <w:rPr>
                <w:rFonts w:hint="eastAsia" w:ascii="仿宋" w:hAnsi="仿宋" w:eastAsia="仿宋" w:cs="仿宋"/>
                <w:color w:val="auto"/>
              </w:rPr>
              <w:t>装置内部各插件做成模块化，相互之间靠内部总线连接，可根据实际工程需要简单地进行积木式插接。装置软件功能也可灵活配置，用户在PC机上运行“测控装置管理软件”，根据梯形图生成PLC逻辑图下传给装置，即可完成间隔五防、同期及其他用户自定的逻辑功能；</w:t>
            </w:r>
          </w:p>
          <w:p>
            <w:pPr>
              <w:rPr>
                <w:rFonts w:hint="eastAsia" w:ascii="仿宋" w:hAnsi="仿宋" w:eastAsia="仿宋" w:cs="仿宋"/>
                <w:color w:val="auto"/>
              </w:rPr>
            </w:pPr>
            <w:r>
              <w:rPr>
                <w:rFonts w:hint="eastAsia" w:ascii="仿宋" w:hAnsi="仿宋" w:eastAsia="仿宋" w:cs="仿宋"/>
                <w:color w:val="auto"/>
              </w:rPr>
              <w:t>2、本装置可对外提供电/光以太网或LonWorks网；</w:t>
            </w:r>
          </w:p>
          <w:p>
            <w:pPr>
              <w:rPr>
                <w:rFonts w:hint="eastAsia" w:ascii="仿宋" w:hAnsi="仿宋" w:eastAsia="仿宋" w:cs="仿宋"/>
                <w:color w:val="auto"/>
              </w:rPr>
            </w:pPr>
            <w:r>
              <w:rPr>
                <w:rFonts w:hint="eastAsia" w:ascii="仿宋" w:hAnsi="仿宋" w:eastAsia="仿宋" w:cs="仿宋"/>
                <w:color w:val="auto"/>
              </w:rPr>
              <w:t>3、装置面板上配有就地紧急操作按键，紧急情况下高级用户可直接进入就地状态，对主接线图上对应的断路器、刀闸等直接进行分合操作；</w:t>
            </w:r>
          </w:p>
          <w:p>
            <w:pPr>
              <w:rPr>
                <w:rFonts w:hint="eastAsia" w:ascii="仿宋" w:hAnsi="仿宋" w:eastAsia="仿宋" w:cs="仿宋"/>
                <w:color w:val="auto"/>
              </w:rPr>
            </w:pPr>
            <w:r>
              <w:rPr>
                <w:rFonts w:hint="eastAsia" w:ascii="仿宋" w:hAnsi="仿宋" w:eastAsia="仿宋" w:cs="仿宋"/>
                <w:color w:val="auto"/>
              </w:rPr>
              <w:t>4、站内通信网为以太网结构时，可与本间隔内公司其它综自装置联网，完成主站下行遥控命令及综自装置上传信息的转发工作；</w:t>
            </w:r>
          </w:p>
          <w:p>
            <w:pPr>
              <w:rPr>
                <w:rFonts w:hint="eastAsia" w:ascii="仿宋" w:hAnsi="仿宋" w:eastAsia="仿宋" w:cs="仿宋"/>
                <w:color w:val="auto"/>
              </w:rPr>
            </w:pPr>
            <w:r>
              <w:rPr>
                <w:rFonts w:hint="eastAsia" w:ascii="仿宋" w:hAnsi="仿宋" w:eastAsia="仿宋" w:cs="仿宋"/>
                <w:color w:val="auto"/>
              </w:rPr>
              <w:t>5、装置配有大容量FLASH芯片，可保存相关操作及事故、SOE记录、告警记录，掉电数据不丢失，便于事故原因分析；</w:t>
            </w:r>
          </w:p>
          <w:p>
            <w:pPr>
              <w:rPr>
                <w:rFonts w:hint="eastAsia" w:ascii="仿宋" w:hAnsi="仿宋" w:eastAsia="仿宋" w:cs="仿宋"/>
                <w:color w:val="auto"/>
              </w:rPr>
            </w:pPr>
            <w:r>
              <w:rPr>
                <w:rFonts w:hint="eastAsia" w:ascii="仿宋" w:hAnsi="仿宋" w:eastAsia="仿宋" w:cs="仿宋"/>
                <w:color w:val="auto"/>
              </w:rPr>
              <w:t>6、结构特点：</w:t>
            </w:r>
          </w:p>
          <w:p>
            <w:pPr>
              <w:rPr>
                <w:rFonts w:hint="eastAsia" w:ascii="仿宋" w:hAnsi="仿宋" w:eastAsia="仿宋" w:cs="仿宋"/>
                <w:color w:val="auto"/>
              </w:rPr>
            </w:pPr>
            <w:r>
              <w:rPr>
                <w:rFonts w:hint="eastAsia" w:ascii="仿宋" w:hAnsi="仿宋" w:eastAsia="仿宋" w:cs="仿宋"/>
                <w:color w:val="auto"/>
              </w:rPr>
              <w:t>内部插件设计为前插拔方式，现场调试、故障维修极其方便。</w:t>
            </w:r>
          </w:p>
          <w:p>
            <w:pPr>
              <w:rPr>
                <w:rFonts w:hint="eastAsia" w:ascii="仿宋" w:hAnsi="仿宋" w:eastAsia="仿宋" w:cs="仿宋"/>
                <w:color w:val="auto"/>
              </w:rPr>
            </w:pPr>
            <w:r>
              <w:rPr>
                <w:rFonts w:hint="eastAsia" w:ascii="仿宋" w:hAnsi="仿宋" w:eastAsia="仿宋" w:cs="仿宋"/>
                <w:color w:val="auto"/>
              </w:rPr>
              <w:t>强弱电端子分开，同样具备背插拔方式的优点。</w:t>
            </w:r>
          </w:p>
          <w:p>
            <w:pPr>
              <w:rPr>
                <w:rFonts w:hint="eastAsia" w:ascii="仿宋" w:hAnsi="仿宋" w:eastAsia="仿宋" w:cs="仿宋"/>
                <w:color w:val="auto"/>
                <w:szCs w:val="21"/>
              </w:rPr>
            </w:pPr>
            <w:r>
              <w:rPr>
                <w:rFonts w:hint="eastAsia" w:ascii="仿宋" w:hAnsi="仿宋" w:eastAsia="仿宋" w:cs="仿宋"/>
                <w:color w:val="auto"/>
              </w:rPr>
              <w:t>装置接线方式为后接线方式，通过32针端子引出，直接接屏端子，取消了横梁端子，减少了中间环节，提高了可靠性。</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29</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母线测控装置</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auto"/>
              </w:rPr>
            </w:pPr>
            <w:r>
              <w:rPr>
                <w:rFonts w:hint="eastAsia" w:ascii="仿宋" w:hAnsi="仿宋" w:eastAsia="仿宋" w:cs="仿宋"/>
                <w:color w:val="auto"/>
              </w:rPr>
              <w:t>1、本装置的一大特点就是可灵活配置，它能满足用户的不同需求。</w:t>
            </w:r>
          </w:p>
          <w:p>
            <w:pPr>
              <w:rPr>
                <w:rFonts w:hint="eastAsia" w:ascii="仿宋" w:hAnsi="仿宋" w:eastAsia="仿宋" w:cs="仿宋"/>
                <w:color w:val="auto"/>
              </w:rPr>
            </w:pPr>
            <w:r>
              <w:rPr>
                <w:rFonts w:hint="eastAsia" w:ascii="仿宋" w:hAnsi="仿宋" w:eastAsia="仿宋" w:cs="仿宋"/>
                <w:color w:val="auto"/>
              </w:rPr>
              <w:t>装置内部各插件做成模块化，相互之间靠内部总线连接，可根据实际工程需要简单地进行积木式插接。装置软件功能也可灵活配置，用户在PC机上运行“测控装置管理软件”，根据梯形图生成PLC逻辑图下传给装置，即可完成间隔五防、同期及其他用户自定的逻辑功能；</w:t>
            </w:r>
          </w:p>
          <w:p>
            <w:pPr>
              <w:rPr>
                <w:rFonts w:hint="eastAsia" w:ascii="仿宋" w:hAnsi="仿宋" w:eastAsia="仿宋" w:cs="仿宋"/>
                <w:color w:val="auto"/>
              </w:rPr>
            </w:pPr>
            <w:r>
              <w:rPr>
                <w:rFonts w:hint="eastAsia" w:ascii="仿宋" w:hAnsi="仿宋" w:eastAsia="仿宋" w:cs="仿宋"/>
                <w:color w:val="auto"/>
              </w:rPr>
              <w:t>2、本装置可对外提供电/光以太网或LonWorks网；</w:t>
            </w:r>
          </w:p>
          <w:p>
            <w:pPr>
              <w:rPr>
                <w:rFonts w:hint="eastAsia" w:ascii="仿宋" w:hAnsi="仿宋" w:eastAsia="仿宋" w:cs="仿宋"/>
                <w:color w:val="auto"/>
              </w:rPr>
            </w:pPr>
            <w:r>
              <w:rPr>
                <w:rFonts w:hint="eastAsia" w:ascii="仿宋" w:hAnsi="仿宋" w:eastAsia="仿宋" w:cs="仿宋"/>
                <w:color w:val="auto"/>
              </w:rPr>
              <w:t>3、装置面板上配有就地紧急操作按键，紧急情况下高级用户可直接进入就地状态，对主接线图上对应的断路器、刀闸等直接进行分合操作；</w:t>
            </w:r>
          </w:p>
          <w:p>
            <w:pPr>
              <w:rPr>
                <w:rFonts w:hint="eastAsia" w:ascii="仿宋" w:hAnsi="仿宋" w:eastAsia="仿宋" w:cs="仿宋"/>
                <w:color w:val="auto"/>
              </w:rPr>
            </w:pPr>
            <w:r>
              <w:rPr>
                <w:rFonts w:hint="eastAsia" w:ascii="仿宋" w:hAnsi="仿宋" w:eastAsia="仿宋" w:cs="仿宋"/>
                <w:color w:val="auto"/>
              </w:rPr>
              <w:t>4、站内通信网为以太网结构时，可与本间隔内公司其它综自装置联网，完成主站下行遥控命令及综自装置上传信息的转发工作；</w:t>
            </w:r>
          </w:p>
          <w:p>
            <w:pPr>
              <w:rPr>
                <w:rFonts w:hint="eastAsia" w:ascii="仿宋" w:hAnsi="仿宋" w:eastAsia="仿宋" w:cs="仿宋"/>
                <w:color w:val="auto"/>
              </w:rPr>
            </w:pPr>
            <w:r>
              <w:rPr>
                <w:rFonts w:hint="eastAsia" w:ascii="仿宋" w:hAnsi="仿宋" w:eastAsia="仿宋" w:cs="仿宋"/>
                <w:color w:val="auto"/>
              </w:rPr>
              <w:t>5、装置配有大容量FLASH芯片，可保存相关操作及事故、SOE记录、告警记录，掉电数据不丢失，便于事故原因分析；</w:t>
            </w:r>
          </w:p>
          <w:p>
            <w:pPr>
              <w:rPr>
                <w:rFonts w:hint="eastAsia" w:ascii="仿宋" w:hAnsi="仿宋" w:eastAsia="仿宋" w:cs="仿宋"/>
                <w:color w:val="auto"/>
              </w:rPr>
            </w:pPr>
            <w:r>
              <w:rPr>
                <w:rFonts w:hint="eastAsia" w:ascii="仿宋" w:hAnsi="仿宋" w:eastAsia="仿宋" w:cs="仿宋"/>
                <w:color w:val="auto"/>
              </w:rPr>
              <w:t>6、结构特点：</w:t>
            </w:r>
          </w:p>
          <w:p>
            <w:pPr>
              <w:rPr>
                <w:rFonts w:hint="eastAsia" w:ascii="仿宋" w:hAnsi="仿宋" w:eastAsia="仿宋" w:cs="仿宋"/>
                <w:color w:val="auto"/>
              </w:rPr>
            </w:pPr>
            <w:r>
              <w:rPr>
                <w:rFonts w:hint="eastAsia" w:ascii="仿宋" w:hAnsi="仿宋" w:eastAsia="仿宋" w:cs="仿宋"/>
                <w:color w:val="auto"/>
              </w:rPr>
              <w:t>内部插件设计为前插拔方式，现场调试、故障维修极其方便。</w:t>
            </w:r>
          </w:p>
          <w:p>
            <w:pPr>
              <w:rPr>
                <w:rFonts w:hint="eastAsia" w:ascii="仿宋" w:hAnsi="仿宋" w:eastAsia="仿宋" w:cs="仿宋"/>
                <w:color w:val="auto"/>
              </w:rPr>
            </w:pPr>
            <w:r>
              <w:rPr>
                <w:rFonts w:hint="eastAsia" w:ascii="仿宋" w:hAnsi="仿宋" w:eastAsia="仿宋" w:cs="仿宋"/>
                <w:color w:val="auto"/>
              </w:rPr>
              <w:t>强弱电端子分开，同样具备背插拔方式的优点。</w:t>
            </w:r>
          </w:p>
          <w:p>
            <w:pPr>
              <w:rPr>
                <w:rFonts w:hint="eastAsia" w:ascii="仿宋" w:hAnsi="仿宋" w:eastAsia="仿宋" w:cs="仿宋"/>
                <w:color w:val="auto"/>
              </w:rPr>
            </w:pPr>
            <w:r>
              <w:rPr>
                <w:rFonts w:hint="eastAsia" w:ascii="仿宋" w:hAnsi="仿宋" w:eastAsia="仿宋" w:cs="仿宋"/>
                <w:color w:val="auto"/>
              </w:rPr>
              <w:t>装置接线方式为后接线方式，通过32针端子引出，直接接屏端子，取消了横梁端子，减少了中间环节，提高了可靠性。</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30</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屏柜及附件（线路母线测控装置屏）</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国网标准柜体2260*800*600mm</w:t>
            </w:r>
          </w:p>
          <w:p>
            <w:pPr>
              <w:widowControl/>
              <w:spacing w:line="0" w:lineRule="atLeast"/>
              <w:textAlignment w:val="center"/>
              <w:rPr>
                <w:rFonts w:hint="eastAsia" w:ascii="仿宋" w:hAnsi="仿宋" w:eastAsia="仿宋" w:cs="仿宋"/>
                <w:color w:val="auto"/>
                <w:szCs w:val="21"/>
              </w:rPr>
            </w:pPr>
            <w:r>
              <w:rPr>
                <w:rFonts w:hint="eastAsia" w:ascii="仿宋" w:hAnsi="仿宋" w:eastAsia="仿宋" w:cs="仿宋"/>
                <w:color w:val="auto"/>
                <w:szCs w:val="21"/>
              </w:rPr>
              <w:t>菲尼克斯端子排、ABB空开、弹簧插拔式压板</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面</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31</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变压器测控装置</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auto"/>
              </w:rPr>
            </w:pPr>
            <w:r>
              <w:rPr>
                <w:rFonts w:hint="eastAsia" w:ascii="仿宋" w:hAnsi="仿宋" w:eastAsia="仿宋" w:cs="仿宋"/>
                <w:color w:val="auto"/>
              </w:rPr>
              <w:t>1、本装置的一大特点就是可灵活配置，它能满足用户的不同需求。</w:t>
            </w:r>
          </w:p>
          <w:p>
            <w:pPr>
              <w:rPr>
                <w:rFonts w:hint="eastAsia" w:ascii="仿宋" w:hAnsi="仿宋" w:eastAsia="仿宋" w:cs="仿宋"/>
                <w:color w:val="auto"/>
              </w:rPr>
            </w:pPr>
            <w:r>
              <w:rPr>
                <w:rFonts w:hint="eastAsia" w:ascii="仿宋" w:hAnsi="仿宋" w:eastAsia="仿宋" w:cs="仿宋"/>
                <w:color w:val="auto"/>
              </w:rPr>
              <w:t>装置内部各插件做成模块化，相互之间靠内部总线连接，可根据实际工程需要简单地进行积木式插接。装置软件功能也可灵活配置，用户在PC机上运行“测控装置管理软件”，根据梯形图生成PLC逻辑图下传给装置，即可完成间隔五防、同期及其他用户自定的逻辑功能；</w:t>
            </w:r>
          </w:p>
          <w:p>
            <w:pPr>
              <w:rPr>
                <w:rFonts w:hint="eastAsia" w:ascii="仿宋" w:hAnsi="仿宋" w:eastAsia="仿宋" w:cs="仿宋"/>
                <w:color w:val="auto"/>
              </w:rPr>
            </w:pPr>
            <w:r>
              <w:rPr>
                <w:rFonts w:hint="eastAsia" w:ascii="仿宋" w:hAnsi="仿宋" w:eastAsia="仿宋" w:cs="仿宋"/>
                <w:color w:val="auto"/>
              </w:rPr>
              <w:t>2、本装置可对外提供电/光以太网或LonWorks网；</w:t>
            </w:r>
          </w:p>
          <w:p>
            <w:pPr>
              <w:rPr>
                <w:rFonts w:hint="eastAsia" w:ascii="仿宋" w:hAnsi="仿宋" w:eastAsia="仿宋" w:cs="仿宋"/>
                <w:color w:val="auto"/>
              </w:rPr>
            </w:pPr>
            <w:r>
              <w:rPr>
                <w:rFonts w:hint="eastAsia" w:ascii="仿宋" w:hAnsi="仿宋" w:eastAsia="仿宋" w:cs="仿宋"/>
                <w:color w:val="auto"/>
              </w:rPr>
              <w:t>3、装置面板上配有就地紧急操作按键，紧急情况下高级用户可直接进入就地状态，对主接线图上对应的断路器、刀闸等直接进行分合操作；</w:t>
            </w:r>
          </w:p>
          <w:p>
            <w:pPr>
              <w:rPr>
                <w:rFonts w:hint="eastAsia" w:ascii="仿宋" w:hAnsi="仿宋" w:eastAsia="仿宋" w:cs="仿宋"/>
                <w:color w:val="auto"/>
              </w:rPr>
            </w:pPr>
            <w:r>
              <w:rPr>
                <w:rFonts w:hint="eastAsia" w:ascii="仿宋" w:hAnsi="仿宋" w:eastAsia="仿宋" w:cs="仿宋"/>
                <w:color w:val="auto"/>
              </w:rPr>
              <w:t>4、站内通信网为以太网结构时，可与本间隔内公司其它综自装置联网，完成主站下行遥控命令及综自装置上传信息的转发工作；</w:t>
            </w:r>
          </w:p>
          <w:p>
            <w:pPr>
              <w:rPr>
                <w:rFonts w:hint="eastAsia" w:ascii="仿宋" w:hAnsi="仿宋" w:eastAsia="仿宋" w:cs="仿宋"/>
                <w:color w:val="auto"/>
              </w:rPr>
            </w:pPr>
            <w:r>
              <w:rPr>
                <w:rFonts w:hint="eastAsia" w:ascii="仿宋" w:hAnsi="仿宋" w:eastAsia="仿宋" w:cs="仿宋"/>
                <w:color w:val="auto"/>
              </w:rPr>
              <w:t>5、装置配有大容量FLASH芯片，可保存相关操作及事故、SOE记录、告警记录，掉电数据不丢失，便于事故原因分析；</w:t>
            </w:r>
          </w:p>
          <w:p>
            <w:pPr>
              <w:rPr>
                <w:rFonts w:hint="eastAsia" w:ascii="仿宋" w:hAnsi="仿宋" w:eastAsia="仿宋" w:cs="仿宋"/>
                <w:color w:val="auto"/>
              </w:rPr>
            </w:pPr>
            <w:r>
              <w:rPr>
                <w:rFonts w:hint="eastAsia" w:ascii="仿宋" w:hAnsi="仿宋" w:eastAsia="仿宋" w:cs="仿宋"/>
                <w:color w:val="auto"/>
              </w:rPr>
              <w:t>6、结构特点：</w:t>
            </w:r>
          </w:p>
          <w:p>
            <w:pPr>
              <w:rPr>
                <w:rFonts w:hint="eastAsia" w:ascii="仿宋" w:hAnsi="仿宋" w:eastAsia="仿宋" w:cs="仿宋"/>
                <w:color w:val="auto"/>
              </w:rPr>
            </w:pPr>
            <w:r>
              <w:rPr>
                <w:rFonts w:hint="eastAsia" w:ascii="仿宋" w:hAnsi="仿宋" w:eastAsia="仿宋" w:cs="仿宋"/>
                <w:color w:val="auto"/>
              </w:rPr>
              <w:t>内部插件设计为前插拔方式，现场调试、故障维修极其方便。</w:t>
            </w:r>
          </w:p>
          <w:p>
            <w:pPr>
              <w:rPr>
                <w:rFonts w:hint="eastAsia" w:ascii="仿宋" w:hAnsi="仿宋" w:eastAsia="仿宋" w:cs="仿宋"/>
                <w:color w:val="auto"/>
              </w:rPr>
            </w:pPr>
            <w:r>
              <w:rPr>
                <w:rFonts w:hint="eastAsia" w:ascii="仿宋" w:hAnsi="仿宋" w:eastAsia="仿宋" w:cs="仿宋"/>
                <w:color w:val="auto"/>
              </w:rPr>
              <w:t>强弱电端子分开，同样具备背插拔方式的优点。</w:t>
            </w:r>
          </w:p>
          <w:p>
            <w:pPr>
              <w:rPr>
                <w:rFonts w:hint="eastAsia" w:ascii="仿宋" w:hAnsi="仿宋" w:eastAsia="仿宋" w:cs="仿宋"/>
                <w:color w:val="auto"/>
              </w:rPr>
            </w:pPr>
            <w:r>
              <w:rPr>
                <w:rFonts w:hint="eastAsia" w:ascii="仿宋" w:hAnsi="仿宋" w:eastAsia="仿宋" w:cs="仿宋"/>
                <w:color w:val="auto"/>
              </w:rPr>
              <w:t>装置接线方式为后接线方式，通过32针端子引出，直接接屏端子，取消了横梁端子，减少了中间环节，提高了可靠性。</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4</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32</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发电机测控装置</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auto"/>
              </w:rPr>
            </w:pPr>
            <w:r>
              <w:rPr>
                <w:rFonts w:hint="eastAsia" w:ascii="仿宋" w:hAnsi="仿宋" w:eastAsia="仿宋" w:cs="仿宋"/>
                <w:color w:val="auto"/>
              </w:rPr>
              <w:t>1、本装置的一大特点就是可灵活配置，它能满足用户的不同需求。</w:t>
            </w:r>
          </w:p>
          <w:p>
            <w:pPr>
              <w:rPr>
                <w:rFonts w:hint="eastAsia" w:ascii="仿宋" w:hAnsi="仿宋" w:eastAsia="仿宋" w:cs="仿宋"/>
                <w:color w:val="auto"/>
              </w:rPr>
            </w:pPr>
            <w:r>
              <w:rPr>
                <w:rFonts w:hint="eastAsia" w:ascii="仿宋" w:hAnsi="仿宋" w:eastAsia="仿宋" w:cs="仿宋"/>
                <w:color w:val="auto"/>
              </w:rPr>
              <w:t>装置内部各插件做成模块化，相互之间靠内部总线连接，可根据实际工程需要简单地进行积木式插接。装置软件功能也可灵活配置，用户在PC机上运行“测控装置管理软件”，根据梯形图生成PLC逻辑图下传给装置，即可完成间隔五防、同期及其他用户自定的逻辑功能；</w:t>
            </w:r>
          </w:p>
          <w:p>
            <w:pPr>
              <w:rPr>
                <w:rFonts w:hint="eastAsia" w:ascii="仿宋" w:hAnsi="仿宋" w:eastAsia="仿宋" w:cs="仿宋"/>
                <w:color w:val="auto"/>
              </w:rPr>
            </w:pPr>
            <w:r>
              <w:rPr>
                <w:rFonts w:hint="eastAsia" w:ascii="仿宋" w:hAnsi="仿宋" w:eastAsia="仿宋" w:cs="仿宋"/>
                <w:color w:val="auto"/>
              </w:rPr>
              <w:t>2、本装置可对外提供电/光以太网或LonWorks网；</w:t>
            </w:r>
          </w:p>
          <w:p>
            <w:pPr>
              <w:rPr>
                <w:rFonts w:hint="eastAsia" w:ascii="仿宋" w:hAnsi="仿宋" w:eastAsia="仿宋" w:cs="仿宋"/>
                <w:color w:val="auto"/>
              </w:rPr>
            </w:pPr>
            <w:r>
              <w:rPr>
                <w:rFonts w:hint="eastAsia" w:ascii="仿宋" w:hAnsi="仿宋" w:eastAsia="仿宋" w:cs="仿宋"/>
                <w:color w:val="auto"/>
              </w:rPr>
              <w:t>3、装置面板上配有就地紧急操作按键，紧急情况下高级用户可直接进入就地状态，对主接线图上对应的断路器、刀闸等直接进行分合操作；</w:t>
            </w:r>
          </w:p>
          <w:p>
            <w:pPr>
              <w:rPr>
                <w:rFonts w:hint="eastAsia" w:ascii="仿宋" w:hAnsi="仿宋" w:eastAsia="仿宋" w:cs="仿宋"/>
                <w:color w:val="auto"/>
              </w:rPr>
            </w:pPr>
            <w:r>
              <w:rPr>
                <w:rFonts w:hint="eastAsia" w:ascii="仿宋" w:hAnsi="仿宋" w:eastAsia="仿宋" w:cs="仿宋"/>
                <w:color w:val="auto"/>
              </w:rPr>
              <w:t>4、站内通信网为以太网结构时，可与本间隔内公司其它综自装置联网，完成主站下行遥控命令及综自装置上传信息的转发工作；</w:t>
            </w:r>
          </w:p>
          <w:p>
            <w:pPr>
              <w:rPr>
                <w:rFonts w:hint="eastAsia" w:ascii="仿宋" w:hAnsi="仿宋" w:eastAsia="仿宋" w:cs="仿宋"/>
                <w:color w:val="auto"/>
              </w:rPr>
            </w:pPr>
            <w:r>
              <w:rPr>
                <w:rFonts w:hint="eastAsia" w:ascii="仿宋" w:hAnsi="仿宋" w:eastAsia="仿宋" w:cs="仿宋"/>
                <w:color w:val="auto"/>
              </w:rPr>
              <w:t>5、装置配有大容量FLASH芯片，可保存相关操作及事故、SOE记录、告警记录，掉电数据不丢失，便于事故原因分析；</w:t>
            </w:r>
          </w:p>
          <w:p>
            <w:pPr>
              <w:rPr>
                <w:rFonts w:hint="eastAsia" w:ascii="仿宋" w:hAnsi="仿宋" w:eastAsia="仿宋" w:cs="仿宋"/>
                <w:color w:val="auto"/>
              </w:rPr>
            </w:pPr>
            <w:r>
              <w:rPr>
                <w:rFonts w:hint="eastAsia" w:ascii="仿宋" w:hAnsi="仿宋" w:eastAsia="仿宋" w:cs="仿宋"/>
                <w:color w:val="auto"/>
              </w:rPr>
              <w:t>6、结构特点：</w:t>
            </w:r>
          </w:p>
          <w:p>
            <w:pPr>
              <w:rPr>
                <w:rFonts w:hint="eastAsia" w:ascii="仿宋" w:hAnsi="仿宋" w:eastAsia="仿宋" w:cs="仿宋"/>
                <w:color w:val="auto"/>
              </w:rPr>
            </w:pPr>
            <w:r>
              <w:rPr>
                <w:rFonts w:hint="eastAsia" w:ascii="仿宋" w:hAnsi="仿宋" w:eastAsia="仿宋" w:cs="仿宋"/>
                <w:color w:val="auto"/>
              </w:rPr>
              <w:t>内部插件设计为前插拔方式，现场调试、故障维修极其方便。</w:t>
            </w:r>
          </w:p>
          <w:p>
            <w:pPr>
              <w:rPr>
                <w:rFonts w:hint="eastAsia" w:ascii="仿宋" w:hAnsi="仿宋" w:eastAsia="仿宋" w:cs="仿宋"/>
                <w:color w:val="auto"/>
              </w:rPr>
            </w:pPr>
            <w:r>
              <w:rPr>
                <w:rFonts w:hint="eastAsia" w:ascii="仿宋" w:hAnsi="仿宋" w:eastAsia="仿宋" w:cs="仿宋"/>
                <w:color w:val="auto"/>
              </w:rPr>
              <w:t>强弱电端子分开，同样具备背插拔方式的优点。</w:t>
            </w:r>
          </w:p>
          <w:p>
            <w:pPr>
              <w:rPr>
                <w:rFonts w:hint="eastAsia" w:ascii="仿宋" w:hAnsi="仿宋" w:eastAsia="仿宋" w:cs="仿宋"/>
                <w:color w:val="auto"/>
              </w:rPr>
            </w:pPr>
            <w:r>
              <w:rPr>
                <w:rFonts w:hint="eastAsia" w:ascii="仿宋" w:hAnsi="仿宋" w:eastAsia="仿宋" w:cs="仿宋"/>
                <w:color w:val="auto"/>
              </w:rPr>
              <w:t>装置接线方式为后接线方式，通过32针端子引出，直接接屏端子，取消了横梁端子，减少了中间环节，提高了可靠性。</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33</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屏柜及附件（发电机、变压器测控装置屏）</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both"/>
              <w:rPr>
                <w:rFonts w:hint="eastAsia" w:ascii="仿宋" w:hAnsi="仿宋" w:eastAsia="仿宋" w:cs="仿宋"/>
                <w:color w:val="auto"/>
                <w:szCs w:val="21"/>
              </w:rPr>
            </w:pPr>
            <w:r>
              <w:rPr>
                <w:rFonts w:hint="eastAsia" w:ascii="仿宋" w:hAnsi="仿宋" w:eastAsia="仿宋" w:cs="仿宋"/>
                <w:color w:val="auto"/>
                <w:szCs w:val="21"/>
              </w:rPr>
              <w:t>国网标准柜体2260*800*600mm</w:t>
            </w:r>
          </w:p>
          <w:p>
            <w:pPr>
              <w:widowControl/>
              <w:spacing w:line="0" w:lineRule="atLeast"/>
              <w:jc w:val="both"/>
              <w:textAlignment w:val="center"/>
              <w:rPr>
                <w:rFonts w:hint="eastAsia" w:ascii="仿宋" w:hAnsi="仿宋" w:eastAsia="仿宋" w:cs="仿宋"/>
                <w:color w:val="auto"/>
                <w:szCs w:val="21"/>
              </w:rPr>
            </w:pPr>
            <w:r>
              <w:rPr>
                <w:rFonts w:hint="eastAsia" w:ascii="仿宋" w:hAnsi="仿宋" w:eastAsia="仿宋" w:cs="仿宋"/>
                <w:color w:val="auto"/>
                <w:szCs w:val="21"/>
              </w:rPr>
              <w:t>菲尼克斯端子排、ABB空开、弹簧插拔式压板</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面</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34</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公用测控装置</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auto"/>
              </w:rPr>
            </w:pPr>
            <w:r>
              <w:rPr>
                <w:rFonts w:hint="eastAsia" w:ascii="仿宋" w:hAnsi="仿宋" w:eastAsia="仿宋" w:cs="仿宋"/>
                <w:color w:val="auto"/>
              </w:rPr>
              <w:t>1、本装置的一大特点就是可灵活配置，它能满足用户的不同需求。</w:t>
            </w:r>
          </w:p>
          <w:p>
            <w:pPr>
              <w:rPr>
                <w:rFonts w:hint="eastAsia" w:ascii="仿宋" w:hAnsi="仿宋" w:eastAsia="仿宋" w:cs="仿宋"/>
                <w:color w:val="auto"/>
              </w:rPr>
            </w:pPr>
            <w:r>
              <w:rPr>
                <w:rFonts w:hint="eastAsia" w:ascii="仿宋" w:hAnsi="仿宋" w:eastAsia="仿宋" w:cs="仿宋"/>
                <w:color w:val="auto"/>
              </w:rPr>
              <w:t>装置内部各插件做成模块化，相互之间靠内部总线连接，可根据实际工程需要简单地进行积木式插接。装置软件功能也可灵活配置，用户在PC机上运行“测控装置管理软件”，根据梯形图生成PLC逻辑图下传给装置，即可完成间隔五防、同期及其他用户自定的逻辑功能；</w:t>
            </w:r>
          </w:p>
          <w:p>
            <w:pPr>
              <w:rPr>
                <w:rFonts w:hint="eastAsia" w:ascii="仿宋" w:hAnsi="仿宋" w:eastAsia="仿宋" w:cs="仿宋"/>
                <w:color w:val="auto"/>
              </w:rPr>
            </w:pPr>
            <w:r>
              <w:rPr>
                <w:rFonts w:hint="eastAsia" w:ascii="仿宋" w:hAnsi="仿宋" w:eastAsia="仿宋" w:cs="仿宋"/>
                <w:color w:val="auto"/>
              </w:rPr>
              <w:t>2、本装置可对外提供电/光以太网或LonWorks网；</w:t>
            </w:r>
          </w:p>
          <w:p>
            <w:pPr>
              <w:rPr>
                <w:rFonts w:hint="eastAsia" w:ascii="仿宋" w:hAnsi="仿宋" w:eastAsia="仿宋" w:cs="仿宋"/>
                <w:color w:val="auto"/>
              </w:rPr>
            </w:pPr>
            <w:r>
              <w:rPr>
                <w:rFonts w:hint="eastAsia" w:ascii="仿宋" w:hAnsi="仿宋" w:eastAsia="仿宋" w:cs="仿宋"/>
                <w:color w:val="auto"/>
              </w:rPr>
              <w:t>3、装置面板上配有就地紧急操作按键，紧急情况下高级用户可直接进入就地状态，对主接线图上对应的断路器、刀闸等直接进行分合操作；</w:t>
            </w:r>
          </w:p>
          <w:p>
            <w:pPr>
              <w:rPr>
                <w:rFonts w:hint="eastAsia" w:ascii="仿宋" w:hAnsi="仿宋" w:eastAsia="仿宋" w:cs="仿宋"/>
                <w:color w:val="auto"/>
              </w:rPr>
            </w:pPr>
            <w:r>
              <w:rPr>
                <w:rFonts w:hint="eastAsia" w:ascii="仿宋" w:hAnsi="仿宋" w:eastAsia="仿宋" w:cs="仿宋"/>
                <w:color w:val="auto"/>
              </w:rPr>
              <w:t>4、站内通信网为以太网结构时，可与本间隔内公司其它综自装置联网，完成主站下行遥控命令及综自装置上传信息的转发工作；</w:t>
            </w:r>
          </w:p>
          <w:p>
            <w:pPr>
              <w:rPr>
                <w:rFonts w:hint="eastAsia" w:ascii="仿宋" w:hAnsi="仿宋" w:eastAsia="仿宋" w:cs="仿宋"/>
                <w:color w:val="auto"/>
              </w:rPr>
            </w:pPr>
            <w:r>
              <w:rPr>
                <w:rFonts w:hint="eastAsia" w:ascii="仿宋" w:hAnsi="仿宋" w:eastAsia="仿宋" w:cs="仿宋"/>
                <w:color w:val="auto"/>
              </w:rPr>
              <w:t>5、装置配有大容量FLASH芯片，可保存相关操作及事故、SOE记录、告警记录，掉电数据不丢失，便于事故原因分析；</w:t>
            </w:r>
          </w:p>
          <w:p>
            <w:pPr>
              <w:rPr>
                <w:rFonts w:hint="eastAsia" w:ascii="仿宋" w:hAnsi="仿宋" w:eastAsia="仿宋" w:cs="仿宋"/>
                <w:color w:val="auto"/>
              </w:rPr>
            </w:pPr>
            <w:r>
              <w:rPr>
                <w:rFonts w:hint="eastAsia" w:ascii="仿宋" w:hAnsi="仿宋" w:eastAsia="仿宋" w:cs="仿宋"/>
                <w:color w:val="auto"/>
              </w:rPr>
              <w:t>6、结构特点：</w:t>
            </w:r>
          </w:p>
          <w:p>
            <w:pPr>
              <w:rPr>
                <w:rFonts w:hint="eastAsia" w:ascii="仿宋" w:hAnsi="仿宋" w:eastAsia="仿宋" w:cs="仿宋"/>
                <w:color w:val="auto"/>
              </w:rPr>
            </w:pPr>
            <w:r>
              <w:rPr>
                <w:rFonts w:hint="eastAsia" w:ascii="仿宋" w:hAnsi="仿宋" w:eastAsia="仿宋" w:cs="仿宋"/>
                <w:color w:val="auto"/>
              </w:rPr>
              <w:t>内部插件设计为前插拔方式，现场调试、故障维修极其方便。</w:t>
            </w:r>
          </w:p>
          <w:p>
            <w:pPr>
              <w:rPr>
                <w:rFonts w:hint="eastAsia" w:ascii="仿宋" w:hAnsi="仿宋" w:eastAsia="仿宋" w:cs="仿宋"/>
                <w:color w:val="auto"/>
              </w:rPr>
            </w:pPr>
            <w:r>
              <w:rPr>
                <w:rFonts w:hint="eastAsia" w:ascii="仿宋" w:hAnsi="仿宋" w:eastAsia="仿宋" w:cs="仿宋"/>
                <w:color w:val="auto"/>
              </w:rPr>
              <w:t>强弱电端子分开，同样具备背插拔方式的优点。</w:t>
            </w:r>
          </w:p>
          <w:p>
            <w:pPr>
              <w:rPr>
                <w:rFonts w:hint="eastAsia" w:ascii="仿宋" w:hAnsi="仿宋" w:eastAsia="仿宋" w:cs="仿宋"/>
                <w:color w:val="auto"/>
              </w:rPr>
            </w:pPr>
            <w:r>
              <w:rPr>
                <w:rFonts w:hint="eastAsia" w:ascii="仿宋" w:hAnsi="仿宋" w:eastAsia="仿宋" w:cs="仿宋"/>
                <w:color w:val="auto"/>
              </w:rPr>
              <w:t>装置接线方式为后接线方式，通过32针端子引出，直接接屏端子，取消了横梁端子，减少了中间环节，提高了可靠性。</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35</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以太网交换机（公用测控装置屏）</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auto"/>
              </w:rPr>
            </w:pPr>
            <w:r>
              <w:rPr>
                <w:rFonts w:hint="eastAsia" w:ascii="仿宋" w:hAnsi="仿宋" w:eastAsia="仿宋" w:cs="仿宋"/>
                <w:color w:val="auto"/>
              </w:rPr>
              <w:t>22电口，2光口工业A级以太网交换机</w:t>
            </w:r>
          </w:p>
          <w:p>
            <w:pPr>
              <w:rPr>
                <w:rFonts w:hint="eastAsia" w:ascii="仿宋" w:hAnsi="仿宋" w:eastAsia="仿宋" w:cs="仿宋"/>
                <w:color w:val="auto"/>
              </w:rPr>
            </w:pPr>
            <w:r>
              <w:rPr>
                <w:rFonts w:hint="eastAsia" w:ascii="仿宋" w:hAnsi="仿宋" w:eastAsia="仿宋" w:cs="仿宋"/>
                <w:color w:val="auto"/>
              </w:rPr>
              <w:t>1、网络交换机采用1U标准机箱，装置为整体嵌入式安装，前、后出线方式可选;</w:t>
            </w:r>
          </w:p>
          <w:p>
            <w:pPr>
              <w:rPr>
                <w:rFonts w:hint="eastAsia" w:ascii="仿宋" w:hAnsi="仿宋" w:eastAsia="仿宋" w:cs="仿宋"/>
                <w:color w:val="auto"/>
              </w:rPr>
            </w:pPr>
            <w:r>
              <w:rPr>
                <w:rFonts w:hint="eastAsia" w:ascii="仿宋" w:hAnsi="仿宋" w:eastAsia="仿宋" w:cs="仿宋"/>
                <w:color w:val="auto"/>
              </w:rPr>
              <w:t>采用高性能工业级以太网交换芯片的单片方案，所有端口的数据交换都基于内部交换，从而保证所有端口的数据传输延迟基本一致，同时采用进口电源和一体化机箱散热设计，此设计可以保证设备温度特性和EMC性能的一致性。其在抗干扰方面满足IEC的EMC/EMI最高标准，可以适应各种严酷工业环境的应用需求。在温度设计方面，CSD-187(Z系列)采用先进的散热技术和低功耗技术，保证设备在全光口配置下宽温正常运行。</w:t>
            </w:r>
          </w:p>
          <w:p>
            <w:pPr>
              <w:rPr>
                <w:rFonts w:hint="eastAsia" w:ascii="仿宋" w:hAnsi="仿宋" w:eastAsia="仿宋" w:cs="仿宋"/>
                <w:color w:val="auto"/>
              </w:rPr>
            </w:pPr>
            <w:r>
              <w:rPr>
                <w:rFonts w:hint="eastAsia" w:ascii="仿宋" w:hAnsi="仿宋" w:eastAsia="仿宋" w:cs="仿宋"/>
                <w:color w:val="auto"/>
              </w:rPr>
              <w:t>2、</w:t>
            </w:r>
            <w:bookmarkStart w:id="103" w:name="_Toc22999"/>
            <w:bookmarkStart w:id="104" w:name="_Toc4670962"/>
            <w:bookmarkStart w:id="105" w:name="_Toc534625183"/>
            <w:r>
              <w:rPr>
                <w:rFonts w:hint="eastAsia" w:ascii="仿宋" w:hAnsi="仿宋" w:eastAsia="仿宋" w:cs="仿宋"/>
                <w:color w:val="auto"/>
              </w:rPr>
              <w:t>基本功能</w:t>
            </w:r>
            <w:bookmarkEnd w:id="103"/>
            <w:bookmarkEnd w:id="104"/>
            <w:bookmarkEnd w:id="105"/>
            <w:r>
              <w:rPr>
                <w:rFonts w:hint="eastAsia" w:ascii="仿宋" w:hAnsi="仿宋" w:eastAsia="仿宋" w:cs="仿宋"/>
                <w:color w:val="auto"/>
              </w:rPr>
              <w:t>：</w:t>
            </w:r>
          </w:p>
          <w:p>
            <w:pPr>
              <w:rPr>
                <w:rFonts w:hint="eastAsia" w:ascii="仿宋" w:hAnsi="仿宋" w:eastAsia="仿宋" w:cs="仿宋"/>
                <w:color w:val="auto"/>
              </w:rPr>
            </w:pPr>
            <w:r>
              <w:rPr>
                <w:rFonts w:hint="eastAsia" w:ascii="仿宋" w:hAnsi="仿宋" w:eastAsia="仿宋" w:cs="仿宋"/>
                <w:color w:val="auto"/>
              </w:rPr>
              <w:t>支持存储转发交换；</w:t>
            </w:r>
          </w:p>
          <w:p>
            <w:pPr>
              <w:rPr>
                <w:rFonts w:hint="eastAsia" w:ascii="仿宋" w:hAnsi="仿宋" w:eastAsia="仿宋" w:cs="仿宋"/>
                <w:color w:val="auto"/>
              </w:rPr>
            </w:pPr>
            <w:r>
              <w:rPr>
                <w:rFonts w:hint="eastAsia" w:ascii="仿宋" w:hAnsi="仿宋" w:eastAsia="仿宋" w:cs="仿宋"/>
                <w:color w:val="auto"/>
              </w:rPr>
              <w:t>支持双电源冗余备份；</w:t>
            </w:r>
          </w:p>
          <w:p>
            <w:pPr>
              <w:rPr>
                <w:rFonts w:hint="eastAsia" w:ascii="仿宋" w:hAnsi="仿宋" w:eastAsia="仿宋" w:cs="仿宋"/>
                <w:color w:val="auto"/>
              </w:rPr>
            </w:pPr>
            <w:r>
              <w:rPr>
                <w:rFonts w:hint="eastAsia" w:ascii="仿宋" w:hAnsi="仿宋" w:eastAsia="仿宋" w:cs="仿宋"/>
                <w:color w:val="auto"/>
              </w:rPr>
              <w:t>支持配置复位；</w:t>
            </w:r>
          </w:p>
          <w:p>
            <w:pPr>
              <w:rPr>
                <w:rFonts w:hint="eastAsia" w:ascii="仿宋" w:hAnsi="仿宋" w:eastAsia="仿宋" w:cs="仿宋"/>
                <w:color w:val="auto"/>
              </w:rPr>
            </w:pPr>
            <w:r>
              <w:rPr>
                <w:rFonts w:hint="eastAsia" w:ascii="仿宋" w:hAnsi="仿宋" w:eastAsia="仿宋" w:cs="仿宋"/>
                <w:color w:val="auto"/>
              </w:rPr>
              <w:t>支持设备重启；</w:t>
            </w:r>
          </w:p>
          <w:p>
            <w:pPr>
              <w:spacing w:line="240" w:lineRule="atLeast"/>
              <w:jc w:val="left"/>
              <w:rPr>
                <w:rFonts w:hint="eastAsia" w:ascii="仿宋" w:hAnsi="仿宋" w:eastAsia="仿宋" w:cs="仿宋"/>
                <w:color w:val="auto"/>
                <w:szCs w:val="21"/>
              </w:rPr>
            </w:pPr>
            <w:r>
              <w:rPr>
                <w:rFonts w:hint="eastAsia" w:ascii="仿宋" w:hAnsi="仿宋" w:eastAsia="仿宋" w:cs="仿宋"/>
                <w:color w:val="auto"/>
              </w:rPr>
              <w:t>支持硬件自检，设备外设自动检测测试（内存，Flash，RTC，MAC/PHY等）。</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4</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36</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屏柜及附件（公用测控装置屏）</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国网标准柜体2260*800*600mm</w:t>
            </w:r>
          </w:p>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菲尼克斯端子排、ABB空开、弹簧插拔式压板</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面</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37</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线路模拟断路器（智能）</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1、4U机箱，5分相回路配置</w:t>
            </w:r>
          </w:p>
          <w:p>
            <w:pPr>
              <w:spacing w:line="400" w:lineRule="exact"/>
              <w:rPr>
                <w:rFonts w:hint="eastAsia" w:ascii="仿宋" w:hAnsi="仿宋" w:eastAsia="仿宋" w:cs="仿宋"/>
                <w:color w:val="auto"/>
                <w:szCs w:val="21"/>
              </w:rPr>
            </w:pPr>
            <w:r>
              <w:rPr>
                <w:rFonts w:hint="eastAsia" w:ascii="仿宋" w:hAnsi="仿宋" w:eastAsia="仿宋" w:cs="仿宋"/>
                <w:color w:val="auto"/>
                <w:szCs w:val="21"/>
              </w:rPr>
              <w:t>2、智能保护线路ABC分相，2路预留</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38</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主变高、低压侧模拟断路器（智能）</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1、4U机箱，6分相回路配置</w:t>
            </w:r>
          </w:p>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 xml:space="preserve">2、高压侧ABC分相，低压侧一相； </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39</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屏柜及附件（模拟断路器屏）</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国网标准柜体2260*800*600mm</w:t>
            </w:r>
          </w:p>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菲尼克斯端子排、施耐德空开、弹簧插拔式压板</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面</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lang w:eastAsia="zh-CN"/>
              </w:rPr>
            </w:pPr>
            <w:r>
              <w:rPr>
                <w:rFonts w:hint="eastAsia" w:ascii="仿宋" w:hAnsi="仿宋" w:eastAsia="仿宋" w:cs="仿宋"/>
                <w:color w:val="auto"/>
                <w:szCs w:val="21"/>
              </w:rPr>
              <w:t>4</w:t>
            </w:r>
            <w:r>
              <w:rPr>
                <w:rFonts w:hint="eastAsia" w:ascii="仿宋" w:hAnsi="仿宋" w:eastAsia="仿宋" w:cs="仿宋"/>
                <w:color w:val="auto"/>
                <w:szCs w:val="21"/>
                <w:lang w:val="en-US" w:eastAsia="zh-CN"/>
              </w:rPr>
              <w:t>0</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KVM切换装置</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4口切换</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套</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w:t>
            </w:r>
          </w:p>
        </w:tc>
      </w:tr>
      <w:tr>
        <w:tblPrEx>
          <w:tblCellMar>
            <w:top w:w="0" w:type="dxa"/>
            <w:left w:w="0" w:type="dxa"/>
            <w:bottom w:w="0" w:type="dxa"/>
            <w:right w:w="0" w:type="dxa"/>
          </w:tblCellMar>
        </w:tblPrEx>
        <w:trPr>
          <w:trHeight w:val="365"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lang w:eastAsia="zh-CN"/>
              </w:rPr>
            </w:pPr>
            <w:r>
              <w:rPr>
                <w:rFonts w:hint="eastAsia" w:ascii="仿宋" w:hAnsi="仿宋" w:eastAsia="仿宋" w:cs="仿宋"/>
                <w:color w:val="auto"/>
                <w:szCs w:val="21"/>
              </w:rPr>
              <w:t>4</w:t>
            </w:r>
            <w:r>
              <w:rPr>
                <w:rFonts w:hint="eastAsia" w:ascii="仿宋" w:hAnsi="仿宋" w:eastAsia="仿宋" w:cs="仿宋"/>
                <w:color w:val="auto"/>
                <w:szCs w:val="21"/>
                <w:lang w:val="en-US" w:eastAsia="zh-CN"/>
              </w:rPr>
              <w:t>1</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UPS设备</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3KVA、延时2H</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套</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lang w:eastAsia="zh-CN"/>
              </w:rPr>
            </w:pPr>
            <w:r>
              <w:rPr>
                <w:rFonts w:hint="eastAsia" w:ascii="仿宋" w:hAnsi="仿宋" w:eastAsia="仿宋" w:cs="仿宋"/>
                <w:color w:val="auto"/>
                <w:szCs w:val="21"/>
              </w:rPr>
              <w:t>4</w:t>
            </w:r>
            <w:r>
              <w:rPr>
                <w:rFonts w:hint="eastAsia" w:ascii="仿宋" w:hAnsi="仿宋" w:eastAsia="仿宋" w:cs="仿宋"/>
                <w:color w:val="auto"/>
                <w:szCs w:val="21"/>
                <w:lang w:val="en-US" w:eastAsia="zh-CN"/>
              </w:rPr>
              <w:t>2</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屏柜及附件</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国网标准柜体2260*800*1000mm</w:t>
            </w:r>
          </w:p>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菲尼克斯端子排、ABB空开</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面</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lang w:eastAsia="zh-CN"/>
              </w:rPr>
            </w:pPr>
            <w:r>
              <w:rPr>
                <w:rFonts w:hint="eastAsia" w:ascii="仿宋" w:hAnsi="仿宋" w:eastAsia="仿宋" w:cs="仿宋"/>
                <w:color w:val="auto"/>
                <w:szCs w:val="21"/>
              </w:rPr>
              <w:t>4</w:t>
            </w:r>
            <w:r>
              <w:rPr>
                <w:rFonts w:hint="eastAsia" w:ascii="仿宋" w:hAnsi="仿宋" w:eastAsia="仿宋" w:cs="仿宋"/>
                <w:color w:val="auto"/>
                <w:szCs w:val="21"/>
                <w:lang w:val="en-US" w:eastAsia="zh-CN"/>
              </w:rPr>
              <w:t>3</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继电保护测试仪</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6电压6电流，带调试软件</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lang w:eastAsia="zh-CN"/>
              </w:rPr>
            </w:pPr>
            <w:r>
              <w:rPr>
                <w:rFonts w:hint="eastAsia" w:ascii="仿宋" w:hAnsi="仿宋" w:eastAsia="仿宋" w:cs="仿宋"/>
                <w:color w:val="auto"/>
                <w:szCs w:val="21"/>
              </w:rPr>
              <w:t>4</w:t>
            </w:r>
            <w:r>
              <w:rPr>
                <w:rFonts w:hint="eastAsia" w:ascii="仿宋" w:hAnsi="仿宋" w:eastAsia="仿宋" w:cs="仿宋"/>
                <w:color w:val="auto"/>
                <w:szCs w:val="21"/>
                <w:lang w:val="en-US" w:eastAsia="zh-CN"/>
              </w:rPr>
              <w:t>4</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手持式光数字继电保护测试仪</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IEC61850-9-1/2/LE，Goose，IEEE-1588；</w:t>
            </w:r>
          </w:p>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自带光功率测量；</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2</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lang w:eastAsia="zh-CN"/>
              </w:rPr>
            </w:pPr>
            <w:r>
              <w:rPr>
                <w:rFonts w:hint="eastAsia" w:ascii="仿宋" w:hAnsi="仿宋" w:eastAsia="仿宋" w:cs="仿宋"/>
                <w:color w:val="auto"/>
                <w:szCs w:val="21"/>
              </w:rPr>
              <w:t>4</w:t>
            </w:r>
            <w:r>
              <w:rPr>
                <w:rFonts w:hint="eastAsia" w:ascii="仿宋" w:hAnsi="仿宋" w:eastAsia="仿宋" w:cs="仿宋"/>
                <w:color w:val="auto"/>
                <w:szCs w:val="21"/>
                <w:lang w:val="en-US" w:eastAsia="zh-CN"/>
              </w:rPr>
              <w:t>5</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直流屏</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left"/>
              <w:rPr>
                <w:rFonts w:hint="eastAsia" w:ascii="仿宋" w:hAnsi="仿宋" w:eastAsia="仿宋" w:cs="仿宋"/>
                <w:color w:val="auto"/>
                <w:szCs w:val="21"/>
              </w:rPr>
            </w:pPr>
            <w:r>
              <w:rPr>
                <w:rFonts w:hint="eastAsia" w:ascii="仿宋" w:hAnsi="仿宋" w:eastAsia="仿宋" w:cs="仿宋"/>
                <w:color w:val="auto"/>
                <w:szCs w:val="21"/>
              </w:rPr>
              <w:t>100AH蓄电池</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套</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szCs w:val="21"/>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4</w:t>
            </w:r>
            <w:r>
              <w:rPr>
                <w:rFonts w:hint="eastAsia" w:ascii="仿宋" w:hAnsi="仿宋" w:eastAsia="仿宋" w:cs="仿宋"/>
                <w:color w:val="auto"/>
                <w:szCs w:val="21"/>
                <w:lang w:val="en-US" w:eastAsia="zh-CN"/>
              </w:rPr>
              <w:t>6</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过程层交换机</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16光口工业A级以太网交换机</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4</w:t>
            </w:r>
            <w:r>
              <w:rPr>
                <w:rFonts w:hint="eastAsia" w:ascii="仿宋" w:hAnsi="仿宋" w:eastAsia="仿宋" w:cs="仿宋"/>
                <w:color w:val="auto"/>
                <w:szCs w:val="21"/>
                <w:lang w:val="en-US" w:eastAsia="zh-CN"/>
              </w:rPr>
              <w:t>7</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MMS网交换机</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auto"/>
              </w:rPr>
            </w:pPr>
            <w:r>
              <w:rPr>
                <w:rFonts w:hint="eastAsia" w:ascii="仿宋" w:hAnsi="仿宋" w:eastAsia="仿宋" w:cs="仿宋"/>
                <w:color w:val="auto"/>
              </w:rPr>
              <w:t>24电口，2光口工业A级以太网交换机</w:t>
            </w:r>
          </w:p>
          <w:p>
            <w:pPr>
              <w:spacing w:line="240" w:lineRule="atLeast"/>
              <w:jc w:val="left"/>
              <w:rPr>
                <w:rFonts w:hint="eastAsia" w:ascii="仿宋" w:hAnsi="仿宋" w:eastAsia="仿宋" w:cs="仿宋"/>
                <w:color w:val="auto"/>
                <w:kern w:val="2"/>
                <w:sz w:val="21"/>
                <w:szCs w:val="21"/>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0" w:lineRule="atLeast"/>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1</w:t>
            </w:r>
          </w:p>
        </w:tc>
      </w:tr>
      <w:tr>
        <w:tblPrEx>
          <w:tblCellMar>
            <w:top w:w="0" w:type="dxa"/>
            <w:left w:w="0" w:type="dxa"/>
            <w:bottom w:w="0" w:type="dxa"/>
            <w:right w:w="0" w:type="dxa"/>
          </w:tblCellMar>
        </w:tblPrEx>
        <w:trPr>
          <w:trHeight w:val="23" w:hRule="atLeast"/>
        </w:trPr>
        <w:tc>
          <w:tcPr>
            <w:tcW w:w="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48</w:t>
            </w:r>
          </w:p>
        </w:tc>
        <w:tc>
          <w:tcPr>
            <w:tcW w:w="1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对时装置</w:t>
            </w:r>
          </w:p>
        </w:tc>
        <w:tc>
          <w:tcPr>
            <w:tcW w:w="6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主备时钟</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2</w:t>
            </w:r>
          </w:p>
        </w:tc>
      </w:tr>
    </w:tbl>
    <w:p>
      <w:pPr>
        <w:pStyle w:val="2"/>
        <w:rPr>
          <w:rFonts w:hint="eastAsia"/>
          <w:color w:val="auto"/>
          <w:highlight w:val="none"/>
          <w:lang w:val="en-US" w:eastAsia="zh-CN"/>
        </w:rPr>
      </w:pPr>
      <w:r>
        <w:rPr>
          <w:rFonts w:hint="eastAsia" w:ascii="仿宋" w:hAnsi="仿宋" w:eastAsia="仿宋" w:cs="仿宋"/>
          <w:b/>
          <w:color w:val="auto"/>
          <w:highlight w:val="none"/>
          <w:shd w:val="clear" w:color="auto" w:fill="FDFEFF"/>
          <w:lang w:val="en-US" w:eastAsia="zh-CN"/>
        </w:rPr>
        <w:t>（三）付款方式</w:t>
      </w:r>
    </w:p>
    <w:p>
      <w:pPr>
        <w:pStyle w:val="16"/>
        <w:keepNext w:val="0"/>
        <w:keepLines w:val="0"/>
        <w:pageBreakBefore w:val="0"/>
        <w:widowControl w:val="0"/>
        <w:shd w:val="clear" w:color="auto" w:fill="FDFEFF"/>
        <w:kinsoku/>
        <w:wordWrap/>
        <w:overflowPunct/>
        <w:topLinePunct w:val="0"/>
        <w:autoSpaceDE w:val="0"/>
        <w:autoSpaceDN w:val="0"/>
        <w:bidi w:val="0"/>
        <w:adjustRightInd/>
        <w:snapToGrid/>
        <w:spacing w:before="0" w:beforeAutospacing="0" w:after="0" w:afterAutospacing="0" w:line="540" w:lineRule="exact"/>
        <w:ind w:firstLine="480" w:firstLineChars="200"/>
        <w:textAlignment w:val="auto"/>
        <w:rPr>
          <w:rFonts w:hint="eastAsia" w:ascii="仿宋" w:hAnsi="仿宋" w:eastAsia="仿宋" w:cs="仿宋"/>
          <w:bCs/>
          <w:color w:val="auto"/>
          <w:highlight w:val="none"/>
          <w:shd w:val="clear" w:color="auto" w:fill="FDFEFF"/>
          <w:lang w:val="en-US" w:eastAsia="zh-CN"/>
        </w:rPr>
      </w:pPr>
      <w:r>
        <w:rPr>
          <w:rFonts w:hint="eastAsia" w:ascii="仿宋" w:hAnsi="仿宋" w:eastAsia="仿宋" w:cs="仿宋"/>
          <w:bCs/>
          <w:color w:val="auto"/>
          <w:highlight w:val="none"/>
          <w:shd w:val="clear" w:color="auto" w:fill="FDFEFF"/>
          <w:lang w:val="en-US" w:eastAsia="zh-CN"/>
        </w:rPr>
        <w:t>1、验收合格后，支付合同总价款的 90%， 其他 10%款项作为质保金，一年后无任何质量问题予以支付。。</w:t>
      </w:r>
    </w:p>
    <w:p>
      <w:pPr>
        <w:pStyle w:val="2"/>
        <w:rPr>
          <w:rFonts w:hint="eastAsia" w:ascii="仿宋" w:hAnsi="仿宋" w:eastAsia="仿宋" w:cs="仿宋"/>
          <w:b/>
          <w:color w:val="auto"/>
          <w:highlight w:val="none"/>
          <w:shd w:val="clear" w:color="auto" w:fill="FDFEFF"/>
          <w:lang w:val="en-US" w:eastAsia="zh-CN"/>
        </w:rPr>
      </w:pPr>
      <w:r>
        <w:rPr>
          <w:rFonts w:hint="eastAsia" w:ascii="仿宋" w:hAnsi="仿宋" w:eastAsia="仿宋" w:cs="仿宋"/>
          <w:b/>
          <w:color w:val="auto"/>
          <w:highlight w:val="none"/>
          <w:shd w:val="clear" w:color="auto" w:fill="FDFEFF"/>
          <w:lang w:val="en-US" w:eastAsia="zh-CN"/>
        </w:rPr>
        <w:t>(四)设备安装及售后服务要求</w:t>
      </w:r>
    </w:p>
    <w:p>
      <w:pPr>
        <w:pStyle w:val="16"/>
        <w:keepNext w:val="0"/>
        <w:keepLines w:val="0"/>
        <w:pageBreakBefore w:val="0"/>
        <w:widowControl w:val="0"/>
        <w:shd w:val="clear" w:color="auto" w:fill="FDFEFF"/>
        <w:kinsoku/>
        <w:wordWrap/>
        <w:overflowPunct/>
        <w:topLinePunct w:val="0"/>
        <w:autoSpaceDE w:val="0"/>
        <w:autoSpaceDN w:val="0"/>
        <w:bidi w:val="0"/>
        <w:adjustRightInd/>
        <w:snapToGrid/>
        <w:spacing w:before="0" w:beforeAutospacing="0" w:after="0" w:afterAutospacing="0" w:line="540" w:lineRule="exact"/>
        <w:ind w:firstLine="480" w:firstLineChars="200"/>
        <w:textAlignment w:val="auto"/>
        <w:rPr>
          <w:rFonts w:hint="eastAsia" w:ascii="仿宋" w:hAnsi="仿宋" w:eastAsia="仿宋" w:cs="仿宋"/>
          <w:bCs/>
          <w:color w:val="auto"/>
          <w:highlight w:val="none"/>
          <w:shd w:val="clear" w:color="auto" w:fill="FDFEFF"/>
          <w:lang w:val="en-US" w:eastAsia="zh-CN"/>
        </w:rPr>
      </w:pPr>
      <w:r>
        <w:rPr>
          <w:rFonts w:hint="eastAsia" w:ascii="仿宋" w:hAnsi="仿宋" w:eastAsia="仿宋" w:cs="仿宋"/>
          <w:bCs/>
          <w:color w:val="auto"/>
          <w:highlight w:val="none"/>
          <w:shd w:val="clear" w:color="auto" w:fill="FDFEFF"/>
          <w:lang w:val="en-US" w:eastAsia="zh-CN"/>
        </w:rPr>
        <w:t>1、交付期限：自合同签订之日起90 个工作日内完成运输、安装、调试，并配合招标人人完成验收工作，保证正常投入使用。</w:t>
      </w:r>
    </w:p>
    <w:p>
      <w:pPr>
        <w:pStyle w:val="16"/>
        <w:keepNext w:val="0"/>
        <w:keepLines w:val="0"/>
        <w:pageBreakBefore w:val="0"/>
        <w:widowControl w:val="0"/>
        <w:shd w:val="clear" w:color="auto" w:fill="FDFEFF"/>
        <w:kinsoku/>
        <w:wordWrap/>
        <w:overflowPunct/>
        <w:topLinePunct w:val="0"/>
        <w:autoSpaceDE w:val="0"/>
        <w:autoSpaceDN w:val="0"/>
        <w:bidi w:val="0"/>
        <w:adjustRightInd/>
        <w:snapToGrid/>
        <w:spacing w:before="0" w:beforeAutospacing="0" w:after="0" w:afterAutospacing="0" w:line="540" w:lineRule="exact"/>
        <w:ind w:firstLine="480" w:firstLineChars="200"/>
        <w:textAlignment w:val="auto"/>
        <w:rPr>
          <w:rFonts w:hint="default" w:ascii="仿宋" w:hAnsi="仿宋" w:eastAsia="仿宋" w:cs="仿宋"/>
          <w:bCs/>
          <w:color w:val="auto"/>
          <w:highlight w:val="none"/>
          <w:shd w:val="clear" w:color="auto" w:fill="FDFEFF"/>
          <w:lang w:val="en-US" w:eastAsia="zh-CN"/>
        </w:rPr>
      </w:pPr>
      <w:r>
        <w:rPr>
          <w:rFonts w:hint="eastAsia" w:ascii="仿宋" w:hAnsi="仿宋" w:eastAsia="仿宋" w:cs="仿宋"/>
          <w:bCs/>
          <w:color w:val="auto"/>
          <w:highlight w:val="none"/>
          <w:shd w:val="clear" w:color="auto" w:fill="FDFEFF"/>
          <w:lang w:val="en-US" w:eastAsia="zh-CN"/>
        </w:rPr>
        <w:t>2、</w:t>
      </w:r>
      <w:r>
        <w:rPr>
          <w:rFonts w:hint="eastAsia" w:ascii="仿宋" w:hAnsi="仿宋" w:eastAsia="仿宋" w:cs="仿宋"/>
          <w:color w:val="auto"/>
          <w:sz w:val="24"/>
          <w:highlight w:val="none"/>
          <w:lang w:val="en-US" w:eastAsia="zh-CN"/>
        </w:rPr>
        <w:t>质保期：一年免费质保，主要设备终身维护；并提供免费上门服务。</w:t>
      </w:r>
    </w:p>
    <w:p>
      <w:pPr>
        <w:pStyle w:val="16"/>
        <w:keepNext w:val="0"/>
        <w:keepLines w:val="0"/>
        <w:pageBreakBefore w:val="0"/>
        <w:widowControl w:val="0"/>
        <w:shd w:val="clear" w:color="auto" w:fill="FDFEFF"/>
        <w:kinsoku/>
        <w:wordWrap/>
        <w:overflowPunct/>
        <w:topLinePunct w:val="0"/>
        <w:autoSpaceDE w:val="0"/>
        <w:autoSpaceDN w:val="0"/>
        <w:bidi w:val="0"/>
        <w:adjustRightInd/>
        <w:snapToGrid/>
        <w:spacing w:before="0" w:beforeAutospacing="0" w:after="0" w:afterAutospacing="0" w:line="540" w:lineRule="exact"/>
        <w:ind w:firstLine="480" w:firstLineChars="200"/>
        <w:textAlignment w:val="auto"/>
        <w:rPr>
          <w:rFonts w:hint="eastAsia" w:ascii="仿宋" w:hAnsi="仿宋" w:eastAsia="仿宋" w:cs="仿宋"/>
          <w:bCs/>
          <w:color w:val="auto"/>
          <w:highlight w:val="none"/>
          <w:shd w:val="clear" w:color="auto" w:fill="FDFEFF"/>
          <w:lang w:val="en-US" w:eastAsia="zh-CN"/>
        </w:rPr>
      </w:pPr>
      <w:r>
        <w:rPr>
          <w:rFonts w:hint="eastAsia" w:ascii="仿宋" w:hAnsi="仿宋" w:eastAsia="仿宋" w:cs="仿宋"/>
          <w:bCs/>
          <w:color w:val="auto"/>
          <w:highlight w:val="none"/>
          <w:shd w:val="clear" w:color="auto" w:fill="FDFEFF"/>
          <w:lang w:val="en-US" w:eastAsia="zh-CN"/>
        </w:rPr>
        <w:t>3、投标人所供货物存在以次充好、质量不合格，招标人有权将不合格的货物退给投标人，并要求投标人在指定的时间内按招标人要求重新换货。因此所发生的一切费用损失由投标人负责，并按照逾期供货承担违约责任；</w:t>
      </w:r>
    </w:p>
    <w:p>
      <w:pPr>
        <w:pStyle w:val="16"/>
        <w:keepNext w:val="0"/>
        <w:keepLines w:val="0"/>
        <w:pageBreakBefore w:val="0"/>
        <w:widowControl w:val="0"/>
        <w:shd w:val="clear" w:color="auto" w:fill="FDFEFF"/>
        <w:kinsoku/>
        <w:wordWrap/>
        <w:overflowPunct/>
        <w:topLinePunct w:val="0"/>
        <w:autoSpaceDE w:val="0"/>
        <w:autoSpaceDN w:val="0"/>
        <w:bidi w:val="0"/>
        <w:adjustRightInd/>
        <w:snapToGrid/>
        <w:spacing w:before="0" w:beforeAutospacing="0" w:after="0" w:afterAutospacing="0" w:line="540" w:lineRule="exact"/>
        <w:ind w:firstLine="480" w:firstLineChars="200"/>
        <w:textAlignment w:val="auto"/>
        <w:rPr>
          <w:rFonts w:hint="eastAsia" w:ascii="仿宋" w:hAnsi="仿宋" w:eastAsia="仿宋" w:cs="仿宋"/>
          <w:bCs/>
          <w:color w:val="auto"/>
          <w:highlight w:val="none"/>
          <w:shd w:val="clear" w:color="auto" w:fill="FDFEFF"/>
          <w:lang w:val="en-US" w:eastAsia="zh-CN"/>
        </w:rPr>
      </w:pPr>
      <w:r>
        <w:rPr>
          <w:rFonts w:hint="eastAsia" w:ascii="仿宋" w:hAnsi="仿宋" w:eastAsia="仿宋" w:cs="仿宋"/>
          <w:bCs/>
          <w:color w:val="auto"/>
          <w:highlight w:val="none"/>
          <w:shd w:val="clear" w:color="auto" w:fill="FDFEFF"/>
          <w:lang w:val="en-US" w:eastAsia="zh-CN"/>
        </w:rPr>
        <w:t>4、中标人在运输、安装调试过程中出现领用、替换、退库等情况均需做好记录，保证所有出入库情况可追溯可查询。</w:t>
      </w:r>
    </w:p>
    <w:p>
      <w:pPr>
        <w:pStyle w:val="16"/>
        <w:keepNext w:val="0"/>
        <w:keepLines w:val="0"/>
        <w:pageBreakBefore w:val="0"/>
        <w:widowControl w:val="0"/>
        <w:shd w:val="clear" w:color="auto" w:fill="FDFEFF"/>
        <w:kinsoku/>
        <w:wordWrap/>
        <w:overflowPunct/>
        <w:topLinePunct w:val="0"/>
        <w:autoSpaceDE w:val="0"/>
        <w:autoSpaceDN w:val="0"/>
        <w:bidi w:val="0"/>
        <w:adjustRightInd/>
        <w:snapToGrid/>
        <w:spacing w:before="0" w:beforeAutospacing="0" w:after="0" w:afterAutospacing="0" w:line="540" w:lineRule="exact"/>
        <w:ind w:firstLine="480" w:firstLineChars="200"/>
        <w:textAlignment w:val="auto"/>
        <w:rPr>
          <w:rFonts w:hint="eastAsia" w:ascii="仿宋" w:hAnsi="仿宋" w:eastAsia="仿宋" w:cs="仿宋"/>
          <w:bCs/>
          <w:color w:val="auto"/>
          <w:highlight w:val="none"/>
          <w:shd w:val="clear" w:color="auto" w:fill="FDFEFF"/>
          <w:lang w:val="en-US" w:eastAsia="zh-CN"/>
        </w:rPr>
      </w:pPr>
      <w:r>
        <w:rPr>
          <w:rFonts w:hint="eastAsia" w:ascii="仿宋" w:hAnsi="仿宋" w:eastAsia="仿宋" w:cs="仿宋"/>
          <w:bCs/>
          <w:color w:val="auto"/>
          <w:highlight w:val="none"/>
          <w:shd w:val="clear" w:color="auto" w:fill="FDFEFF"/>
          <w:lang w:val="en-US" w:eastAsia="zh-CN"/>
        </w:rPr>
        <w:t>5、中标人需在所有设备均安装、调试完成且正常运行后，配合招标人完成验收工作。</w:t>
      </w:r>
    </w:p>
    <w:p>
      <w:pPr>
        <w:pStyle w:val="16"/>
        <w:keepNext w:val="0"/>
        <w:keepLines w:val="0"/>
        <w:pageBreakBefore w:val="0"/>
        <w:widowControl w:val="0"/>
        <w:shd w:val="clear" w:color="auto" w:fill="FDFEFF"/>
        <w:kinsoku/>
        <w:wordWrap/>
        <w:overflowPunct/>
        <w:topLinePunct w:val="0"/>
        <w:autoSpaceDE w:val="0"/>
        <w:autoSpaceDN w:val="0"/>
        <w:bidi w:val="0"/>
        <w:adjustRightInd/>
        <w:snapToGrid/>
        <w:spacing w:before="0" w:beforeAutospacing="0" w:after="0" w:afterAutospacing="0" w:line="540" w:lineRule="exact"/>
        <w:ind w:firstLine="480" w:firstLineChars="200"/>
        <w:textAlignment w:val="auto"/>
        <w:rPr>
          <w:rFonts w:hint="eastAsia" w:ascii="仿宋" w:hAnsi="仿宋" w:eastAsia="仿宋" w:cs="仿宋"/>
          <w:bCs/>
          <w:color w:val="auto"/>
          <w:highlight w:val="none"/>
          <w:shd w:val="clear" w:color="auto" w:fill="FDFEFF"/>
          <w:lang w:val="en-US" w:eastAsia="zh-CN"/>
        </w:rPr>
      </w:pPr>
      <w:r>
        <w:rPr>
          <w:rFonts w:hint="eastAsia" w:ascii="仿宋" w:hAnsi="仿宋" w:eastAsia="仿宋" w:cs="仿宋"/>
          <w:bCs/>
          <w:color w:val="auto"/>
          <w:highlight w:val="none"/>
          <w:shd w:val="clear" w:color="auto" w:fill="FDFEFF"/>
          <w:lang w:val="en-US" w:eastAsia="zh-CN"/>
        </w:rPr>
        <w:t>6、、中标人的保障团队提供24小时的远程协助；所提供的设备发生故障时，若需要现场协助处理的，要保证24小时内到位维修或更换。</w:t>
      </w:r>
    </w:p>
    <w:p>
      <w:pPr>
        <w:pStyle w:val="2"/>
        <w:rPr>
          <w:rFonts w:hint="eastAsia" w:ascii="仿宋" w:hAnsi="仿宋" w:eastAsia="仿宋" w:cs="仿宋"/>
          <w:b/>
          <w:color w:val="auto"/>
          <w:highlight w:val="none"/>
          <w:shd w:val="clear" w:color="auto" w:fill="FDFEFF"/>
          <w:lang w:val="en-US" w:eastAsia="zh-CN"/>
        </w:rPr>
      </w:pPr>
      <w:r>
        <w:rPr>
          <w:rFonts w:hint="eastAsia" w:ascii="仿宋" w:hAnsi="仿宋" w:eastAsia="仿宋" w:cs="仿宋"/>
          <w:b/>
          <w:color w:val="auto"/>
          <w:highlight w:val="none"/>
          <w:shd w:val="clear" w:color="auto" w:fill="FDFEFF"/>
          <w:lang w:val="en-US" w:eastAsia="zh-CN"/>
        </w:rPr>
        <w:t>（五）其他要求</w:t>
      </w:r>
    </w:p>
    <w:p>
      <w:pPr>
        <w:pStyle w:val="16"/>
        <w:keepNext w:val="0"/>
        <w:keepLines w:val="0"/>
        <w:pageBreakBefore w:val="0"/>
        <w:widowControl w:val="0"/>
        <w:shd w:val="clear" w:color="auto" w:fill="FDFEFF"/>
        <w:kinsoku/>
        <w:wordWrap/>
        <w:overflowPunct/>
        <w:topLinePunct w:val="0"/>
        <w:autoSpaceDE w:val="0"/>
        <w:autoSpaceDN w:val="0"/>
        <w:bidi w:val="0"/>
        <w:adjustRightInd/>
        <w:snapToGrid/>
        <w:spacing w:before="0" w:beforeAutospacing="0" w:after="0" w:afterAutospacing="0" w:line="540" w:lineRule="exact"/>
        <w:ind w:firstLine="480" w:firstLineChars="200"/>
        <w:textAlignment w:val="auto"/>
        <w:rPr>
          <w:rFonts w:hint="eastAsia" w:ascii="仿宋" w:hAnsi="仿宋" w:eastAsia="仿宋" w:cs="仿宋"/>
          <w:bCs/>
          <w:color w:val="auto"/>
          <w:highlight w:val="none"/>
          <w:shd w:val="clear" w:color="auto" w:fill="FDFEFF"/>
          <w:lang w:val="en-US" w:eastAsia="zh-CN"/>
        </w:rPr>
      </w:pPr>
      <w:r>
        <w:rPr>
          <w:rFonts w:hint="eastAsia" w:ascii="仿宋" w:hAnsi="仿宋" w:eastAsia="仿宋" w:cs="仿宋"/>
          <w:bCs/>
          <w:color w:val="auto"/>
          <w:highlight w:val="none"/>
          <w:shd w:val="clear" w:color="auto" w:fill="FDFEFF"/>
          <w:lang w:val="en-US" w:eastAsia="zh-CN"/>
        </w:rPr>
        <w:t>1、设备的包装必须是制造商原厂包装，其包装均应有良好的防湿、防锈、防潮、防雨、防腐及防碰撞的措施。由于包装不良造成的损失和由此产生的费用均由中标人承担。</w:t>
      </w:r>
    </w:p>
    <w:p>
      <w:pPr>
        <w:pStyle w:val="16"/>
        <w:keepNext w:val="0"/>
        <w:keepLines w:val="0"/>
        <w:pageBreakBefore w:val="0"/>
        <w:widowControl w:val="0"/>
        <w:shd w:val="clear" w:color="auto" w:fill="FDFEFF"/>
        <w:kinsoku/>
        <w:wordWrap/>
        <w:overflowPunct/>
        <w:topLinePunct w:val="0"/>
        <w:autoSpaceDE w:val="0"/>
        <w:autoSpaceDN w:val="0"/>
        <w:bidi w:val="0"/>
        <w:adjustRightInd/>
        <w:snapToGrid/>
        <w:spacing w:before="0" w:beforeAutospacing="0" w:after="0" w:afterAutospacing="0" w:line="540" w:lineRule="exact"/>
        <w:ind w:firstLine="480" w:firstLineChars="200"/>
        <w:textAlignment w:val="auto"/>
        <w:rPr>
          <w:rFonts w:hint="eastAsia" w:ascii="仿宋" w:hAnsi="仿宋" w:eastAsia="仿宋" w:cs="仿宋"/>
          <w:bCs/>
          <w:color w:val="auto"/>
          <w:highlight w:val="none"/>
          <w:shd w:val="clear" w:color="auto" w:fill="FDFEFF"/>
          <w:lang w:val="en-US" w:eastAsia="zh-CN"/>
        </w:rPr>
      </w:pPr>
      <w:r>
        <w:rPr>
          <w:rFonts w:hint="eastAsia" w:ascii="仿宋" w:hAnsi="仿宋" w:eastAsia="仿宋" w:cs="仿宋"/>
          <w:bCs/>
          <w:color w:val="auto"/>
          <w:highlight w:val="none"/>
          <w:shd w:val="clear" w:color="auto" w:fill="FDFEFF"/>
          <w:lang w:val="en-US" w:eastAsia="zh-CN"/>
        </w:rPr>
        <w:t>2、货物为原厂商未启封全新包装，具出厂合格证，序列号、包装箱号与出厂批号一致，并可追溯查阅。所有设备的附件必须齐全。</w:t>
      </w:r>
    </w:p>
    <w:p>
      <w:pPr>
        <w:pStyle w:val="16"/>
        <w:keepNext w:val="0"/>
        <w:keepLines w:val="0"/>
        <w:pageBreakBefore w:val="0"/>
        <w:widowControl w:val="0"/>
        <w:shd w:val="clear" w:color="auto" w:fill="FDFEFF"/>
        <w:kinsoku/>
        <w:wordWrap/>
        <w:overflowPunct/>
        <w:topLinePunct w:val="0"/>
        <w:autoSpaceDE w:val="0"/>
        <w:autoSpaceDN w:val="0"/>
        <w:bidi w:val="0"/>
        <w:adjustRightInd/>
        <w:snapToGrid/>
        <w:spacing w:before="0" w:beforeAutospacing="0" w:after="0" w:afterAutospacing="0" w:line="540" w:lineRule="exact"/>
        <w:ind w:firstLine="480" w:firstLineChars="200"/>
        <w:textAlignment w:val="auto"/>
        <w:rPr>
          <w:rFonts w:hint="eastAsia" w:ascii="仿宋" w:hAnsi="仿宋" w:eastAsia="仿宋" w:cs="仿宋"/>
          <w:bCs/>
          <w:color w:val="auto"/>
          <w:highlight w:val="none"/>
          <w:shd w:val="clear" w:color="auto" w:fill="FDFEFF"/>
          <w:lang w:val="en-US" w:eastAsia="zh-CN"/>
        </w:rPr>
      </w:pPr>
      <w:r>
        <w:rPr>
          <w:rFonts w:hint="eastAsia" w:ascii="仿宋" w:hAnsi="仿宋" w:eastAsia="仿宋" w:cs="仿宋"/>
          <w:bCs/>
          <w:color w:val="auto"/>
          <w:highlight w:val="none"/>
          <w:shd w:val="clear" w:color="auto" w:fill="FDFEFF"/>
          <w:lang w:val="en-US" w:eastAsia="zh-CN"/>
        </w:rPr>
        <w:t>3、中标人应将设备的用户手册、保修手册、有关单证资料及配备件、随机工具等交付给中心，使用操作及安全须知等重要资料应附有中文说明。</w:t>
      </w:r>
    </w:p>
    <w:p>
      <w:pPr>
        <w:pStyle w:val="16"/>
        <w:keepNext w:val="0"/>
        <w:keepLines w:val="0"/>
        <w:pageBreakBefore w:val="0"/>
        <w:widowControl w:val="0"/>
        <w:shd w:val="clear" w:color="auto" w:fill="FDFEFF"/>
        <w:kinsoku/>
        <w:wordWrap/>
        <w:overflowPunct/>
        <w:topLinePunct w:val="0"/>
        <w:autoSpaceDE w:val="0"/>
        <w:autoSpaceDN w:val="0"/>
        <w:bidi w:val="0"/>
        <w:adjustRightInd/>
        <w:snapToGrid/>
        <w:spacing w:before="0" w:beforeAutospacing="0" w:after="0" w:afterAutospacing="0" w:line="540" w:lineRule="exact"/>
        <w:ind w:firstLine="480" w:firstLineChars="200"/>
        <w:textAlignment w:val="auto"/>
        <w:rPr>
          <w:rFonts w:hint="eastAsia" w:ascii="仿宋" w:hAnsi="仿宋" w:eastAsia="仿宋" w:cs="仿宋"/>
          <w:bCs/>
          <w:color w:val="auto"/>
          <w:highlight w:val="none"/>
          <w:shd w:val="clear" w:color="auto" w:fill="FDFEFF"/>
          <w:lang w:val="en-US" w:eastAsia="zh-CN"/>
        </w:rPr>
      </w:pPr>
      <w:r>
        <w:rPr>
          <w:rFonts w:hint="eastAsia" w:ascii="仿宋" w:hAnsi="仿宋" w:eastAsia="仿宋" w:cs="仿宋"/>
          <w:bCs/>
          <w:color w:val="auto"/>
          <w:highlight w:val="none"/>
          <w:shd w:val="clear" w:color="auto" w:fill="FDFEFF"/>
          <w:lang w:val="en-US" w:eastAsia="zh-CN"/>
        </w:rPr>
        <w:t>4、招标人组成验收小组按国家有关规定、规范进行验收，必要时邀请相关的专业人员或机构参与验收。因货物质量问题发生争议时，由本地质量技术监督部门鉴定。货物符合质量技术标准的，鉴定费由中标人承担。</w:t>
      </w:r>
    </w:p>
    <w:p>
      <w:pPr>
        <w:pStyle w:val="16"/>
        <w:keepNext w:val="0"/>
        <w:keepLines w:val="0"/>
        <w:pageBreakBefore w:val="0"/>
        <w:widowControl w:val="0"/>
        <w:shd w:val="clear" w:color="auto" w:fill="FDFEFF"/>
        <w:kinsoku/>
        <w:wordWrap/>
        <w:overflowPunct/>
        <w:topLinePunct w:val="0"/>
        <w:autoSpaceDE w:val="0"/>
        <w:autoSpaceDN w:val="0"/>
        <w:bidi w:val="0"/>
        <w:adjustRightInd/>
        <w:snapToGrid/>
        <w:spacing w:before="0" w:beforeAutospacing="0" w:after="0" w:afterAutospacing="0" w:line="540" w:lineRule="exact"/>
        <w:ind w:firstLine="480" w:firstLineChars="200"/>
        <w:textAlignment w:val="auto"/>
        <w:rPr>
          <w:rFonts w:hint="eastAsia" w:ascii="仿宋" w:hAnsi="仿宋" w:eastAsia="仿宋" w:cs="仿宋"/>
          <w:bCs/>
          <w:color w:val="auto"/>
          <w:highlight w:val="none"/>
          <w:shd w:val="clear" w:color="auto" w:fill="FDFEFF"/>
          <w:lang w:val="en-US" w:eastAsia="zh-CN"/>
        </w:rPr>
      </w:pPr>
    </w:p>
    <w:p>
      <w:pPr>
        <w:pStyle w:val="18"/>
        <w:rPr>
          <w:rFonts w:hint="eastAsia" w:ascii="仿宋" w:hAnsi="仿宋" w:eastAsia="仿宋" w:cs="仿宋"/>
          <w:b/>
          <w:color w:val="auto"/>
          <w:highlight w:val="none"/>
          <w:shd w:val="clear" w:color="auto" w:fill="FDFEFF"/>
          <w:lang w:val="en-US" w:eastAsia="zh-CN"/>
        </w:rPr>
      </w:pPr>
    </w:p>
    <w:p>
      <w:pPr>
        <w:pStyle w:val="18"/>
        <w:rPr>
          <w:rFonts w:hint="eastAsia" w:ascii="仿宋" w:hAnsi="仿宋" w:eastAsia="仿宋" w:cs="仿宋"/>
          <w:b/>
          <w:color w:val="auto"/>
          <w:highlight w:val="none"/>
          <w:shd w:val="clear" w:color="auto" w:fill="FDFEFF"/>
          <w:lang w:val="en-US" w:eastAsia="zh-CN"/>
        </w:rPr>
      </w:pPr>
    </w:p>
    <w:p>
      <w:pPr>
        <w:pStyle w:val="18"/>
        <w:rPr>
          <w:rFonts w:hint="eastAsia" w:ascii="仿宋" w:hAnsi="仿宋" w:eastAsia="仿宋" w:cs="仿宋"/>
          <w:b/>
          <w:color w:val="auto"/>
          <w:highlight w:val="none"/>
          <w:shd w:val="clear" w:color="auto" w:fill="FDFEFF"/>
          <w:lang w:val="en-US" w:eastAsia="zh-CN"/>
        </w:rPr>
      </w:pPr>
    </w:p>
    <w:p>
      <w:pPr>
        <w:pStyle w:val="18"/>
        <w:rPr>
          <w:rFonts w:hint="eastAsia" w:ascii="仿宋" w:hAnsi="仿宋" w:eastAsia="仿宋" w:cs="仿宋"/>
          <w:b/>
          <w:color w:val="auto"/>
          <w:highlight w:val="none"/>
          <w:shd w:val="clear" w:color="auto" w:fill="FDFEFF"/>
          <w:lang w:val="en-US" w:eastAsia="zh-CN"/>
        </w:rPr>
      </w:pPr>
    </w:p>
    <w:p>
      <w:pPr>
        <w:pStyle w:val="18"/>
        <w:rPr>
          <w:rFonts w:hint="eastAsia" w:ascii="仿宋" w:hAnsi="仿宋" w:eastAsia="仿宋" w:cs="仿宋"/>
          <w:b/>
          <w:color w:val="auto"/>
          <w:highlight w:val="none"/>
          <w:shd w:val="clear" w:color="auto" w:fill="FDFEFF"/>
          <w:lang w:val="en-US" w:eastAsia="zh-CN"/>
        </w:rPr>
      </w:pPr>
    </w:p>
    <w:p>
      <w:pPr>
        <w:pStyle w:val="18"/>
        <w:rPr>
          <w:rFonts w:hint="eastAsia" w:ascii="仿宋" w:hAnsi="仿宋" w:eastAsia="仿宋" w:cs="仿宋"/>
          <w:b/>
          <w:color w:val="auto"/>
          <w:highlight w:val="none"/>
          <w:shd w:val="clear" w:color="auto" w:fill="FDFEFF"/>
          <w:lang w:val="en-US" w:eastAsia="zh-CN"/>
        </w:rPr>
      </w:pPr>
    </w:p>
    <w:p>
      <w:pPr>
        <w:pStyle w:val="18"/>
        <w:rPr>
          <w:rFonts w:hint="eastAsia" w:ascii="仿宋" w:hAnsi="仿宋" w:eastAsia="仿宋" w:cs="仿宋"/>
          <w:b/>
          <w:color w:val="auto"/>
          <w:highlight w:val="none"/>
          <w:shd w:val="clear" w:color="auto" w:fill="FDFEFF"/>
          <w:lang w:val="en-US" w:eastAsia="zh-CN"/>
        </w:rPr>
      </w:pPr>
    </w:p>
    <w:p>
      <w:pPr>
        <w:pStyle w:val="16"/>
        <w:shd w:val="clear" w:color="auto" w:fill="FDFEFF"/>
        <w:spacing w:before="0" w:beforeAutospacing="0" w:after="0" w:afterAutospacing="0" w:line="540" w:lineRule="exact"/>
        <w:ind w:firstLine="482" w:firstLineChars="200"/>
        <w:jc w:val="center"/>
        <w:rPr>
          <w:rFonts w:hint="eastAsia" w:ascii="仿宋" w:hAnsi="仿宋" w:eastAsia="仿宋" w:cs="仿宋"/>
          <w:b/>
          <w:color w:val="auto"/>
          <w:kern w:val="0"/>
          <w:sz w:val="24"/>
          <w:highlight w:val="none"/>
        </w:rPr>
      </w:pPr>
      <w:r>
        <w:rPr>
          <w:rFonts w:hint="eastAsia" w:ascii="仿宋" w:hAnsi="仿宋" w:eastAsia="仿宋" w:cs="仿宋"/>
          <w:b/>
          <w:bCs/>
          <w:color w:val="auto"/>
          <w:highlight w:val="none"/>
        </w:rPr>
        <w:t>第</w:t>
      </w:r>
      <w:r>
        <w:rPr>
          <w:rFonts w:hint="eastAsia" w:ascii="仿宋" w:hAnsi="仿宋" w:eastAsia="仿宋" w:cs="仿宋"/>
          <w:b/>
          <w:bCs/>
          <w:color w:val="auto"/>
          <w:highlight w:val="none"/>
          <w:lang w:val="en-US" w:eastAsia="zh-CN"/>
        </w:rPr>
        <w:t>五</w:t>
      </w:r>
      <w:r>
        <w:rPr>
          <w:rFonts w:hint="eastAsia" w:ascii="仿宋" w:hAnsi="仿宋" w:eastAsia="仿宋" w:cs="仿宋"/>
          <w:b/>
          <w:bCs/>
          <w:color w:val="auto"/>
          <w:highlight w:val="none"/>
        </w:rPr>
        <w:t>章  合同条款及合同格式</w:t>
      </w:r>
      <w:bookmarkEnd w:id="99"/>
    </w:p>
    <w:p>
      <w:pPr>
        <w:spacing w:line="520" w:lineRule="exact"/>
        <w:ind w:firstLine="3373" w:firstLineChars="1400"/>
        <w:rPr>
          <w:rFonts w:hint="eastAsia" w:ascii="仿宋" w:hAnsi="仿宋" w:eastAsia="仿宋" w:cs="仿宋"/>
          <w:b/>
          <w:color w:val="auto"/>
          <w:kern w:val="0"/>
          <w:sz w:val="24"/>
          <w:highlight w:val="none"/>
          <w:lang w:eastAsia="zh-CN"/>
        </w:rPr>
      </w:pPr>
    </w:p>
    <w:p>
      <w:pPr>
        <w:pStyle w:val="18"/>
        <w:ind w:left="0" w:leftChars="0" w:firstLine="0" w:firstLineChars="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合同最终以双方签订的书面条款为准</w:t>
      </w:r>
      <w:r>
        <w:rPr>
          <w:rFonts w:hint="eastAsia" w:ascii="仿宋" w:hAnsi="仿宋" w:eastAsia="仿宋" w:cs="仿宋"/>
          <w:b/>
          <w:color w:val="auto"/>
          <w:sz w:val="24"/>
          <w:highlight w:val="none"/>
          <w:lang w:val="en-US" w:eastAsia="zh-CN"/>
        </w:rPr>
        <w:t>）</w:t>
      </w:r>
    </w:p>
    <w:p>
      <w:pPr>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ind w:left="0" w:leftChars="0" w:firstLine="0" w:firstLineChars="0"/>
        <w:rPr>
          <w:rFonts w:hint="eastAsia" w:ascii="仿宋" w:hAnsi="仿宋" w:eastAsia="仿宋" w:cs="仿宋"/>
          <w:color w:val="auto"/>
          <w:kern w:val="0"/>
          <w:sz w:val="24"/>
          <w:highlight w:val="none"/>
        </w:rPr>
      </w:pPr>
    </w:p>
    <w:p>
      <w:pPr>
        <w:pStyle w:val="3"/>
        <w:numPr>
          <w:ilvl w:val="0"/>
          <w:numId w:val="0"/>
        </w:numPr>
        <w:tabs>
          <w:tab w:val="left" w:pos="0"/>
        </w:tabs>
        <w:ind w:firstLine="2349" w:firstLineChars="650"/>
        <w:jc w:val="left"/>
        <w:rPr>
          <w:rFonts w:hint="eastAsia" w:ascii="仿宋" w:hAnsi="仿宋" w:eastAsia="仿宋" w:cs="仿宋"/>
          <w:b/>
          <w:bCs/>
          <w:color w:val="auto"/>
          <w:highlight w:val="none"/>
        </w:rPr>
      </w:pPr>
      <w:bookmarkStart w:id="106" w:name="_Toc521014794"/>
      <w:r>
        <w:rPr>
          <w:rFonts w:hint="eastAsia" w:ascii="仿宋" w:hAnsi="仿宋" w:eastAsia="仿宋" w:cs="仿宋"/>
          <w:b/>
          <w:bCs/>
          <w:color w:val="auto"/>
          <w:highlight w:val="none"/>
        </w:rPr>
        <w:t>第六章  投标文件格式</w:t>
      </w:r>
      <w:bookmarkEnd w:id="100"/>
      <w:bookmarkEnd w:id="101"/>
      <w:bookmarkEnd w:id="106"/>
    </w:p>
    <w:p>
      <w:pPr>
        <w:spacing w:line="480" w:lineRule="auto"/>
        <w:ind w:firstLine="1280" w:firstLineChars="400"/>
        <w:rPr>
          <w:rFonts w:hint="eastAsia" w:ascii="仿宋" w:hAnsi="仿宋" w:eastAsia="仿宋" w:cs="仿宋"/>
          <w:color w:val="auto"/>
          <w:sz w:val="24"/>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24"/>
          <w:highlight w:val="none"/>
        </w:rPr>
        <w:t xml:space="preserve">      </w:t>
      </w:r>
    </w:p>
    <w:p>
      <w:pPr>
        <w:spacing w:line="480" w:lineRule="auto"/>
        <w:ind w:firstLine="960" w:firstLineChars="40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32"/>
          <w:szCs w:val="32"/>
          <w:highlight w:val="none"/>
        </w:rPr>
        <w:t>正本/或副本</w:t>
      </w:r>
    </w:p>
    <w:p>
      <w:pPr>
        <w:spacing w:line="700" w:lineRule="exact"/>
        <w:jc w:val="center"/>
        <w:rPr>
          <w:rFonts w:hint="eastAsia" w:ascii="仿宋" w:hAnsi="仿宋" w:eastAsia="仿宋" w:cs="仿宋"/>
          <w:b/>
          <w:bCs/>
          <w:color w:val="auto"/>
          <w:spacing w:val="20"/>
          <w:sz w:val="32"/>
          <w:szCs w:val="32"/>
          <w:highlight w:val="none"/>
          <w:lang w:eastAsia="zh-CN"/>
        </w:rPr>
      </w:pPr>
      <w:r>
        <w:rPr>
          <w:rFonts w:hint="eastAsia" w:ascii="仿宋" w:hAnsi="仿宋" w:eastAsia="仿宋" w:cs="仿宋"/>
          <w:b/>
          <w:bCs/>
          <w:color w:val="auto"/>
          <w:spacing w:val="20"/>
          <w:sz w:val="32"/>
          <w:szCs w:val="32"/>
          <w:highlight w:val="none"/>
          <w:lang w:eastAsia="zh-CN"/>
        </w:rPr>
        <w:t>新疆工程学院《电力系统继电保护实训室建设》项目</w:t>
      </w:r>
    </w:p>
    <w:p>
      <w:pPr>
        <w:spacing w:line="700" w:lineRule="exact"/>
        <w:jc w:val="center"/>
        <w:rPr>
          <w:rFonts w:hint="eastAsia" w:ascii="仿宋" w:hAnsi="仿宋" w:eastAsia="仿宋" w:cs="仿宋"/>
          <w:b/>
          <w:bCs/>
          <w:color w:val="auto"/>
          <w:spacing w:val="20"/>
          <w:sz w:val="32"/>
          <w:szCs w:val="32"/>
          <w:highlight w:val="none"/>
          <w:lang w:eastAsia="zh-CN"/>
        </w:rPr>
      </w:pPr>
    </w:p>
    <w:p>
      <w:pPr>
        <w:spacing w:line="700" w:lineRule="exact"/>
        <w:jc w:val="center"/>
        <w:rPr>
          <w:rFonts w:hint="eastAsia" w:ascii="仿宋" w:hAnsi="仿宋" w:eastAsia="仿宋" w:cs="仿宋"/>
          <w:b/>
          <w:bCs/>
          <w:color w:val="auto"/>
          <w:spacing w:val="20"/>
          <w:sz w:val="32"/>
          <w:szCs w:val="32"/>
          <w:highlight w:val="none"/>
          <w:lang w:eastAsia="zh-CN"/>
        </w:rPr>
      </w:pPr>
      <w:r>
        <w:rPr>
          <w:rFonts w:hint="eastAsia" w:ascii="仿宋" w:hAnsi="仿宋" w:eastAsia="仿宋" w:cs="仿宋"/>
          <w:b/>
          <w:bCs/>
          <w:color w:val="auto"/>
          <w:spacing w:val="20"/>
          <w:sz w:val="32"/>
          <w:szCs w:val="32"/>
          <w:highlight w:val="none"/>
          <w:lang w:eastAsia="zh-CN"/>
        </w:rPr>
        <w:t>项目标包号：</w:t>
      </w:r>
      <w:r>
        <w:rPr>
          <w:rFonts w:hint="eastAsia" w:ascii="仿宋" w:hAnsi="仿宋" w:eastAsia="仿宋" w:cs="仿宋"/>
          <w:b/>
          <w:bCs/>
          <w:color w:val="auto"/>
          <w:spacing w:val="20"/>
          <w:sz w:val="32"/>
          <w:szCs w:val="32"/>
          <w:highlight w:val="none"/>
          <w:lang w:val="en-US" w:eastAsia="zh-CN"/>
        </w:rPr>
        <w:t xml:space="preserve">XZJ22649 </w:t>
      </w:r>
    </w:p>
    <w:p>
      <w:pPr>
        <w:pStyle w:val="5"/>
        <w:numPr>
          <w:ilvl w:val="0"/>
          <w:numId w:val="0"/>
        </w:numPr>
        <w:ind w:firstLine="120" w:firstLineChars="50"/>
        <w:jc w:val="center"/>
        <w:rPr>
          <w:rFonts w:hint="eastAsia" w:ascii="仿宋" w:hAnsi="仿宋" w:eastAsia="仿宋" w:cs="仿宋"/>
          <w:color w:val="auto"/>
          <w:sz w:val="24"/>
          <w:szCs w:val="24"/>
          <w:highlight w:val="none"/>
        </w:rPr>
      </w:pPr>
    </w:p>
    <w:p>
      <w:pPr>
        <w:pStyle w:val="5"/>
        <w:numPr>
          <w:ilvl w:val="0"/>
          <w:numId w:val="0"/>
        </w:numPr>
        <w:ind w:firstLine="3534" w:firstLineChars="11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标</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文</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件</w:t>
      </w:r>
    </w:p>
    <w:p>
      <w:pPr>
        <w:pStyle w:val="5"/>
        <w:numPr>
          <w:ilvl w:val="0"/>
          <w:numId w:val="0"/>
        </w:numPr>
        <w:rPr>
          <w:rFonts w:hint="eastAsia" w:ascii="仿宋" w:hAnsi="仿宋" w:eastAsia="仿宋" w:cs="仿宋"/>
          <w:color w:val="auto"/>
          <w:sz w:val="24"/>
          <w:szCs w:val="24"/>
          <w:highlight w:val="none"/>
        </w:rPr>
      </w:pPr>
    </w:p>
    <w:p>
      <w:pPr>
        <w:rPr>
          <w:rFonts w:hint="eastAsia" w:ascii="仿宋" w:hAnsi="仿宋" w:eastAsia="仿宋" w:cs="仿宋"/>
          <w:color w:val="auto"/>
          <w:sz w:val="24"/>
          <w:highlight w:val="none"/>
        </w:rPr>
      </w:pPr>
    </w:p>
    <w:p>
      <w:pPr>
        <w:spacing w:line="480" w:lineRule="auto"/>
        <w:ind w:firstLine="843" w:firstLineChars="35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招标单位：</w:t>
      </w:r>
    </w:p>
    <w:p>
      <w:pPr>
        <w:spacing w:line="480" w:lineRule="auto"/>
        <w:ind w:firstLine="843" w:firstLineChars="35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w:t>
      </w:r>
      <w:r>
        <w:rPr>
          <w:rFonts w:hint="eastAsia" w:ascii="仿宋" w:hAnsi="仿宋" w:eastAsia="仿宋" w:cs="仿宋"/>
          <w:b/>
          <w:bCs/>
          <w:color w:val="auto"/>
          <w:sz w:val="24"/>
          <w:highlight w:val="none"/>
          <w:lang w:eastAsia="zh-CN"/>
        </w:rPr>
        <w:t>人</w:t>
      </w:r>
      <w:r>
        <w:rPr>
          <w:rFonts w:hint="eastAsia" w:ascii="仿宋" w:hAnsi="仿宋" w:eastAsia="仿宋" w:cs="仿宋"/>
          <w:b/>
          <w:bCs/>
          <w:color w:val="auto"/>
          <w:sz w:val="24"/>
          <w:highlight w:val="none"/>
        </w:rPr>
        <w:t xml:space="preserve">（盖章）： </w:t>
      </w:r>
    </w:p>
    <w:p>
      <w:pPr>
        <w:spacing w:line="480" w:lineRule="auto"/>
        <w:ind w:firstLine="843" w:firstLineChars="350"/>
        <w:jc w:val="left"/>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highlight w:val="none"/>
        </w:rPr>
        <w:t>法定代表人（签字或盖章）：</w:t>
      </w:r>
    </w:p>
    <w:p>
      <w:pPr>
        <w:spacing w:line="480" w:lineRule="auto"/>
        <w:ind w:firstLine="843" w:firstLineChars="35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w:t>
      </w:r>
      <w:r>
        <w:rPr>
          <w:rFonts w:hint="eastAsia" w:ascii="仿宋" w:hAnsi="仿宋" w:eastAsia="仿宋" w:cs="仿宋"/>
          <w:b/>
          <w:bCs/>
          <w:color w:val="auto"/>
          <w:sz w:val="24"/>
          <w:highlight w:val="none"/>
          <w:lang w:eastAsia="zh-CN"/>
        </w:rPr>
        <w:t>人</w:t>
      </w:r>
      <w:r>
        <w:rPr>
          <w:rFonts w:hint="eastAsia" w:ascii="仿宋" w:hAnsi="仿宋" w:eastAsia="仿宋" w:cs="仿宋"/>
          <w:b/>
          <w:bCs/>
          <w:color w:val="auto"/>
          <w:sz w:val="24"/>
          <w:highlight w:val="none"/>
        </w:rPr>
        <w:t>地址：</w:t>
      </w:r>
    </w:p>
    <w:p>
      <w:pPr>
        <w:spacing w:line="480" w:lineRule="auto"/>
        <w:ind w:firstLine="843" w:firstLineChars="35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联系人及电话：</w:t>
      </w:r>
    </w:p>
    <w:p>
      <w:pPr>
        <w:spacing w:line="480" w:lineRule="auto"/>
        <w:ind w:firstLine="964" w:firstLineChars="400"/>
        <w:rPr>
          <w:rFonts w:hint="eastAsia" w:ascii="仿宋" w:hAnsi="仿宋" w:eastAsia="仿宋" w:cs="仿宋"/>
          <w:b/>
          <w:bCs/>
          <w:color w:val="auto"/>
          <w:sz w:val="24"/>
          <w:highlight w:val="none"/>
        </w:rPr>
      </w:pPr>
    </w:p>
    <w:p>
      <w:pPr>
        <w:pStyle w:val="18"/>
        <w:rPr>
          <w:rFonts w:hint="eastAsia" w:ascii="仿宋" w:hAnsi="仿宋" w:eastAsia="仿宋" w:cs="仿宋"/>
          <w:b/>
          <w:bCs/>
          <w:color w:val="auto"/>
          <w:sz w:val="24"/>
          <w:highlight w:val="none"/>
        </w:rPr>
      </w:pPr>
    </w:p>
    <w:p>
      <w:pPr>
        <w:pStyle w:val="18"/>
        <w:rPr>
          <w:rFonts w:hint="eastAsia" w:ascii="仿宋" w:hAnsi="仿宋" w:eastAsia="仿宋" w:cs="仿宋"/>
          <w:b/>
          <w:bCs/>
          <w:color w:val="auto"/>
          <w:sz w:val="24"/>
          <w:highlight w:val="none"/>
        </w:rPr>
      </w:pPr>
    </w:p>
    <w:p>
      <w:pPr>
        <w:pStyle w:val="18"/>
        <w:rPr>
          <w:rFonts w:hint="eastAsia" w:ascii="仿宋" w:hAnsi="仿宋" w:eastAsia="仿宋" w:cs="仿宋"/>
          <w:b/>
          <w:bCs/>
          <w:color w:val="auto"/>
          <w:sz w:val="24"/>
          <w:highlight w:val="none"/>
        </w:rPr>
      </w:pPr>
    </w:p>
    <w:p>
      <w:pPr>
        <w:pStyle w:val="18"/>
        <w:rPr>
          <w:rFonts w:hint="eastAsia" w:ascii="仿宋" w:hAnsi="仿宋" w:eastAsia="仿宋" w:cs="仿宋"/>
          <w:b/>
          <w:bCs/>
          <w:color w:val="auto"/>
          <w:sz w:val="24"/>
          <w:highlight w:val="none"/>
        </w:rPr>
      </w:pPr>
    </w:p>
    <w:p>
      <w:pPr>
        <w:pStyle w:val="18"/>
        <w:rPr>
          <w:rFonts w:hint="eastAsia" w:ascii="仿宋" w:hAnsi="仿宋" w:eastAsia="仿宋" w:cs="仿宋"/>
          <w:b/>
          <w:bCs/>
          <w:color w:val="auto"/>
          <w:sz w:val="24"/>
          <w:highlight w:val="none"/>
        </w:rPr>
      </w:pPr>
    </w:p>
    <w:p>
      <w:pPr>
        <w:pStyle w:val="18"/>
        <w:rPr>
          <w:rFonts w:hint="eastAsia" w:ascii="仿宋" w:hAnsi="仿宋" w:eastAsia="仿宋" w:cs="仿宋"/>
          <w:b/>
          <w:bCs/>
          <w:color w:val="auto"/>
          <w:sz w:val="24"/>
          <w:highlight w:val="none"/>
        </w:rPr>
      </w:pPr>
    </w:p>
    <w:p>
      <w:pPr>
        <w:pStyle w:val="18"/>
        <w:rPr>
          <w:rFonts w:hint="eastAsia" w:ascii="仿宋" w:hAnsi="仿宋" w:eastAsia="仿宋" w:cs="仿宋"/>
          <w:b/>
          <w:bCs/>
          <w:color w:val="auto"/>
          <w:sz w:val="24"/>
          <w:highlight w:val="none"/>
        </w:rPr>
      </w:pPr>
    </w:p>
    <w:p>
      <w:pPr>
        <w:pStyle w:val="18"/>
        <w:rPr>
          <w:rFonts w:hint="eastAsia" w:ascii="仿宋" w:hAnsi="仿宋" w:eastAsia="仿宋" w:cs="仿宋"/>
          <w:b/>
          <w:bCs/>
          <w:color w:val="auto"/>
          <w:sz w:val="24"/>
          <w:highlight w:val="none"/>
        </w:rPr>
      </w:pPr>
    </w:p>
    <w:p>
      <w:pPr>
        <w:pStyle w:val="18"/>
        <w:rPr>
          <w:rFonts w:hint="eastAsia" w:ascii="仿宋" w:hAnsi="仿宋" w:eastAsia="仿宋" w:cs="仿宋"/>
          <w:b/>
          <w:bCs/>
          <w:color w:val="auto"/>
          <w:sz w:val="24"/>
          <w:highlight w:val="none"/>
        </w:rPr>
      </w:pPr>
    </w:p>
    <w:p>
      <w:pPr>
        <w:pStyle w:val="18"/>
        <w:rPr>
          <w:rFonts w:hint="eastAsia" w:ascii="仿宋" w:hAnsi="仿宋" w:eastAsia="仿宋" w:cs="仿宋"/>
          <w:b/>
          <w:bCs/>
          <w:color w:val="auto"/>
          <w:sz w:val="24"/>
          <w:highlight w:val="none"/>
        </w:rPr>
      </w:pPr>
    </w:p>
    <w:p>
      <w:pPr>
        <w:pStyle w:val="5"/>
        <w:numPr>
          <w:ilvl w:val="0"/>
          <w:numId w:val="0"/>
        </w:numPr>
        <w:ind w:left="400"/>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  录</w:t>
      </w:r>
    </w:p>
    <w:p>
      <w:pPr>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（一）投 标 函</w:t>
      </w:r>
    </w:p>
    <w:p>
      <w:pPr>
        <w:spacing w:line="360" w:lineRule="auto"/>
        <w:jc w:val="left"/>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rPr>
        <w:t>（二）</w:t>
      </w:r>
      <w:r>
        <w:rPr>
          <w:rFonts w:hint="eastAsia" w:ascii="仿宋" w:hAnsi="仿宋" w:eastAsia="仿宋" w:cs="仿宋"/>
          <w:b/>
          <w:color w:val="auto"/>
          <w:sz w:val="28"/>
          <w:szCs w:val="28"/>
          <w:highlight w:val="none"/>
          <w:lang w:val="zh-CN"/>
        </w:rPr>
        <w:t>法定代表人证明书</w:t>
      </w:r>
    </w:p>
    <w:p>
      <w:pPr>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（三）法定代表人授权书</w:t>
      </w:r>
    </w:p>
    <w:p>
      <w:pPr>
        <w:spacing w:line="360" w:lineRule="auto"/>
        <w:jc w:val="left"/>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（四）投标资格证明文件</w:t>
      </w:r>
    </w:p>
    <w:p>
      <w:pPr>
        <w:spacing w:line="360" w:lineRule="auto"/>
        <w:jc w:val="left"/>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（五 ）开标一览表</w:t>
      </w:r>
    </w:p>
    <w:p>
      <w:pPr>
        <w:spacing w:line="360" w:lineRule="auto"/>
        <w:jc w:val="left"/>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（六）投标产品名称、数量、规格明细报价表</w:t>
      </w:r>
    </w:p>
    <w:p>
      <w:pPr>
        <w:spacing w:line="360" w:lineRule="auto"/>
        <w:jc w:val="left"/>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（七）商 务 条 款 偏 离 表</w:t>
      </w:r>
    </w:p>
    <w:p>
      <w:pPr>
        <w:spacing w:line="360" w:lineRule="auto"/>
        <w:jc w:val="left"/>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（八）技 术 规 格 偏 离 表</w:t>
      </w:r>
    </w:p>
    <w:p>
      <w:pPr>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（九）近三年（2019年1月1日至今）类似业绩</w:t>
      </w:r>
    </w:p>
    <w:p>
      <w:pPr>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w:t>
      </w:r>
      <w:r>
        <w:rPr>
          <w:rFonts w:hint="eastAsia" w:ascii="仿宋" w:hAnsi="仿宋" w:eastAsia="仿宋" w:cs="仿宋"/>
          <w:b/>
          <w:color w:val="auto"/>
          <w:sz w:val="28"/>
          <w:szCs w:val="28"/>
          <w:highlight w:val="none"/>
        </w:rPr>
        <w:t>诚信投标承诺书</w:t>
      </w:r>
    </w:p>
    <w:p>
      <w:pPr>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zh-CN" w:eastAsia="zh-CN"/>
        </w:rPr>
        <w:t>（十一）无重大违法记录声明书</w:t>
      </w:r>
    </w:p>
    <w:p>
      <w:pPr>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（十二）技术方案</w:t>
      </w:r>
    </w:p>
    <w:p>
      <w:pPr>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三</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投标人</w:t>
      </w:r>
      <w:r>
        <w:rPr>
          <w:rFonts w:hint="eastAsia" w:ascii="仿宋" w:hAnsi="仿宋" w:eastAsia="仿宋" w:cs="仿宋"/>
          <w:b/>
          <w:color w:val="auto"/>
          <w:sz w:val="28"/>
          <w:szCs w:val="28"/>
          <w:highlight w:val="none"/>
        </w:rPr>
        <w:t>《反商业贿赂承诺书》</w:t>
      </w:r>
    </w:p>
    <w:p>
      <w:pPr>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（十四）中小微企业声明函</w:t>
      </w:r>
    </w:p>
    <w:p>
      <w:pPr>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五</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投标人其他承诺及优惠条件</w:t>
      </w:r>
    </w:p>
    <w:p>
      <w:pPr>
        <w:pStyle w:val="5"/>
        <w:numPr>
          <w:ilvl w:val="0"/>
          <w:numId w:val="0"/>
        </w:numPr>
        <w:ind w:left="400"/>
        <w:rPr>
          <w:rFonts w:hint="eastAsia" w:ascii="仿宋" w:hAnsi="仿宋" w:eastAsia="仿宋" w:cs="仿宋"/>
          <w:color w:val="auto"/>
          <w:sz w:val="24"/>
          <w:szCs w:val="24"/>
          <w:highlight w:val="none"/>
        </w:rPr>
      </w:pPr>
    </w:p>
    <w:p>
      <w:pPr>
        <w:pStyle w:val="4"/>
        <w:numPr>
          <w:ilvl w:val="0"/>
          <w:numId w:val="0"/>
        </w:numPr>
        <w:rPr>
          <w:rFonts w:hint="eastAsia" w:ascii="仿宋" w:hAnsi="仿宋" w:eastAsia="仿宋" w:cs="仿宋"/>
          <w:color w:val="auto"/>
          <w:sz w:val="24"/>
          <w:szCs w:val="24"/>
          <w:highlight w:val="none"/>
        </w:rPr>
      </w:pPr>
      <w:bookmarkStart w:id="107" w:name="_Toc18414"/>
      <w:bookmarkStart w:id="108" w:name="_Toc20528"/>
    </w:p>
    <w:p>
      <w:pPr>
        <w:rPr>
          <w:rFonts w:hint="eastAsia" w:ascii="仿宋" w:hAnsi="仿宋" w:eastAsia="仿宋" w:cs="仿宋"/>
          <w:color w:val="auto"/>
          <w:sz w:val="24"/>
          <w:szCs w:val="24"/>
          <w:highlight w:val="none"/>
        </w:rPr>
      </w:pPr>
    </w:p>
    <w:p>
      <w:pPr>
        <w:pStyle w:val="18"/>
        <w:rPr>
          <w:rFonts w:hint="eastAsia" w:ascii="仿宋" w:hAnsi="仿宋" w:eastAsia="仿宋" w:cs="仿宋"/>
          <w:color w:val="auto"/>
          <w:sz w:val="24"/>
          <w:szCs w:val="24"/>
          <w:highlight w:val="none"/>
        </w:rPr>
      </w:pPr>
    </w:p>
    <w:p>
      <w:pPr>
        <w:pStyle w:val="18"/>
        <w:rPr>
          <w:rFonts w:hint="eastAsia" w:ascii="仿宋" w:hAnsi="仿宋" w:eastAsia="仿宋" w:cs="仿宋"/>
          <w:color w:val="auto"/>
          <w:sz w:val="24"/>
          <w:szCs w:val="24"/>
          <w:highlight w:val="none"/>
        </w:rPr>
      </w:pPr>
    </w:p>
    <w:p>
      <w:pPr>
        <w:pStyle w:val="18"/>
        <w:rPr>
          <w:rFonts w:hint="eastAsia" w:ascii="仿宋" w:hAnsi="仿宋" w:eastAsia="仿宋" w:cs="仿宋"/>
          <w:color w:val="auto"/>
          <w:sz w:val="24"/>
          <w:szCs w:val="24"/>
          <w:highlight w:val="none"/>
        </w:rPr>
      </w:pPr>
    </w:p>
    <w:p>
      <w:pPr>
        <w:pStyle w:val="18"/>
        <w:rPr>
          <w:rFonts w:hint="eastAsia" w:ascii="仿宋" w:hAnsi="仿宋" w:eastAsia="仿宋" w:cs="仿宋"/>
          <w:color w:val="auto"/>
          <w:sz w:val="24"/>
          <w:szCs w:val="24"/>
          <w:highlight w:val="none"/>
        </w:rPr>
      </w:pPr>
    </w:p>
    <w:p>
      <w:pPr>
        <w:pStyle w:val="18"/>
        <w:rPr>
          <w:rFonts w:hint="eastAsia" w:ascii="仿宋" w:hAnsi="仿宋" w:eastAsia="仿宋" w:cs="仿宋"/>
          <w:color w:val="auto"/>
          <w:sz w:val="24"/>
          <w:szCs w:val="24"/>
          <w:highlight w:val="none"/>
        </w:rPr>
      </w:pPr>
    </w:p>
    <w:bookmarkEnd w:id="107"/>
    <w:bookmarkEnd w:id="108"/>
    <w:p>
      <w:pPr>
        <w:spacing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（一）投 标 函</w:t>
      </w:r>
    </w:p>
    <w:p>
      <w:pPr>
        <w:spacing w:line="440" w:lineRule="exact"/>
        <w:jc w:val="center"/>
        <w:rPr>
          <w:rFonts w:hint="eastAsia" w:ascii="仿宋" w:hAnsi="仿宋" w:eastAsia="仿宋" w:cs="仿宋"/>
          <w:b/>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招标人</w:t>
      </w:r>
      <w:r>
        <w:rPr>
          <w:rFonts w:hint="eastAsia" w:ascii="仿宋" w:hAnsi="仿宋" w:eastAsia="仿宋" w:cs="仿宋"/>
          <w:color w:val="auto"/>
          <w:sz w:val="24"/>
          <w:highlight w:val="none"/>
          <w:u w:val="single"/>
        </w:rPr>
        <w:t xml:space="preserve">  </w:t>
      </w:r>
    </w:p>
    <w:p>
      <w:pPr>
        <w:spacing w:line="44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项目招标的招标公告及招标文件，签字代表</w:t>
      </w:r>
      <w:r>
        <w:rPr>
          <w:rFonts w:hint="eastAsia" w:ascii="仿宋" w:hAnsi="仿宋" w:eastAsia="仿宋" w:cs="仿宋"/>
          <w:color w:val="auto"/>
          <w:sz w:val="24"/>
          <w:highlight w:val="none"/>
          <w:u w:val="single"/>
        </w:rPr>
        <w:t xml:space="preserve">  （姓名、职务）  </w:t>
      </w:r>
      <w:r>
        <w:rPr>
          <w:rFonts w:hint="eastAsia" w:ascii="仿宋" w:hAnsi="仿宋" w:eastAsia="仿宋" w:cs="仿宋"/>
          <w:color w:val="auto"/>
          <w:sz w:val="24"/>
          <w:highlight w:val="none"/>
        </w:rPr>
        <w:t>经正式授权并代表</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投标人名</w:t>
      </w:r>
      <w:r>
        <w:rPr>
          <w:rFonts w:hint="eastAsia" w:ascii="仿宋" w:hAnsi="仿宋" w:eastAsia="仿宋" w:cs="仿宋"/>
          <w:color w:val="auto"/>
          <w:sz w:val="24"/>
          <w:highlight w:val="none"/>
          <w:u w:val="single"/>
        </w:rPr>
        <w:t xml:space="preserve">称、地址）  </w:t>
      </w:r>
      <w:r>
        <w:rPr>
          <w:rFonts w:hint="eastAsia" w:ascii="仿宋" w:hAnsi="仿宋" w:eastAsia="仿宋" w:cs="仿宋"/>
          <w:color w:val="auto"/>
          <w:sz w:val="24"/>
          <w:highlight w:val="none"/>
        </w:rPr>
        <w:t>对此项目进行投标。据此函，签字代表宣布并同意如下：</w:t>
      </w:r>
    </w:p>
    <w:p>
      <w:pPr>
        <w:pStyle w:val="16"/>
        <w:keepNext w:val="0"/>
        <w:keepLines w:val="0"/>
        <w:pageBreakBefore w:val="0"/>
        <w:widowControl w:val="0"/>
        <w:shd w:val="clear" w:color="auto" w:fill="FFFFFF"/>
        <w:kinsoku/>
        <w:wordWrap/>
        <w:overflowPunct/>
        <w:topLinePunct w:val="0"/>
        <w:autoSpaceDE w:val="0"/>
        <w:autoSpaceDN w:val="0"/>
        <w:bidi w:val="0"/>
        <w:spacing w:before="0" w:beforeAutospacing="0" w:after="0" w:afterAutospacing="0" w:line="360" w:lineRule="auto"/>
        <w:ind w:firstLine="480" w:firstLineChars="200"/>
        <w:rPr>
          <w:rFonts w:hint="eastAsia" w:ascii="仿宋" w:hAnsi="仿宋" w:eastAsia="仿宋" w:cs="仿宋"/>
          <w:b/>
          <w:bCs/>
          <w:color w:val="auto"/>
          <w:kern w:val="0"/>
          <w:sz w:val="24"/>
          <w:highlight w:val="none"/>
          <w:u w:val="single"/>
        </w:rPr>
      </w:pPr>
      <w:r>
        <w:rPr>
          <w:rFonts w:hint="eastAsia" w:ascii="仿宋" w:hAnsi="仿宋" w:eastAsia="仿宋" w:cs="仿宋"/>
          <w:color w:val="auto"/>
          <w:sz w:val="24"/>
          <w:highlight w:val="none"/>
        </w:rPr>
        <w:t>1、所附</w:t>
      </w:r>
      <w:r>
        <w:rPr>
          <w:rFonts w:hint="eastAsia" w:ascii="仿宋" w:hAnsi="仿宋" w:eastAsia="仿宋" w:cs="仿宋"/>
          <w:color w:val="auto"/>
          <w:sz w:val="24"/>
          <w:highlight w:val="none"/>
          <w:lang w:eastAsia="zh-CN"/>
        </w:rPr>
        <w:t>开标一览</w:t>
      </w:r>
      <w:r>
        <w:rPr>
          <w:rFonts w:hint="eastAsia" w:ascii="仿宋" w:hAnsi="仿宋" w:eastAsia="仿宋" w:cs="仿宋"/>
          <w:color w:val="auto"/>
          <w:sz w:val="24"/>
          <w:highlight w:val="none"/>
        </w:rPr>
        <w:t>表中规定的应提交和交付的服务投标</w:t>
      </w:r>
      <w:r>
        <w:rPr>
          <w:rFonts w:hint="eastAsia" w:ascii="仿宋" w:hAnsi="仿宋" w:eastAsia="仿宋" w:cs="仿宋"/>
          <w:color w:val="auto"/>
          <w:sz w:val="24"/>
          <w:highlight w:val="none"/>
          <w:lang w:eastAsia="zh-CN"/>
        </w:rPr>
        <w:t>报</w:t>
      </w:r>
      <w:r>
        <w:rPr>
          <w:rFonts w:hint="eastAsia" w:ascii="仿宋" w:hAnsi="仿宋" w:eastAsia="仿宋" w:cs="仿宋"/>
          <w:color w:val="auto"/>
          <w:sz w:val="24"/>
          <w:highlight w:val="none"/>
        </w:rPr>
        <w:t>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2、我方同意在本项目招标文件中规定的开标日起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90</w:t>
      </w:r>
      <w:r>
        <w:rPr>
          <w:rFonts w:hint="eastAsia" w:ascii="仿宋" w:hAnsi="仿宋" w:eastAsia="仿宋" w:cs="仿宋"/>
          <w:color w:val="auto"/>
          <w:sz w:val="24"/>
          <w:highlight w:val="none"/>
          <w:u w:val="single"/>
        </w:rPr>
        <w:t xml:space="preserve">日历日内 </w:t>
      </w:r>
      <w:r>
        <w:rPr>
          <w:rFonts w:hint="eastAsia" w:ascii="仿宋" w:hAnsi="仿宋" w:eastAsia="仿宋" w:cs="仿宋"/>
          <w:color w:val="auto"/>
          <w:sz w:val="24"/>
          <w:highlight w:val="none"/>
        </w:rPr>
        <w:t>遵守本投标文件中的承诺且在此期限期满之前均具有约束力。</w:t>
      </w:r>
    </w:p>
    <w:p>
      <w:pPr>
        <w:pStyle w:val="25"/>
        <w:keepNext w:val="0"/>
        <w:keepLines w:val="0"/>
        <w:pageBreakBefore w:val="0"/>
        <w:widowControl w:val="0"/>
        <w:kinsoku/>
        <w:wordWrap/>
        <w:overflowPunct/>
        <w:topLinePunct w:val="0"/>
        <w:autoSpaceDE w:val="0"/>
        <w:autoSpaceDN w:val="0"/>
        <w:bidi w:val="0"/>
        <w:snapToGrid w:val="0"/>
        <w:spacing w:line="440" w:lineRule="exact"/>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3、我方承诺已经具备《中华人民共和国政府采购法》中规定的参加政府采购活动的</w:t>
      </w:r>
      <w:r>
        <w:rPr>
          <w:rFonts w:hint="eastAsia" w:ascii="仿宋" w:hAnsi="仿宋" w:eastAsia="仿宋" w:cs="仿宋"/>
          <w:color w:val="auto"/>
          <w:kern w:val="2"/>
          <w:sz w:val="24"/>
          <w:highlight w:val="none"/>
          <w:lang w:eastAsia="zh-CN"/>
        </w:rPr>
        <w:t>投标人</w:t>
      </w:r>
      <w:r>
        <w:rPr>
          <w:rFonts w:hint="eastAsia" w:ascii="仿宋" w:hAnsi="仿宋" w:eastAsia="仿宋" w:cs="仿宋"/>
          <w:color w:val="auto"/>
          <w:kern w:val="2"/>
          <w:sz w:val="24"/>
          <w:highlight w:val="none"/>
        </w:rPr>
        <w:t>应当具备的条件：</w:t>
      </w:r>
    </w:p>
    <w:p>
      <w:pPr>
        <w:numPr>
          <w:ilvl w:val="0"/>
          <w:numId w:val="9"/>
        </w:numPr>
        <w:adjustRightInd w:val="0"/>
        <w:snapToGrid w:val="0"/>
        <w:spacing w:line="44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具有独立承担民事责任的能力；</w:t>
      </w:r>
    </w:p>
    <w:p>
      <w:pPr>
        <w:numPr>
          <w:ilvl w:val="0"/>
          <w:numId w:val="9"/>
        </w:numPr>
        <w:adjustRightInd w:val="0"/>
        <w:snapToGrid w:val="0"/>
        <w:spacing w:line="44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具有良好的商业信誉和健全的财务会计制度；</w:t>
      </w:r>
    </w:p>
    <w:p>
      <w:pPr>
        <w:numPr>
          <w:ilvl w:val="0"/>
          <w:numId w:val="9"/>
        </w:numPr>
        <w:adjustRightInd w:val="0"/>
        <w:snapToGrid w:val="0"/>
        <w:spacing w:line="44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具有履行合同所必需的设备和专业技术能力；</w:t>
      </w:r>
    </w:p>
    <w:p>
      <w:pPr>
        <w:numPr>
          <w:ilvl w:val="0"/>
          <w:numId w:val="9"/>
        </w:numPr>
        <w:adjustRightInd w:val="0"/>
        <w:snapToGrid w:val="0"/>
        <w:spacing w:line="44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有依法缴纳税收和社会保障资金的良好记录；</w:t>
      </w:r>
    </w:p>
    <w:p>
      <w:pPr>
        <w:numPr>
          <w:ilvl w:val="0"/>
          <w:numId w:val="9"/>
        </w:numPr>
        <w:adjustRightInd w:val="0"/>
        <w:snapToGrid w:val="0"/>
        <w:spacing w:line="44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参加此项采购活动前三年内，在经营活动中没有重大违法记录。</w:t>
      </w:r>
    </w:p>
    <w:p>
      <w:pPr>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4、提供投标须知规定的全部投标文件，包括投标文件正本一份，副本四份。</w:t>
      </w:r>
    </w:p>
    <w:p>
      <w:pPr>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5、按招标文件要求提供货物的投标报价详见投标报价表。</w:t>
      </w:r>
    </w:p>
    <w:p>
      <w:pPr>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6、保证忠实地执行双方所签订的合同，并承担合同规定的责任和义务。</w:t>
      </w:r>
    </w:p>
    <w:p>
      <w:pPr>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7、保证遵守招标文件的规定。</w:t>
      </w:r>
    </w:p>
    <w:p>
      <w:pPr>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8、如果在开标后规定的投标有效期内撤回投标，我方的投标保证金可被贵方没收。</w:t>
      </w:r>
    </w:p>
    <w:p>
      <w:pPr>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9、我方完全理解贵方关于付费标准的要求。</w:t>
      </w:r>
    </w:p>
    <w:p>
      <w:pPr>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10、我方愿意向贵方提供任何与本项投标有关的数据、情况和技术资料。若贵方需要，我方愿意提供我方作出的一切承诺的证明材料。</w:t>
      </w:r>
    </w:p>
    <w:p>
      <w:pPr>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11、我方已详细审核全部投标文件，包括“修改投标文件”（如有的话）、参考资料及有关附件，确认无误。</w:t>
      </w:r>
    </w:p>
    <w:p>
      <w:pPr>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12、我方承诺接受招标文件中第四部分—合同部分的全部条款且无任何异议。</w:t>
      </w:r>
    </w:p>
    <w:p>
      <w:pPr>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10"/>
        </w:numPr>
        <w:adjustRightInd w:val="0"/>
        <w:snapToGrid w:val="0"/>
        <w:spacing w:line="44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提供虚假材料谋取中标、成交的；</w:t>
      </w:r>
    </w:p>
    <w:p>
      <w:pPr>
        <w:numPr>
          <w:ilvl w:val="0"/>
          <w:numId w:val="10"/>
        </w:numPr>
        <w:adjustRightInd w:val="0"/>
        <w:snapToGrid w:val="0"/>
        <w:spacing w:line="44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采取不正当手段诋毁、排挤其他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w:t>
      </w:r>
    </w:p>
    <w:p>
      <w:pPr>
        <w:numPr>
          <w:ilvl w:val="0"/>
          <w:numId w:val="10"/>
        </w:numPr>
        <w:adjustRightInd w:val="0"/>
        <w:snapToGrid w:val="0"/>
        <w:spacing w:line="44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、其它</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或者采购代理机构恶意串通的；</w:t>
      </w:r>
    </w:p>
    <w:p>
      <w:pPr>
        <w:numPr>
          <w:ilvl w:val="0"/>
          <w:numId w:val="10"/>
        </w:numPr>
        <w:adjustRightInd w:val="0"/>
        <w:snapToGrid w:val="0"/>
        <w:spacing w:line="44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、采购代理机构行贿或者提供其他不正当利益的；</w:t>
      </w:r>
    </w:p>
    <w:p>
      <w:pPr>
        <w:numPr>
          <w:ilvl w:val="0"/>
          <w:numId w:val="10"/>
        </w:numPr>
        <w:adjustRightInd w:val="0"/>
        <w:snapToGrid w:val="0"/>
        <w:spacing w:line="44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未经采购代理机构同意，在采购过程中与</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进行协商谈判的；</w:t>
      </w:r>
    </w:p>
    <w:p>
      <w:pPr>
        <w:numPr>
          <w:ilvl w:val="0"/>
          <w:numId w:val="10"/>
        </w:numPr>
        <w:adjustRightInd w:val="0"/>
        <w:snapToGrid w:val="0"/>
        <w:spacing w:line="44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拒绝有关部门监督检查或提供虚假情况的。</w:t>
      </w:r>
    </w:p>
    <w:p>
      <w:pPr>
        <w:adjustRightInd w:val="0"/>
        <w:snapToGrid w:val="0"/>
        <w:spacing w:line="440" w:lineRule="exact"/>
        <w:rPr>
          <w:rFonts w:hint="eastAsia" w:ascii="仿宋" w:hAnsi="仿宋" w:eastAsia="仿宋" w:cs="仿宋"/>
          <w:color w:val="auto"/>
          <w:sz w:val="24"/>
          <w:highlight w:val="none"/>
        </w:rPr>
      </w:pP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与本投标有关的一切正式往来信函请寄：</w:t>
      </w:r>
    </w:p>
    <w:p>
      <w:pPr>
        <w:spacing w:line="440" w:lineRule="exact"/>
        <w:ind w:firstLine="240" w:firstLineChars="1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lang w:val="en-US" w:eastAsia="zh-CN"/>
        </w:rPr>
        <w:t xml:space="preserve">                     </w:t>
      </w:r>
    </w:p>
    <w:p>
      <w:pPr>
        <w:spacing w:line="440" w:lineRule="exact"/>
        <w:ind w:firstLine="240" w:firstLineChars="1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lang w:val="en-US" w:eastAsia="zh-CN"/>
        </w:rPr>
        <w:t xml:space="preserve">                     </w:t>
      </w:r>
    </w:p>
    <w:p>
      <w:pPr>
        <w:pStyle w:val="26"/>
        <w:spacing w:line="360" w:lineRule="auto"/>
        <w:ind w:left="5780" w:leftChars="2300" w:hanging="720" w:hanging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pPr>
        <w:pStyle w:val="26"/>
        <w:spacing w:line="360" w:lineRule="auto"/>
        <w:ind w:firstLine="3600" w:firstLineChars="1500"/>
        <w:jc w:val="both"/>
        <w:rPr>
          <w:rFonts w:hint="eastAsia" w:ascii="仿宋" w:hAnsi="仿宋" w:eastAsia="仿宋" w:cs="仿宋"/>
          <w:color w:val="auto"/>
          <w:kern w:val="2"/>
          <w:sz w:val="24"/>
          <w:szCs w:val="24"/>
          <w:highlight w:val="none"/>
        </w:rPr>
      </w:pPr>
      <w:r>
        <w:rPr>
          <w:rFonts w:hint="eastAsia" w:ascii="仿宋" w:hAnsi="仿宋" w:eastAsia="仿宋" w:cs="仿宋"/>
          <w:b w:val="0"/>
          <w:bCs w:val="0"/>
          <w:color w:val="auto"/>
          <w:sz w:val="24"/>
          <w:highlight w:val="none"/>
          <w:lang w:eastAsia="zh-CN"/>
        </w:rPr>
        <w:t>投标人名称</w:t>
      </w:r>
      <w:r>
        <w:rPr>
          <w:rFonts w:hint="eastAsia" w:ascii="仿宋" w:hAnsi="仿宋" w:eastAsia="仿宋" w:cs="仿宋"/>
          <w:color w:val="auto"/>
          <w:kern w:val="2"/>
          <w:sz w:val="24"/>
          <w:szCs w:val="24"/>
          <w:highlight w:val="none"/>
        </w:rPr>
        <w:t>：（盖章）</w:t>
      </w:r>
    </w:p>
    <w:p>
      <w:pPr>
        <w:pStyle w:val="11"/>
        <w:ind w:firstLine="5160" w:firstLineChars="2150"/>
        <w:rPr>
          <w:rFonts w:hint="eastAsia" w:ascii="仿宋" w:hAnsi="仿宋" w:eastAsia="仿宋" w:cs="仿宋"/>
          <w:color w:val="auto"/>
          <w:szCs w:val="24"/>
          <w:highlight w:val="none"/>
        </w:rPr>
      </w:pPr>
    </w:p>
    <w:p>
      <w:pPr>
        <w:spacing w:line="440" w:lineRule="exact"/>
        <w:jc w:val="righ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法定代表人或投标授权代理人：（签字或盖章）  </w:t>
      </w:r>
    </w:p>
    <w:p>
      <w:pPr>
        <w:pStyle w:val="11"/>
        <w:ind w:firstLine="5160" w:firstLineChars="215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w:t>
      </w:r>
    </w:p>
    <w:p>
      <w:pPr>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pPr>
        <w:spacing w:line="440" w:lineRule="exact"/>
        <w:rPr>
          <w:rFonts w:hint="eastAsia" w:ascii="仿宋" w:hAnsi="仿宋" w:eastAsia="仿宋" w:cs="仿宋"/>
          <w:color w:val="auto"/>
          <w:sz w:val="24"/>
          <w:highlight w:val="none"/>
        </w:rPr>
      </w:pPr>
    </w:p>
    <w:p>
      <w:pPr>
        <w:adjustRightInd w:val="0"/>
        <w:snapToGrid w:val="0"/>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注：除可填报项目外，对本投标函的任何修改将被视为非实质性响应投标，从而导致该投标被拒绝。</w:t>
      </w:r>
    </w:p>
    <w:p>
      <w:pPr>
        <w:spacing w:line="440" w:lineRule="exact"/>
        <w:jc w:val="center"/>
        <w:rPr>
          <w:rFonts w:hint="eastAsia" w:ascii="仿宋" w:hAnsi="仿宋" w:eastAsia="仿宋" w:cs="仿宋"/>
          <w:b/>
          <w:color w:val="auto"/>
          <w:sz w:val="24"/>
          <w:highlight w:val="none"/>
        </w:rPr>
      </w:pPr>
    </w:p>
    <w:p>
      <w:pPr>
        <w:spacing w:line="440" w:lineRule="exact"/>
        <w:jc w:val="center"/>
        <w:rPr>
          <w:rFonts w:hint="eastAsia" w:ascii="仿宋" w:hAnsi="仿宋" w:eastAsia="仿宋" w:cs="仿宋"/>
          <w:b/>
          <w:color w:val="auto"/>
          <w:sz w:val="24"/>
          <w:highlight w:val="none"/>
        </w:rPr>
      </w:pPr>
    </w:p>
    <w:p>
      <w:pPr>
        <w:pStyle w:val="5"/>
        <w:numPr>
          <w:ilvl w:val="0"/>
          <w:numId w:val="0"/>
        </w:numPr>
        <w:ind w:left="400"/>
        <w:rPr>
          <w:rFonts w:hint="eastAsia" w:ascii="仿宋" w:hAnsi="仿宋" w:eastAsia="仿宋" w:cs="仿宋"/>
          <w:color w:val="auto"/>
          <w:sz w:val="24"/>
          <w:szCs w:val="24"/>
          <w:highlight w:val="none"/>
        </w:rPr>
      </w:pPr>
    </w:p>
    <w:p>
      <w:pPr>
        <w:rPr>
          <w:rFonts w:hint="eastAsia" w:ascii="仿宋" w:hAnsi="仿宋" w:eastAsia="仿宋" w:cs="仿宋"/>
          <w:color w:val="auto"/>
          <w:sz w:val="24"/>
          <w:highlight w:val="none"/>
        </w:rPr>
      </w:pPr>
    </w:p>
    <w:p>
      <w:pPr>
        <w:pStyle w:val="18"/>
        <w:rPr>
          <w:rFonts w:hint="eastAsia"/>
          <w:color w:val="auto"/>
          <w:highlight w:val="none"/>
        </w:rPr>
      </w:pPr>
    </w:p>
    <w:p>
      <w:pPr>
        <w:spacing w:line="500" w:lineRule="exact"/>
        <w:rPr>
          <w:rFonts w:hint="eastAsia" w:ascii="仿宋" w:hAnsi="仿宋" w:eastAsia="仿宋" w:cs="仿宋"/>
          <w:b/>
          <w:color w:val="auto"/>
          <w:sz w:val="24"/>
          <w:highlight w:val="none"/>
        </w:rPr>
      </w:pPr>
    </w:p>
    <w:p>
      <w:pPr>
        <w:pStyle w:val="18"/>
        <w:ind w:firstLine="540"/>
        <w:rPr>
          <w:rFonts w:hint="eastAsia" w:ascii="仿宋" w:hAnsi="仿宋" w:eastAsia="仿宋" w:cs="仿宋"/>
          <w:color w:val="auto"/>
          <w:highlight w:val="none"/>
        </w:rPr>
      </w:pPr>
    </w:p>
    <w:p>
      <w:pPr>
        <w:pStyle w:val="18"/>
        <w:ind w:firstLine="540"/>
        <w:rPr>
          <w:rFonts w:hint="eastAsia" w:ascii="仿宋" w:hAnsi="仿宋" w:eastAsia="仿宋" w:cs="仿宋"/>
          <w:color w:val="auto"/>
          <w:highlight w:val="none"/>
        </w:rPr>
      </w:pPr>
    </w:p>
    <w:p>
      <w:pPr>
        <w:pStyle w:val="18"/>
        <w:ind w:firstLine="540"/>
        <w:rPr>
          <w:rFonts w:hint="eastAsia" w:ascii="仿宋" w:hAnsi="仿宋" w:eastAsia="仿宋" w:cs="仿宋"/>
          <w:color w:val="auto"/>
          <w:highlight w:val="none"/>
        </w:rPr>
      </w:pPr>
    </w:p>
    <w:p>
      <w:pPr>
        <w:pStyle w:val="18"/>
        <w:ind w:firstLine="540"/>
        <w:rPr>
          <w:rFonts w:hint="eastAsia" w:ascii="仿宋" w:hAnsi="仿宋" w:eastAsia="仿宋" w:cs="仿宋"/>
          <w:color w:val="auto"/>
          <w:highlight w:val="none"/>
        </w:rPr>
      </w:pPr>
    </w:p>
    <w:p>
      <w:pPr>
        <w:spacing w:line="500" w:lineRule="exact"/>
        <w:jc w:val="center"/>
        <w:rPr>
          <w:rFonts w:hint="eastAsia" w:ascii="仿宋" w:hAnsi="仿宋" w:eastAsia="仿宋" w:cs="仿宋"/>
          <w:b/>
          <w:color w:val="auto"/>
          <w:sz w:val="24"/>
          <w:highlight w:val="none"/>
        </w:rPr>
      </w:pPr>
    </w:p>
    <w:p>
      <w:pPr>
        <w:spacing w:line="500" w:lineRule="exact"/>
        <w:jc w:val="center"/>
        <w:rPr>
          <w:rFonts w:hint="eastAsia" w:ascii="仿宋" w:hAnsi="仿宋" w:eastAsia="仿宋" w:cs="仿宋"/>
          <w:b/>
          <w:bCs/>
          <w:color w:val="auto"/>
          <w:sz w:val="32"/>
          <w:szCs w:val="32"/>
          <w:highlight w:val="none"/>
          <w:lang w:val="zh-CN"/>
        </w:rPr>
      </w:pPr>
      <w:r>
        <w:rPr>
          <w:rFonts w:hint="eastAsia" w:ascii="仿宋" w:hAnsi="仿宋" w:eastAsia="仿宋" w:cs="仿宋"/>
          <w:b/>
          <w:color w:val="auto"/>
          <w:sz w:val="32"/>
          <w:szCs w:val="32"/>
          <w:highlight w:val="none"/>
        </w:rPr>
        <w:t>（二）</w:t>
      </w:r>
      <w:r>
        <w:rPr>
          <w:rFonts w:hint="eastAsia" w:ascii="仿宋" w:hAnsi="仿宋" w:eastAsia="仿宋" w:cs="仿宋"/>
          <w:b/>
          <w:bCs/>
          <w:color w:val="auto"/>
          <w:sz w:val="32"/>
          <w:szCs w:val="32"/>
          <w:highlight w:val="none"/>
          <w:lang w:val="zh-CN"/>
        </w:rPr>
        <w:t>法定代表人证明书</w:t>
      </w:r>
    </w:p>
    <w:p>
      <w:pPr>
        <w:rPr>
          <w:rFonts w:hint="eastAsia" w:ascii="仿宋" w:hAnsi="仿宋" w:eastAsia="仿宋" w:cs="仿宋"/>
          <w:b/>
          <w:color w:val="auto"/>
          <w:sz w:val="24"/>
          <w:highlight w:val="none"/>
          <w:u w:val="single"/>
        </w:rPr>
      </w:pPr>
    </w:p>
    <w:p>
      <w:pPr>
        <w:rPr>
          <w:rFonts w:hint="eastAsia" w:ascii="仿宋" w:hAnsi="仿宋" w:eastAsia="仿宋" w:cs="仿宋"/>
          <w:color w:val="auto"/>
          <w:sz w:val="24"/>
          <w:highlight w:val="none"/>
        </w:rPr>
      </w:pPr>
      <w:r>
        <w:rPr>
          <w:rFonts w:hint="eastAsia" w:ascii="仿宋" w:hAnsi="仿宋" w:eastAsia="仿宋" w:cs="仿宋"/>
          <w:b/>
          <w:color w:val="auto"/>
          <w:sz w:val="24"/>
          <w:highlight w:val="none"/>
          <w:u w:val="single"/>
        </w:rPr>
        <w:t>致：</w:t>
      </w:r>
      <w:r>
        <w:rPr>
          <w:rFonts w:hint="eastAsia" w:ascii="仿宋" w:hAnsi="仿宋" w:eastAsia="仿宋" w:cs="仿宋"/>
          <w:b/>
          <w:color w:val="auto"/>
          <w:sz w:val="24"/>
          <w:highlight w:val="none"/>
          <w:u w:val="single"/>
          <w:lang w:eastAsia="zh-CN"/>
        </w:rPr>
        <w:t>招标人</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rPr>
        <w:t xml:space="preserve"> </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系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投标人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的法定代表人/负责人。为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u w:val="single"/>
          <w:lang w:val="en-US" w:eastAsia="zh-CN"/>
        </w:rPr>
        <w:t>（第   包：       ）</w:t>
      </w:r>
      <w:r>
        <w:rPr>
          <w:rFonts w:hint="eastAsia" w:ascii="仿宋" w:hAnsi="仿宋" w:eastAsia="仿宋" w:cs="仿宋"/>
          <w:color w:val="auto"/>
          <w:sz w:val="24"/>
          <w:highlight w:val="none"/>
        </w:rPr>
        <w:t>项目签署报价文件、进行合同洽谈、签署合同和处理与之有关的一切事务。</w:t>
      </w:r>
    </w:p>
    <w:tbl>
      <w:tblPr>
        <w:tblStyle w:val="19"/>
        <w:tblW w:w="0" w:type="auto"/>
        <w:tblInd w:w="1242"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66"/>
        <w:gridCol w:w="311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2" w:hRule="atLeast"/>
        </w:trPr>
        <w:tc>
          <w:tcPr>
            <w:tcW w:w="316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法定代表人身份证(正面）</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tc>
        <w:tc>
          <w:tcPr>
            <w:tcW w:w="311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法定代表人身份证(反面）</w:t>
            </w:r>
          </w:p>
          <w:p>
            <w:pPr>
              <w:rPr>
                <w:rFonts w:hint="eastAsia" w:ascii="仿宋" w:hAnsi="仿宋" w:eastAsia="仿宋" w:cs="仿宋"/>
                <w:color w:val="auto"/>
                <w:sz w:val="24"/>
                <w:highlight w:val="none"/>
              </w:rPr>
            </w:pPr>
          </w:p>
        </w:tc>
      </w:tr>
    </w:tbl>
    <w:p>
      <w:pPr>
        <w:spacing w:line="360" w:lineRule="auto"/>
        <w:ind w:left="359" w:firstLine="357"/>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spacing w:line="360" w:lineRule="auto"/>
        <w:ind w:left="171" w:firstLine="55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jc w:val="right"/>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eastAsia="zh-CN"/>
        </w:rPr>
        <w:t>投标人名称</w:t>
      </w:r>
      <w:r>
        <w:rPr>
          <w:rFonts w:hint="eastAsia" w:ascii="仿宋" w:hAnsi="仿宋" w:eastAsia="仿宋" w:cs="仿宋"/>
          <w:color w:val="auto"/>
          <w:sz w:val="24"/>
          <w:highlight w:val="none"/>
        </w:rPr>
        <w:t xml:space="preserve">： （盖公章）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pacing w:line="360" w:lineRule="auto"/>
        <w:rPr>
          <w:rFonts w:hint="eastAsia" w:ascii="仿宋" w:hAnsi="仿宋" w:eastAsia="仿宋" w:cs="仿宋"/>
          <w:color w:val="auto"/>
          <w:sz w:val="24"/>
          <w:highlight w:val="none"/>
        </w:rPr>
      </w:pPr>
    </w:p>
    <w:p>
      <w:pPr>
        <w:autoSpaceDE w:val="0"/>
        <w:autoSpaceDN w:val="0"/>
        <w:adjustRightInd w:val="0"/>
        <w:spacing w:line="6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注：1、本表格式不得更改，</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只能按要求填报，否则将被视为无效投标。</w:t>
      </w:r>
    </w:p>
    <w:p>
      <w:pPr>
        <w:autoSpaceDE w:val="0"/>
        <w:autoSpaceDN w:val="0"/>
        <w:adjustRightInd w:val="0"/>
        <w:spacing w:line="600" w:lineRule="exact"/>
        <w:ind w:firstLine="482" w:firstLineChars="200"/>
        <w:jc w:val="left"/>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rPr>
        <w:t>2、法定代表人到场请出具法定代表人证明书（单独提交），委托代理人到场请出具法定代表人授权书（单独提交）。</w:t>
      </w:r>
    </w:p>
    <w:p>
      <w:pPr>
        <w:spacing w:line="440" w:lineRule="exact"/>
        <w:rPr>
          <w:rFonts w:hint="eastAsia" w:ascii="仿宋" w:hAnsi="仿宋" w:eastAsia="仿宋" w:cs="仿宋"/>
          <w:b/>
          <w:color w:val="auto"/>
          <w:sz w:val="24"/>
          <w:highlight w:val="none"/>
        </w:rPr>
      </w:pPr>
    </w:p>
    <w:p>
      <w:pPr>
        <w:pStyle w:val="18"/>
        <w:ind w:firstLine="542"/>
        <w:rPr>
          <w:rFonts w:hint="eastAsia" w:ascii="仿宋" w:hAnsi="仿宋" w:eastAsia="仿宋" w:cs="仿宋"/>
          <w:b/>
          <w:color w:val="auto"/>
          <w:highlight w:val="none"/>
        </w:rPr>
      </w:pPr>
    </w:p>
    <w:p>
      <w:pPr>
        <w:pStyle w:val="18"/>
        <w:ind w:firstLine="542"/>
        <w:rPr>
          <w:rFonts w:hint="eastAsia" w:ascii="仿宋" w:hAnsi="仿宋" w:eastAsia="仿宋" w:cs="仿宋"/>
          <w:b/>
          <w:color w:val="auto"/>
          <w:highlight w:val="none"/>
        </w:rPr>
      </w:pPr>
    </w:p>
    <w:p>
      <w:pPr>
        <w:pStyle w:val="18"/>
        <w:ind w:firstLine="542"/>
        <w:rPr>
          <w:rFonts w:hint="eastAsia" w:ascii="仿宋" w:hAnsi="仿宋" w:eastAsia="仿宋" w:cs="仿宋"/>
          <w:b/>
          <w:color w:val="auto"/>
          <w:highlight w:val="none"/>
        </w:rPr>
      </w:pPr>
    </w:p>
    <w:p>
      <w:pPr>
        <w:spacing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（三）法定代表人授权书</w:t>
      </w:r>
    </w:p>
    <w:p>
      <w:pPr>
        <w:spacing w:line="440" w:lineRule="exact"/>
        <w:rPr>
          <w:rFonts w:hint="eastAsia" w:ascii="仿宋" w:hAnsi="仿宋" w:eastAsia="仿宋" w:cs="仿宋"/>
          <w:b/>
          <w:color w:val="auto"/>
          <w:sz w:val="24"/>
          <w:highlight w:val="none"/>
        </w:rPr>
      </w:pPr>
    </w:p>
    <w:p>
      <w:pPr>
        <w:pStyle w:val="27"/>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招标人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10"/>
        <w:widowControl/>
        <w:snapToGrid w:val="0"/>
        <w:spacing w:line="400" w:lineRule="exact"/>
        <w:ind w:firstLine="480" w:firstLineChars="200"/>
        <w:jc w:val="left"/>
        <w:rPr>
          <w:rFonts w:hint="eastAsia" w:ascii="仿宋" w:hAnsi="仿宋" w:eastAsia="仿宋" w:cs="仿宋"/>
          <w:color w:val="auto"/>
          <w:sz w:val="24"/>
          <w:szCs w:val="24"/>
          <w:highlight w:val="none"/>
          <w:u w:val="single"/>
        </w:rPr>
      </w:pPr>
    </w:p>
    <w:p>
      <w:pPr>
        <w:pStyle w:val="10"/>
        <w:widowControl/>
        <w:snapToGrid w:val="0"/>
        <w:spacing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本人 </w:t>
      </w:r>
      <w:r>
        <w:rPr>
          <w:rFonts w:hint="eastAsia" w:ascii="仿宋" w:hAnsi="仿宋" w:eastAsia="仿宋" w:cs="仿宋"/>
          <w:color w:val="auto"/>
          <w:sz w:val="24"/>
          <w:szCs w:val="24"/>
          <w:highlight w:val="none"/>
          <w:u w:val="single"/>
          <w:lang w:val="en-US" w:eastAsia="zh-CN"/>
        </w:rPr>
        <w:t xml:space="preserve">      （ 姓名）        </w:t>
      </w:r>
      <w:r>
        <w:rPr>
          <w:rFonts w:hint="eastAsia" w:ascii="仿宋" w:hAnsi="仿宋" w:eastAsia="仿宋" w:cs="仿宋"/>
          <w:color w:val="auto"/>
          <w:sz w:val="24"/>
          <w:szCs w:val="24"/>
          <w:highlight w:val="none"/>
          <w:lang w:val="en-US" w:eastAsia="zh-CN"/>
        </w:rPr>
        <w:t xml:space="preserve">系 </w:t>
      </w:r>
      <w:r>
        <w:rPr>
          <w:rFonts w:hint="eastAsia" w:ascii="仿宋" w:hAnsi="仿宋" w:eastAsia="仿宋" w:cs="仿宋"/>
          <w:color w:val="auto"/>
          <w:sz w:val="24"/>
          <w:szCs w:val="24"/>
          <w:highlight w:val="none"/>
          <w:u w:val="single"/>
          <w:lang w:val="en-US" w:eastAsia="zh-CN"/>
        </w:rPr>
        <w:t xml:space="preserve">       （投标人名称）     </w:t>
      </w:r>
      <w:r>
        <w:rPr>
          <w:rFonts w:hint="eastAsia" w:ascii="仿宋" w:hAnsi="仿宋" w:eastAsia="仿宋" w:cs="仿宋"/>
          <w:color w:val="auto"/>
          <w:sz w:val="24"/>
          <w:szCs w:val="24"/>
          <w:highlight w:val="none"/>
          <w:lang w:val="en-US" w:eastAsia="zh-CN"/>
        </w:rPr>
        <w:t xml:space="preserve">   的法定代表人授权我公司</w:t>
      </w:r>
      <w:r>
        <w:rPr>
          <w:rFonts w:hint="eastAsia" w:ascii="仿宋" w:hAnsi="仿宋" w:eastAsia="仿宋" w:cs="仿宋"/>
          <w:color w:val="auto"/>
          <w:sz w:val="24"/>
          <w:szCs w:val="24"/>
          <w:highlight w:val="none"/>
          <w:u w:val="single"/>
          <w:lang w:val="en-US" w:eastAsia="zh-CN"/>
        </w:rPr>
        <w:t xml:space="preserve">  （授权代表姓名）  </w:t>
      </w:r>
      <w:r>
        <w:rPr>
          <w:rFonts w:hint="eastAsia" w:ascii="仿宋" w:hAnsi="仿宋" w:eastAsia="仿宋" w:cs="仿宋"/>
          <w:color w:val="auto"/>
          <w:sz w:val="24"/>
          <w:szCs w:val="24"/>
          <w:highlight w:val="none"/>
          <w:lang w:val="en-US" w:eastAsia="zh-CN"/>
        </w:rPr>
        <w:t>为投标人代表，代表本公司参加贵司组织的</w:t>
      </w:r>
      <w:r>
        <w:rPr>
          <w:rFonts w:hint="eastAsia" w:ascii="仿宋" w:hAnsi="仿宋" w:eastAsia="仿宋" w:cs="仿宋"/>
          <w:color w:val="auto"/>
          <w:sz w:val="24"/>
          <w:szCs w:val="24"/>
          <w:highlight w:val="none"/>
          <w:u w:val="single"/>
          <w:lang w:val="en-US" w:eastAsia="zh-CN"/>
        </w:rPr>
        <w:t xml:space="preserve">                  （项目名称）（第   包：       ）</w:t>
      </w:r>
      <w:r>
        <w:rPr>
          <w:rFonts w:hint="eastAsia" w:ascii="仿宋" w:hAnsi="仿宋" w:eastAsia="仿宋" w:cs="仿宋"/>
          <w:color w:val="auto"/>
          <w:sz w:val="24"/>
          <w:szCs w:val="24"/>
          <w:highlight w:val="none"/>
          <w:lang w:val="en-US" w:eastAsia="zh-CN"/>
        </w:rPr>
        <w:t>招标活动，全权代表本公司处理招标过程的一切事宜，包括但不限于：招标、谈判、签约等。投标人代表在招标过程中所签署的一切文件和处理与之有关的一切事务，本公司均予以认可并对此承担责任。投标人代表无转委托权。特此授权。</w:t>
      </w:r>
    </w:p>
    <w:p>
      <w:pPr>
        <w:pStyle w:val="10"/>
        <w:widowControl/>
        <w:snapToGrid w:val="0"/>
        <w:spacing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本授权书自出具之日起生效。</w:t>
      </w:r>
    </w:p>
    <w:p>
      <w:pPr>
        <w:pStyle w:val="10"/>
        <w:widowControl/>
        <w:snapToGrid w:val="0"/>
        <w:spacing w:line="400" w:lineRule="exact"/>
        <w:ind w:firstLine="480" w:firstLineChars="200"/>
        <w:jc w:val="left"/>
        <w:rPr>
          <w:rFonts w:hint="eastAsia" w:ascii="仿宋" w:hAnsi="仿宋" w:eastAsia="仿宋" w:cs="仿宋"/>
          <w:color w:val="auto"/>
          <w:sz w:val="24"/>
          <w:szCs w:val="24"/>
          <w:highlight w:val="none"/>
          <w:lang w:val="en-US" w:eastAsia="zh-CN"/>
        </w:rPr>
      </w:pPr>
    </w:p>
    <w:tbl>
      <w:tblPr>
        <w:tblStyle w:val="19"/>
        <w:tblW w:w="0" w:type="auto"/>
        <w:tblInd w:w="1242"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53"/>
        <w:gridCol w:w="290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7" w:hRule="atLeast"/>
        </w:trPr>
        <w:tc>
          <w:tcPr>
            <w:tcW w:w="2953"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法定代表人身份证(正面）</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法定代表人身份证(反面）</w:t>
            </w:r>
          </w:p>
          <w:p>
            <w:pPr>
              <w:rPr>
                <w:rFonts w:hint="eastAsia" w:ascii="仿宋" w:hAnsi="仿宋" w:eastAsia="仿宋" w:cs="仿宋"/>
                <w:color w:val="auto"/>
                <w:sz w:val="24"/>
                <w:highlight w:val="none"/>
              </w:rPr>
            </w:pPr>
          </w:p>
        </w:tc>
      </w:tr>
    </w:tbl>
    <w:p>
      <w:pPr>
        <w:widowControl/>
        <w:spacing w:line="400" w:lineRule="exact"/>
        <w:jc w:val="left"/>
        <w:rPr>
          <w:rFonts w:hint="eastAsia" w:ascii="仿宋" w:hAnsi="仿宋" w:eastAsia="仿宋" w:cs="仿宋"/>
          <w:color w:val="auto"/>
          <w:sz w:val="24"/>
          <w:highlight w:val="none"/>
        </w:rPr>
      </w:pPr>
    </w:p>
    <w:tbl>
      <w:tblPr>
        <w:tblStyle w:val="19"/>
        <w:tblW w:w="0" w:type="auto"/>
        <w:tblInd w:w="1242"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13"/>
        <w:gridCol w:w="296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trPr>
        <w:tc>
          <w:tcPr>
            <w:tcW w:w="3013"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授权委托人身份证(正面）</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tc>
        <w:tc>
          <w:tcPr>
            <w:tcW w:w="296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授权委托人身份证(反面）</w:t>
            </w:r>
          </w:p>
          <w:p>
            <w:pPr>
              <w:rPr>
                <w:rFonts w:hint="eastAsia" w:ascii="仿宋" w:hAnsi="仿宋" w:eastAsia="仿宋" w:cs="仿宋"/>
                <w:color w:val="auto"/>
                <w:sz w:val="24"/>
                <w:highlight w:val="none"/>
              </w:rPr>
            </w:pPr>
          </w:p>
        </w:tc>
      </w:tr>
    </w:tbl>
    <w:p>
      <w:pPr>
        <w:widowControl/>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widowControl/>
        <w:spacing w:line="400" w:lineRule="exact"/>
        <w:ind w:firstLine="3360" w:firstLineChars="1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投标人名称</w:t>
      </w:r>
      <w:r>
        <w:rPr>
          <w:rFonts w:hint="eastAsia" w:ascii="仿宋" w:hAnsi="仿宋" w:eastAsia="仿宋" w:cs="仿宋"/>
          <w:color w:val="auto"/>
          <w:sz w:val="24"/>
          <w:highlight w:val="none"/>
        </w:rPr>
        <w:t>（加盖公章）：</w:t>
      </w:r>
      <w:r>
        <w:rPr>
          <w:rFonts w:hint="eastAsia" w:ascii="仿宋" w:hAnsi="仿宋" w:eastAsia="仿宋" w:cs="仿宋"/>
          <w:color w:val="auto"/>
          <w:sz w:val="24"/>
          <w:highlight w:val="none"/>
          <w:u w:val="single"/>
        </w:rPr>
        <w:t xml:space="preserve">                             </w:t>
      </w:r>
    </w:p>
    <w:p>
      <w:pPr>
        <w:widowControl/>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法定代表人（签字或盖章）：</w:t>
      </w:r>
      <w:r>
        <w:rPr>
          <w:rFonts w:hint="eastAsia" w:ascii="仿宋" w:hAnsi="仿宋" w:eastAsia="仿宋" w:cs="仿宋"/>
          <w:color w:val="auto"/>
          <w:sz w:val="24"/>
          <w:highlight w:val="none"/>
          <w:u w:val="single"/>
        </w:rPr>
        <w:t xml:space="preserve">                             </w:t>
      </w:r>
    </w:p>
    <w:p>
      <w:pPr>
        <w:widowControl/>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授权委托人（签字或盖章）：</w:t>
      </w:r>
      <w:r>
        <w:rPr>
          <w:rFonts w:hint="eastAsia" w:ascii="仿宋" w:hAnsi="仿宋" w:eastAsia="仿宋" w:cs="仿宋"/>
          <w:color w:val="auto"/>
          <w:sz w:val="24"/>
          <w:highlight w:val="none"/>
          <w:u w:val="single"/>
        </w:rPr>
        <w:t xml:space="preserve">                             </w:t>
      </w:r>
    </w:p>
    <w:p>
      <w:pPr>
        <w:widowControl/>
        <w:spacing w:line="400" w:lineRule="exact"/>
        <w:ind w:firstLine="4800" w:firstLineChars="2000"/>
        <w:jc w:val="left"/>
        <w:rPr>
          <w:rFonts w:hint="eastAsia" w:ascii="仿宋" w:hAnsi="仿宋" w:eastAsia="仿宋" w:cs="仿宋"/>
          <w:color w:val="auto"/>
          <w:sz w:val="24"/>
          <w:highlight w:val="none"/>
        </w:rPr>
      </w:pPr>
    </w:p>
    <w:p>
      <w:pPr>
        <w:widowControl/>
        <w:spacing w:line="400" w:lineRule="exact"/>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注：1、本表格式不得更改，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只能按要求填报，否则将被视为无效投标。</w:t>
      </w:r>
    </w:p>
    <w:p>
      <w:pPr>
        <w:widowControl/>
        <w:numPr>
          <w:ilvl w:val="0"/>
          <w:numId w:val="0"/>
        </w:numPr>
        <w:spacing w:line="400" w:lineRule="exact"/>
        <w:ind w:right="0" w:righ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法定代表人到场请出具法定代表人证明书（单独提交），委托代理人到场请出具法定代表人授权书（单独提交）。</w:t>
      </w:r>
    </w:p>
    <w:p>
      <w:pPr>
        <w:pStyle w:val="5"/>
        <w:numPr>
          <w:ilvl w:val="0"/>
          <w:numId w:val="0"/>
        </w:numPr>
        <w:ind w:firstLine="241" w:firstLineChars="100"/>
        <w:jc w:val="center"/>
        <w:rPr>
          <w:rFonts w:hint="eastAsia" w:ascii="仿宋" w:hAnsi="仿宋" w:eastAsia="仿宋" w:cs="仿宋"/>
          <w:color w:val="auto"/>
          <w:kern w:val="2"/>
          <w:sz w:val="24"/>
          <w:szCs w:val="24"/>
          <w:highlight w:val="none"/>
          <w:lang w:eastAsia="zh-CN"/>
        </w:rPr>
      </w:pPr>
    </w:p>
    <w:p>
      <w:pPr>
        <w:rPr>
          <w:rFonts w:hint="eastAsia" w:ascii="仿宋" w:hAnsi="仿宋" w:eastAsia="仿宋" w:cs="仿宋"/>
          <w:color w:val="auto"/>
          <w:highlight w:val="none"/>
          <w:lang w:eastAsia="zh-CN"/>
        </w:rPr>
      </w:pPr>
    </w:p>
    <w:p>
      <w:pPr>
        <w:pStyle w:val="5"/>
        <w:numPr>
          <w:ilvl w:val="0"/>
          <w:numId w:val="0"/>
        </w:numPr>
        <w:spacing w:before="0" w:line="360" w:lineRule="auto"/>
        <w:ind w:right="0" w:rightChars="0"/>
        <w:jc w:val="center"/>
        <w:rPr>
          <w:rFonts w:hint="eastAsia" w:ascii="仿宋" w:hAnsi="仿宋" w:eastAsia="仿宋" w:cs="仿宋"/>
          <w:b/>
          <w:bCs w:val="0"/>
          <w:color w:val="auto"/>
          <w:sz w:val="32"/>
          <w:szCs w:val="32"/>
          <w:highlight w:val="none"/>
          <w:lang w:val="en-US" w:eastAsia="zh-CN" w:bidi="zh-CN"/>
        </w:rPr>
      </w:pPr>
      <w:r>
        <w:rPr>
          <w:rFonts w:hint="eastAsia" w:ascii="仿宋" w:hAnsi="仿宋" w:eastAsia="仿宋" w:cs="仿宋"/>
          <w:b/>
          <w:bCs w:val="0"/>
          <w:color w:val="auto"/>
          <w:sz w:val="32"/>
          <w:szCs w:val="32"/>
          <w:highlight w:val="none"/>
          <w:lang w:val="en-US" w:eastAsia="zh-CN" w:bidi="zh-CN"/>
        </w:rPr>
        <w:t>（四）投标资格证明文件</w:t>
      </w:r>
    </w:p>
    <w:p>
      <w:pPr>
        <w:pStyle w:val="5"/>
        <w:numPr>
          <w:ilvl w:val="0"/>
          <w:numId w:val="0"/>
        </w:numPr>
        <w:spacing w:before="0" w:line="360" w:lineRule="auto"/>
        <w:ind w:right="0" w:rightChars="0"/>
        <w:jc w:val="both"/>
        <w:rPr>
          <w:rFonts w:hint="eastAsia" w:ascii="仿宋" w:hAnsi="仿宋" w:eastAsia="仿宋" w:cs="仿宋"/>
          <w:b w:val="0"/>
          <w:color w:val="auto"/>
          <w:sz w:val="24"/>
          <w:szCs w:val="24"/>
          <w:highlight w:val="none"/>
          <w:lang w:val="en-US"/>
        </w:rPr>
      </w:pPr>
    </w:p>
    <w:p>
      <w:pPr>
        <w:pStyle w:val="5"/>
        <w:numPr>
          <w:ilvl w:val="0"/>
          <w:numId w:val="0"/>
        </w:numPr>
        <w:spacing w:before="0" w:line="360" w:lineRule="auto"/>
        <w:ind w:right="0" w:rightChars="0"/>
        <w:jc w:val="both"/>
        <w:rPr>
          <w:rFonts w:hint="eastAsia" w:ascii="仿宋" w:hAnsi="仿宋" w:eastAsia="仿宋" w:cs="仿宋"/>
          <w:b w:val="0"/>
          <w:color w:val="auto"/>
          <w:sz w:val="24"/>
          <w:szCs w:val="24"/>
          <w:highlight w:val="none"/>
          <w:lang w:val="en-US"/>
        </w:rPr>
      </w:pPr>
      <w:r>
        <w:rPr>
          <w:rFonts w:hint="eastAsia" w:ascii="仿宋" w:hAnsi="仿宋" w:eastAsia="仿宋" w:cs="仿宋"/>
          <w:b w:val="0"/>
          <w:color w:val="auto"/>
          <w:sz w:val="24"/>
          <w:szCs w:val="24"/>
          <w:highlight w:val="none"/>
          <w:lang w:val="en-US"/>
        </w:rPr>
        <w:t>主要介绍公司情况及实力，并附下列资料（但不限于）：</w:t>
      </w:r>
    </w:p>
    <w:p>
      <w:pPr>
        <w:pStyle w:val="5"/>
        <w:numPr>
          <w:ilvl w:val="0"/>
          <w:numId w:val="0"/>
        </w:numPr>
        <w:spacing w:before="0" w:line="480" w:lineRule="auto"/>
        <w:ind w:leftChars="0" w:right="0" w:rightChars="0" w:firstLine="0" w:firstLineChars="0"/>
        <w:jc w:val="left"/>
        <w:rPr>
          <w:rFonts w:hint="eastAsia" w:ascii="仿宋" w:hAnsi="仿宋" w:eastAsia="仿宋" w:cs="仿宋"/>
          <w:b w:val="0"/>
          <w:bCs/>
          <w:color w:val="auto"/>
          <w:sz w:val="24"/>
          <w:szCs w:val="24"/>
          <w:highlight w:val="none"/>
          <w:lang w:val="en-US" w:eastAsia="zh-CN" w:bidi="zh-CN"/>
        </w:rPr>
      </w:pPr>
      <w:r>
        <w:rPr>
          <w:rFonts w:hint="eastAsia" w:ascii="仿宋" w:hAnsi="仿宋" w:eastAsia="仿宋" w:cs="仿宋"/>
          <w:b w:val="0"/>
          <w:color w:val="auto"/>
          <w:sz w:val="24"/>
          <w:szCs w:val="24"/>
          <w:highlight w:val="none"/>
          <w:lang w:val="en-US" w:eastAsia="zh-CN"/>
        </w:rPr>
        <w:t>1.投标人须具有经年审合格（三证合一）的《营业执照》（如证件处于年审阶段，投标人应提供年审受理回执复印件，并承诺中标签订合同时提供通过年审的证件）</w:t>
      </w:r>
      <w:r>
        <w:rPr>
          <w:rFonts w:hint="eastAsia" w:ascii="仿宋" w:hAnsi="仿宋" w:eastAsia="仿宋" w:cs="仿宋"/>
          <w:b w:val="0"/>
          <w:bCs/>
          <w:color w:val="auto"/>
          <w:sz w:val="24"/>
          <w:szCs w:val="24"/>
          <w:highlight w:val="none"/>
          <w:lang w:val="en-US" w:eastAsia="zh-CN" w:bidi="zh-CN"/>
        </w:rPr>
        <w:t>；</w:t>
      </w:r>
    </w:p>
    <w:p>
      <w:pPr>
        <w:pStyle w:val="5"/>
        <w:numPr>
          <w:ilvl w:val="0"/>
          <w:numId w:val="0"/>
        </w:numPr>
        <w:spacing w:before="0" w:line="480" w:lineRule="auto"/>
        <w:ind w:leftChars="0" w:right="0" w:rightChars="0" w:firstLine="0" w:firstLineChars="0"/>
        <w:jc w:val="left"/>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2.提供依法缴纳税收和社会保障资金的证明材料；</w:t>
      </w:r>
    </w:p>
    <w:p>
      <w:pPr>
        <w:pStyle w:val="5"/>
        <w:numPr>
          <w:ilvl w:val="0"/>
          <w:numId w:val="0"/>
        </w:numPr>
        <w:spacing w:before="0" w:line="480" w:lineRule="auto"/>
        <w:ind w:leftChars="0" w:right="0" w:rightChars="0" w:firstLine="0" w:firstLineChars="0"/>
        <w:jc w:val="left"/>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3.投标人如果是经销商的，需提供生产厂或代理商的授权及售后服务承诺证明；投标人如果是生产厂家的，需提供营业执照及售后服务承诺证明；</w:t>
      </w:r>
    </w:p>
    <w:p>
      <w:pPr>
        <w:pStyle w:val="18"/>
        <w:spacing w:line="480" w:lineRule="auto"/>
        <w:ind w:left="0" w:leftChars="0" w:firstLine="0" w:firstLineChars="0"/>
        <w:rPr>
          <w:rFonts w:hint="eastAsia" w:ascii="仿宋" w:hAnsi="仿宋" w:eastAsia="仿宋" w:cs="仿宋"/>
          <w:b w:val="0"/>
          <w:bCs/>
          <w:color w:val="auto"/>
          <w:sz w:val="24"/>
          <w:szCs w:val="24"/>
          <w:highlight w:val="none"/>
          <w:lang w:val="en-US" w:eastAsia="zh-CN" w:bidi="zh-CN"/>
        </w:rPr>
      </w:pPr>
      <w:r>
        <w:rPr>
          <w:rFonts w:hint="eastAsia" w:ascii="仿宋" w:hAnsi="仿宋" w:eastAsia="仿宋" w:cs="仿宋"/>
          <w:b w:val="0"/>
          <w:bCs/>
          <w:color w:val="auto"/>
          <w:sz w:val="24"/>
          <w:szCs w:val="24"/>
          <w:highlight w:val="none"/>
          <w:lang w:val="en-US" w:eastAsia="zh-CN" w:bidi="zh-CN"/>
        </w:rPr>
        <w:t>4.投标人在中标后，疫情期间（人员及产品）进出单位的核酸检测费用由中标人承担（投标人自行承诺）；</w:t>
      </w:r>
    </w:p>
    <w:p>
      <w:pPr>
        <w:pStyle w:val="18"/>
        <w:spacing w:line="480" w:lineRule="auto"/>
        <w:ind w:left="0" w:leftChars="0" w:firstLine="0" w:firstLineChars="0"/>
        <w:rPr>
          <w:rFonts w:hint="eastAsia" w:ascii="仿宋" w:hAnsi="仿宋" w:eastAsia="仿宋" w:cs="仿宋"/>
          <w:b w:val="0"/>
          <w:bCs/>
          <w:color w:val="auto"/>
          <w:sz w:val="24"/>
          <w:szCs w:val="24"/>
          <w:highlight w:val="none"/>
          <w:lang w:val="en-US" w:eastAsia="zh-CN" w:bidi="zh-CN"/>
        </w:rPr>
      </w:pPr>
      <w:r>
        <w:rPr>
          <w:rFonts w:hint="eastAsia" w:ascii="仿宋" w:hAnsi="仿宋" w:eastAsia="仿宋" w:cs="仿宋"/>
          <w:b w:val="0"/>
          <w:bCs/>
          <w:color w:val="auto"/>
          <w:sz w:val="24"/>
          <w:szCs w:val="24"/>
          <w:highlight w:val="none"/>
          <w:lang w:val="en-US" w:eastAsia="zh-CN" w:bidi="zh-CN"/>
        </w:rPr>
        <w:t>5.近一年（2020年度或2021年度）财务审计报告；</w:t>
      </w:r>
    </w:p>
    <w:p>
      <w:pPr>
        <w:pStyle w:val="18"/>
        <w:spacing w:line="480" w:lineRule="auto"/>
        <w:ind w:left="0" w:leftChars="0" w:firstLine="0" w:firstLineChars="0"/>
        <w:rPr>
          <w:rFonts w:hint="eastAsia" w:ascii="仿宋" w:hAnsi="仿宋" w:eastAsia="仿宋" w:cs="仿宋"/>
          <w:b w:val="0"/>
          <w:bCs/>
          <w:color w:val="auto"/>
          <w:sz w:val="24"/>
          <w:szCs w:val="24"/>
          <w:highlight w:val="none"/>
          <w:lang w:val="en-US" w:eastAsia="zh-CN" w:bidi="zh-CN"/>
        </w:rPr>
      </w:pPr>
      <w:r>
        <w:rPr>
          <w:rFonts w:hint="eastAsia" w:ascii="仿宋" w:hAnsi="仿宋" w:eastAsia="仿宋" w:cs="仿宋"/>
          <w:b w:val="0"/>
          <w:bCs/>
          <w:color w:val="auto"/>
          <w:sz w:val="24"/>
          <w:szCs w:val="24"/>
          <w:highlight w:val="none"/>
          <w:lang w:val="en-US" w:eastAsia="zh-CN" w:bidi="zh-CN"/>
        </w:rPr>
        <w:t>6.信用中国：失信被执行人、税收违法黑名单、政府采购严重违法失信名单网站查询截图；</w:t>
      </w:r>
    </w:p>
    <w:p>
      <w:pPr>
        <w:pStyle w:val="18"/>
        <w:spacing w:line="480" w:lineRule="auto"/>
        <w:ind w:left="0" w:leftChars="0" w:firstLine="0" w:firstLineChars="0"/>
        <w:rPr>
          <w:rFonts w:hint="eastAsia" w:ascii="仿宋" w:hAnsi="仿宋" w:eastAsia="仿宋" w:cs="仿宋"/>
          <w:b w:val="0"/>
          <w:bCs/>
          <w:color w:val="auto"/>
          <w:sz w:val="24"/>
          <w:szCs w:val="24"/>
          <w:highlight w:val="none"/>
          <w:lang w:val="en-US" w:eastAsia="zh-CN" w:bidi="zh-CN"/>
        </w:rPr>
      </w:pPr>
      <w:r>
        <w:rPr>
          <w:rFonts w:hint="eastAsia" w:ascii="仿宋" w:hAnsi="仿宋" w:eastAsia="仿宋" w:cs="仿宋"/>
          <w:b w:val="0"/>
          <w:bCs/>
          <w:color w:val="auto"/>
          <w:sz w:val="24"/>
          <w:szCs w:val="24"/>
          <w:highlight w:val="none"/>
          <w:lang w:val="en-US" w:eastAsia="zh-CN" w:bidi="zh-CN"/>
        </w:rPr>
        <w:t>中国政府采购网：政府采购严重违法失信行为记录名单网站查询截图；</w:t>
      </w:r>
    </w:p>
    <w:p>
      <w:pPr>
        <w:pStyle w:val="18"/>
        <w:spacing w:line="480" w:lineRule="auto"/>
        <w:ind w:left="0" w:leftChars="0" w:firstLine="0" w:firstLineChars="0"/>
        <w:rPr>
          <w:rFonts w:hint="eastAsia" w:ascii="仿宋" w:hAnsi="仿宋" w:eastAsia="仿宋" w:cs="仿宋"/>
          <w:b w:val="0"/>
          <w:bCs/>
          <w:color w:val="auto"/>
          <w:sz w:val="24"/>
          <w:szCs w:val="24"/>
          <w:highlight w:val="none"/>
          <w:lang w:val="en-US" w:eastAsia="zh-CN" w:bidi="zh-CN"/>
        </w:rPr>
      </w:pPr>
      <w:r>
        <w:rPr>
          <w:rFonts w:hint="eastAsia" w:ascii="仿宋" w:hAnsi="仿宋" w:eastAsia="仿宋" w:cs="仿宋"/>
          <w:b w:val="0"/>
          <w:bCs/>
          <w:color w:val="auto"/>
          <w:sz w:val="24"/>
          <w:szCs w:val="24"/>
          <w:highlight w:val="none"/>
          <w:lang w:val="en-US" w:eastAsia="zh-CN" w:bidi="zh-CN"/>
        </w:rPr>
        <w:t>中国裁判文书网：单位、法定代表人行贿受贿犯罪记录网站查询截图；</w:t>
      </w:r>
    </w:p>
    <w:p>
      <w:pPr>
        <w:pStyle w:val="18"/>
        <w:spacing w:line="480" w:lineRule="auto"/>
        <w:ind w:left="0" w:leftChars="0" w:firstLine="0" w:firstLineChars="0"/>
        <w:rPr>
          <w:rFonts w:hint="eastAsia" w:ascii="仿宋" w:hAnsi="仿宋" w:eastAsia="仿宋" w:cs="仿宋"/>
          <w:b w:val="0"/>
          <w:bCs/>
          <w:color w:val="auto"/>
          <w:sz w:val="24"/>
          <w:szCs w:val="24"/>
          <w:highlight w:val="none"/>
          <w:lang w:val="en-US" w:eastAsia="zh-CN" w:bidi="zh-CN"/>
        </w:rPr>
      </w:pPr>
      <w:r>
        <w:rPr>
          <w:rFonts w:hint="eastAsia" w:ascii="仿宋" w:hAnsi="仿宋" w:eastAsia="仿宋" w:cs="仿宋"/>
          <w:b w:val="0"/>
          <w:bCs/>
          <w:color w:val="auto"/>
          <w:sz w:val="24"/>
          <w:szCs w:val="24"/>
          <w:highlight w:val="none"/>
          <w:lang w:val="en-US" w:eastAsia="zh-CN" w:bidi="zh-CN"/>
        </w:rPr>
        <w:t>7.投标保证金缴纳凭证；</w:t>
      </w:r>
    </w:p>
    <w:p>
      <w:pPr>
        <w:pStyle w:val="5"/>
        <w:numPr>
          <w:ilvl w:val="0"/>
          <w:numId w:val="0"/>
        </w:numPr>
        <w:spacing w:line="360" w:lineRule="auto"/>
        <w:jc w:val="both"/>
        <w:rPr>
          <w:rFonts w:hint="eastAsia" w:ascii="仿宋" w:hAnsi="仿宋" w:eastAsia="仿宋" w:cs="仿宋"/>
          <w:b w:val="0"/>
          <w:bCs w:val="0"/>
          <w:color w:val="auto"/>
          <w:sz w:val="24"/>
          <w:szCs w:val="24"/>
          <w:highlight w:val="none"/>
          <w:lang w:val="en-US"/>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认为有其他证明材料的，均可附后</w:t>
      </w:r>
      <w:r>
        <w:rPr>
          <w:rFonts w:hint="eastAsia" w:ascii="仿宋" w:hAnsi="仿宋" w:eastAsia="仿宋" w:cs="仿宋"/>
          <w:color w:val="auto"/>
          <w:sz w:val="24"/>
          <w:highlight w:val="none"/>
          <w:lang w:eastAsia="zh-CN"/>
        </w:rPr>
        <w:t>。</w:t>
      </w:r>
    </w:p>
    <w:p>
      <w:pPr>
        <w:autoSpaceDE w:val="0"/>
        <w:autoSpaceDN w:val="0"/>
        <w:adjustRightInd w:val="0"/>
        <w:jc w:val="both"/>
        <w:rPr>
          <w:rFonts w:hint="eastAsia" w:ascii="仿宋" w:hAnsi="仿宋" w:eastAsia="仿宋" w:cs="仿宋"/>
          <w:b/>
          <w:color w:val="auto"/>
          <w:sz w:val="24"/>
          <w:highlight w:val="none"/>
        </w:rPr>
      </w:pPr>
    </w:p>
    <w:p>
      <w:pPr>
        <w:pStyle w:val="7"/>
        <w:rPr>
          <w:rFonts w:hint="eastAsia" w:ascii="仿宋" w:hAnsi="仿宋" w:eastAsia="仿宋" w:cs="仿宋"/>
          <w:b/>
          <w:color w:val="auto"/>
          <w:sz w:val="24"/>
          <w:highlight w:val="none"/>
        </w:rPr>
      </w:pPr>
    </w:p>
    <w:p>
      <w:pPr>
        <w:pStyle w:val="7"/>
        <w:rPr>
          <w:rFonts w:hint="eastAsia" w:ascii="仿宋" w:hAnsi="仿宋" w:eastAsia="仿宋" w:cs="仿宋"/>
          <w:b/>
          <w:color w:val="auto"/>
          <w:sz w:val="24"/>
          <w:highlight w:val="none"/>
        </w:rPr>
      </w:pPr>
    </w:p>
    <w:p>
      <w:pPr>
        <w:pStyle w:val="7"/>
        <w:rPr>
          <w:rFonts w:hint="eastAsia" w:ascii="仿宋" w:hAnsi="仿宋" w:eastAsia="仿宋" w:cs="仿宋"/>
          <w:b/>
          <w:color w:val="auto"/>
          <w:sz w:val="24"/>
          <w:highlight w:val="none"/>
        </w:rPr>
        <w:sectPr>
          <w:pgSz w:w="11906" w:h="16838"/>
          <w:pgMar w:top="1474" w:right="1489" w:bottom="1247" w:left="1797" w:header="851" w:footer="851" w:gutter="0"/>
          <w:cols w:space="720" w:num="1"/>
          <w:docGrid w:type="lines" w:linePitch="312" w:charSpace="0"/>
        </w:sectPr>
      </w:pPr>
    </w:p>
    <w:p>
      <w:pPr>
        <w:spacing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zh-CN"/>
        </w:rPr>
        <w:t>五</w:t>
      </w:r>
      <w:r>
        <w:rPr>
          <w:rFonts w:hint="eastAsia" w:ascii="仿宋" w:hAnsi="仿宋" w:eastAsia="仿宋" w:cs="仿宋"/>
          <w:b/>
          <w:color w:val="auto"/>
          <w:sz w:val="32"/>
          <w:szCs w:val="32"/>
          <w:highlight w:val="none"/>
        </w:rPr>
        <w:t xml:space="preserve"> ）开标一览表</w:t>
      </w:r>
    </w:p>
    <w:p>
      <w:pPr>
        <w:spacing w:line="360" w:lineRule="exact"/>
        <w:ind w:firstLine="120" w:firstLineChars="5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tbl>
      <w:tblPr>
        <w:tblStyle w:val="19"/>
        <w:tblW w:w="14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10"/>
        <w:gridCol w:w="1844"/>
        <w:gridCol w:w="2737"/>
        <w:gridCol w:w="2282"/>
        <w:gridCol w:w="271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8" w:hRule="exact"/>
          <w:jc w:val="center"/>
        </w:trPr>
        <w:tc>
          <w:tcPr>
            <w:tcW w:w="3610" w:type="dxa"/>
            <w:tcBorders>
              <w:bottom w:val="single" w:color="auto" w:sz="4" w:space="0"/>
            </w:tcBorders>
            <w:noWrap w:val="0"/>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内容</w:t>
            </w:r>
          </w:p>
        </w:tc>
        <w:tc>
          <w:tcPr>
            <w:tcW w:w="1844" w:type="dxa"/>
            <w:tcBorders>
              <w:bottom w:val="single" w:color="auto" w:sz="4" w:space="0"/>
            </w:tcBorders>
            <w:noWrap w:val="0"/>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2737" w:type="dxa"/>
            <w:tcBorders>
              <w:bottom w:val="single" w:color="auto" w:sz="4" w:space="0"/>
            </w:tcBorders>
            <w:noWrap w:val="0"/>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投标报价（元）</w:t>
            </w:r>
          </w:p>
        </w:tc>
        <w:tc>
          <w:tcPr>
            <w:tcW w:w="2282" w:type="dxa"/>
            <w:tcBorders>
              <w:bottom w:val="single" w:color="auto" w:sz="4" w:space="0"/>
            </w:tcBorders>
            <w:noWrap w:val="0"/>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交付期限</w:t>
            </w:r>
          </w:p>
        </w:tc>
        <w:tc>
          <w:tcPr>
            <w:tcW w:w="2710" w:type="dxa"/>
            <w:tcBorders>
              <w:bottom w:val="single" w:color="auto" w:sz="4" w:space="0"/>
            </w:tcBorders>
            <w:noWrap w:val="0"/>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质保期</w:t>
            </w:r>
          </w:p>
        </w:tc>
        <w:tc>
          <w:tcPr>
            <w:tcW w:w="1294" w:type="dxa"/>
            <w:tcBorders>
              <w:bottom w:val="single" w:color="auto" w:sz="4" w:space="0"/>
            </w:tcBorders>
            <w:noWrap w:val="0"/>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88" w:hRule="atLeast"/>
          <w:jc w:val="center"/>
        </w:trPr>
        <w:tc>
          <w:tcPr>
            <w:tcW w:w="3610" w:type="dxa"/>
            <w:noWrap w:val="0"/>
            <w:vAlign w:val="center"/>
          </w:tcPr>
          <w:p>
            <w:pPr>
              <w:snapToGrid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新疆工程学院</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电力系统继电保护实训室建设</w:t>
            </w:r>
            <w:r>
              <w:rPr>
                <w:rFonts w:hint="eastAsia" w:ascii="仿宋" w:hAnsi="仿宋" w:eastAsia="仿宋" w:cs="仿宋"/>
                <w:color w:val="auto"/>
                <w:sz w:val="28"/>
                <w:szCs w:val="28"/>
                <w:highlight w:val="none"/>
                <w:lang w:eastAsia="zh-CN"/>
              </w:rPr>
              <w:t>》</w:t>
            </w:r>
          </w:p>
        </w:tc>
        <w:tc>
          <w:tcPr>
            <w:tcW w:w="1844" w:type="dxa"/>
            <w:noWrap w:val="0"/>
            <w:vAlign w:val="center"/>
          </w:tcPr>
          <w:p>
            <w:pPr>
              <w:snapToGrid w:val="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批</w:t>
            </w:r>
          </w:p>
        </w:tc>
        <w:tc>
          <w:tcPr>
            <w:tcW w:w="2737" w:type="dxa"/>
            <w:noWrap w:val="0"/>
            <w:vAlign w:val="center"/>
          </w:tcPr>
          <w:p>
            <w:pPr>
              <w:snapToGrid w:val="0"/>
              <w:jc w:val="center"/>
              <w:rPr>
                <w:rFonts w:hint="eastAsia" w:ascii="仿宋" w:hAnsi="仿宋" w:eastAsia="仿宋" w:cs="仿宋"/>
                <w:color w:val="auto"/>
                <w:sz w:val="28"/>
                <w:szCs w:val="28"/>
                <w:highlight w:val="none"/>
              </w:rPr>
            </w:pPr>
          </w:p>
        </w:tc>
        <w:tc>
          <w:tcPr>
            <w:tcW w:w="2282" w:type="dxa"/>
            <w:tcBorders>
              <w:right w:val="single" w:color="auto" w:sz="4" w:space="0"/>
            </w:tcBorders>
            <w:noWrap w:val="0"/>
            <w:vAlign w:val="center"/>
          </w:tcPr>
          <w:p>
            <w:pPr>
              <w:snapToGrid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自合同签订之日起</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0 个工作日</w:t>
            </w:r>
            <w:r>
              <w:rPr>
                <w:rFonts w:hint="eastAsia" w:ascii="仿宋" w:hAnsi="仿宋" w:eastAsia="仿宋" w:cs="仿宋"/>
                <w:color w:val="auto"/>
                <w:sz w:val="28"/>
                <w:szCs w:val="28"/>
                <w:highlight w:val="none"/>
                <w:lang w:val="en-US" w:eastAsia="zh-CN"/>
              </w:rPr>
              <w:t>内完成运输、安装、调试，并配合招标人人完成验收工作，保证正常投入使用</w:t>
            </w:r>
            <w:r>
              <w:rPr>
                <w:rFonts w:hint="eastAsia" w:ascii="仿宋" w:hAnsi="仿宋" w:eastAsia="仿宋" w:cs="仿宋"/>
                <w:color w:val="auto"/>
                <w:sz w:val="28"/>
                <w:szCs w:val="28"/>
                <w:highlight w:val="none"/>
                <w:lang w:eastAsia="zh-CN"/>
              </w:rPr>
              <w:t>。</w:t>
            </w:r>
          </w:p>
        </w:tc>
        <w:tc>
          <w:tcPr>
            <w:tcW w:w="2710" w:type="dxa"/>
            <w:tcBorders>
              <w:right w:val="single" w:color="auto" w:sz="4" w:space="0"/>
            </w:tcBorders>
            <w:noWrap w:val="0"/>
            <w:vAlign w:val="center"/>
          </w:tcPr>
          <w:p>
            <w:pPr>
              <w:snapToGrid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一年免费质保，</w:t>
            </w:r>
            <w:r>
              <w:rPr>
                <w:rFonts w:hint="eastAsia" w:ascii="仿宋" w:hAnsi="仿宋" w:eastAsia="仿宋" w:cs="仿宋"/>
                <w:color w:val="auto"/>
                <w:sz w:val="28"/>
                <w:szCs w:val="28"/>
                <w:highlight w:val="none"/>
              </w:rPr>
              <w:t>主要设备终身维护</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并提供免费上门服务；</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4" w:hRule="exact"/>
          <w:jc w:val="center"/>
        </w:trPr>
        <w:tc>
          <w:tcPr>
            <w:tcW w:w="3610" w:type="dxa"/>
            <w:tcBorders>
              <w:bottom w:val="single" w:color="auto" w:sz="4" w:space="0"/>
            </w:tcBorders>
            <w:noWrap w:val="0"/>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总报价（元）</w:t>
            </w:r>
          </w:p>
        </w:tc>
        <w:tc>
          <w:tcPr>
            <w:tcW w:w="10867" w:type="dxa"/>
            <w:gridSpan w:val="5"/>
            <w:tcBorders>
              <w:bottom w:val="single" w:color="auto" w:sz="4" w:space="0"/>
            </w:tcBorders>
            <w:noWrap w:val="0"/>
            <w:vAlign w:val="center"/>
          </w:tcPr>
          <w:p>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小写：              大写：  </w:t>
            </w:r>
          </w:p>
        </w:tc>
      </w:tr>
    </w:tbl>
    <w:p>
      <w:pPr>
        <w:pStyle w:val="28"/>
        <w:keepNext w:val="0"/>
        <w:keepLines w:val="0"/>
        <w:adjustRightInd/>
        <w:spacing w:before="0" w:line="240" w:lineRule="auto"/>
        <w:textAlignment w:val="auto"/>
        <w:outlineLvl w:val="9"/>
        <w:rPr>
          <w:rFonts w:hint="eastAsia" w:ascii="仿宋" w:hAnsi="仿宋" w:eastAsia="仿宋" w:cs="仿宋"/>
          <w:b w:val="0"/>
          <w:bCs w:val="0"/>
          <w:color w:val="auto"/>
          <w:sz w:val="24"/>
          <w:highlight w:val="none"/>
        </w:rPr>
      </w:pPr>
    </w:p>
    <w:p>
      <w:pPr>
        <w:pStyle w:val="28"/>
        <w:keepNext w:val="0"/>
        <w:keepLines w:val="0"/>
        <w:adjustRightInd/>
        <w:spacing w:before="0" w:line="240" w:lineRule="auto"/>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1、“货物名称”按照招标文件第四</w:t>
      </w:r>
      <w:r>
        <w:rPr>
          <w:rFonts w:hint="eastAsia" w:ascii="仿宋" w:hAnsi="仿宋" w:eastAsia="仿宋" w:cs="仿宋"/>
          <w:b w:val="0"/>
          <w:bCs w:val="0"/>
          <w:color w:val="auto"/>
          <w:sz w:val="24"/>
          <w:highlight w:val="none"/>
          <w:lang w:eastAsia="zh-CN"/>
        </w:rPr>
        <w:t>章</w:t>
      </w:r>
      <w:r>
        <w:rPr>
          <w:rFonts w:hint="eastAsia" w:ascii="仿宋" w:hAnsi="仿宋" w:eastAsia="仿宋" w:cs="仿宋"/>
          <w:b w:val="0"/>
          <w:bCs w:val="0"/>
          <w:color w:val="auto"/>
          <w:sz w:val="24"/>
          <w:highlight w:val="none"/>
        </w:rPr>
        <w:t>采购需求要求填写。</w:t>
      </w:r>
    </w:p>
    <w:p>
      <w:pPr>
        <w:pStyle w:val="28"/>
        <w:keepNext w:val="0"/>
        <w:keepLines w:val="0"/>
        <w:adjustRightInd/>
        <w:spacing w:before="0" w:line="240" w:lineRule="auto"/>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eastAsia="zh-CN"/>
        </w:rPr>
        <w:t>投标人</w:t>
      </w:r>
      <w:r>
        <w:rPr>
          <w:rFonts w:hint="eastAsia" w:ascii="仿宋" w:hAnsi="仿宋" w:eastAsia="仿宋" w:cs="仿宋"/>
          <w:b w:val="0"/>
          <w:bCs w:val="0"/>
          <w:color w:val="auto"/>
          <w:sz w:val="24"/>
          <w:highlight w:val="none"/>
        </w:rPr>
        <w:t>如果需要对投标数量或其它内容加以说明，可在报价说明中填写。</w:t>
      </w:r>
    </w:p>
    <w:p>
      <w:pPr>
        <w:pStyle w:val="28"/>
        <w:keepNext w:val="0"/>
        <w:keepLines w:val="0"/>
        <w:adjustRightInd/>
        <w:spacing w:before="0" w:line="240" w:lineRule="auto"/>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eastAsia="zh-CN"/>
        </w:rPr>
        <w:t>投标人</w:t>
      </w:r>
      <w:r>
        <w:rPr>
          <w:rFonts w:hint="eastAsia" w:ascii="仿宋" w:hAnsi="仿宋" w:eastAsia="仿宋" w:cs="仿宋"/>
          <w:b w:val="0"/>
          <w:bCs w:val="0"/>
          <w:color w:val="auto"/>
          <w:sz w:val="24"/>
          <w:highlight w:val="none"/>
        </w:rPr>
        <w:t>须按所投标段分别编制、提交。</w:t>
      </w:r>
    </w:p>
    <w:p>
      <w:pPr>
        <w:pStyle w:val="28"/>
        <w:keepNext w:val="0"/>
        <w:keepLines w:val="0"/>
        <w:adjustRightInd/>
        <w:spacing w:before="0" w:line="240" w:lineRule="auto"/>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、此表用于开标现场唱标使用，须按招标要求单独密封、标识提供，否则将按无效标处理。</w:t>
      </w:r>
    </w:p>
    <w:p>
      <w:pPr>
        <w:pStyle w:val="28"/>
        <w:keepNext w:val="0"/>
        <w:keepLines w:val="0"/>
        <w:adjustRightInd/>
        <w:spacing w:before="0" w:line="240" w:lineRule="auto"/>
        <w:textAlignment w:val="auto"/>
        <w:outlineLvl w:val="9"/>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本次报价均包含设备的购置费、开发费、包装费、运输费、保险费、安装调试费、各种税费、资料费、规定期限的售后服务费等，后续不再追加任何费用。请投标人综合考虑合理报价。且报价包括第四章项目需求中所包含的全部内容。</w:t>
      </w:r>
    </w:p>
    <w:p>
      <w:pPr>
        <w:pStyle w:val="28"/>
        <w:keepNext w:val="0"/>
        <w:keepLines w:val="0"/>
        <w:adjustRightInd/>
        <w:spacing w:before="0" w:line="240" w:lineRule="auto"/>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投标人名称</w:t>
      </w:r>
      <w:r>
        <w:rPr>
          <w:rFonts w:hint="eastAsia" w:ascii="仿宋" w:hAnsi="仿宋" w:eastAsia="仿宋" w:cs="仿宋"/>
          <w:b w:val="0"/>
          <w:bCs w:val="0"/>
          <w:color w:val="auto"/>
          <w:sz w:val="24"/>
          <w:highlight w:val="none"/>
        </w:rPr>
        <w:t>（盖公章）：</w:t>
      </w: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法定代表人或投标授权代理人：（签字或盖章）</w:t>
      </w:r>
    </w:p>
    <w:p>
      <w:pPr>
        <w:pStyle w:val="28"/>
        <w:keepNext w:val="0"/>
        <w:keepLines w:val="0"/>
        <w:adjustRightInd/>
        <w:spacing w:before="0" w:line="240" w:lineRule="auto"/>
        <w:ind w:firstLine="9840" w:firstLineChars="4100"/>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日期： 年</w:t>
      </w:r>
      <w:r>
        <w:rPr>
          <w:rFonts w:hint="eastAsia" w:ascii="仿宋" w:hAnsi="仿宋" w:eastAsia="仿宋" w:cs="仿宋"/>
          <w:b w:val="0"/>
          <w:bCs w:val="0"/>
          <w:color w:val="auto"/>
          <w:sz w:val="24"/>
          <w:highlight w:val="none"/>
        </w:rPr>
        <w:tab/>
      </w:r>
      <w:r>
        <w:rPr>
          <w:rFonts w:hint="eastAsia" w:ascii="仿宋" w:hAnsi="仿宋" w:eastAsia="仿宋" w:cs="仿宋"/>
          <w:b w:val="0"/>
          <w:bCs w:val="0"/>
          <w:color w:val="auto"/>
          <w:sz w:val="24"/>
          <w:highlight w:val="none"/>
        </w:rPr>
        <w:t>月</w:t>
      </w:r>
      <w:r>
        <w:rPr>
          <w:rFonts w:hint="eastAsia" w:ascii="仿宋" w:hAnsi="仿宋" w:eastAsia="仿宋" w:cs="仿宋"/>
          <w:b w:val="0"/>
          <w:bCs w:val="0"/>
          <w:color w:val="auto"/>
          <w:sz w:val="24"/>
          <w:highlight w:val="none"/>
        </w:rPr>
        <w:tab/>
      </w:r>
      <w:r>
        <w:rPr>
          <w:rFonts w:hint="eastAsia" w:ascii="仿宋" w:hAnsi="仿宋" w:eastAsia="仿宋" w:cs="仿宋"/>
          <w:b w:val="0"/>
          <w:bCs w:val="0"/>
          <w:color w:val="auto"/>
          <w:sz w:val="24"/>
          <w:highlight w:val="none"/>
        </w:rPr>
        <w:t>日</w:t>
      </w:r>
    </w:p>
    <w:p>
      <w:pPr>
        <w:spacing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（六）</w:t>
      </w:r>
      <w:r>
        <w:rPr>
          <w:rFonts w:hint="eastAsia" w:ascii="仿宋" w:hAnsi="仿宋" w:eastAsia="仿宋" w:cs="仿宋"/>
          <w:b/>
          <w:color w:val="auto"/>
          <w:sz w:val="32"/>
          <w:szCs w:val="32"/>
          <w:highlight w:val="none"/>
        </w:rPr>
        <w:t>投标产品名称、数量、规格明细报价表</w:t>
      </w:r>
    </w:p>
    <w:p>
      <w:pPr>
        <w:pStyle w:val="22"/>
        <w:spacing w:after="120" w:afterLines="50"/>
        <w:ind w:firstLine="560"/>
        <w:rPr>
          <w:rFonts w:hint="eastAsia" w:ascii="仿宋" w:hAnsi="仿宋" w:eastAsia="仿宋"/>
          <w:color w:val="auto"/>
          <w:sz w:val="44"/>
        </w:rPr>
      </w:pPr>
      <w:r>
        <w:rPr>
          <w:rFonts w:hint="eastAsia" w:ascii="仿宋" w:hAnsi="仿宋" w:eastAsia="仿宋"/>
          <w:color w:val="auto"/>
        </w:rPr>
        <w:t xml:space="preserve">                      </w:t>
      </w:r>
    </w:p>
    <w:tbl>
      <w:tblPr>
        <w:tblStyle w:val="19"/>
        <w:tblW w:w="1383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582"/>
        <w:gridCol w:w="1665"/>
        <w:gridCol w:w="1620"/>
        <w:gridCol w:w="1620"/>
        <w:gridCol w:w="1635"/>
        <w:gridCol w:w="1545"/>
        <w:gridCol w:w="123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exac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olor w:val="auto"/>
                <w:sz w:val="24"/>
              </w:rPr>
            </w:pPr>
            <w:r>
              <w:rPr>
                <w:rFonts w:hint="eastAsia" w:ascii="仿宋" w:hAnsi="仿宋" w:eastAsia="仿宋"/>
                <w:color w:val="auto"/>
                <w:sz w:val="24"/>
              </w:rPr>
              <w:t>序号</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olor w:val="auto"/>
                <w:sz w:val="24"/>
              </w:rPr>
            </w:pPr>
            <w:r>
              <w:rPr>
                <w:rFonts w:hint="eastAsia" w:ascii="仿宋" w:hAnsi="仿宋" w:eastAsia="仿宋"/>
                <w:color w:val="auto"/>
                <w:sz w:val="24"/>
              </w:rPr>
              <w:t xml:space="preserve">名 </w:t>
            </w:r>
            <w:r>
              <w:rPr>
                <w:rFonts w:hint="eastAsia" w:ascii="仿宋" w:hAnsi="仿宋" w:eastAsia="仿宋"/>
                <w:color w:val="auto"/>
                <w:sz w:val="24"/>
                <w:lang w:val="en-US" w:eastAsia="zh-CN"/>
              </w:rPr>
              <w:t xml:space="preserve">  </w:t>
            </w:r>
            <w:r>
              <w:rPr>
                <w:rFonts w:hint="eastAsia" w:ascii="仿宋" w:hAnsi="仿宋" w:eastAsia="仿宋"/>
                <w:color w:val="auto"/>
                <w:sz w:val="24"/>
              </w:rPr>
              <w:t>称</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olor w:val="auto"/>
                <w:sz w:val="24"/>
              </w:rPr>
            </w:pPr>
            <w:r>
              <w:rPr>
                <w:rFonts w:hint="eastAsia" w:ascii="仿宋" w:hAnsi="仿宋" w:eastAsia="仿宋"/>
                <w:color w:val="auto"/>
                <w:sz w:val="24"/>
              </w:rPr>
              <w:t>参数</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olor w:val="auto"/>
                <w:sz w:val="24"/>
              </w:rPr>
            </w:pPr>
            <w:r>
              <w:rPr>
                <w:rFonts w:hint="eastAsia" w:ascii="仿宋" w:hAnsi="仿宋" w:eastAsia="仿宋"/>
                <w:color w:val="auto"/>
                <w:sz w:val="24"/>
              </w:rPr>
              <w:t>单位</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olor w:val="auto"/>
                <w:sz w:val="24"/>
              </w:rPr>
            </w:pPr>
            <w:r>
              <w:rPr>
                <w:rFonts w:hint="eastAsia" w:ascii="仿宋" w:hAnsi="仿宋" w:eastAsia="仿宋"/>
                <w:color w:val="auto"/>
                <w:sz w:val="24"/>
              </w:rPr>
              <w:t>规格</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olor w:val="auto"/>
                <w:sz w:val="24"/>
              </w:rPr>
            </w:pPr>
            <w:r>
              <w:rPr>
                <w:rFonts w:hint="eastAsia" w:ascii="仿宋" w:hAnsi="仿宋" w:eastAsia="仿宋"/>
                <w:color w:val="auto"/>
                <w:sz w:val="24"/>
              </w:rPr>
              <w:t>数量</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olor w:val="auto"/>
                <w:sz w:val="24"/>
              </w:rPr>
            </w:pPr>
            <w:r>
              <w:rPr>
                <w:rFonts w:hint="eastAsia" w:ascii="仿宋" w:hAnsi="仿宋" w:eastAsia="仿宋"/>
                <w:color w:val="auto"/>
                <w:sz w:val="24"/>
              </w:rPr>
              <w:t>生产厂家及品牌</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仿宋" w:hAnsi="仿宋" w:eastAsia="仿宋"/>
                <w:color w:val="auto"/>
                <w:sz w:val="24"/>
                <w:lang w:eastAsia="zh-CN"/>
              </w:rPr>
            </w:pPr>
            <w:r>
              <w:rPr>
                <w:rFonts w:hint="eastAsia" w:ascii="仿宋" w:hAnsi="仿宋" w:eastAsia="仿宋"/>
                <w:color w:val="auto"/>
                <w:sz w:val="24"/>
                <w:lang w:eastAsia="zh-CN"/>
              </w:rPr>
              <w:t>单价</w:t>
            </w:r>
            <w:r>
              <w:rPr>
                <w:rFonts w:hint="eastAsia" w:ascii="仿宋" w:hAnsi="仿宋" w:eastAsia="仿宋"/>
                <w:color w:val="auto"/>
                <w:sz w:val="24"/>
                <w:lang w:val="en-US" w:eastAsia="zh-CN"/>
              </w:rPr>
              <w:t>（元）</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仿宋" w:hAnsi="仿宋" w:eastAsia="仿宋"/>
                <w:color w:val="auto"/>
                <w:sz w:val="24"/>
                <w:lang w:val="en-US" w:eastAsia="zh-CN"/>
              </w:rPr>
            </w:pPr>
            <w:r>
              <w:rPr>
                <w:rFonts w:hint="eastAsia" w:ascii="仿宋" w:hAnsi="仿宋" w:eastAsia="仿宋"/>
                <w:color w:val="auto"/>
                <w:sz w:val="24"/>
                <w:lang w:eastAsia="zh-CN"/>
              </w:rPr>
              <w:t>合计</w:t>
            </w:r>
            <w:r>
              <w:rPr>
                <w:rFonts w:hint="eastAsia" w:ascii="仿宋" w:hAnsi="仿宋" w:eastAsia="仿宋"/>
                <w:color w:val="auto"/>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olor w:val="auto"/>
                <w:sz w:val="24"/>
              </w:rPr>
            </w:pPr>
            <w:r>
              <w:rPr>
                <w:rFonts w:hint="eastAsia" w:ascii="仿宋" w:hAnsi="仿宋" w:eastAsia="仿宋"/>
                <w:color w:val="auto"/>
                <w:sz w:val="24"/>
              </w:rPr>
              <w:t>1</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olor w:val="auto"/>
                <w:sz w:val="24"/>
              </w:rPr>
            </w:pPr>
            <w:r>
              <w:rPr>
                <w:rFonts w:hint="eastAsia" w:ascii="仿宋" w:hAnsi="仿宋" w:eastAsia="仿宋"/>
                <w:color w:val="auto"/>
                <w:sz w:val="24"/>
              </w:rPr>
              <w:t>（所投的全部货物内容）</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olor w:val="auto"/>
                <w:sz w:val="24"/>
              </w:rPr>
            </w:pPr>
            <w:r>
              <w:rPr>
                <w:rFonts w:hint="eastAsia" w:ascii="仿宋" w:hAnsi="仿宋" w:eastAsia="仿宋"/>
                <w:color w:val="auto"/>
                <w:sz w:val="24"/>
              </w:rPr>
              <w:t>2</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r>
              <w:rPr>
                <w:rFonts w:hint="eastAsia" w:ascii="仿宋" w:hAnsi="仿宋" w:eastAsia="仿宋"/>
                <w:color w:val="auto"/>
                <w:sz w:val="24"/>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olor w:val="auto"/>
                <w:sz w:val="24"/>
              </w:rPr>
            </w:pPr>
            <w:r>
              <w:rPr>
                <w:rFonts w:hint="eastAsia" w:ascii="仿宋" w:hAnsi="仿宋" w:eastAsia="仿宋"/>
                <w:color w:val="auto"/>
                <w:sz w:val="24"/>
              </w:rPr>
              <w:t>3</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r>
              <w:rPr>
                <w:rFonts w:hint="eastAsia" w:ascii="仿宋" w:hAnsi="仿宋" w:eastAsia="仿宋"/>
                <w:color w:val="auto"/>
                <w:sz w:val="24"/>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olor w:val="auto"/>
                <w:sz w:val="24"/>
              </w:rPr>
            </w:pPr>
            <w:r>
              <w:rPr>
                <w:rFonts w:hint="eastAsia" w:ascii="仿宋" w:hAnsi="仿宋" w:eastAsia="仿宋"/>
                <w:color w:val="auto"/>
                <w:sz w:val="24"/>
              </w:rPr>
              <w:t>6</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r>
              <w:rPr>
                <w:rFonts w:hint="eastAsia" w:ascii="仿宋" w:hAnsi="仿宋" w:eastAsia="仿宋"/>
                <w:color w:val="auto"/>
                <w:sz w:val="24"/>
              </w:rPr>
              <w:t>备品备件</w:t>
            </w:r>
          </w:p>
        </w:tc>
        <w:tc>
          <w:tcPr>
            <w:tcW w:w="9315" w:type="dxa"/>
            <w:gridSpan w:val="6"/>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olor w:val="auto"/>
                <w:sz w:val="24"/>
              </w:rPr>
            </w:pPr>
            <w:r>
              <w:rPr>
                <w:rFonts w:hint="eastAsia" w:ascii="仿宋" w:hAnsi="仿宋" w:eastAsia="仿宋"/>
                <w:color w:val="auto"/>
                <w:sz w:val="24"/>
              </w:rPr>
              <w:t>7</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r>
              <w:rPr>
                <w:rFonts w:hint="eastAsia" w:ascii="仿宋" w:hAnsi="仿宋" w:eastAsia="仿宋"/>
                <w:color w:val="auto"/>
                <w:sz w:val="24"/>
              </w:rPr>
              <w:t>专用工具</w:t>
            </w:r>
          </w:p>
        </w:tc>
        <w:tc>
          <w:tcPr>
            <w:tcW w:w="9315" w:type="dxa"/>
            <w:gridSpan w:val="6"/>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olor w:val="auto"/>
                <w:sz w:val="24"/>
              </w:rPr>
            </w:pPr>
            <w:r>
              <w:rPr>
                <w:rFonts w:hint="eastAsia" w:ascii="仿宋" w:hAnsi="仿宋" w:eastAsia="仿宋"/>
                <w:color w:val="auto"/>
                <w:sz w:val="24"/>
              </w:rPr>
              <w:t>8</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r>
              <w:rPr>
                <w:rFonts w:hint="eastAsia" w:ascii="仿宋" w:hAnsi="仿宋" w:eastAsia="仿宋"/>
                <w:color w:val="auto"/>
                <w:sz w:val="24"/>
              </w:rPr>
              <w:t>安装调试费</w:t>
            </w:r>
          </w:p>
        </w:tc>
        <w:tc>
          <w:tcPr>
            <w:tcW w:w="9315" w:type="dxa"/>
            <w:gridSpan w:val="6"/>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olor w:val="auto"/>
                <w:sz w:val="24"/>
              </w:rPr>
            </w:pPr>
            <w:r>
              <w:rPr>
                <w:rFonts w:hint="eastAsia" w:ascii="仿宋" w:hAnsi="仿宋" w:eastAsia="仿宋"/>
                <w:color w:val="auto"/>
                <w:sz w:val="24"/>
              </w:rPr>
              <w:t>9</w:t>
            </w: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r>
              <w:rPr>
                <w:rFonts w:hint="eastAsia" w:ascii="仿宋" w:hAnsi="仿宋" w:eastAsia="仿宋"/>
                <w:color w:val="auto"/>
                <w:sz w:val="24"/>
              </w:rPr>
              <w:t>运杂费</w:t>
            </w:r>
          </w:p>
        </w:tc>
        <w:tc>
          <w:tcPr>
            <w:tcW w:w="9315" w:type="dxa"/>
            <w:gridSpan w:val="6"/>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olor w:val="auto"/>
                <w:sz w:val="24"/>
              </w:rPr>
            </w:pPr>
          </w:p>
        </w:tc>
        <w:tc>
          <w:tcPr>
            <w:tcW w:w="258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r>
              <w:rPr>
                <w:rFonts w:hint="eastAsia" w:ascii="仿宋" w:hAnsi="仿宋" w:eastAsia="仿宋"/>
                <w:color w:val="auto"/>
                <w:sz w:val="24"/>
              </w:rPr>
              <w:t>…</w:t>
            </w:r>
          </w:p>
        </w:tc>
        <w:tc>
          <w:tcPr>
            <w:tcW w:w="9315" w:type="dxa"/>
            <w:gridSpan w:val="6"/>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r>
              <w:rPr>
                <w:rFonts w:hint="eastAsia" w:ascii="仿宋" w:hAnsi="仿宋" w:eastAsia="仿宋"/>
                <w:color w:val="auto"/>
                <w:sz w:val="24"/>
              </w:rPr>
              <w:t>合计总价（元）</w:t>
            </w:r>
          </w:p>
        </w:tc>
        <w:tc>
          <w:tcPr>
            <w:tcW w:w="9315" w:type="dxa"/>
            <w:gridSpan w:val="6"/>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80"/>
              <w:jc w:val="center"/>
              <w:rPr>
                <w:rFonts w:hint="eastAsia" w:ascii="仿宋" w:hAnsi="仿宋" w:eastAsia="仿宋"/>
                <w:color w:val="auto"/>
                <w:sz w:val="24"/>
              </w:rPr>
            </w:pPr>
          </w:p>
        </w:tc>
      </w:tr>
    </w:tbl>
    <w:p>
      <w:pPr>
        <w:pStyle w:val="10"/>
        <w:spacing w:line="460" w:lineRule="exact"/>
        <w:ind w:right="-15" w:firstLine="964" w:firstLineChars="400"/>
        <w:rPr>
          <w:rFonts w:hint="eastAsia" w:ascii="仿宋" w:hAnsi="仿宋" w:eastAsia="仿宋"/>
          <w:b/>
          <w:color w:val="auto"/>
          <w:sz w:val="24"/>
        </w:rPr>
      </w:pPr>
      <w:r>
        <w:rPr>
          <w:rFonts w:hint="eastAsia" w:ascii="仿宋" w:hAnsi="仿宋" w:eastAsia="仿宋"/>
          <w:b/>
          <w:color w:val="auto"/>
          <w:sz w:val="24"/>
        </w:rPr>
        <w:t>注</w:t>
      </w:r>
      <w:r>
        <w:rPr>
          <w:rFonts w:hint="eastAsia" w:ascii="仿宋" w:hAnsi="仿宋" w:eastAsia="仿宋"/>
          <w:color w:val="auto"/>
          <w:sz w:val="24"/>
        </w:rPr>
        <w:t>：1、</w:t>
      </w:r>
      <w:r>
        <w:rPr>
          <w:rFonts w:hint="eastAsia" w:ascii="仿宋" w:hAnsi="仿宋" w:eastAsia="仿宋"/>
          <w:b/>
          <w:color w:val="auto"/>
          <w:sz w:val="24"/>
          <w:lang w:eastAsia="zh-CN"/>
        </w:rPr>
        <w:t>投标人</w:t>
      </w:r>
      <w:r>
        <w:rPr>
          <w:rFonts w:hint="eastAsia" w:ascii="仿宋" w:hAnsi="仿宋" w:eastAsia="仿宋"/>
          <w:b/>
          <w:color w:val="auto"/>
          <w:sz w:val="24"/>
        </w:rPr>
        <w:t>须参照第</w:t>
      </w:r>
      <w:r>
        <w:rPr>
          <w:rFonts w:hint="eastAsia" w:ascii="仿宋" w:hAnsi="仿宋" w:eastAsia="仿宋"/>
          <w:b/>
          <w:color w:val="auto"/>
          <w:sz w:val="24"/>
          <w:lang w:eastAsia="zh-CN"/>
        </w:rPr>
        <w:t>四</w:t>
      </w:r>
      <w:r>
        <w:rPr>
          <w:rFonts w:hint="eastAsia" w:ascii="仿宋" w:hAnsi="仿宋" w:eastAsia="仿宋"/>
          <w:b/>
          <w:color w:val="auto"/>
          <w:sz w:val="24"/>
        </w:rPr>
        <w:t>章所列明的内容全部报价。</w:t>
      </w:r>
    </w:p>
    <w:p>
      <w:pPr>
        <w:pStyle w:val="28"/>
        <w:keepNext w:val="0"/>
        <w:keepLines w:val="0"/>
        <w:adjustRightInd/>
        <w:spacing w:before="0" w:line="240" w:lineRule="auto"/>
        <w:ind w:firstLine="960" w:firstLineChars="400"/>
        <w:textAlignment w:val="auto"/>
        <w:outlineLvl w:val="9"/>
        <w:rPr>
          <w:rFonts w:hint="eastAsia" w:ascii="仿宋" w:hAnsi="仿宋" w:eastAsia="仿宋" w:cs="仿宋"/>
          <w:b w:val="0"/>
          <w:bCs w:val="0"/>
          <w:color w:val="auto"/>
          <w:sz w:val="24"/>
          <w:highlight w:val="none"/>
          <w:lang w:eastAsia="zh-CN"/>
        </w:rPr>
      </w:pPr>
    </w:p>
    <w:p>
      <w:pPr>
        <w:pStyle w:val="28"/>
        <w:keepNext w:val="0"/>
        <w:keepLines w:val="0"/>
        <w:adjustRightInd/>
        <w:spacing w:before="0" w:line="240" w:lineRule="auto"/>
        <w:ind w:firstLine="960" w:firstLineChars="400"/>
        <w:textAlignment w:val="auto"/>
        <w:outlineLvl w:val="9"/>
        <w:rPr>
          <w:rFonts w:ascii="仿宋" w:hAnsi="仿宋" w:eastAsia="仿宋"/>
          <w:color w:val="auto"/>
          <w:sz w:val="28"/>
        </w:rPr>
      </w:pPr>
      <w:r>
        <w:rPr>
          <w:rFonts w:hint="eastAsia" w:ascii="仿宋" w:hAnsi="仿宋" w:eastAsia="仿宋" w:cs="仿宋"/>
          <w:b w:val="0"/>
          <w:bCs w:val="0"/>
          <w:color w:val="auto"/>
          <w:sz w:val="24"/>
          <w:highlight w:val="none"/>
          <w:lang w:eastAsia="zh-CN"/>
        </w:rPr>
        <w:t>投标人名称</w:t>
      </w:r>
      <w:r>
        <w:rPr>
          <w:rFonts w:hint="eastAsia" w:ascii="仿宋" w:hAnsi="仿宋" w:eastAsia="仿宋" w:cs="仿宋"/>
          <w:b w:val="0"/>
          <w:bCs w:val="0"/>
          <w:color w:val="auto"/>
          <w:sz w:val="24"/>
          <w:highlight w:val="none"/>
        </w:rPr>
        <w:t>（盖公章）：</w:t>
      </w: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法定代表人或投标授权代理人：（签字或盖章）</w:t>
      </w:r>
    </w:p>
    <w:p>
      <w:pPr>
        <w:pStyle w:val="28"/>
        <w:keepNext w:val="0"/>
        <w:keepLines w:val="0"/>
        <w:adjustRightInd/>
        <w:spacing w:before="0" w:line="240" w:lineRule="auto"/>
        <w:ind w:firstLine="9840" w:firstLineChars="4100"/>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日期： 年</w:t>
      </w:r>
      <w:r>
        <w:rPr>
          <w:rFonts w:hint="eastAsia" w:ascii="仿宋" w:hAnsi="仿宋" w:eastAsia="仿宋" w:cs="仿宋"/>
          <w:b w:val="0"/>
          <w:bCs w:val="0"/>
          <w:color w:val="auto"/>
          <w:sz w:val="24"/>
          <w:highlight w:val="none"/>
        </w:rPr>
        <w:tab/>
      </w:r>
      <w:r>
        <w:rPr>
          <w:rFonts w:hint="eastAsia" w:ascii="仿宋" w:hAnsi="仿宋" w:eastAsia="仿宋" w:cs="仿宋"/>
          <w:b w:val="0"/>
          <w:bCs w:val="0"/>
          <w:color w:val="auto"/>
          <w:sz w:val="24"/>
          <w:highlight w:val="none"/>
        </w:rPr>
        <w:t>月</w:t>
      </w:r>
      <w:r>
        <w:rPr>
          <w:rFonts w:hint="eastAsia" w:ascii="仿宋" w:hAnsi="仿宋" w:eastAsia="仿宋" w:cs="仿宋"/>
          <w:b w:val="0"/>
          <w:bCs w:val="0"/>
          <w:color w:val="auto"/>
          <w:sz w:val="24"/>
          <w:highlight w:val="none"/>
        </w:rPr>
        <w:tab/>
      </w:r>
      <w:r>
        <w:rPr>
          <w:rFonts w:hint="eastAsia" w:ascii="仿宋" w:hAnsi="仿宋" w:eastAsia="仿宋" w:cs="仿宋"/>
          <w:b w:val="0"/>
          <w:bCs w:val="0"/>
          <w:color w:val="auto"/>
          <w:sz w:val="24"/>
          <w:highlight w:val="none"/>
        </w:rPr>
        <w:t>日</w:t>
      </w:r>
    </w:p>
    <w:p>
      <w:pPr>
        <w:pStyle w:val="29"/>
        <w:numPr>
          <w:ilvl w:val="0"/>
          <w:numId w:val="0"/>
        </w:numPr>
        <w:spacing w:line="240" w:lineRule="auto"/>
        <w:ind w:leftChars="0"/>
        <w:jc w:val="center"/>
        <w:rPr>
          <w:rFonts w:hint="eastAsia" w:ascii="仿宋" w:hAnsi="仿宋" w:eastAsia="仿宋" w:cs="仿宋"/>
          <w:b/>
          <w:bCs/>
          <w:color w:val="auto"/>
          <w:kern w:val="2"/>
          <w:highlight w:val="none"/>
          <w:lang w:val="en-US" w:eastAsia="zh-CN"/>
        </w:rPr>
      </w:pPr>
    </w:p>
    <w:p>
      <w:pPr>
        <w:pStyle w:val="29"/>
        <w:numPr>
          <w:ilvl w:val="0"/>
          <w:numId w:val="0"/>
        </w:numPr>
        <w:spacing w:line="240" w:lineRule="auto"/>
        <w:ind w:leftChars="0"/>
        <w:jc w:val="center"/>
        <w:rPr>
          <w:rFonts w:hint="eastAsia" w:ascii="仿宋" w:hAnsi="仿宋" w:eastAsia="仿宋" w:cs="仿宋"/>
          <w:b/>
          <w:bCs/>
          <w:color w:val="auto"/>
          <w:kern w:val="2"/>
          <w:highlight w:val="none"/>
          <w:lang w:val="en-US" w:eastAsia="zh-CN"/>
        </w:rPr>
      </w:pPr>
    </w:p>
    <w:p>
      <w:pPr>
        <w:spacing w:line="360" w:lineRule="atLeast"/>
        <w:ind w:firstLine="723"/>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商 务 条 款 偏 离 表</w:t>
      </w:r>
    </w:p>
    <w:p>
      <w:pPr>
        <w:pStyle w:val="18"/>
        <w:rPr>
          <w:rFonts w:hint="eastAsia"/>
          <w:color w:val="auto"/>
        </w:rPr>
      </w:pPr>
    </w:p>
    <w:tbl>
      <w:tblPr>
        <w:tblStyle w:val="19"/>
        <w:tblW w:w="14287" w:type="dxa"/>
        <w:jc w:val="center"/>
        <w:tblLayout w:type="fixed"/>
        <w:tblCellMar>
          <w:top w:w="0" w:type="dxa"/>
          <w:left w:w="108" w:type="dxa"/>
          <w:bottom w:w="0" w:type="dxa"/>
          <w:right w:w="108" w:type="dxa"/>
        </w:tblCellMar>
      </w:tblPr>
      <w:tblGrid>
        <w:gridCol w:w="1165"/>
        <w:gridCol w:w="1977"/>
        <w:gridCol w:w="3827"/>
        <w:gridCol w:w="3898"/>
        <w:gridCol w:w="3420"/>
      </w:tblGrid>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ind w:firstLine="160" w:firstLineChars="50"/>
              <w:rPr>
                <w:rFonts w:hint="eastAsia" w:ascii="仿宋" w:hAnsi="仿宋" w:eastAsia="仿宋" w:cs="仿宋"/>
                <w:color w:val="auto"/>
                <w:sz w:val="32"/>
                <w:highlight w:val="none"/>
              </w:rPr>
            </w:pPr>
            <w:r>
              <w:rPr>
                <w:rFonts w:hint="eastAsia" w:ascii="仿宋" w:hAnsi="仿宋" w:eastAsia="仿宋" w:cs="仿宋"/>
                <w:color w:val="auto"/>
                <w:sz w:val="32"/>
                <w:highlight w:val="none"/>
              </w:rPr>
              <w:t>序号</w:t>
            </w:r>
          </w:p>
        </w:tc>
        <w:tc>
          <w:tcPr>
            <w:tcW w:w="1977" w:type="dxa"/>
            <w:tcBorders>
              <w:top w:val="single" w:color="auto" w:sz="6" w:space="0"/>
              <w:left w:val="single" w:color="auto" w:sz="6" w:space="0"/>
              <w:bottom w:val="single" w:color="auto" w:sz="6" w:space="0"/>
              <w:right w:val="single" w:color="auto" w:sz="6" w:space="0"/>
            </w:tcBorders>
            <w:noWrap w:val="0"/>
            <w:vAlign w:val="center"/>
          </w:tcPr>
          <w:p>
            <w:pPr>
              <w:ind w:firstLine="320" w:firstLineChars="100"/>
              <w:rPr>
                <w:rFonts w:hint="eastAsia" w:ascii="仿宋" w:hAnsi="仿宋" w:eastAsia="仿宋" w:cs="仿宋"/>
                <w:color w:val="auto"/>
                <w:sz w:val="32"/>
                <w:highlight w:val="none"/>
              </w:rPr>
            </w:pPr>
            <w:r>
              <w:rPr>
                <w:rFonts w:hint="eastAsia" w:ascii="仿宋" w:hAnsi="仿宋" w:eastAsia="仿宋" w:cs="仿宋"/>
                <w:color w:val="auto"/>
                <w:sz w:val="32"/>
                <w:highlight w:val="none"/>
              </w:rPr>
              <w:t>条款序号</w:t>
            </w:r>
          </w:p>
        </w:tc>
        <w:tc>
          <w:tcPr>
            <w:tcW w:w="3827" w:type="dxa"/>
            <w:tcBorders>
              <w:top w:val="single" w:color="auto" w:sz="6" w:space="0"/>
              <w:left w:val="single" w:color="auto" w:sz="6" w:space="0"/>
              <w:bottom w:val="single" w:color="auto" w:sz="6" w:space="0"/>
              <w:right w:val="single" w:color="auto" w:sz="6" w:space="0"/>
            </w:tcBorders>
            <w:noWrap w:val="0"/>
            <w:vAlign w:val="center"/>
          </w:tcPr>
          <w:p>
            <w:pPr>
              <w:ind w:firstLine="560"/>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lang w:eastAsia="zh-CN"/>
              </w:rPr>
              <w:t>招标文件</w:t>
            </w:r>
            <w:r>
              <w:rPr>
                <w:rFonts w:hint="eastAsia" w:ascii="仿宋" w:hAnsi="仿宋" w:eastAsia="仿宋" w:cs="仿宋"/>
                <w:color w:val="auto"/>
                <w:sz w:val="32"/>
                <w:highlight w:val="none"/>
              </w:rPr>
              <w:t>条款</w:t>
            </w:r>
          </w:p>
        </w:tc>
        <w:tc>
          <w:tcPr>
            <w:tcW w:w="3898" w:type="dxa"/>
            <w:tcBorders>
              <w:top w:val="single" w:color="auto" w:sz="6" w:space="0"/>
              <w:left w:val="single" w:color="auto" w:sz="6" w:space="0"/>
              <w:bottom w:val="single" w:color="auto" w:sz="6" w:space="0"/>
              <w:right w:val="single" w:color="auto" w:sz="6" w:space="0"/>
            </w:tcBorders>
            <w:noWrap w:val="0"/>
            <w:vAlign w:val="center"/>
          </w:tcPr>
          <w:p>
            <w:pPr>
              <w:ind w:firstLine="560"/>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响应条款</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ind w:firstLine="560"/>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响应/偏离</w:t>
            </w: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c>
          <w:tcPr>
            <w:tcW w:w="3898"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c>
          <w:tcPr>
            <w:tcW w:w="3898"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c>
          <w:tcPr>
            <w:tcW w:w="3898"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c>
          <w:tcPr>
            <w:tcW w:w="3898"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c>
          <w:tcPr>
            <w:tcW w:w="3898"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sz w:val="22"/>
                <w:highlight w:val="none"/>
              </w:rPr>
            </w:pPr>
          </w:p>
        </w:tc>
      </w:tr>
    </w:tbl>
    <w:p>
      <w:pPr>
        <w:pStyle w:val="24"/>
        <w:spacing w:line="440" w:lineRule="exact"/>
        <w:ind w:firstLine="482"/>
        <w:rPr>
          <w:rFonts w:hint="eastAsia" w:ascii="仿宋" w:hAnsi="仿宋" w:eastAsia="仿宋" w:cs="仿宋"/>
          <w:b/>
          <w:color w:val="auto"/>
          <w:highlight w:val="none"/>
        </w:rPr>
      </w:pPr>
      <w:r>
        <w:rPr>
          <w:rFonts w:hint="eastAsia" w:ascii="仿宋" w:hAnsi="仿宋" w:eastAsia="仿宋" w:cs="仿宋"/>
          <w:b/>
          <w:color w:val="auto"/>
          <w:highlight w:val="none"/>
        </w:rPr>
        <w:t>注：</w:t>
      </w:r>
      <w:r>
        <w:rPr>
          <w:rFonts w:hint="eastAsia" w:ascii="仿宋" w:hAnsi="仿宋" w:eastAsia="仿宋" w:cs="仿宋"/>
          <w:b/>
          <w:color w:val="auto"/>
          <w:highlight w:val="none"/>
          <w:lang w:eastAsia="zh-CN"/>
        </w:rPr>
        <w:t>投标人</w:t>
      </w:r>
      <w:r>
        <w:rPr>
          <w:rFonts w:hint="eastAsia" w:ascii="仿宋" w:hAnsi="仿宋" w:eastAsia="仿宋" w:cs="仿宋"/>
          <w:b/>
          <w:color w:val="auto"/>
          <w:highlight w:val="none"/>
        </w:rPr>
        <w:t>应逐条阅读招标文件的</w:t>
      </w:r>
      <w:r>
        <w:rPr>
          <w:rFonts w:hint="eastAsia" w:ascii="仿宋" w:hAnsi="仿宋" w:eastAsia="仿宋" w:cs="仿宋"/>
          <w:b/>
          <w:color w:val="auto"/>
          <w:highlight w:val="none"/>
          <w:lang w:eastAsia="zh-CN"/>
        </w:rPr>
        <w:t>商务条款</w:t>
      </w:r>
      <w:r>
        <w:rPr>
          <w:rFonts w:hint="eastAsia" w:ascii="仿宋" w:hAnsi="仿宋" w:eastAsia="仿宋" w:cs="仿宋"/>
          <w:b/>
          <w:color w:val="auto"/>
          <w:highlight w:val="none"/>
        </w:rPr>
        <w:t>要求，指出自己提供的货物和服务是否对招标文件做出响应。</w:t>
      </w:r>
    </w:p>
    <w:p>
      <w:pPr>
        <w:pStyle w:val="24"/>
        <w:spacing w:line="440" w:lineRule="exact"/>
        <w:ind w:firstLine="482"/>
        <w:rPr>
          <w:rFonts w:hint="eastAsia" w:ascii="仿宋" w:hAnsi="仿宋" w:eastAsia="仿宋" w:cs="仿宋"/>
          <w:b/>
          <w:color w:val="auto"/>
          <w:highlight w:val="none"/>
        </w:rPr>
      </w:pPr>
    </w:p>
    <w:p>
      <w:pPr>
        <w:pStyle w:val="28"/>
        <w:keepNext w:val="0"/>
        <w:keepLines w:val="0"/>
        <w:adjustRightInd/>
        <w:spacing w:before="0" w:line="240" w:lineRule="auto"/>
        <w:textAlignment w:val="auto"/>
        <w:outlineLvl w:val="9"/>
        <w:rPr>
          <w:rFonts w:hint="eastAsia" w:ascii="仿宋" w:hAnsi="仿宋" w:eastAsia="仿宋" w:cs="仿宋"/>
          <w:b w:val="0"/>
          <w:bCs w:val="0"/>
          <w:color w:val="auto"/>
          <w:sz w:val="24"/>
          <w:highlight w:val="none"/>
          <w:lang w:eastAsia="zh-CN"/>
        </w:rPr>
      </w:pPr>
    </w:p>
    <w:p>
      <w:pPr>
        <w:pStyle w:val="28"/>
        <w:keepNext w:val="0"/>
        <w:keepLines w:val="0"/>
        <w:adjustRightInd/>
        <w:spacing w:before="0" w:line="240" w:lineRule="auto"/>
        <w:ind w:firstLine="960" w:firstLineChars="400"/>
        <w:textAlignment w:val="auto"/>
        <w:outlineLvl w:val="9"/>
        <w:rPr>
          <w:rFonts w:hint="eastAsia" w:ascii="仿宋" w:hAnsi="仿宋" w:eastAsia="仿宋" w:cs="仿宋"/>
          <w:b w:val="0"/>
          <w:bCs w:val="0"/>
          <w:color w:val="auto"/>
          <w:sz w:val="24"/>
          <w:highlight w:val="none"/>
          <w:lang w:eastAsia="zh-CN"/>
        </w:rPr>
      </w:pPr>
    </w:p>
    <w:p>
      <w:pPr>
        <w:pStyle w:val="28"/>
        <w:keepNext w:val="0"/>
        <w:keepLines w:val="0"/>
        <w:adjustRightInd/>
        <w:spacing w:before="0" w:line="240" w:lineRule="auto"/>
        <w:ind w:firstLine="960" w:firstLineChars="400"/>
        <w:textAlignment w:val="auto"/>
        <w:outlineLvl w:val="9"/>
        <w:rPr>
          <w:rFonts w:ascii="仿宋" w:hAnsi="仿宋" w:eastAsia="仿宋"/>
          <w:color w:val="auto"/>
          <w:sz w:val="28"/>
        </w:rPr>
      </w:pPr>
      <w:r>
        <w:rPr>
          <w:rFonts w:hint="eastAsia" w:ascii="仿宋" w:hAnsi="仿宋" w:eastAsia="仿宋" w:cs="仿宋"/>
          <w:b w:val="0"/>
          <w:bCs w:val="0"/>
          <w:color w:val="auto"/>
          <w:sz w:val="24"/>
          <w:highlight w:val="none"/>
          <w:lang w:eastAsia="zh-CN"/>
        </w:rPr>
        <w:t>投标人名称</w:t>
      </w:r>
      <w:r>
        <w:rPr>
          <w:rFonts w:hint="eastAsia" w:ascii="仿宋" w:hAnsi="仿宋" w:eastAsia="仿宋" w:cs="仿宋"/>
          <w:b w:val="0"/>
          <w:bCs w:val="0"/>
          <w:color w:val="auto"/>
          <w:sz w:val="24"/>
          <w:highlight w:val="none"/>
        </w:rPr>
        <w:t>（盖公章）：</w:t>
      </w: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法定代表人或投标授权代理人：（签字或盖章）</w:t>
      </w:r>
    </w:p>
    <w:p>
      <w:pPr>
        <w:pStyle w:val="28"/>
        <w:keepNext w:val="0"/>
        <w:keepLines w:val="0"/>
        <w:adjustRightInd/>
        <w:spacing w:before="0" w:line="240" w:lineRule="auto"/>
        <w:ind w:firstLine="9840" w:firstLineChars="4100"/>
        <w:textAlignment w:val="auto"/>
        <w:outlineLvl w:val="9"/>
        <w:rPr>
          <w:rFonts w:hint="eastAsia" w:ascii="仿宋" w:hAnsi="仿宋" w:eastAsia="仿宋" w:cs="仿宋"/>
          <w:b w:val="0"/>
          <w:bCs w:val="0"/>
          <w:color w:val="auto"/>
          <w:sz w:val="24"/>
          <w:highlight w:val="none"/>
        </w:rPr>
      </w:pPr>
    </w:p>
    <w:p>
      <w:pPr>
        <w:pStyle w:val="28"/>
        <w:keepNext w:val="0"/>
        <w:keepLines w:val="0"/>
        <w:adjustRightInd/>
        <w:spacing w:before="0" w:line="240" w:lineRule="auto"/>
        <w:ind w:firstLine="9840" w:firstLineChars="4100"/>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日期： 年</w:t>
      </w:r>
      <w:r>
        <w:rPr>
          <w:rFonts w:hint="eastAsia" w:ascii="仿宋" w:hAnsi="仿宋" w:eastAsia="仿宋" w:cs="仿宋"/>
          <w:b w:val="0"/>
          <w:bCs w:val="0"/>
          <w:color w:val="auto"/>
          <w:sz w:val="24"/>
          <w:highlight w:val="none"/>
        </w:rPr>
        <w:tab/>
      </w:r>
      <w:r>
        <w:rPr>
          <w:rFonts w:hint="eastAsia" w:ascii="仿宋" w:hAnsi="仿宋" w:eastAsia="仿宋" w:cs="仿宋"/>
          <w:b w:val="0"/>
          <w:bCs w:val="0"/>
          <w:color w:val="auto"/>
          <w:sz w:val="24"/>
          <w:highlight w:val="none"/>
        </w:rPr>
        <w:t>月</w:t>
      </w:r>
      <w:r>
        <w:rPr>
          <w:rFonts w:hint="eastAsia" w:ascii="仿宋" w:hAnsi="仿宋" w:eastAsia="仿宋" w:cs="仿宋"/>
          <w:b w:val="0"/>
          <w:bCs w:val="0"/>
          <w:color w:val="auto"/>
          <w:sz w:val="24"/>
          <w:highlight w:val="none"/>
        </w:rPr>
        <w:tab/>
      </w:r>
      <w:r>
        <w:rPr>
          <w:rFonts w:hint="eastAsia" w:ascii="仿宋" w:hAnsi="仿宋" w:eastAsia="仿宋" w:cs="仿宋"/>
          <w:b w:val="0"/>
          <w:bCs w:val="0"/>
          <w:color w:val="auto"/>
          <w:sz w:val="24"/>
          <w:highlight w:val="none"/>
        </w:rPr>
        <w:t>日</w:t>
      </w:r>
    </w:p>
    <w:p>
      <w:pPr>
        <w:pStyle w:val="29"/>
        <w:numPr>
          <w:ilvl w:val="0"/>
          <w:numId w:val="0"/>
        </w:numPr>
        <w:spacing w:line="240" w:lineRule="auto"/>
        <w:ind w:leftChars="0"/>
        <w:jc w:val="center"/>
        <w:rPr>
          <w:rFonts w:hint="eastAsia" w:ascii="仿宋" w:hAnsi="仿宋" w:eastAsia="仿宋" w:cs="仿宋"/>
          <w:b/>
          <w:bCs/>
          <w:color w:val="auto"/>
          <w:kern w:val="2"/>
          <w:highlight w:val="none"/>
          <w:lang w:val="en-US" w:eastAsia="zh-CN"/>
        </w:rPr>
      </w:pPr>
    </w:p>
    <w:p>
      <w:pPr>
        <w:pStyle w:val="29"/>
        <w:numPr>
          <w:ilvl w:val="0"/>
          <w:numId w:val="0"/>
        </w:numPr>
        <w:spacing w:line="240" w:lineRule="auto"/>
        <w:ind w:leftChars="0"/>
        <w:jc w:val="center"/>
        <w:rPr>
          <w:rFonts w:hint="eastAsia" w:ascii="仿宋" w:hAnsi="仿宋" w:eastAsia="仿宋" w:cs="仿宋"/>
          <w:b/>
          <w:bCs/>
          <w:color w:val="auto"/>
          <w:kern w:val="2"/>
          <w:highlight w:val="none"/>
          <w:lang w:val="en-US" w:eastAsia="zh-CN"/>
        </w:rPr>
      </w:pPr>
    </w:p>
    <w:p>
      <w:pPr>
        <w:pStyle w:val="4"/>
        <w:numPr>
          <w:ilvl w:val="1"/>
          <w:numId w:val="0"/>
        </w:numPr>
        <w:tabs>
          <w:tab w:val="left" w:pos="576"/>
          <w:tab w:val="left" w:pos="1296"/>
        </w:tabs>
        <w:spacing w:line="500" w:lineRule="exact"/>
        <w:ind w:right="0" w:right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（八）</w:t>
      </w:r>
      <w:r>
        <w:rPr>
          <w:rFonts w:hint="eastAsia" w:ascii="仿宋" w:hAnsi="仿宋" w:eastAsia="仿宋" w:cs="仿宋"/>
          <w:color w:val="auto"/>
          <w:sz w:val="32"/>
          <w:szCs w:val="32"/>
          <w:highlight w:val="none"/>
        </w:rPr>
        <w:t>技 术 规 格 偏 离 表</w:t>
      </w:r>
    </w:p>
    <w:p>
      <w:pPr>
        <w:rPr>
          <w:rFonts w:hint="eastAsia"/>
          <w:color w:val="auto"/>
        </w:rPr>
      </w:pPr>
    </w:p>
    <w:tbl>
      <w:tblPr>
        <w:tblStyle w:val="19"/>
        <w:tblW w:w="0" w:type="auto"/>
        <w:jc w:val="center"/>
        <w:tblLayout w:type="fixed"/>
        <w:tblCellMar>
          <w:top w:w="0" w:type="dxa"/>
          <w:left w:w="108" w:type="dxa"/>
          <w:bottom w:w="0" w:type="dxa"/>
          <w:right w:w="108" w:type="dxa"/>
        </w:tblCellMar>
      </w:tblPr>
      <w:tblGrid>
        <w:gridCol w:w="918"/>
        <w:gridCol w:w="3762"/>
        <w:gridCol w:w="3865"/>
        <w:gridCol w:w="3060"/>
        <w:gridCol w:w="2435"/>
      </w:tblGrid>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 w:hAnsi="仿宋" w:eastAsia="仿宋" w:cs="仿宋"/>
                <w:color w:val="auto"/>
                <w:sz w:val="28"/>
                <w:highlight w:val="none"/>
              </w:rPr>
            </w:pPr>
            <w:r>
              <w:rPr>
                <w:rFonts w:hint="eastAsia" w:ascii="仿宋" w:hAnsi="仿宋" w:eastAsia="仿宋" w:cs="仿宋"/>
                <w:color w:val="auto"/>
                <w:sz w:val="28"/>
                <w:highlight w:val="none"/>
              </w:rPr>
              <w:t>序号</w:t>
            </w:r>
          </w:p>
        </w:tc>
        <w:tc>
          <w:tcPr>
            <w:tcW w:w="376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招标规格</w:t>
            </w:r>
          </w:p>
        </w:tc>
        <w:tc>
          <w:tcPr>
            <w:tcW w:w="3865" w:type="dxa"/>
            <w:tcBorders>
              <w:top w:val="single" w:color="auto" w:sz="6" w:space="0"/>
              <w:left w:val="single" w:color="auto" w:sz="6" w:space="0"/>
              <w:bottom w:val="single" w:color="auto" w:sz="6" w:space="0"/>
              <w:right w:val="single" w:color="auto" w:sz="6" w:space="0"/>
            </w:tcBorders>
            <w:noWrap w:val="0"/>
            <w:vAlign w:val="center"/>
          </w:tcPr>
          <w:p>
            <w:pPr>
              <w:ind w:left="0" w:leftChars="0" w:right="0" w:rightChars="0" w:firstLine="560" w:firstLineChars="0"/>
              <w:jc w:val="center"/>
              <w:rPr>
                <w:rFonts w:hint="eastAsia" w:ascii="仿宋" w:hAnsi="仿宋" w:eastAsia="仿宋" w:cs="仿宋"/>
                <w:color w:val="auto"/>
                <w:sz w:val="28"/>
                <w:highlight w:val="none"/>
              </w:rPr>
            </w:pPr>
            <w:r>
              <w:rPr>
                <w:rFonts w:hint="eastAsia" w:ascii="仿宋" w:hAnsi="仿宋" w:eastAsia="仿宋" w:cs="仿宋"/>
                <w:color w:val="auto"/>
                <w:sz w:val="32"/>
                <w:highlight w:val="none"/>
                <w:lang w:eastAsia="zh-CN"/>
              </w:rPr>
              <w:t>招标文件</w:t>
            </w:r>
            <w:r>
              <w:rPr>
                <w:rFonts w:hint="eastAsia" w:ascii="仿宋" w:hAnsi="仿宋" w:eastAsia="仿宋" w:cs="仿宋"/>
                <w:color w:val="auto"/>
                <w:sz w:val="32"/>
                <w:highlight w:val="none"/>
              </w:rPr>
              <w:t>条款</w:t>
            </w:r>
          </w:p>
        </w:tc>
        <w:tc>
          <w:tcPr>
            <w:tcW w:w="3060" w:type="dxa"/>
            <w:tcBorders>
              <w:top w:val="single" w:color="auto" w:sz="6" w:space="0"/>
              <w:left w:val="single" w:color="auto" w:sz="6" w:space="0"/>
              <w:bottom w:val="single" w:color="auto" w:sz="6" w:space="0"/>
              <w:right w:val="single" w:color="auto" w:sz="4" w:space="0"/>
            </w:tcBorders>
            <w:noWrap w:val="0"/>
            <w:vAlign w:val="center"/>
          </w:tcPr>
          <w:p>
            <w:pPr>
              <w:ind w:left="0" w:leftChars="0" w:right="0" w:rightChars="0" w:firstLine="560" w:firstLineChars="0"/>
              <w:jc w:val="center"/>
              <w:rPr>
                <w:rFonts w:hint="eastAsia" w:ascii="仿宋" w:hAnsi="仿宋" w:eastAsia="仿宋" w:cs="仿宋"/>
                <w:color w:val="auto"/>
                <w:sz w:val="28"/>
                <w:highlight w:val="none"/>
              </w:rPr>
            </w:pPr>
            <w:r>
              <w:rPr>
                <w:rFonts w:hint="eastAsia" w:ascii="仿宋" w:hAnsi="仿宋" w:eastAsia="仿宋" w:cs="仿宋"/>
                <w:color w:val="auto"/>
                <w:sz w:val="32"/>
                <w:highlight w:val="none"/>
              </w:rPr>
              <w:t>响应条款</w:t>
            </w:r>
          </w:p>
        </w:tc>
        <w:tc>
          <w:tcPr>
            <w:tcW w:w="2435"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响应/偏离</w:t>
            </w: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c>
          <w:tcPr>
            <w:tcW w:w="3865"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c>
          <w:tcPr>
            <w:tcW w:w="3060" w:type="dxa"/>
            <w:tcBorders>
              <w:top w:val="single" w:color="auto" w:sz="6" w:space="0"/>
              <w:left w:val="single" w:color="auto" w:sz="6" w:space="0"/>
              <w:bottom w:val="single" w:color="auto" w:sz="6" w:space="0"/>
              <w:right w:val="single" w:color="auto" w:sz="4" w:space="0"/>
            </w:tcBorders>
            <w:noWrap w:val="0"/>
            <w:vAlign w:val="center"/>
          </w:tcPr>
          <w:p>
            <w:pPr>
              <w:ind w:firstLine="420"/>
              <w:jc w:val="center"/>
              <w:rPr>
                <w:rFonts w:hint="eastAsia" w:ascii="仿宋" w:hAnsi="仿宋" w:eastAsia="仿宋" w:cs="仿宋"/>
                <w:color w:val="auto"/>
                <w:highlight w:val="none"/>
              </w:rPr>
            </w:pPr>
          </w:p>
        </w:tc>
        <w:tc>
          <w:tcPr>
            <w:tcW w:w="2435" w:type="dxa"/>
            <w:tcBorders>
              <w:top w:val="single" w:color="auto" w:sz="6" w:space="0"/>
              <w:left w:val="single" w:color="auto" w:sz="4"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c>
          <w:tcPr>
            <w:tcW w:w="3865"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c>
          <w:tcPr>
            <w:tcW w:w="3060" w:type="dxa"/>
            <w:tcBorders>
              <w:top w:val="single" w:color="auto" w:sz="6" w:space="0"/>
              <w:left w:val="single" w:color="auto" w:sz="6" w:space="0"/>
              <w:bottom w:val="single" w:color="auto" w:sz="6" w:space="0"/>
              <w:right w:val="single" w:color="auto" w:sz="4" w:space="0"/>
            </w:tcBorders>
            <w:noWrap w:val="0"/>
            <w:vAlign w:val="center"/>
          </w:tcPr>
          <w:p>
            <w:pPr>
              <w:ind w:firstLine="420"/>
              <w:jc w:val="center"/>
              <w:rPr>
                <w:rFonts w:hint="eastAsia" w:ascii="仿宋" w:hAnsi="仿宋" w:eastAsia="仿宋" w:cs="仿宋"/>
                <w:color w:val="auto"/>
                <w:highlight w:val="none"/>
              </w:rPr>
            </w:pPr>
          </w:p>
        </w:tc>
        <w:tc>
          <w:tcPr>
            <w:tcW w:w="2435" w:type="dxa"/>
            <w:tcBorders>
              <w:top w:val="single" w:color="auto" w:sz="6" w:space="0"/>
              <w:left w:val="single" w:color="auto" w:sz="4"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c>
          <w:tcPr>
            <w:tcW w:w="3865"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c>
          <w:tcPr>
            <w:tcW w:w="3060" w:type="dxa"/>
            <w:tcBorders>
              <w:top w:val="single" w:color="auto" w:sz="6" w:space="0"/>
              <w:left w:val="single" w:color="auto" w:sz="6" w:space="0"/>
              <w:bottom w:val="single" w:color="auto" w:sz="6" w:space="0"/>
              <w:right w:val="single" w:color="auto" w:sz="4" w:space="0"/>
            </w:tcBorders>
            <w:noWrap w:val="0"/>
            <w:vAlign w:val="center"/>
          </w:tcPr>
          <w:p>
            <w:pPr>
              <w:ind w:firstLine="420"/>
              <w:jc w:val="center"/>
              <w:rPr>
                <w:rFonts w:hint="eastAsia" w:ascii="仿宋" w:hAnsi="仿宋" w:eastAsia="仿宋" w:cs="仿宋"/>
                <w:color w:val="auto"/>
                <w:highlight w:val="none"/>
              </w:rPr>
            </w:pPr>
          </w:p>
        </w:tc>
        <w:tc>
          <w:tcPr>
            <w:tcW w:w="2435" w:type="dxa"/>
            <w:tcBorders>
              <w:top w:val="single" w:color="auto" w:sz="6" w:space="0"/>
              <w:left w:val="single" w:color="auto" w:sz="4"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c>
          <w:tcPr>
            <w:tcW w:w="3865"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c>
          <w:tcPr>
            <w:tcW w:w="3060" w:type="dxa"/>
            <w:tcBorders>
              <w:top w:val="single" w:color="auto" w:sz="6" w:space="0"/>
              <w:left w:val="single" w:color="auto" w:sz="6" w:space="0"/>
              <w:bottom w:val="single" w:color="auto" w:sz="6" w:space="0"/>
              <w:right w:val="single" w:color="auto" w:sz="4" w:space="0"/>
            </w:tcBorders>
            <w:noWrap w:val="0"/>
            <w:vAlign w:val="center"/>
          </w:tcPr>
          <w:p>
            <w:pPr>
              <w:ind w:firstLine="420"/>
              <w:jc w:val="center"/>
              <w:rPr>
                <w:rFonts w:hint="eastAsia" w:ascii="仿宋" w:hAnsi="仿宋" w:eastAsia="仿宋" w:cs="仿宋"/>
                <w:color w:val="auto"/>
                <w:highlight w:val="none"/>
              </w:rPr>
            </w:pPr>
          </w:p>
        </w:tc>
        <w:tc>
          <w:tcPr>
            <w:tcW w:w="2435" w:type="dxa"/>
            <w:tcBorders>
              <w:top w:val="single" w:color="auto" w:sz="6" w:space="0"/>
              <w:left w:val="single" w:color="auto" w:sz="4"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c>
          <w:tcPr>
            <w:tcW w:w="3865"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c>
          <w:tcPr>
            <w:tcW w:w="3060" w:type="dxa"/>
            <w:tcBorders>
              <w:top w:val="single" w:color="auto" w:sz="6" w:space="0"/>
              <w:left w:val="single" w:color="auto" w:sz="6" w:space="0"/>
              <w:bottom w:val="single" w:color="auto" w:sz="6" w:space="0"/>
              <w:right w:val="single" w:color="auto" w:sz="4" w:space="0"/>
            </w:tcBorders>
            <w:noWrap w:val="0"/>
            <w:vAlign w:val="center"/>
          </w:tcPr>
          <w:p>
            <w:pPr>
              <w:ind w:firstLine="420"/>
              <w:jc w:val="center"/>
              <w:rPr>
                <w:rFonts w:hint="eastAsia" w:ascii="仿宋" w:hAnsi="仿宋" w:eastAsia="仿宋" w:cs="仿宋"/>
                <w:color w:val="auto"/>
                <w:highlight w:val="none"/>
              </w:rPr>
            </w:pPr>
          </w:p>
        </w:tc>
        <w:tc>
          <w:tcPr>
            <w:tcW w:w="2435" w:type="dxa"/>
            <w:tcBorders>
              <w:top w:val="single" w:color="auto" w:sz="6" w:space="0"/>
              <w:left w:val="single" w:color="auto" w:sz="4"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c>
          <w:tcPr>
            <w:tcW w:w="3865" w:type="dxa"/>
            <w:tcBorders>
              <w:top w:val="single" w:color="auto" w:sz="6" w:space="0"/>
              <w:left w:val="single" w:color="auto" w:sz="6"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c>
          <w:tcPr>
            <w:tcW w:w="3060" w:type="dxa"/>
            <w:tcBorders>
              <w:top w:val="single" w:color="auto" w:sz="6" w:space="0"/>
              <w:left w:val="single" w:color="auto" w:sz="6" w:space="0"/>
              <w:bottom w:val="single" w:color="auto" w:sz="6" w:space="0"/>
              <w:right w:val="single" w:color="auto" w:sz="4" w:space="0"/>
            </w:tcBorders>
            <w:noWrap w:val="0"/>
            <w:vAlign w:val="center"/>
          </w:tcPr>
          <w:p>
            <w:pPr>
              <w:ind w:firstLine="420"/>
              <w:jc w:val="center"/>
              <w:rPr>
                <w:rFonts w:hint="eastAsia" w:ascii="仿宋" w:hAnsi="仿宋" w:eastAsia="仿宋" w:cs="仿宋"/>
                <w:color w:val="auto"/>
                <w:highlight w:val="none"/>
              </w:rPr>
            </w:pPr>
          </w:p>
        </w:tc>
        <w:tc>
          <w:tcPr>
            <w:tcW w:w="2435" w:type="dxa"/>
            <w:tcBorders>
              <w:top w:val="single" w:color="auto" w:sz="6" w:space="0"/>
              <w:left w:val="single" w:color="auto" w:sz="4" w:space="0"/>
              <w:bottom w:val="single" w:color="auto" w:sz="6" w:space="0"/>
              <w:right w:val="single" w:color="auto" w:sz="6" w:space="0"/>
            </w:tcBorders>
            <w:noWrap w:val="0"/>
            <w:vAlign w:val="center"/>
          </w:tcPr>
          <w:p>
            <w:pPr>
              <w:ind w:firstLine="420"/>
              <w:jc w:val="center"/>
              <w:rPr>
                <w:rFonts w:hint="eastAsia" w:ascii="仿宋" w:hAnsi="仿宋" w:eastAsia="仿宋" w:cs="仿宋"/>
                <w:color w:val="auto"/>
                <w:highlight w:val="none"/>
              </w:rPr>
            </w:pPr>
          </w:p>
        </w:tc>
      </w:tr>
    </w:tbl>
    <w:p>
      <w:pPr>
        <w:pStyle w:val="24"/>
        <w:spacing w:line="440" w:lineRule="exact"/>
        <w:ind w:firstLine="482"/>
        <w:rPr>
          <w:rFonts w:hint="eastAsia" w:ascii="仿宋" w:hAnsi="仿宋" w:eastAsia="仿宋" w:cs="仿宋"/>
          <w:b/>
          <w:color w:val="auto"/>
          <w:highlight w:val="none"/>
        </w:rPr>
      </w:pPr>
      <w:r>
        <w:rPr>
          <w:rFonts w:hint="eastAsia" w:ascii="仿宋" w:hAnsi="仿宋" w:eastAsia="仿宋" w:cs="仿宋"/>
          <w:b/>
          <w:color w:val="auto"/>
          <w:highlight w:val="none"/>
        </w:rPr>
        <w:t>注：</w:t>
      </w:r>
      <w:r>
        <w:rPr>
          <w:rFonts w:hint="eastAsia" w:ascii="仿宋" w:hAnsi="仿宋" w:eastAsia="仿宋" w:cs="仿宋"/>
          <w:b/>
          <w:color w:val="auto"/>
          <w:highlight w:val="none"/>
          <w:lang w:eastAsia="zh-CN"/>
        </w:rPr>
        <w:t>投标人</w:t>
      </w:r>
      <w:r>
        <w:rPr>
          <w:rFonts w:hint="eastAsia" w:ascii="仿宋" w:hAnsi="仿宋" w:eastAsia="仿宋" w:cs="仿宋"/>
          <w:b/>
          <w:color w:val="auto"/>
          <w:highlight w:val="none"/>
        </w:rPr>
        <w:t>应逐条阅读招标文件的技术规格要求，指出自己提供的货物和服务是否对招标文件做出响应。</w:t>
      </w:r>
    </w:p>
    <w:p>
      <w:pPr>
        <w:pStyle w:val="28"/>
        <w:keepNext w:val="0"/>
        <w:keepLines w:val="0"/>
        <w:adjustRightInd/>
        <w:spacing w:before="0" w:line="240" w:lineRule="auto"/>
        <w:ind w:firstLine="960" w:firstLineChars="400"/>
        <w:textAlignment w:val="auto"/>
        <w:outlineLvl w:val="9"/>
        <w:rPr>
          <w:rFonts w:hint="eastAsia" w:ascii="仿宋" w:hAnsi="仿宋" w:eastAsia="仿宋" w:cs="仿宋"/>
          <w:b w:val="0"/>
          <w:bCs w:val="0"/>
          <w:color w:val="auto"/>
          <w:sz w:val="24"/>
          <w:highlight w:val="none"/>
          <w:lang w:eastAsia="zh-CN"/>
        </w:rPr>
      </w:pPr>
    </w:p>
    <w:p>
      <w:pPr>
        <w:pStyle w:val="28"/>
        <w:keepNext w:val="0"/>
        <w:keepLines w:val="0"/>
        <w:adjustRightInd/>
        <w:spacing w:before="0" w:line="240" w:lineRule="auto"/>
        <w:ind w:firstLine="960" w:firstLineChars="400"/>
        <w:textAlignment w:val="auto"/>
        <w:outlineLvl w:val="9"/>
        <w:rPr>
          <w:rFonts w:ascii="仿宋" w:hAnsi="仿宋" w:eastAsia="仿宋"/>
          <w:color w:val="auto"/>
          <w:sz w:val="28"/>
        </w:rPr>
      </w:pPr>
      <w:r>
        <w:rPr>
          <w:rFonts w:hint="eastAsia" w:ascii="仿宋" w:hAnsi="仿宋" w:eastAsia="仿宋" w:cs="仿宋"/>
          <w:b w:val="0"/>
          <w:bCs w:val="0"/>
          <w:color w:val="auto"/>
          <w:sz w:val="24"/>
          <w:highlight w:val="none"/>
          <w:lang w:eastAsia="zh-CN"/>
        </w:rPr>
        <w:t>投标人名称</w:t>
      </w:r>
      <w:r>
        <w:rPr>
          <w:rFonts w:hint="eastAsia" w:ascii="仿宋" w:hAnsi="仿宋" w:eastAsia="仿宋" w:cs="仿宋"/>
          <w:b w:val="0"/>
          <w:bCs w:val="0"/>
          <w:color w:val="auto"/>
          <w:sz w:val="24"/>
          <w:highlight w:val="none"/>
        </w:rPr>
        <w:t>（盖公章）：</w:t>
      </w: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法定代表人或投标授权代理人：（签字或盖章）</w:t>
      </w:r>
    </w:p>
    <w:p>
      <w:pPr>
        <w:pStyle w:val="28"/>
        <w:keepNext w:val="0"/>
        <w:keepLines w:val="0"/>
        <w:adjustRightInd/>
        <w:spacing w:before="0" w:line="240" w:lineRule="auto"/>
        <w:ind w:firstLine="9840" w:firstLineChars="4100"/>
        <w:textAlignment w:val="auto"/>
        <w:outlineLvl w:val="9"/>
        <w:rPr>
          <w:rFonts w:hint="eastAsia" w:ascii="仿宋" w:hAnsi="仿宋" w:eastAsia="仿宋" w:cs="仿宋"/>
          <w:b w:val="0"/>
          <w:bCs w:val="0"/>
          <w:color w:val="auto"/>
          <w:sz w:val="24"/>
          <w:highlight w:val="none"/>
        </w:rPr>
      </w:pPr>
    </w:p>
    <w:p>
      <w:pPr>
        <w:pStyle w:val="28"/>
        <w:keepNext w:val="0"/>
        <w:keepLines w:val="0"/>
        <w:adjustRightInd/>
        <w:spacing w:before="0" w:line="240" w:lineRule="auto"/>
        <w:ind w:firstLine="9840" w:firstLineChars="4100"/>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日期： 年</w:t>
      </w:r>
      <w:r>
        <w:rPr>
          <w:rFonts w:hint="eastAsia" w:ascii="仿宋" w:hAnsi="仿宋" w:eastAsia="仿宋" w:cs="仿宋"/>
          <w:b w:val="0"/>
          <w:bCs w:val="0"/>
          <w:color w:val="auto"/>
          <w:sz w:val="24"/>
          <w:highlight w:val="none"/>
        </w:rPr>
        <w:tab/>
      </w:r>
      <w:r>
        <w:rPr>
          <w:rFonts w:hint="eastAsia" w:ascii="仿宋" w:hAnsi="仿宋" w:eastAsia="仿宋" w:cs="仿宋"/>
          <w:b w:val="0"/>
          <w:bCs w:val="0"/>
          <w:color w:val="auto"/>
          <w:sz w:val="24"/>
          <w:highlight w:val="none"/>
        </w:rPr>
        <w:t>月</w:t>
      </w:r>
      <w:r>
        <w:rPr>
          <w:rFonts w:hint="eastAsia" w:ascii="仿宋" w:hAnsi="仿宋" w:eastAsia="仿宋" w:cs="仿宋"/>
          <w:b w:val="0"/>
          <w:bCs w:val="0"/>
          <w:color w:val="auto"/>
          <w:sz w:val="24"/>
          <w:highlight w:val="none"/>
        </w:rPr>
        <w:tab/>
      </w:r>
      <w:r>
        <w:rPr>
          <w:rFonts w:hint="eastAsia" w:ascii="仿宋" w:hAnsi="仿宋" w:eastAsia="仿宋" w:cs="仿宋"/>
          <w:b w:val="0"/>
          <w:bCs w:val="0"/>
          <w:color w:val="auto"/>
          <w:sz w:val="24"/>
          <w:highlight w:val="none"/>
        </w:rPr>
        <w:t>日</w:t>
      </w:r>
    </w:p>
    <w:p>
      <w:pPr>
        <w:pStyle w:val="29"/>
        <w:numPr>
          <w:ilvl w:val="0"/>
          <w:numId w:val="0"/>
        </w:numPr>
        <w:spacing w:line="240" w:lineRule="auto"/>
        <w:ind w:leftChars="0"/>
        <w:jc w:val="center"/>
        <w:rPr>
          <w:rFonts w:hint="eastAsia" w:ascii="仿宋" w:hAnsi="仿宋" w:eastAsia="仿宋" w:cs="仿宋"/>
          <w:b/>
          <w:bCs/>
          <w:color w:val="auto"/>
          <w:kern w:val="2"/>
          <w:highlight w:val="none"/>
          <w:lang w:val="en-US" w:eastAsia="zh-CN"/>
        </w:rPr>
      </w:pPr>
    </w:p>
    <w:p>
      <w:pPr>
        <w:pStyle w:val="29"/>
        <w:numPr>
          <w:ilvl w:val="0"/>
          <w:numId w:val="0"/>
        </w:numPr>
        <w:spacing w:line="240" w:lineRule="auto"/>
        <w:ind w:leftChars="0"/>
        <w:jc w:val="center"/>
        <w:rPr>
          <w:rFonts w:hint="eastAsia" w:ascii="仿宋" w:hAnsi="仿宋" w:eastAsia="仿宋" w:cs="仿宋"/>
          <w:b/>
          <w:bCs/>
          <w:color w:val="auto"/>
          <w:kern w:val="2"/>
          <w:highlight w:val="none"/>
          <w:lang w:val="en-US" w:eastAsia="zh-CN"/>
        </w:rPr>
        <w:sectPr>
          <w:pgSz w:w="16838" w:h="11906" w:orient="landscape"/>
          <w:pgMar w:top="1797" w:right="1474" w:bottom="1491" w:left="1247" w:header="851" w:footer="850" w:gutter="0"/>
          <w:cols w:space="0" w:num="1"/>
          <w:rtlGutter w:val="0"/>
          <w:docGrid w:type="lines" w:linePitch="319" w:charSpace="0"/>
        </w:sectPr>
      </w:pPr>
    </w:p>
    <w:p>
      <w:pPr>
        <w:spacing w:line="440" w:lineRule="exact"/>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（九）近三年（2019年1月1日至今）类似业绩</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757"/>
        <w:gridCol w:w="1373"/>
        <w:gridCol w:w="2171"/>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98"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序号</w:t>
            </w:r>
          </w:p>
        </w:tc>
        <w:tc>
          <w:tcPr>
            <w:tcW w:w="2757" w:type="dxa"/>
            <w:noWrap w:val="0"/>
            <w:vAlign w:val="center"/>
          </w:tcPr>
          <w:p>
            <w:pPr>
              <w:autoSpaceDE w:val="0"/>
              <w:autoSpaceDN w:val="0"/>
              <w:adjustRightIn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项目名称</w:t>
            </w:r>
          </w:p>
        </w:tc>
        <w:tc>
          <w:tcPr>
            <w:tcW w:w="1373" w:type="dxa"/>
            <w:noWrap w:val="0"/>
            <w:vAlign w:val="center"/>
          </w:tcPr>
          <w:p>
            <w:pPr>
              <w:autoSpaceDE w:val="0"/>
              <w:autoSpaceDN w:val="0"/>
              <w:adjustRightIn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业主名称</w:t>
            </w:r>
          </w:p>
        </w:tc>
        <w:tc>
          <w:tcPr>
            <w:tcW w:w="2171" w:type="dxa"/>
            <w:noWrap w:val="0"/>
            <w:vAlign w:val="center"/>
          </w:tcPr>
          <w:p>
            <w:pPr>
              <w:autoSpaceDE w:val="0"/>
              <w:autoSpaceDN w:val="0"/>
              <w:adjustRightIn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交付期限</w:t>
            </w:r>
          </w:p>
        </w:tc>
        <w:tc>
          <w:tcPr>
            <w:tcW w:w="1941"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98"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2757"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1373"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2171"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1941"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98"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2757"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1373"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2171"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1941"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998"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2757"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1373"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2171"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1941"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98"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2757"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1373"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2171"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1941"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98"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2757"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1373"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2171"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1941"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98"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2757"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1373"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2171"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1941"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98"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2757"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1373"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2171"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1941"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998"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2757"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1373"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2171"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c>
          <w:tcPr>
            <w:tcW w:w="1941" w:type="dxa"/>
            <w:noWrap w:val="0"/>
            <w:vAlign w:val="center"/>
          </w:tcPr>
          <w:p>
            <w:pPr>
              <w:autoSpaceDE w:val="0"/>
              <w:autoSpaceDN w:val="0"/>
              <w:adjustRightInd w:val="0"/>
              <w:jc w:val="center"/>
              <w:rPr>
                <w:rFonts w:hint="eastAsia" w:ascii="仿宋" w:hAnsi="仿宋" w:eastAsia="仿宋" w:cs="仿宋"/>
                <w:b/>
                <w:bCs/>
                <w:color w:val="auto"/>
                <w:sz w:val="24"/>
                <w:highlight w:val="none"/>
                <w:lang w:val="zh-CN"/>
              </w:rPr>
            </w:pPr>
          </w:p>
        </w:tc>
      </w:tr>
    </w:tbl>
    <w:p>
      <w:pPr>
        <w:pStyle w:val="5"/>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附有效的</w:t>
      </w:r>
      <w:r>
        <w:rPr>
          <w:rFonts w:hint="eastAsia" w:ascii="仿宋" w:hAnsi="仿宋" w:eastAsia="仿宋" w:cs="仿宋"/>
          <w:color w:val="auto"/>
          <w:sz w:val="24"/>
          <w:szCs w:val="24"/>
          <w:highlight w:val="none"/>
          <w:lang w:val="en-US"/>
        </w:rPr>
        <w:t>供货协议或供货合同或中标通知书</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szCs w:val="24"/>
          <w:highlight w:val="none"/>
          <w:lang w:val="en-US" w:eastAsia="zh-CN"/>
        </w:rPr>
        <w:t>加盖公章。</w:t>
      </w:r>
    </w:p>
    <w:p>
      <w:pPr>
        <w:rPr>
          <w:rFonts w:hint="eastAsia" w:ascii="仿宋" w:hAnsi="仿宋" w:eastAsia="仿宋" w:cs="仿宋"/>
          <w:color w:val="auto"/>
          <w:sz w:val="24"/>
          <w:highlight w:val="none"/>
        </w:rPr>
      </w:pPr>
    </w:p>
    <w:p>
      <w:pPr>
        <w:pStyle w:val="5"/>
        <w:numPr>
          <w:ilvl w:val="0"/>
          <w:numId w:val="0"/>
        </w:numPr>
        <w:ind w:left="400"/>
        <w:rPr>
          <w:rFonts w:hint="eastAsia" w:ascii="仿宋" w:hAnsi="仿宋" w:eastAsia="仿宋" w:cs="仿宋"/>
          <w:color w:val="auto"/>
          <w:sz w:val="24"/>
          <w:szCs w:val="24"/>
          <w:highlight w:val="none"/>
          <w:lang w:val="en-US" w:eastAsia="zh-CN"/>
        </w:rPr>
      </w:pPr>
    </w:p>
    <w:p>
      <w:pPr>
        <w:rPr>
          <w:rFonts w:hint="eastAsia" w:ascii="仿宋" w:hAnsi="仿宋" w:eastAsia="仿宋" w:cs="仿宋"/>
          <w:color w:val="auto"/>
          <w:sz w:val="24"/>
          <w:highlight w:val="none"/>
        </w:rPr>
      </w:pPr>
    </w:p>
    <w:p>
      <w:pPr>
        <w:pStyle w:val="26"/>
        <w:spacing w:line="360" w:lineRule="auto"/>
        <w:ind w:firstLine="5520" w:firstLineChars="23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eastAsia="zh-CN"/>
        </w:rPr>
        <w:t>投标人名称</w:t>
      </w:r>
      <w:r>
        <w:rPr>
          <w:rFonts w:hint="eastAsia" w:ascii="仿宋" w:hAnsi="仿宋" w:eastAsia="仿宋" w:cs="仿宋"/>
          <w:color w:val="auto"/>
          <w:kern w:val="2"/>
          <w:sz w:val="24"/>
          <w:szCs w:val="24"/>
          <w:highlight w:val="none"/>
        </w:rPr>
        <w:t>：（盖章）</w:t>
      </w:r>
    </w:p>
    <w:p>
      <w:pPr>
        <w:pStyle w:val="11"/>
        <w:ind w:firstLine="3840" w:firstLineChars="16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法定代表人或投标授权代理人：（签字或盖章）</w:t>
      </w:r>
      <w:r>
        <w:rPr>
          <w:rFonts w:hint="eastAsia" w:ascii="仿宋" w:hAnsi="仿宋" w:eastAsia="仿宋" w:cs="仿宋"/>
          <w:color w:val="auto"/>
          <w:kern w:val="0"/>
          <w:szCs w:val="24"/>
          <w:highlight w:val="none"/>
        </w:rPr>
        <w:t xml:space="preserve">                          </w:t>
      </w:r>
    </w:p>
    <w:p>
      <w:pPr>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pPr>
        <w:tabs>
          <w:tab w:val="left" w:pos="7540"/>
        </w:tabs>
        <w:autoSpaceDE w:val="0"/>
        <w:autoSpaceDN w:val="0"/>
        <w:adjustRightInd w:val="0"/>
        <w:spacing w:line="360" w:lineRule="auto"/>
        <w:ind w:firstLine="1446" w:firstLineChars="600"/>
        <w:rPr>
          <w:rFonts w:hint="eastAsia" w:ascii="仿宋" w:hAnsi="仿宋" w:eastAsia="仿宋" w:cs="仿宋"/>
          <w:b/>
          <w:bCs/>
          <w:color w:val="auto"/>
          <w:sz w:val="24"/>
          <w:highlight w:val="none"/>
          <w:lang w:val="zh-CN"/>
        </w:rPr>
      </w:pPr>
    </w:p>
    <w:p>
      <w:pPr>
        <w:pStyle w:val="18"/>
        <w:ind w:firstLine="540"/>
        <w:rPr>
          <w:rFonts w:hint="eastAsia" w:ascii="仿宋" w:hAnsi="仿宋" w:eastAsia="仿宋" w:cs="仿宋"/>
          <w:color w:val="auto"/>
          <w:highlight w:val="none"/>
          <w:lang w:val="zh-CN"/>
        </w:rPr>
      </w:pPr>
    </w:p>
    <w:p>
      <w:pPr>
        <w:pStyle w:val="18"/>
        <w:ind w:firstLine="540"/>
        <w:rPr>
          <w:rFonts w:hint="eastAsia" w:ascii="仿宋" w:hAnsi="仿宋" w:eastAsia="仿宋" w:cs="仿宋"/>
          <w:color w:val="auto"/>
          <w:highlight w:val="none"/>
          <w:lang w:val="zh-CN"/>
        </w:rPr>
      </w:pPr>
    </w:p>
    <w:p>
      <w:pPr>
        <w:pStyle w:val="18"/>
        <w:ind w:firstLine="540"/>
        <w:rPr>
          <w:rFonts w:hint="eastAsia" w:ascii="仿宋" w:hAnsi="仿宋" w:eastAsia="仿宋" w:cs="仿宋"/>
          <w:color w:val="auto"/>
          <w:highlight w:val="none"/>
          <w:lang w:val="zh-CN"/>
        </w:rPr>
      </w:pPr>
    </w:p>
    <w:p>
      <w:pPr>
        <w:pStyle w:val="18"/>
        <w:ind w:firstLine="540"/>
        <w:rPr>
          <w:rFonts w:hint="eastAsia" w:ascii="仿宋" w:hAnsi="仿宋" w:eastAsia="仿宋" w:cs="仿宋"/>
          <w:color w:val="auto"/>
          <w:highlight w:val="none"/>
          <w:lang w:val="zh-CN"/>
        </w:rPr>
      </w:pPr>
    </w:p>
    <w:p>
      <w:pPr>
        <w:pStyle w:val="18"/>
        <w:ind w:firstLine="540"/>
        <w:rPr>
          <w:rFonts w:hint="eastAsia" w:ascii="仿宋" w:hAnsi="仿宋" w:eastAsia="仿宋" w:cs="仿宋"/>
          <w:color w:val="auto"/>
          <w:highlight w:val="none"/>
          <w:lang w:val="zh-CN"/>
        </w:rPr>
      </w:pPr>
    </w:p>
    <w:p>
      <w:pPr>
        <w:jc w:val="center"/>
        <w:rPr>
          <w:rFonts w:hint="eastAsia" w:ascii="仿宋" w:hAnsi="仿宋" w:eastAsia="仿宋"/>
          <w:b/>
          <w:bCs w:val="0"/>
          <w:color w:val="auto"/>
          <w:sz w:val="32"/>
          <w:szCs w:val="32"/>
        </w:rPr>
      </w:pPr>
      <w:r>
        <w:rPr>
          <w:rFonts w:hint="eastAsia" w:ascii="仿宋" w:hAnsi="仿宋" w:eastAsia="仿宋" w:cs="仿宋"/>
          <w:b/>
          <w:bCs w:val="0"/>
          <w:color w:val="auto"/>
          <w:sz w:val="32"/>
          <w:szCs w:val="32"/>
          <w:highlight w:val="none"/>
          <w:lang w:val="en-US" w:eastAsia="zh-CN"/>
        </w:rPr>
        <w:t>（十）</w:t>
      </w:r>
      <w:r>
        <w:rPr>
          <w:rFonts w:hint="eastAsia" w:ascii="仿宋" w:hAnsi="仿宋" w:eastAsia="仿宋"/>
          <w:b/>
          <w:bCs w:val="0"/>
          <w:color w:val="auto"/>
          <w:sz w:val="32"/>
          <w:szCs w:val="32"/>
        </w:rPr>
        <w:t>诚信投标承诺书</w:t>
      </w:r>
    </w:p>
    <w:p>
      <w:pPr>
        <w:jc w:val="center"/>
        <w:rPr>
          <w:rFonts w:hint="eastAsia" w:ascii="仿宋" w:hAnsi="仿宋" w:eastAsia="仿宋"/>
          <w:color w:val="auto"/>
          <w:sz w:val="10"/>
          <w:szCs w:val="10"/>
        </w:rPr>
      </w:pPr>
    </w:p>
    <w:p>
      <w:pPr>
        <w:pStyle w:val="22"/>
        <w:spacing w:line="580" w:lineRule="exact"/>
        <w:ind w:firstLine="560"/>
        <w:rPr>
          <w:rFonts w:hint="eastAsia" w:ascii="仿宋" w:hAnsi="仿宋" w:eastAsia="仿宋"/>
          <w:color w:val="auto"/>
          <w:sz w:val="24"/>
          <w:szCs w:val="24"/>
        </w:rPr>
      </w:pPr>
      <w:r>
        <w:rPr>
          <w:rFonts w:hint="eastAsia" w:ascii="仿宋" w:hAnsi="仿宋" w:eastAsia="仿宋"/>
          <w:color w:val="auto"/>
          <w:sz w:val="24"/>
          <w:szCs w:val="24"/>
        </w:rPr>
        <w:t>本人以企业法定代表人的身份郑重承诺：</w:t>
      </w:r>
    </w:p>
    <w:p>
      <w:pPr>
        <w:pStyle w:val="22"/>
        <w:spacing w:line="580" w:lineRule="exact"/>
        <w:ind w:firstLine="560"/>
        <w:rPr>
          <w:rFonts w:hint="eastAsia" w:ascii="仿宋" w:hAnsi="仿宋" w:eastAsia="仿宋"/>
          <w:color w:val="auto"/>
          <w:sz w:val="24"/>
          <w:szCs w:val="24"/>
        </w:rPr>
      </w:pPr>
      <w:r>
        <w:rPr>
          <w:rFonts w:hint="eastAsia" w:ascii="仿宋" w:hAnsi="仿宋" w:eastAsia="仿宋"/>
          <w:color w:val="auto"/>
          <w:sz w:val="24"/>
          <w:szCs w:val="24"/>
        </w:rPr>
        <w:t>一、投标文件中所提供的一切材料都是真实、有效、合法的；</w:t>
      </w:r>
    </w:p>
    <w:p>
      <w:pPr>
        <w:pStyle w:val="22"/>
        <w:spacing w:line="580" w:lineRule="exact"/>
        <w:ind w:firstLine="560"/>
        <w:rPr>
          <w:rFonts w:hint="eastAsia" w:ascii="仿宋" w:hAnsi="仿宋" w:eastAsia="仿宋"/>
          <w:color w:val="auto"/>
          <w:sz w:val="24"/>
          <w:szCs w:val="24"/>
        </w:rPr>
      </w:pPr>
      <w:r>
        <w:rPr>
          <w:rFonts w:hint="eastAsia" w:ascii="仿宋" w:hAnsi="仿宋" w:eastAsia="仿宋"/>
          <w:color w:val="auto"/>
          <w:sz w:val="24"/>
          <w:szCs w:val="24"/>
        </w:rPr>
        <w:t>二、不以他人名义投标或者以其他方式弄虚作假，骗取中标；</w:t>
      </w:r>
    </w:p>
    <w:p>
      <w:pPr>
        <w:pStyle w:val="22"/>
        <w:spacing w:line="580" w:lineRule="exact"/>
        <w:ind w:firstLine="560"/>
        <w:rPr>
          <w:rFonts w:hint="eastAsia" w:ascii="仿宋" w:hAnsi="仿宋" w:eastAsia="仿宋"/>
          <w:color w:val="auto"/>
          <w:sz w:val="24"/>
          <w:szCs w:val="24"/>
        </w:rPr>
      </w:pPr>
      <w:r>
        <w:rPr>
          <w:rFonts w:hint="eastAsia" w:ascii="仿宋" w:hAnsi="仿宋" w:eastAsia="仿宋"/>
          <w:color w:val="auto"/>
          <w:sz w:val="24"/>
          <w:szCs w:val="24"/>
        </w:rPr>
        <w:t>三、不与其他</w:t>
      </w:r>
      <w:r>
        <w:rPr>
          <w:rFonts w:hint="eastAsia" w:ascii="仿宋" w:hAnsi="仿宋" w:eastAsia="仿宋"/>
          <w:color w:val="auto"/>
          <w:sz w:val="24"/>
          <w:szCs w:val="24"/>
          <w:lang w:eastAsia="zh-CN"/>
        </w:rPr>
        <w:t>投标人</w:t>
      </w:r>
      <w:r>
        <w:rPr>
          <w:rFonts w:hint="eastAsia" w:ascii="仿宋" w:hAnsi="仿宋" w:eastAsia="仿宋"/>
          <w:color w:val="auto"/>
          <w:sz w:val="24"/>
          <w:szCs w:val="24"/>
        </w:rPr>
        <w:t>互相串通投标，不排挤其他</w:t>
      </w:r>
      <w:r>
        <w:rPr>
          <w:rFonts w:hint="eastAsia" w:ascii="仿宋" w:hAnsi="仿宋" w:eastAsia="仿宋"/>
          <w:color w:val="auto"/>
          <w:sz w:val="24"/>
          <w:szCs w:val="24"/>
          <w:lang w:eastAsia="zh-CN"/>
        </w:rPr>
        <w:t>投标人</w:t>
      </w:r>
      <w:r>
        <w:rPr>
          <w:rFonts w:hint="eastAsia" w:ascii="仿宋" w:hAnsi="仿宋" w:eastAsia="仿宋"/>
          <w:color w:val="auto"/>
          <w:sz w:val="24"/>
          <w:szCs w:val="24"/>
        </w:rPr>
        <w:t>的公平竞争，不损害招标人的合法权益；</w:t>
      </w:r>
    </w:p>
    <w:p>
      <w:pPr>
        <w:pStyle w:val="22"/>
        <w:spacing w:line="580" w:lineRule="exact"/>
        <w:ind w:firstLine="560"/>
        <w:rPr>
          <w:rFonts w:hint="eastAsia" w:ascii="仿宋" w:hAnsi="仿宋" w:eastAsia="仿宋"/>
          <w:color w:val="auto"/>
          <w:sz w:val="24"/>
          <w:szCs w:val="24"/>
        </w:rPr>
      </w:pPr>
      <w:r>
        <w:rPr>
          <w:rFonts w:hint="eastAsia" w:ascii="仿宋" w:hAnsi="仿宋" w:eastAsia="仿宋"/>
          <w:color w:val="auto"/>
          <w:sz w:val="24"/>
          <w:szCs w:val="24"/>
        </w:rPr>
        <w:t>四、不与</w:t>
      </w:r>
      <w:r>
        <w:rPr>
          <w:rFonts w:hint="eastAsia" w:ascii="仿宋" w:hAnsi="仿宋" w:eastAsia="仿宋"/>
          <w:color w:val="auto"/>
          <w:sz w:val="24"/>
          <w:szCs w:val="24"/>
          <w:lang w:eastAsia="zh-CN"/>
        </w:rPr>
        <w:t>招标人人</w:t>
      </w:r>
      <w:r>
        <w:rPr>
          <w:rFonts w:hint="eastAsia" w:ascii="仿宋" w:hAnsi="仿宋" w:eastAsia="仿宋"/>
          <w:color w:val="auto"/>
          <w:sz w:val="24"/>
          <w:szCs w:val="24"/>
        </w:rPr>
        <w:t>或者招标代理机构串通投标，损害国家利益、社会公共利益或者他人的合法权益；</w:t>
      </w:r>
    </w:p>
    <w:p>
      <w:pPr>
        <w:pStyle w:val="22"/>
        <w:spacing w:line="580" w:lineRule="exact"/>
        <w:ind w:firstLine="560"/>
        <w:rPr>
          <w:rFonts w:hint="eastAsia" w:ascii="仿宋" w:hAnsi="仿宋" w:eastAsia="仿宋"/>
          <w:color w:val="auto"/>
          <w:sz w:val="24"/>
          <w:szCs w:val="24"/>
        </w:rPr>
      </w:pPr>
      <w:r>
        <w:rPr>
          <w:rFonts w:hint="eastAsia" w:ascii="仿宋" w:hAnsi="仿宋" w:eastAsia="仿宋"/>
          <w:color w:val="auto"/>
          <w:sz w:val="24"/>
          <w:szCs w:val="24"/>
        </w:rPr>
        <w:t>五、不向</w:t>
      </w:r>
      <w:r>
        <w:rPr>
          <w:rFonts w:hint="eastAsia" w:ascii="仿宋" w:hAnsi="仿宋" w:eastAsia="仿宋"/>
          <w:color w:val="auto"/>
          <w:sz w:val="24"/>
          <w:szCs w:val="24"/>
          <w:lang w:eastAsia="zh-CN"/>
        </w:rPr>
        <w:t>招标人人</w:t>
      </w:r>
      <w:r>
        <w:rPr>
          <w:rFonts w:hint="eastAsia" w:ascii="仿宋" w:hAnsi="仿宋" w:eastAsia="仿宋"/>
          <w:color w:val="auto"/>
          <w:sz w:val="24"/>
          <w:szCs w:val="24"/>
        </w:rPr>
        <w:t>或者评标委员会成员行贿以牟取中标；</w:t>
      </w:r>
    </w:p>
    <w:p>
      <w:pPr>
        <w:pStyle w:val="22"/>
        <w:spacing w:line="580" w:lineRule="exact"/>
        <w:ind w:firstLine="560"/>
        <w:rPr>
          <w:rFonts w:hint="eastAsia" w:ascii="仿宋" w:hAnsi="仿宋" w:eastAsia="仿宋"/>
          <w:color w:val="auto"/>
          <w:sz w:val="24"/>
          <w:szCs w:val="24"/>
        </w:rPr>
      </w:pPr>
      <w:r>
        <w:rPr>
          <w:rFonts w:hint="eastAsia" w:ascii="仿宋" w:hAnsi="仿宋" w:eastAsia="仿宋"/>
          <w:color w:val="auto"/>
          <w:sz w:val="24"/>
          <w:szCs w:val="24"/>
        </w:rPr>
        <w:t>六、如在招标过程和公示期间需要投诉，则保证按照《中华人民共和国招标投标法》的要求进行。投诉的内容和程序符合法律法规的规定，投诉材料加盖企业公章或由法定代表人或授权委托人签字，并附有相关身份证明复印件；</w:t>
      </w:r>
    </w:p>
    <w:p>
      <w:pPr>
        <w:pStyle w:val="22"/>
        <w:spacing w:line="580" w:lineRule="exact"/>
        <w:ind w:firstLine="560"/>
        <w:rPr>
          <w:rFonts w:hint="eastAsia" w:ascii="仿宋" w:hAnsi="仿宋" w:eastAsia="仿宋"/>
          <w:color w:val="auto"/>
          <w:sz w:val="24"/>
          <w:szCs w:val="24"/>
        </w:rPr>
      </w:pPr>
      <w:r>
        <w:rPr>
          <w:rFonts w:hint="eastAsia" w:ascii="仿宋" w:hAnsi="仿宋" w:eastAsia="仿宋"/>
          <w:color w:val="auto"/>
          <w:sz w:val="24"/>
          <w:szCs w:val="24"/>
        </w:rPr>
        <w:t>七、遵守《中华人民共和国政府采购法》及其实施条例（658号令）及《政府采购货物和服务招标投标管理办法》（87号令）等的规定，保证不进行恶意投诉。</w:t>
      </w:r>
    </w:p>
    <w:p>
      <w:pPr>
        <w:pStyle w:val="22"/>
        <w:spacing w:line="580" w:lineRule="exact"/>
        <w:ind w:firstLine="560"/>
        <w:rPr>
          <w:rFonts w:hint="eastAsia" w:ascii="仿宋" w:hAnsi="仿宋" w:eastAsia="仿宋"/>
          <w:color w:val="auto"/>
          <w:sz w:val="24"/>
          <w:szCs w:val="24"/>
        </w:rPr>
      </w:pPr>
      <w:r>
        <w:rPr>
          <w:rFonts w:hint="eastAsia" w:ascii="仿宋" w:hAnsi="仿宋" w:eastAsia="仿宋"/>
          <w:color w:val="auto"/>
          <w:sz w:val="24"/>
          <w:szCs w:val="24"/>
        </w:rPr>
        <w:t>以上内容我已仔细阅读。如若违反上述承诺或形成恶意投诉，我们自愿接受以下一种或几种处罚：自动放弃中标资格、限制以后磋商、记入不良信用档案、没收本次投标保证金，并愿意承担由此引起的其他法律责任。</w:t>
      </w:r>
    </w:p>
    <w:p>
      <w:pPr>
        <w:pStyle w:val="5"/>
        <w:numPr>
          <w:ilvl w:val="0"/>
          <w:numId w:val="0"/>
        </w:numPr>
        <w:spacing w:before="0" w:line="480" w:lineRule="auto"/>
        <w:ind w:left="0" w:right="0"/>
        <w:jc w:val="both"/>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投标人名称（盖公章）：</w:t>
      </w:r>
    </w:p>
    <w:p>
      <w:pPr>
        <w:pStyle w:val="5"/>
        <w:numPr>
          <w:ilvl w:val="0"/>
          <w:numId w:val="0"/>
        </w:numPr>
        <w:spacing w:before="0" w:line="480" w:lineRule="auto"/>
        <w:ind w:left="0" w:right="0"/>
        <w:jc w:val="both"/>
        <w:rPr>
          <w:rFonts w:hint="eastAsia" w:ascii="仿宋" w:hAnsi="仿宋" w:eastAsia="仿宋" w:cs="仿宋"/>
          <w:b w:val="0"/>
          <w:bCs w:val="0"/>
          <w:color w:val="auto"/>
          <w:sz w:val="24"/>
          <w:szCs w:val="24"/>
          <w:highlight w:val="none"/>
          <w:lang w:val="zh-CN" w:eastAsia="zh-CN"/>
        </w:rPr>
      </w:pPr>
    </w:p>
    <w:p>
      <w:pPr>
        <w:pStyle w:val="5"/>
        <w:numPr>
          <w:ilvl w:val="0"/>
          <w:numId w:val="0"/>
        </w:numPr>
        <w:spacing w:before="0" w:line="480" w:lineRule="auto"/>
        <w:ind w:left="0" w:right="0"/>
        <w:jc w:val="both"/>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法定代表人或投标授权代理人：（签字或盖章）</w:t>
      </w:r>
    </w:p>
    <w:p>
      <w:pPr>
        <w:rPr>
          <w:rFonts w:hint="eastAsia" w:ascii="仿宋" w:hAnsi="仿宋" w:eastAsia="仿宋" w:cs="仿宋"/>
          <w:color w:val="auto"/>
          <w:highlight w:val="none"/>
          <w:lang w:val="zh-CN" w:eastAsia="zh-CN"/>
        </w:rPr>
      </w:pPr>
    </w:p>
    <w:p>
      <w:pPr>
        <w:pStyle w:val="5"/>
        <w:numPr>
          <w:ilvl w:val="0"/>
          <w:numId w:val="0"/>
        </w:numPr>
        <w:spacing w:before="0" w:line="480" w:lineRule="auto"/>
        <w:ind w:right="0"/>
        <w:jc w:val="both"/>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日期： 年</w:t>
      </w:r>
      <w:r>
        <w:rPr>
          <w:rFonts w:hint="eastAsia" w:ascii="仿宋" w:hAnsi="仿宋" w:eastAsia="仿宋" w:cs="仿宋"/>
          <w:b w:val="0"/>
          <w:bCs w:val="0"/>
          <w:color w:val="auto"/>
          <w:sz w:val="24"/>
          <w:szCs w:val="24"/>
          <w:highlight w:val="none"/>
          <w:lang w:val="zh-CN" w:eastAsia="zh-CN"/>
        </w:rPr>
        <w:tab/>
      </w:r>
      <w:r>
        <w:rPr>
          <w:rFonts w:hint="eastAsia" w:ascii="仿宋" w:hAnsi="仿宋" w:eastAsia="仿宋" w:cs="仿宋"/>
          <w:b w:val="0"/>
          <w:bCs w:val="0"/>
          <w:color w:val="auto"/>
          <w:sz w:val="24"/>
          <w:szCs w:val="24"/>
          <w:highlight w:val="none"/>
          <w:lang w:val="zh-CN" w:eastAsia="zh-CN"/>
        </w:rPr>
        <w:t>月</w:t>
      </w:r>
      <w:r>
        <w:rPr>
          <w:rFonts w:hint="eastAsia" w:ascii="仿宋" w:hAnsi="仿宋" w:eastAsia="仿宋" w:cs="仿宋"/>
          <w:b w:val="0"/>
          <w:bCs w:val="0"/>
          <w:color w:val="auto"/>
          <w:sz w:val="24"/>
          <w:szCs w:val="24"/>
          <w:highlight w:val="none"/>
          <w:lang w:val="zh-CN" w:eastAsia="zh-CN"/>
        </w:rPr>
        <w:tab/>
      </w:r>
      <w:r>
        <w:rPr>
          <w:rFonts w:hint="eastAsia" w:ascii="仿宋" w:hAnsi="仿宋" w:eastAsia="仿宋" w:cs="仿宋"/>
          <w:b w:val="0"/>
          <w:bCs w:val="0"/>
          <w:color w:val="auto"/>
          <w:sz w:val="24"/>
          <w:szCs w:val="24"/>
          <w:highlight w:val="none"/>
          <w:lang w:val="zh-CN" w:eastAsia="zh-CN"/>
        </w:rPr>
        <w:t>日</w:t>
      </w:r>
    </w:p>
    <w:p>
      <w:pPr>
        <w:spacing w:line="440" w:lineRule="exact"/>
        <w:jc w:val="center"/>
        <w:rPr>
          <w:rFonts w:hint="eastAsia" w:ascii="仿宋" w:hAnsi="仿宋" w:eastAsia="仿宋" w:cs="仿宋"/>
          <w:b/>
          <w:color w:val="auto"/>
          <w:sz w:val="24"/>
          <w:szCs w:val="24"/>
          <w:highlight w:val="none"/>
          <w:lang w:val="zh-CN" w:eastAsia="zh-CN"/>
        </w:rPr>
      </w:pPr>
    </w:p>
    <w:p>
      <w:pPr>
        <w:spacing w:line="440" w:lineRule="exact"/>
        <w:jc w:val="center"/>
        <w:rPr>
          <w:rFonts w:hint="eastAsia" w:ascii="仿宋" w:hAnsi="仿宋" w:eastAsia="仿宋" w:cs="仿宋"/>
          <w:b/>
          <w:color w:val="auto"/>
          <w:sz w:val="24"/>
          <w:szCs w:val="24"/>
          <w:highlight w:val="none"/>
          <w:lang w:val="zh-CN" w:eastAsia="zh-CN"/>
        </w:rPr>
      </w:pPr>
    </w:p>
    <w:p>
      <w:pPr>
        <w:pStyle w:val="5"/>
        <w:numPr>
          <w:ilvl w:val="0"/>
          <w:numId w:val="0"/>
        </w:numPr>
        <w:spacing w:line="480" w:lineRule="auto"/>
        <w:ind w:left="400" w:firstLine="2409" w:firstLineChars="1000"/>
        <w:jc w:val="both"/>
        <w:rPr>
          <w:rFonts w:hint="eastAsia" w:ascii="仿宋" w:hAnsi="仿宋" w:eastAsia="仿宋" w:cs="仿宋"/>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（十一）</w:t>
      </w:r>
      <w:r>
        <w:rPr>
          <w:rFonts w:hint="eastAsia" w:ascii="仿宋" w:hAnsi="仿宋" w:eastAsia="仿宋" w:cs="仿宋"/>
          <w:color w:val="auto"/>
          <w:sz w:val="24"/>
          <w:szCs w:val="24"/>
          <w:highlight w:val="none"/>
          <w:lang w:val="zh-CN" w:eastAsia="zh-CN"/>
        </w:rPr>
        <w:t>无重大违法记录声明书</w:t>
      </w:r>
    </w:p>
    <w:p>
      <w:pPr>
        <w:pStyle w:val="5"/>
        <w:numPr>
          <w:ilvl w:val="0"/>
          <w:numId w:val="0"/>
        </w:numPr>
        <w:spacing w:line="480" w:lineRule="auto"/>
        <w:jc w:val="both"/>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u w:val="single"/>
          <w:lang w:val="zh-CN" w:eastAsia="zh-CN"/>
        </w:rPr>
        <w:t>（招标人）</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zh-CN" w:eastAsia="zh-CN"/>
        </w:rPr>
        <w:tab/>
      </w:r>
      <w:r>
        <w:rPr>
          <w:rFonts w:hint="eastAsia" w:ascii="仿宋" w:hAnsi="仿宋" w:eastAsia="仿宋" w:cs="仿宋"/>
          <w:b w:val="0"/>
          <w:bCs w:val="0"/>
          <w:color w:val="auto"/>
          <w:sz w:val="24"/>
          <w:szCs w:val="24"/>
          <w:highlight w:val="none"/>
          <w:lang w:val="zh-CN" w:eastAsia="zh-CN"/>
        </w:rPr>
        <w:t>：</w:t>
      </w:r>
    </w:p>
    <w:p>
      <w:pPr>
        <w:pStyle w:val="5"/>
        <w:numPr>
          <w:ilvl w:val="0"/>
          <w:numId w:val="0"/>
        </w:numPr>
        <w:spacing w:line="480" w:lineRule="auto"/>
        <w:ind w:left="400"/>
        <w:jc w:val="both"/>
        <w:rPr>
          <w:rFonts w:hint="eastAsia" w:ascii="仿宋" w:hAnsi="仿宋" w:eastAsia="仿宋" w:cs="仿宋"/>
          <w:b w:val="0"/>
          <w:bCs w:val="0"/>
          <w:color w:val="auto"/>
          <w:sz w:val="24"/>
          <w:szCs w:val="24"/>
          <w:highlight w:val="none"/>
          <w:lang w:val="zh-CN" w:eastAsia="zh-CN"/>
        </w:rPr>
      </w:pPr>
    </w:p>
    <w:p>
      <w:pPr>
        <w:pStyle w:val="5"/>
        <w:numPr>
          <w:ilvl w:val="0"/>
          <w:numId w:val="0"/>
        </w:numPr>
        <w:spacing w:before="0" w:line="480" w:lineRule="auto"/>
        <w:ind w:right="0" w:firstLine="480" w:firstLineChars="200"/>
        <w:jc w:val="both"/>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我公司参与项目名称：</w:t>
      </w:r>
      <w:r>
        <w:rPr>
          <w:rFonts w:hint="eastAsia" w:ascii="仿宋" w:hAnsi="仿宋" w:eastAsia="仿宋" w:cs="仿宋"/>
          <w:b w:val="0"/>
          <w:bCs w:val="0"/>
          <w:color w:val="auto"/>
          <w:sz w:val="24"/>
          <w:szCs w:val="24"/>
          <w:highlight w:val="none"/>
          <w:u w:val="single"/>
          <w:lang w:val="zh-CN" w:eastAsia="zh-CN"/>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lang w:val="zh-CN" w:eastAsia="zh-CN"/>
        </w:rPr>
        <w:t xml:space="preserve">    </w:t>
      </w:r>
      <w:r>
        <w:rPr>
          <w:rFonts w:hint="eastAsia" w:ascii="仿宋" w:hAnsi="仿宋" w:eastAsia="仿宋" w:cs="仿宋"/>
          <w:b w:val="0"/>
          <w:bCs w:val="0"/>
          <w:color w:val="auto"/>
          <w:sz w:val="24"/>
          <w:szCs w:val="24"/>
          <w:highlight w:val="none"/>
          <w:lang w:val="zh-CN" w:eastAsia="zh-CN"/>
        </w:rPr>
        <w:t>购项目编号：</w:t>
      </w:r>
      <w:r>
        <w:rPr>
          <w:rFonts w:hint="eastAsia" w:ascii="仿宋" w:hAnsi="仿宋" w:eastAsia="仿宋" w:cs="仿宋"/>
          <w:b w:val="0"/>
          <w:bCs w:val="0"/>
          <w:color w:val="auto"/>
          <w:sz w:val="24"/>
          <w:szCs w:val="24"/>
          <w:highlight w:val="none"/>
          <w:u w:val="single"/>
          <w:lang w:val="zh-CN" w:eastAsia="zh-CN"/>
        </w:rPr>
        <w:t xml:space="preserve">          </w:t>
      </w:r>
      <w:r>
        <w:rPr>
          <w:rFonts w:hint="eastAsia" w:ascii="仿宋" w:hAnsi="仿宋" w:eastAsia="仿宋" w:cs="仿宋"/>
          <w:b w:val="0"/>
          <w:bCs w:val="0"/>
          <w:color w:val="auto"/>
          <w:sz w:val="24"/>
          <w:szCs w:val="24"/>
          <w:highlight w:val="none"/>
          <w:lang w:val="zh-CN" w:eastAsia="zh-CN"/>
        </w:rPr>
        <w:t>招标投标活动，本公司郑重声明，我方参加本项目政府采购活动前三年内无重大违法记录， 符合《政府采购法》规定的投标人条件。若贵方在本项目招标过程中发现我方在政府采购活动前三年内有重大违法记录，我公司将无条件退出本项目的响应，并承担因此引起的一切后果。我方对此声明负全部法律责任。</w:t>
      </w:r>
    </w:p>
    <w:p>
      <w:pPr>
        <w:pStyle w:val="5"/>
        <w:numPr>
          <w:ilvl w:val="0"/>
          <w:numId w:val="0"/>
        </w:numPr>
        <w:spacing w:line="480" w:lineRule="auto"/>
        <w:ind w:left="400"/>
        <w:jc w:val="both"/>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特此声明</w:t>
      </w:r>
    </w:p>
    <w:p>
      <w:pPr>
        <w:pStyle w:val="5"/>
        <w:numPr>
          <w:ilvl w:val="0"/>
          <w:numId w:val="0"/>
        </w:numPr>
        <w:spacing w:line="480" w:lineRule="auto"/>
        <w:jc w:val="both"/>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投标人名称（盖公章）：</w:t>
      </w:r>
    </w:p>
    <w:p>
      <w:pPr>
        <w:pStyle w:val="5"/>
        <w:numPr>
          <w:ilvl w:val="0"/>
          <w:numId w:val="0"/>
        </w:numPr>
        <w:spacing w:line="480" w:lineRule="auto"/>
        <w:jc w:val="both"/>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法定代表人或投标授权代理人：（签字或盖章）</w:t>
      </w:r>
    </w:p>
    <w:p>
      <w:pPr>
        <w:pStyle w:val="5"/>
        <w:numPr>
          <w:ilvl w:val="0"/>
          <w:numId w:val="0"/>
        </w:numPr>
        <w:spacing w:line="480" w:lineRule="auto"/>
        <w:jc w:val="both"/>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日期：</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val="zh-CN" w:eastAsia="zh-CN"/>
        </w:rPr>
        <w:t>年</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val="zh-CN" w:eastAsia="zh-CN"/>
        </w:rPr>
        <w:t>月</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val="zh-CN" w:eastAsia="zh-CN"/>
        </w:rPr>
        <w:t>日</w:t>
      </w:r>
    </w:p>
    <w:p>
      <w:pPr>
        <w:pStyle w:val="5"/>
        <w:numPr>
          <w:ilvl w:val="0"/>
          <w:numId w:val="0"/>
        </w:numPr>
        <w:spacing w:line="480" w:lineRule="auto"/>
        <w:ind w:left="400"/>
        <w:jc w:val="both"/>
        <w:rPr>
          <w:rFonts w:hint="eastAsia" w:ascii="仿宋" w:hAnsi="仿宋" w:eastAsia="仿宋" w:cs="仿宋"/>
          <w:color w:val="auto"/>
          <w:sz w:val="24"/>
          <w:szCs w:val="24"/>
          <w:highlight w:val="none"/>
          <w:lang w:val="zh-CN" w:eastAsia="zh-CN"/>
        </w:rPr>
      </w:pPr>
    </w:p>
    <w:p>
      <w:pPr>
        <w:pStyle w:val="5"/>
        <w:numPr>
          <w:ilvl w:val="0"/>
          <w:numId w:val="0"/>
        </w:numPr>
        <w:spacing w:line="480" w:lineRule="auto"/>
        <w:ind w:left="400"/>
        <w:jc w:val="both"/>
        <w:rPr>
          <w:rFonts w:hint="eastAsia" w:ascii="仿宋" w:hAnsi="仿宋" w:eastAsia="仿宋" w:cs="仿宋"/>
          <w:color w:val="auto"/>
          <w:sz w:val="24"/>
          <w:szCs w:val="24"/>
          <w:highlight w:val="none"/>
          <w:lang w:val="zh-CN" w:eastAsia="zh-CN"/>
        </w:rPr>
      </w:pPr>
    </w:p>
    <w:p>
      <w:pPr>
        <w:pStyle w:val="5"/>
        <w:numPr>
          <w:ilvl w:val="0"/>
          <w:numId w:val="0"/>
        </w:numPr>
        <w:spacing w:line="480" w:lineRule="auto"/>
        <w:ind w:left="400"/>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注：[近三年：指成立三年以上的，为提交首次投标文件截止时间前三年内；成立不足三年的，为实际时间。]</w:t>
      </w:r>
    </w:p>
    <w:p>
      <w:pPr>
        <w:pStyle w:val="5"/>
        <w:numPr>
          <w:ilvl w:val="0"/>
          <w:numId w:val="0"/>
        </w:numPr>
        <w:ind w:left="400"/>
        <w:jc w:val="both"/>
        <w:rPr>
          <w:rFonts w:hint="eastAsia" w:ascii="仿宋" w:hAnsi="仿宋" w:eastAsia="仿宋" w:cs="仿宋"/>
          <w:color w:val="auto"/>
          <w:sz w:val="24"/>
          <w:szCs w:val="24"/>
          <w:highlight w:val="none"/>
          <w:lang w:val="zh-CN" w:eastAsia="zh-CN"/>
        </w:rPr>
      </w:pPr>
    </w:p>
    <w:p>
      <w:pPr>
        <w:pStyle w:val="5"/>
        <w:numPr>
          <w:ilvl w:val="0"/>
          <w:numId w:val="0"/>
        </w:numPr>
        <w:ind w:left="400"/>
        <w:rPr>
          <w:rFonts w:hint="eastAsia" w:ascii="仿宋" w:hAnsi="仿宋" w:eastAsia="仿宋" w:cs="仿宋"/>
          <w:color w:val="auto"/>
          <w:sz w:val="24"/>
          <w:szCs w:val="24"/>
          <w:highlight w:val="none"/>
          <w:lang w:val="zh-CN" w:eastAsia="zh-CN"/>
        </w:rPr>
      </w:pPr>
    </w:p>
    <w:p>
      <w:pPr>
        <w:pStyle w:val="5"/>
        <w:numPr>
          <w:ilvl w:val="0"/>
          <w:numId w:val="0"/>
        </w:numPr>
        <w:ind w:left="400"/>
        <w:rPr>
          <w:rFonts w:hint="eastAsia" w:ascii="仿宋" w:hAnsi="仿宋" w:eastAsia="仿宋" w:cs="仿宋"/>
          <w:color w:val="auto"/>
          <w:sz w:val="24"/>
          <w:szCs w:val="24"/>
          <w:highlight w:val="none"/>
          <w:lang w:val="zh-CN" w:eastAsia="zh-CN"/>
        </w:rPr>
      </w:pPr>
    </w:p>
    <w:p>
      <w:pPr>
        <w:pStyle w:val="5"/>
        <w:numPr>
          <w:ilvl w:val="0"/>
          <w:numId w:val="0"/>
        </w:numPr>
        <w:ind w:left="400"/>
        <w:rPr>
          <w:rFonts w:hint="eastAsia" w:ascii="仿宋" w:hAnsi="仿宋" w:eastAsia="仿宋" w:cs="仿宋"/>
          <w:color w:val="auto"/>
          <w:sz w:val="24"/>
          <w:szCs w:val="24"/>
          <w:highlight w:val="none"/>
          <w:lang w:val="zh-CN" w:eastAsia="zh-CN"/>
        </w:rPr>
      </w:pPr>
    </w:p>
    <w:p>
      <w:pPr>
        <w:pStyle w:val="5"/>
        <w:numPr>
          <w:ilvl w:val="0"/>
          <w:numId w:val="0"/>
        </w:numPr>
        <w:ind w:left="400"/>
        <w:rPr>
          <w:rFonts w:hint="eastAsia" w:ascii="仿宋" w:hAnsi="仿宋" w:eastAsia="仿宋" w:cs="仿宋"/>
          <w:color w:val="auto"/>
          <w:sz w:val="24"/>
          <w:szCs w:val="24"/>
          <w:highlight w:val="none"/>
          <w:lang w:val="zh-CN" w:eastAsia="zh-CN"/>
        </w:rPr>
      </w:pPr>
    </w:p>
    <w:p>
      <w:pPr>
        <w:rPr>
          <w:rFonts w:hint="eastAsia" w:ascii="仿宋" w:hAnsi="仿宋" w:eastAsia="仿宋" w:cs="仿宋"/>
          <w:color w:val="auto"/>
          <w:highlight w:val="none"/>
          <w:lang w:val="zh-CN" w:eastAsia="zh-CN"/>
        </w:rPr>
      </w:pPr>
    </w:p>
    <w:p>
      <w:pPr>
        <w:pStyle w:val="5"/>
        <w:numPr>
          <w:ilvl w:val="0"/>
          <w:numId w:val="0"/>
        </w:numPr>
        <w:ind w:left="4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eastAsia="zh-CN"/>
        </w:rPr>
        <w:t>十二</w:t>
      </w:r>
      <w:r>
        <w:rPr>
          <w:rFonts w:hint="eastAsia" w:ascii="仿宋" w:hAnsi="仿宋" w:eastAsia="仿宋" w:cs="仿宋"/>
          <w:color w:val="auto"/>
          <w:sz w:val="32"/>
          <w:szCs w:val="32"/>
          <w:highlight w:val="none"/>
          <w:lang w:val="zh-CN" w:eastAsia="zh-CN"/>
        </w:rPr>
        <w:t>）技术方案</w:t>
      </w:r>
    </w:p>
    <w:p>
      <w:pPr>
        <w:pStyle w:val="24"/>
        <w:keepNext w:val="0"/>
        <w:keepLines w:val="0"/>
        <w:pageBreakBefore w:val="0"/>
        <w:widowControl w:val="0"/>
        <w:kinsoku/>
        <w:wordWrap/>
        <w:overflowPunct/>
        <w:topLinePunct w:val="0"/>
        <w:autoSpaceDE w:val="0"/>
        <w:autoSpaceDN w:val="0"/>
        <w:bidi w:val="0"/>
        <w:adjustRightInd w:val="0"/>
        <w:spacing w:line="520" w:lineRule="exact"/>
        <w:ind w:firstLine="562" w:firstLineChars="200"/>
        <w:jc w:val="both"/>
        <w:textAlignment w:val="auto"/>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 产品的详细技术参数说明</w:t>
      </w:r>
    </w:p>
    <w:p>
      <w:pPr>
        <w:pStyle w:val="24"/>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both"/>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eastAsia="zh-CN"/>
        </w:rPr>
        <w:t>投标人</w:t>
      </w:r>
      <w:r>
        <w:rPr>
          <w:rFonts w:hint="eastAsia" w:ascii="仿宋" w:hAnsi="仿宋" w:eastAsia="仿宋" w:cs="仿宋"/>
          <w:color w:val="auto"/>
          <w:sz w:val="28"/>
          <w:highlight w:val="none"/>
        </w:rPr>
        <w:t>所投产品必须提供国家权威部门出具的完整检验报告作为其技术指标的支持资料（国家无需检测的设备可以不提供检验报告）。对未提供技术支持资料的，或参数与其提供的技术支持资料不一致的，均视为偏离。</w:t>
      </w:r>
    </w:p>
    <w:p>
      <w:pPr>
        <w:pStyle w:val="24"/>
        <w:keepNext w:val="0"/>
        <w:keepLines w:val="0"/>
        <w:pageBreakBefore w:val="0"/>
        <w:widowControl w:val="0"/>
        <w:kinsoku/>
        <w:wordWrap/>
        <w:overflowPunct/>
        <w:topLinePunct w:val="0"/>
        <w:autoSpaceDE w:val="0"/>
        <w:autoSpaceDN w:val="0"/>
        <w:bidi w:val="0"/>
        <w:adjustRightInd w:val="0"/>
        <w:snapToGrid w:val="0"/>
        <w:spacing w:line="540" w:lineRule="exact"/>
        <w:ind w:firstLine="562" w:firstLineChars="200"/>
        <w:textAlignment w:val="auto"/>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 项目整体实施方案</w:t>
      </w:r>
    </w:p>
    <w:p>
      <w:pPr>
        <w:pStyle w:val="24"/>
        <w:keepNext w:val="0"/>
        <w:keepLines w:val="0"/>
        <w:pageBreakBefore w:val="0"/>
        <w:widowControl w:val="0"/>
        <w:kinsoku/>
        <w:wordWrap/>
        <w:overflowPunct/>
        <w:topLinePunct w:val="0"/>
        <w:autoSpaceDE w:val="0"/>
        <w:autoSpaceDN w:val="0"/>
        <w:bidi w:val="0"/>
        <w:adjustRightInd w:val="0"/>
        <w:snapToGrid w:val="0"/>
        <w:spacing w:line="540" w:lineRule="exact"/>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包含但不限于</w:t>
      </w:r>
      <w:r>
        <w:rPr>
          <w:rFonts w:hint="eastAsia" w:ascii="仿宋" w:hAnsi="仿宋" w:eastAsia="仿宋" w:cs="仿宋"/>
          <w:color w:val="auto"/>
          <w:sz w:val="28"/>
          <w:highlight w:val="none"/>
          <w:lang w:val="en-US" w:eastAsia="zh-CN"/>
        </w:rPr>
        <w:t>对整体项目需求理解、供货时间、安装调试计划、充足的备品备件库</w:t>
      </w:r>
      <w:r>
        <w:rPr>
          <w:rFonts w:hint="eastAsia" w:ascii="仿宋" w:hAnsi="仿宋" w:eastAsia="仿宋" w:cs="仿宋"/>
          <w:color w:val="auto"/>
          <w:sz w:val="28"/>
          <w:highlight w:val="none"/>
          <w:lang w:eastAsia="zh-CN"/>
        </w:rPr>
        <w:t>；</w:t>
      </w:r>
    </w:p>
    <w:p>
      <w:pPr>
        <w:pStyle w:val="24"/>
        <w:keepNext w:val="0"/>
        <w:keepLines w:val="0"/>
        <w:pageBreakBefore w:val="0"/>
        <w:widowControl w:val="0"/>
        <w:kinsoku/>
        <w:wordWrap/>
        <w:overflowPunct/>
        <w:topLinePunct w:val="0"/>
        <w:autoSpaceDE w:val="0"/>
        <w:autoSpaceDN w:val="0"/>
        <w:bidi w:val="0"/>
        <w:adjustRightInd w:val="0"/>
        <w:spacing w:line="520" w:lineRule="exact"/>
        <w:ind w:firstLine="562" w:firstLineChars="200"/>
        <w:jc w:val="both"/>
        <w:textAlignment w:val="auto"/>
        <w:rPr>
          <w:rFonts w:hint="eastAsia" w:ascii="仿宋" w:hAnsi="仿宋" w:eastAsia="仿宋" w:cs="仿宋"/>
          <w:b/>
          <w:color w:val="auto"/>
          <w:sz w:val="28"/>
          <w:highlight w:val="none"/>
        </w:rPr>
      </w:pPr>
      <w:r>
        <w:rPr>
          <w:rFonts w:hint="eastAsia" w:ascii="仿宋" w:hAnsi="仿宋" w:eastAsia="仿宋" w:cs="仿宋"/>
          <w:b/>
          <w:color w:val="auto"/>
          <w:sz w:val="28"/>
          <w:highlight w:val="none"/>
          <w:lang w:val="en-US" w:eastAsia="zh-CN"/>
        </w:rPr>
        <w:t>3</w:t>
      </w:r>
      <w:r>
        <w:rPr>
          <w:rFonts w:hint="eastAsia" w:ascii="仿宋" w:hAnsi="仿宋" w:eastAsia="仿宋" w:cs="仿宋"/>
          <w:b/>
          <w:color w:val="auto"/>
          <w:sz w:val="28"/>
          <w:highlight w:val="none"/>
        </w:rPr>
        <w:t xml:space="preserve">) </w:t>
      </w:r>
      <w:r>
        <w:rPr>
          <w:rFonts w:hint="eastAsia" w:ascii="仿宋" w:hAnsi="仿宋" w:eastAsia="仿宋" w:cs="仿宋"/>
          <w:b/>
          <w:color w:val="auto"/>
          <w:sz w:val="28"/>
          <w:highlight w:val="none"/>
          <w:lang w:val="zh-CN" w:eastAsia="zh-CN"/>
        </w:rPr>
        <w:t>保证项目实施的人力资源安排</w:t>
      </w:r>
    </w:p>
    <w:p>
      <w:pPr>
        <w:pStyle w:val="24"/>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both"/>
        <w:textAlignment w:val="auto"/>
        <w:rPr>
          <w:rFonts w:hint="eastAsia" w:ascii="仿宋" w:hAnsi="仿宋" w:eastAsia="仿宋" w:cs="仿宋"/>
          <w:b/>
          <w:color w:val="auto"/>
          <w:sz w:val="28"/>
          <w:highlight w:val="none"/>
        </w:rPr>
      </w:pPr>
      <w:r>
        <w:rPr>
          <w:rFonts w:hint="eastAsia" w:ascii="仿宋" w:hAnsi="仿宋" w:eastAsia="仿宋" w:cs="仿宋"/>
          <w:color w:val="auto"/>
          <w:sz w:val="28"/>
          <w:highlight w:val="none"/>
          <w:lang w:val="en-US" w:eastAsia="zh-CN"/>
        </w:rPr>
        <w:t>拟派负责人基本情况及相关专业人员配备情况，是否能够达到本项目服务要求（现场项目负责人、技术人员、安装人员，需提供相关证书如学历证书、上岗证书、作业证书、近三个月社保缴纳证明等</w:t>
      </w:r>
      <w:r>
        <w:rPr>
          <w:rFonts w:hint="eastAsia" w:ascii="仿宋" w:hAnsi="仿宋" w:eastAsia="仿宋" w:cs="仿宋"/>
          <w:color w:val="auto"/>
          <w:sz w:val="28"/>
          <w:highlight w:val="none"/>
        </w:rPr>
        <w:t>）</w:t>
      </w:r>
    </w:p>
    <w:p>
      <w:pPr>
        <w:pStyle w:val="24"/>
        <w:keepNext w:val="0"/>
        <w:keepLines w:val="0"/>
        <w:pageBreakBefore w:val="0"/>
        <w:widowControl w:val="0"/>
        <w:kinsoku/>
        <w:wordWrap/>
        <w:overflowPunct/>
        <w:topLinePunct w:val="0"/>
        <w:autoSpaceDE w:val="0"/>
        <w:autoSpaceDN w:val="0"/>
        <w:bidi w:val="0"/>
        <w:adjustRightInd w:val="0"/>
        <w:spacing w:line="520" w:lineRule="exact"/>
        <w:ind w:firstLine="562" w:firstLineChars="200"/>
        <w:jc w:val="both"/>
        <w:textAlignment w:val="auto"/>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4</w:t>
      </w:r>
      <w:r>
        <w:rPr>
          <w:rFonts w:hint="eastAsia" w:ascii="仿宋" w:hAnsi="仿宋" w:eastAsia="仿宋" w:cs="仿宋"/>
          <w:b/>
          <w:color w:val="auto"/>
          <w:sz w:val="28"/>
          <w:highlight w:val="none"/>
        </w:rPr>
        <w:t>)</w:t>
      </w:r>
      <w:r>
        <w:rPr>
          <w:rFonts w:hint="eastAsia" w:ascii="仿宋" w:hAnsi="仿宋" w:eastAsia="仿宋" w:cs="仿宋"/>
          <w:b/>
          <w:color w:val="auto"/>
          <w:sz w:val="28"/>
          <w:highlight w:val="none"/>
          <w:lang w:val="en-US" w:eastAsia="zh-CN"/>
        </w:rPr>
        <w:t xml:space="preserve"> 应急保障方案</w:t>
      </w:r>
    </w:p>
    <w:p>
      <w:pPr>
        <w:keepNext w:val="0"/>
        <w:keepLines w:val="0"/>
        <w:pageBreakBefore w:val="0"/>
        <w:widowControl w:val="0"/>
        <w:tabs>
          <w:tab w:val="left" w:pos="7540"/>
        </w:tabs>
        <w:kinsoku/>
        <w:wordWrap/>
        <w:overflowPunct/>
        <w:topLinePunct w:val="0"/>
        <w:autoSpaceDE w:val="0"/>
        <w:autoSpaceDN w:val="0"/>
        <w:bidi w:val="0"/>
        <w:adjustRightInd w:val="0"/>
        <w:spacing w:line="360" w:lineRule="auto"/>
        <w:ind w:firstLine="562" w:firstLineChars="200"/>
        <w:jc w:val="left"/>
        <w:textAlignment w:val="auto"/>
        <w:rPr>
          <w:rFonts w:hint="eastAsia" w:ascii="仿宋" w:hAnsi="仿宋" w:eastAsia="仿宋" w:cs="仿宋"/>
          <w:b/>
          <w:color w:val="auto"/>
          <w:sz w:val="28"/>
          <w:szCs w:val="24"/>
          <w:highlight w:val="none"/>
          <w:lang w:val="zh-CN" w:eastAsia="zh-CN" w:bidi="ar-SA"/>
        </w:rPr>
      </w:pPr>
      <w:r>
        <w:rPr>
          <w:rFonts w:hint="eastAsia" w:ascii="仿宋" w:hAnsi="仿宋" w:eastAsia="仿宋" w:cs="仿宋"/>
          <w:b/>
          <w:color w:val="auto"/>
          <w:sz w:val="28"/>
          <w:szCs w:val="24"/>
          <w:highlight w:val="none"/>
          <w:lang w:val="en-US" w:eastAsia="zh-CN" w:bidi="ar-SA"/>
        </w:rPr>
        <w:t>5) 售后服务方案</w:t>
      </w:r>
    </w:p>
    <w:p>
      <w:pPr>
        <w:tabs>
          <w:tab w:val="left" w:pos="7540"/>
        </w:tabs>
        <w:autoSpaceDE w:val="0"/>
        <w:autoSpaceDN w:val="0"/>
        <w:adjustRightInd w:val="0"/>
        <w:spacing w:line="360" w:lineRule="auto"/>
        <w:jc w:val="center"/>
        <w:rPr>
          <w:rFonts w:hint="eastAsia" w:ascii="仿宋" w:hAnsi="仿宋" w:eastAsia="仿宋" w:cs="仿宋"/>
          <w:b/>
          <w:bCs/>
          <w:color w:val="auto"/>
          <w:sz w:val="24"/>
          <w:highlight w:val="none"/>
          <w:lang w:val="zh-CN"/>
        </w:rPr>
      </w:pPr>
    </w:p>
    <w:p>
      <w:pPr>
        <w:tabs>
          <w:tab w:val="left" w:pos="7540"/>
        </w:tabs>
        <w:autoSpaceDE w:val="0"/>
        <w:autoSpaceDN w:val="0"/>
        <w:adjustRightInd w:val="0"/>
        <w:spacing w:line="360" w:lineRule="auto"/>
        <w:jc w:val="center"/>
        <w:rPr>
          <w:rFonts w:hint="eastAsia" w:ascii="仿宋" w:hAnsi="仿宋" w:eastAsia="仿宋" w:cs="仿宋"/>
          <w:b/>
          <w:bCs/>
          <w:color w:val="auto"/>
          <w:sz w:val="24"/>
          <w:highlight w:val="none"/>
          <w:lang w:val="zh-CN"/>
        </w:rPr>
      </w:pPr>
    </w:p>
    <w:p>
      <w:pPr>
        <w:tabs>
          <w:tab w:val="left" w:pos="7540"/>
        </w:tabs>
        <w:autoSpaceDE w:val="0"/>
        <w:autoSpaceDN w:val="0"/>
        <w:adjustRightInd w:val="0"/>
        <w:spacing w:line="360" w:lineRule="auto"/>
        <w:jc w:val="center"/>
        <w:rPr>
          <w:rFonts w:hint="eastAsia" w:ascii="仿宋" w:hAnsi="仿宋" w:eastAsia="仿宋" w:cs="仿宋"/>
          <w:b/>
          <w:bCs/>
          <w:color w:val="auto"/>
          <w:sz w:val="24"/>
          <w:highlight w:val="none"/>
          <w:lang w:val="zh-CN"/>
        </w:rPr>
      </w:pPr>
    </w:p>
    <w:p>
      <w:pPr>
        <w:tabs>
          <w:tab w:val="left" w:pos="7540"/>
        </w:tabs>
        <w:autoSpaceDE w:val="0"/>
        <w:autoSpaceDN w:val="0"/>
        <w:adjustRightInd w:val="0"/>
        <w:spacing w:line="360" w:lineRule="auto"/>
        <w:jc w:val="center"/>
        <w:rPr>
          <w:rFonts w:hint="eastAsia" w:ascii="仿宋" w:hAnsi="仿宋" w:eastAsia="仿宋" w:cs="仿宋"/>
          <w:b/>
          <w:bCs/>
          <w:color w:val="auto"/>
          <w:sz w:val="24"/>
          <w:highlight w:val="none"/>
          <w:lang w:val="zh-CN"/>
        </w:rPr>
      </w:pPr>
    </w:p>
    <w:p>
      <w:pPr>
        <w:tabs>
          <w:tab w:val="left" w:pos="7540"/>
        </w:tabs>
        <w:autoSpaceDE w:val="0"/>
        <w:autoSpaceDN w:val="0"/>
        <w:adjustRightInd w:val="0"/>
        <w:spacing w:line="360" w:lineRule="auto"/>
        <w:jc w:val="center"/>
        <w:rPr>
          <w:rFonts w:hint="eastAsia" w:ascii="仿宋" w:hAnsi="仿宋" w:eastAsia="仿宋" w:cs="仿宋"/>
          <w:b/>
          <w:bCs/>
          <w:color w:val="auto"/>
          <w:sz w:val="24"/>
          <w:highlight w:val="none"/>
          <w:lang w:val="zh-CN"/>
        </w:rPr>
      </w:pPr>
    </w:p>
    <w:p>
      <w:pPr>
        <w:tabs>
          <w:tab w:val="left" w:pos="7540"/>
        </w:tabs>
        <w:autoSpaceDE w:val="0"/>
        <w:autoSpaceDN w:val="0"/>
        <w:adjustRightInd w:val="0"/>
        <w:spacing w:line="360" w:lineRule="auto"/>
        <w:jc w:val="center"/>
        <w:rPr>
          <w:rFonts w:hint="eastAsia" w:ascii="仿宋" w:hAnsi="仿宋" w:eastAsia="仿宋" w:cs="仿宋"/>
          <w:b/>
          <w:bCs/>
          <w:color w:val="auto"/>
          <w:sz w:val="24"/>
          <w:highlight w:val="none"/>
          <w:lang w:val="zh-CN"/>
        </w:rPr>
      </w:pPr>
    </w:p>
    <w:p>
      <w:pPr>
        <w:tabs>
          <w:tab w:val="left" w:pos="7540"/>
        </w:tabs>
        <w:autoSpaceDE w:val="0"/>
        <w:autoSpaceDN w:val="0"/>
        <w:adjustRightInd w:val="0"/>
        <w:spacing w:line="360" w:lineRule="auto"/>
        <w:jc w:val="center"/>
        <w:rPr>
          <w:rFonts w:hint="eastAsia" w:ascii="仿宋" w:hAnsi="仿宋" w:eastAsia="仿宋" w:cs="仿宋"/>
          <w:b/>
          <w:bCs/>
          <w:color w:val="auto"/>
          <w:sz w:val="24"/>
          <w:highlight w:val="none"/>
          <w:lang w:val="zh-CN"/>
        </w:rPr>
      </w:pPr>
    </w:p>
    <w:p>
      <w:pPr>
        <w:tabs>
          <w:tab w:val="left" w:pos="7540"/>
        </w:tabs>
        <w:autoSpaceDE w:val="0"/>
        <w:autoSpaceDN w:val="0"/>
        <w:adjustRightInd w:val="0"/>
        <w:spacing w:line="360" w:lineRule="auto"/>
        <w:jc w:val="center"/>
        <w:rPr>
          <w:rFonts w:hint="eastAsia" w:ascii="仿宋" w:hAnsi="仿宋" w:eastAsia="仿宋" w:cs="仿宋"/>
          <w:b/>
          <w:bCs/>
          <w:color w:val="auto"/>
          <w:sz w:val="24"/>
          <w:highlight w:val="none"/>
          <w:lang w:val="zh-CN"/>
        </w:rPr>
      </w:pPr>
    </w:p>
    <w:p>
      <w:pPr>
        <w:tabs>
          <w:tab w:val="left" w:pos="7540"/>
        </w:tabs>
        <w:autoSpaceDE w:val="0"/>
        <w:autoSpaceDN w:val="0"/>
        <w:adjustRightInd w:val="0"/>
        <w:spacing w:line="360" w:lineRule="auto"/>
        <w:jc w:val="center"/>
        <w:rPr>
          <w:rFonts w:hint="eastAsia" w:ascii="仿宋" w:hAnsi="仿宋" w:eastAsia="仿宋" w:cs="仿宋"/>
          <w:b/>
          <w:bCs/>
          <w:color w:val="auto"/>
          <w:sz w:val="24"/>
          <w:highlight w:val="none"/>
          <w:lang w:val="zh-CN"/>
        </w:rPr>
      </w:pPr>
    </w:p>
    <w:p>
      <w:pPr>
        <w:tabs>
          <w:tab w:val="left" w:pos="7540"/>
        </w:tabs>
        <w:autoSpaceDE w:val="0"/>
        <w:autoSpaceDN w:val="0"/>
        <w:adjustRightInd w:val="0"/>
        <w:spacing w:line="360" w:lineRule="auto"/>
        <w:jc w:val="center"/>
        <w:rPr>
          <w:rFonts w:hint="eastAsia" w:ascii="仿宋" w:hAnsi="仿宋" w:eastAsia="仿宋" w:cs="仿宋"/>
          <w:b/>
          <w:bCs/>
          <w:color w:val="auto"/>
          <w:sz w:val="24"/>
          <w:highlight w:val="none"/>
          <w:lang w:val="zh-CN"/>
        </w:rPr>
      </w:pPr>
    </w:p>
    <w:p>
      <w:pPr>
        <w:tabs>
          <w:tab w:val="left" w:pos="7540"/>
        </w:tabs>
        <w:autoSpaceDE w:val="0"/>
        <w:autoSpaceDN w:val="0"/>
        <w:adjustRightInd w:val="0"/>
        <w:spacing w:line="360" w:lineRule="auto"/>
        <w:jc w:val="center"/>
        <w:rPr>
          <w:rFonts w:hint="eastAsia" w:ascii="仿宋" w:hAnsi="仿宋" w:eastAsia="仿宋" w:cs="仿宋"/>
          <w:b/>
          <w:bCs/>
          <w:color w:val="auto"/>
          <w:sz w:val="24"/>
          <w:highlight w:val="none"/>
          <w:lang w:val="zh-CN"/>
        </w:rPr>
      </w:pPr>
    </w:p>
    <w:p>
      <w:pPr>
        <w:tabs>
          <w:tab w:val="left" w:pos="7540"/>
        </w:tabs>
        <w:autoSpaceDE w:val="0"/>
        <w:autoSpaceDN w:val="0"/>
        <w:adjustRightInd w:val="0"/>
        <w:spacing w:line="360" w:lineRule="auto"/>
        <w:jc w:val="center"/>
        <w:rPr>
          <w:rFonts w:hint="eastAsia" w:ascii="仿宋" w:hAnsi="仿宋" w:eastAsia="仿宋" w:cs="仿宋"/>
          <w:b/>
          <w:bCs/>
          <w:color w:val="auto"/>
          <w:sz w:val="24"/>
          <w:highlight w:val="none"/>
          <w:lang w:val="zh-CN"/>
        </w:rPr>
      </w:pPr>
    </w:p>
    <w:p>
      <w:pPr>
        <w:spacing w:before="156" w:beforeLines="50" w:after="156" w:afterLines="50"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w:t>
      </w:r>
      <w:r>
        <w:rPr>
          <w:rFonts w:hint="eastAsia" w:ascii="仿宋" w:hAnsi="仿宋" w:eastAsia="仿宋" w:cs="仿宋"/>
          <w:b/>
          <w:color w:val="auto"/>
          <w:sz w:val="32"/>
          <w:szCs w:val="32"/>
          <w:highlight w:val="none"/>
          <w:lang w:eastAsia="zh-CN"/>
        </w:rPr>
        <w:t>三</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eastAsia="zh-CN"/>
        </w:rPr>
        <w:t>投标人</w:t>
      </w:r>
      <w:r>
        <w:rPr>
          <w:rFonts w:hint="eastAsia" w:ascii="仿宋" w:hAnsi="仿宋" w:eastAsia="仿宋" w:cs="仿宋"/>
          <w:b/>
          <w:color w:val="auto"/>
          <w:sz w:val="32"/>
          <w:szCs w:val="32"/>
          <w:highlight w:val="none"/>
        </w:rPr>
        <w:t>《反商业贿赂承诺书》</w:t>
      </w:r>
    </w:p>
    <w:p>
      <w:pPr>
        <w:pStyle w:val="9"/>
        <w:spacing w:line="6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我公司承诺在</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项目名称：               （第   包：       ）    购项目编号：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招标活动中，不给予采购放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pStyle w:val="9"/>
        <w:spacing w:line="600" w:lineRule="exact"/>
        <w:ind w:firstLine="480"/>
        <w:rPr>
          <w:rFonts w:hint="eastAsia" w:ascii="仿宋" w:hAnsi="仿宋" w:eastAsia="仿宋" w:cs="仿宋"/>
          <w:color w:val="auto"/>
          <w:sz w:val="24"/>
          <w:highlight w:val="none"/>
        </w:rPr>
      </w:pPr>
    </w:p>
    <w:p>
      <w:pPr>
        <w:pStyle w:val="9"/>
        <w:spacing w:line="600" w:lineRule="exact"/>
        <w:ind w:firstLine="480"/>
        <w:rPr>
          <w:rFonts w:hint="eastAsia" w:ascii="仿宋" w:hAnsi="仿宋" w:eastAsia="仿宋" w:cs="仿宋"/>
          <w:color w:val="auto"/>
          <w:sz w:val="24"/>
          <w:highlight w:val="none"/>
        </w:rPr>
      </w:pPr>
    </w:p>
    <w:p>
      <w:pPr>
        <w:pStyle w:val="9"/>
        <w:spacing w:line="600" w:lineRule="exact"/>
        <w:ind w:firstLine="480"/>
        <w:rPr>
          <w:rFonts w:hint="eastAsia" w:ascii="仿宋" w:hAnsi="仿宋" w:eastAsia="仿宋" w:cs="仿宋"/>
          <w:color w:val="auto"/>
          <w:sz w:val="24"/>
          <w:highlight w:val="none"/>
        </w:rPr>
      </w:pPr>
    </w:p>
    <w:p>
      <w:pPr>
        <w:pStyle w:val="9"/>
        <w:spacing w:line="6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投标人名称</w:t>
      </w:r>
      <w:r>
        <w:rPr>
          <w:rFonts w:hint="eastAsia" w:ascii="仿宋" w:hAnsi="仿宋" w:eastAsia="仿宋" w:cs="仿宋"/>
          <w:color w:val="auto"/>
          <w:sz w:val="24"/>
          <w:highlight w:val="none"/>
        </w:rPr>
        <w:t>：（盖章）</w:t>
      </w:r>
    </w:p>
    <w:p>
      <w:pPr>
        <w:pStyle w:val="9"/>
        <w:spacing w:line="6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法定代表人或投标授权代理人：（签字或盖章）</w:t>
      </w:r>
    </w:p>
    <w:p>
      <w:pPr>
        <w:pStyle w:val="9"/>
        <w:spacing w:line="600" w:lineRule="exact"/>
        <w:ind w:firstLine="48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年     月     日</w:t>
      </w:r>
    </w:p>
    <w:p>
      <w:pPr>
        <w:spacing w:line="360" w:lineRule="auto"/>
        <w:rPr>
          <w:rFonts w:hint="eastAsia" w:ascii="仿宋" w:hAnsi="仿宋" w:eastAsia="仿宋" w:cs="仿宋"/>
          <w:color w:val="auto"/>
          <w:sz w:val="24"/>
          <w:highlight w:val="none"/>
        </w:rPr>
      </w:pPr>
    </w:p>
    <w:p>
      <w:pPr>
        <w:spacing w:before="156" w:beforeLines="50" w:after="156" w:afterLines="50" w:line="440" w:lineRule="exact"/>
        <w:jc w:val="center"/>
        <w:rPr>
          <w:rFonts w:hint="eastAsia" w:ascii="仿宋" w:hAnsi="仿宋" w:eastAsia="仿宋" w:cs="仿宋"/>
          <w:b/>
          <w:color w:val="auto"/>
          <w:sz w:val="24"/>
          <w:highlight w:val="none"/>
        </w:rPr>
      </w:pPr>
    </w:p>
    <w:p>
      <w:pPr>
        <w:spacing w:before="156" w:beforeLines="50" w:after="156" w:afterLines="50" w:line="440" w:lineRule="exact"/>
        <w:jc w:val="center"/>
        <w:rPr>
          <w:rFonts w:hint="eastAsia" w:ascii="仿宋" w:hAnsi="仿宋" w:eastAsia="仿宋" w:cs="仿宋"/>
          <w:b/>
          <w:color w:val="auto"/>
          <w:sz w:val="24"/>
          <w:highlight w:val="none"/>
        </w:rPr>
      </w:pPr>
    </w:p>
    <w:p>
      <w:pPr>
        <w:pStyle w:val="18"/>
        <w:rPr>
          <w:rFonts w:hint="eastAsia" w:ascii="仿宋" w:hAnsi="仿宋" w:eastAsia="仿宋" w:cs="仿宋"/>
          <w:color w:val="auto"/>
          <w:highlight w:val="none"/>
        </w:rPr>
      </w:pPr>
    </w:p>
    <w:p>
      <w:pPr>
        <w:spacing w:before="156" w:beforeLines="50" w:after="156" w:afterLines="50" w:line="440" w:lineRule="exact"/>
        <w:jc w:val="center"/>
        <w:rPr>
          <w:rFonts w:hint="eastAsia" w:ascii="仿宋" w:hAnsi="仿宋" w:eastAsia="仿宋" w:cs="仿宋"/>
          <w:b/>
          <w:color w:val="auto"/>
          <w:sz w:val="24"/>
          <w:highlight w:val="none"/>
        </w:rPr>
      </w:pPr>
    </w:p>
    <w:p>
      <w:pPr>
        <w:spacing w:before="156" w:beforeLines="50" w:after="156" w:afterLines="50" w:line="440" w:lineRule="exact"/>
        <w:jc w:val="center"/>
        <w:rPr>
          <w:rFonts w:hint="eastAsia" w:ascii="仿宋" w:hAnsi="仿宋" w:eastAsia="仿宋" w:cs="仿宋"/>
          <w:b/>
          <w:color w:val="auto"/>
          <w:sz w:val="24"/>
          <w:highlight w:val="none"/>
        </w:rPr>
      </w:pPr>
    </w:p>
    <w:p>
      <w:pPr>
        <w:spacing w:before="156" w:beforeLines="50" w:after="156" w:afterLines="50" w:line="440" w:lineRule="exact"/>
        <w:jc w:val="center"/>
        <w:rPr>
          <w:rFonts w:hint="eastAsia" w:ascii="仿宋" w:hAnsi="仿宋" w:eastAsia="仿宋" w:cs="仿宋"/>
          <w:b/>
          <w:color w:val="auto"/>
          <w:sz w:val="24"/>
          <w:highlight w:val="none"/>
        </w:rPr>
      </w:pPr>
    </w:p>
    <w:p>
      <w:pPr>
        <w:pStyle w:val="18"/>
        <w:rPr>
          <w:rFonts w:hint="eastAsia" w:ascii="仿宋" w:hAnsi="仿宋" w:eastAsia="仿宋" w:cs="仿宋"/>
          <w:color w:val="auto"/>
          <w:highlight w:val="none"/>
        </w:rPr>
      </w:pPr>
    </w:p>
    <w:p>
      <w:pPr>
        <w:spacing w:before="156" w:beforeLines="50" w:after="156" w:afterLines="50" w:line="440" w:lineRule="exact"/>
        <w:jc w:val="both"/>
        <w:rPr>
          <w:rFonts w:hint="eastAsia" w:ascii="仿宋" w:hAnsi="仿宋" w:eastAsia="仿宋" w:cs="仿宋"/>
          <w:b/>
          <w:color w:val="auto"/>
          <w:sz w:val="24"/>
          <w:highlight w:val="none"/>
        </w:rPr>
      </w:pPr>
    </w:p>
    <w:p>
      <w:pPr>
        <w:spacing w:before="156" w:beforeLines="50" w:after="156" w:afterLines="50" w:line="440" w:lineRule="exact"/>
        <w:jc w:val="center"/>
        <w:rPr>
          <w:rFonts w:hint="eastAsia" w:ascii="仿宋" w:hAnsi="仿宋" w:eastAsia="仿宋" w:cs="仿宋"/>
          <w:b/>
          <w:bCs w:val="0"/>
          <w:color w:val="auto"/>
          <w:sz w:val="32"/>
          <w:szCs w:val="32"/>
          <w:highlight w:val="none"/>
          <w:lang w:eastAsia="zh-CN"/>
        </w:rPr>
      </w:pPr>
      <w:r>
        <w:rPr>
          <w:rFonts w:hint="eastAsia" w:ascii="仿宋" w:hAnsi="仿宋" w:eastAsia="仿宋" w:cs="仿宋"/>
          <w:b/>
          <w:bCs w:val="0"/>
          <w:color w:val="auto"/>
          <w:sz w:val="32"/>
          <w:szCs w:val="32"/>
          <w:highlight w:val="none"/>
          <w:lang w:eastAsia="zh-CN"/>
        </w:rPr>
        <w:t>（十四）中小微企业声明函</w:t>
      </w:r>
    </w:p>
    <w:p>
      <w:pPr>
        <w:spacing w:before="156" w:beforeLines="50" w:after="156" w:afterLines="50" w:line="440" w:lineRule="exact"/>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（中小微企业适用）</w:t>
      </w:r>
    </w:p>
    <w:p>
      <w:pPr>
        <w:spacing w:before="156" w:beforeLines="50" w:after="156" w:afterLines="50" w:line="440" w:lineRule="exact"/>
        <w:ind w:firstLine="720" w:firstLineChars="300"/>
        <w:jc w:val="both"/>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本公司郑重声明，根据《政府采购促进中小企业发展暂行办法》（财库[2011]181 号）的规定，本公司为</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color w:val="auto"/>
          <w:sz w:val="24"/>
          <w:highlight w:val="none"/>
        </w:rPr>
        <w:t>（请填写：大型、中型、小型、微型） 企业。即，本公司同时满足以下条件：</w:t>
      </w:r>
    </w:p>
    <w:p>
      <w:pPr>
        <w:spacing w:before="156" w:beforeLines="50" w:after="156" w:afterLines="50" w:line="440" w:lineRule="exact"/>
        <w:ind w:firstLine="480" w:firstLineChars="200"/>
        <w:jc w:val="both"/>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1.</w:t>
      </w:r>
      <w:r>
        <w:rPr>
          <w:rFonts w:hint="eastAsia" w:ascii="仿宋" w:hAnsi="仿宋" w:eastAsia="仿宋" w:cs="仿宋"/>
          <w:b w:val="0"/>
          <w:bCs/>
          <w:color w:val="auto"/>
          <w:sz w:val="24"/>
          <w:highlight w:val="none"/>
        </w:rPr>
        <w:t>根据《工业和信息化部、国家统计局、国家发展和改革委员会、财政部关于印发中小企业划型标准规定的通知》（工信部联企业[2011]300 号）规定的划分标准，本公司为</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color w:val="auto"/>
          <w:sz w:val="24"/>
          <w:highlight w:val="none"/>
        </w:rPr>
        <w:t>（请填写：大型、中型、小型、微型）企业。</w:t>
      </w:r>
    </w:p>
    <w:p>
      <w:pPr>
        <w:spacing w:before="156" w:beforeLines="50" w:after="156" w:afterLines="50" w:line="440" w:lineRule="exact"/>
        <w:ind w:firstLine="480" w:firstLineChars="200"/>
        <w:jc w:val="both"/>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2.</w:t>
      </w:r>
      <w:r>
        <w:rPr>
          <w:rFonts w:hint="eastAsia" w:ascii="仿宋" w:hAnsi="仿宋" w:eastAsia="仿宋" w:cs="仿宋"/>
          <w:b w:val="0"/>
          <w:bCs/>
          <w:color w:val="auto"/>
          <w:sz w:val="24"/>
          <w:highlight w:val="none"/>
        </w:rPr>
        <w:t>本公司参加</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color w:val="auto"/>
          <w:sz w:val="24"/>
          <w:highlight w:val="none"/>
        </w:rPr>
        <w:t>单位的</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color w:val="auto"/>
          <w:sz w:val="24"/>
          <w:highlight w:val="none"/>
          <w:u w:val="single"/>
          <w:lang w:val="en-US" w:eastAsia="zh-CN"/>
        </w:rPr>
        <w:t xml:space="preserve">项目名称：          （第   包：       ）购项目编号：          </w:t>
      </w:r>
      <w:r>
        <w:rPr>
          <w:rFonts w:hint="eastAsia" w:ascii="仿宋" w:hAnsi="仿宋" w:eastAsia="仿宋" w:cs="仿宋"/>
          <w:color w:val="auto"/>
          <w:sz w:val="24"/>
          <w:highlight w:val="none"/>
          <w:u w:val="single"/>
        </w:rPr>
        <w:t>）</w:t>
      </w:r>
      <w:r>
        <w:rPr>
          <w:rFonts w:hint="eastAsia" w:ascii="仿宋" w:hAnsi="仿宋" w:eastAsia="仿宋" w:cs="仿宋"/>
          <w:b w:val="0"/>
          <w:bCs/>
          <w:color w:val="auto"/>
          <w:sz w:val="24"/>
          <w:highlight w:val="none"/>
        </w:rPr>
        <w:t>项目采购活动（按投标形式选择填写）：</w:t>
      </w:r>
    </w:p>
    <w:p>
      <w:pPr>
        <w:spacing w:before="156" w:beforeLines="50" w:after="156" w:afterLines="50" w:line="440" w:lineRule="exact"/>
        <w:jc w:val="both"/>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（1）</w:t>
      </w:r>
      <w:r>
        <w:rPr>
          <w:rFonts w:hint="eastAsia" w:ascii="仿宋" w:hAnsi="仿宋" w:eastAsia="仿宋" w:cs="仿宋"/>
          <w:b w:val="0"/>
          <w:bCs/>
          <w:color w:val="auto"/>
          <w:sz w:val="24"/>
          <w:highlight w:val="none"/>
        </w:rPr>
        <w:t>本公司为直接</w:t>
      </w:r>
      <w:r>
        <w:rPr>
          <w:rFonts w:hint="eastAsia" w:ascii="仿宋" w:hAnsi="仿宋" w:eastAsia="仿宋" w:cs="仿宋"/>
          <w:b w:val="0"/>
          <w:bCs/>
          <w:color w:val="auto"/>
          <w:sz w:val="24"/>
          <w:highlight w:val="none"/>
          <w:lang w:eastAsia="zh-CN"/>
        </w:rPr>
        <w:t>投标人</w:t>
      </w:r>
      <w:r>
        <w:rPr>
          <w:rFonts w:hint="eastAsia" w:ascii="仿宋" w:hAnsi="仿宋" w:eastAsia="仿宋" w:cs="仿宋"/>
          <w:b w:val="0"/>
          <w:bCs/>
          <w:color w:val="auto"/>
          <w:sz w:val="24"/>
          <w:highlight w:val="none"/>
        </w:rPr>
        <w:t>提供本企业制造的货物，由本企业承担工程、提供服务。</w:t>
      </w:r>
    </w:p>
    <w:p>
      <w:pPr>
        <w:spacing w:before="156" w:beforeLines="50" w:after="156" w:afterLines="50" w:line="440" w:lineRule="exact"/>
        <w:jc w:val="both"/>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2</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本公司为代理商，提供其他</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color w:val="auto"/>
          <w:sz w:val="24"/>
          <w:highlight w:val="none"/>
        </w:rPr>
        <w:t>（请填写：中型、小型、微型） 企业制造的货物。本条所称货物不包括使用大型企业注册商标的货物。（后附制造商投标人企业类型声明函）</w:t>
      </w:r>
    </w:p>
    <w:p>
      <w:pPr>
        <w:spacing w:before="156" w:beforeLines="50" w:after="156" w:afterLines="50" w:line="440" w:lineRule="exact"/>
        <w:jc w:val="both"/>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本公司为联合体一方，提供本企业制造的货物，由本企业承担工程、提供服务。我公司提供协议合同金额占到共同投标协议合同总金额的比例为。</w:t>
      </w:r>
    </w:p>
    <w:p>
      <w:pPr>
        <w:spacing w:before="156" w:beforeLines="50" w:after="156" w:afterLines="50" w:line="440" w:lineRule="exact"/>
        <w:ind w:firstLine="720" w:firstLineChars="300"/>
        <w:jc w:val="both"/>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本公司对上述声明的真实性负责。如有虚假，将依法承担相应责任。</w:t>
      </w:r>
    </w:p>
    <w:p>
      <w:pPr>
        <w:spacing w:before="156" w:beforeLines="50" w:after="156" w:afterLines="50" w:line="440" w:lineRule="exact"/>
        <w:ind w:firstLine="4080" w:firstLineChars="1700"/>
        <w:jc w:val="both"/>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lang w:eastAsia="zh-CN"/>
        </w:rPr>
        <w:t>投标人名称</w:t>
      </w:r>
      <w:r>
        <w:rPr>
          <w:rFonts w:hint="eastAsia" w:ascii="仿宋" w:hAnsi="仿宋" w:eastAsia="仿宋" w:cs="仿宋"/>
          <w:b w:val="0"/>
          <w:bCs/>
          <w:color w:val="auto"/>
          <w:sz w:val="24"/>
          <w:highlight w:val="none"/>
        </w:rPr>
        <w:t>（盖公章）：</w:t>
      </w:r>
    </w:p>
    <w:p>
      <w:pPr>
        <w:spacing w:before="156" w:beforeLines="50" w:after="156" w:afterLines="50" w:line="440" w:lineRule="exact"/>
        <w:ind w:firstLine="4080" w:firstLineChars="1700"/>
        <w:jc w:val="both"/>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法定代表人（负责人）或其授权代表(签字)：</w:t>
      </w:r>
    </w:p>
    <w:p>
      <w:pPr>
        <w:spacing w:before="156" w:beforeLines="50" w:after="156" w:afterLines="50" w:line="440" w:lineRule="exact"/>
        <w:ind w:firstLine="4080" w:firstLineChars="1700"/>
        <w:jc w:val="both"/>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日期：</w:t>
      </w:r>
    </w:p>
    <w:p>
      <w:pPr>
        <w:spacing w:before="156" w:beforeLines="50" w:after="156" w:afterLines="50" w:line="440" w:lineRule="exact"/>
        <w:jc w:val="both"/>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注：小型、微型企业资格证明文件</w:t>
      </w:r>
    </w:p>
    <w:p>
      <w:pPr>
        <w:spacing w:before="156" w:beforeLines="50" w:after="156" w:afterLines="50" w:line="440" w:lineRule="exact"/>
        <w:jc w:val="both"/>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制造商、代理商工商行政注册地管理部门出具的小微企业证明材料；</w:t>
      </w:r>
    </w:p>
    <w:p>
      <w:pPr>
        <w:spacing w:before="156" w:beforeLines="50" w:after="156" w:afterLines="50" w:line="440" w:lineRule="exact"/>
        <w:jc w:val="both"/>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所代理产品生产厂家的属地主管部门出具的小微企业证明材料；</w:t>
      </w:r>
    </w:p>
    <w:p>
      <w:pPr>
        <w:spacing w:before="156" w:beforeLines="50" w:after="156" w:afterLines="50" w:line="440" w:lineRule="exact"/>
        <w:jc w:val="both"/>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证明材料加盖制造商、代理商公章。</w:t>
      </w:r>
    </w:p>
    <w:p>
      <w:pPr>
        <w:spacing w:before="156" w:beforeLines="50" w:after="156" w:afterLines="50" w:line="440" w:lineRule="exact"/>
        <w:jc w:val="both"/>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（若投标文件中无上述证明文件，则在评审时不考虑对该小、微企业的相关优惠。）</w:t>
      </w:r>
    </w:p>
    <w:p>
      <w:pPr>
        <w:spacing w:before="156" w:beforeLines="50" w:after="156" w:afterLines="50"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w:t>
      </w:r>
      <w:r>
        <w:rPr>
          <w:rFonts w:hint="eastAsia" w:ascii="仿宋" w:hAnsi="仿宋" w:eastAsia="仿宋" w:cs="仿宋"/>
          <w:b/>
          <w:color w:val="auto"/>
          <w:sz w:val="32"/>
          <w:szCs w:val="32"/>
          <w:highlight w:val="none"/>
          <w:lang w:eastAsia="zh-CN"/>
        </w:rPr>
        <w:t>五</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eastAsia="zh-CN"/>
        </w:rPr>
        <w:t>投标人其他承诺及优惠条件</w:t>
      </w:r>
    </w:p>
    <w:p>
      <w:pPr>
        <w:spacing w:line="360" w:lineRule="auto"/>
        <w:rPr>
          <w:rFonts w:hint="eastAsia" w:ascii="仿宋" w:hAnsi="仿宋" w:eastAsia="仿宋" w:cs="仿宋"/>
          <w:color w:val="auto"/>
          <w:sz w:val="24"/>
          <w:highlight w:val="none"/>
        </w:rPr>
      </w:pPr>
    </w:p>
    <w:p>
      <w:pPr>
        <w:pStyle w:val="18"/>
        <w:keepNext w:val="0"/>
        <w:keepLines w:val="0"/>
        <w:pageBreakBefore w:val="0"/>
        <w:numPr>
          <w:ilvl w:val="0"/>
          <w:numId w:val="0"/>
        </w:numPr>
        <w:kinsoku/>
        <w:wordWrap/>
        <w:overflowPunct/>
        <w:topLinePunct w:val="0"/>
        <w:autoSpaceDE w:val="0"/>
        <w:autoSpaceDN w:val="0"/>
        <w:bidi w:val="0"/>
        <w:adjustRightInd/>
        <w:snapToGrid/>
        <w:spacing w:before="0" w:line="360" w:lineRule="auto"/>
        <w:ind w:leftChars="0" w:right="0" w:rightChars="0"/>
        <w:jc w:val="both"/>
        <w:textAlignment w:val="auto"/>
        <w:rPr>
          <w:rFonts w:hint="eastAsia" w:ascii="仿宋" w:hAnsi="仿宋" w:eastAsia="仿宋" w:cs="仿宋"/>
          <w:b/>
          <w:bCs/>
          <w:color w:val="auto"/>
          <w:sz w:val="40"/>
          <w:highlight w:val="none"/>
          <w:lang w:val="en-US" w:eastAsia="zh-CN"/>
        </w:rPr>
      </w:pPr>
    </w:p>
    <w:p>
      <w:pPr>
        <w:rPr>
          <w:rFonts w:hint="eastAsia" w:ascii="仿宋" w:hAnsi="仿宋" w:eastAsia="仿宋" w:cs="仿宋"/>
          <w:color w:val="auto"/>
          <w:highlight w:val="none"/>
        </w:rPr>
      </w:pPr>
    </w:p>
    <w:sectPr>
      <w:pgSz w:w="11906" w:h="16838"/>
      <w:pgMar w:top="1474" w:right="1491" w:bottom="1247" w:left="1797" w:header="851" w:footer="850"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jc w:val="center"/>
    </w:pPr>
    <w:r>
      <w:fldChar w:fldCharType="begin"/>
    </w:r>
    <w:r>
      <w:instrText xml:space="preserve"> PAGE   \* MERGEFORMAT </w:instrText>
    </w:r>
    <w:r>
      <w:fldChar w:fldCharType="separate"/>
    </w:r>
    <w:r>
      <w:rPr>
        <w:lang w:val="zh-CN"/>
      </w:rPr>
      <w:t>18</w:t>
    </w:r>
    <w:r>
      <w:fldChar w:fldCharType="end"/>
    </w:r>
  </w:p>
  <w:p>
    <w:pPr>
      <w:pStyle w:val="12"/>
      <w:framePr w:wrap="around" w:vAnchor="text" w:hAnchor="margin" w:xAlign="right" w:y="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eastAsia="黑体"/>
        <w:b/>
        <w:color w:val="3366FF"/>
        <w:sz w:val="24"/>
      </w:rPr>
    </w:pP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BEA92"/>
    <w:multiLevelType w:val="singleLevel"/>
    <w:tmpl w:val="9BABEA92"/>
    <w:lvl w:ilvl="0" w:tentative="0">
      <w:start w:val="1"/>
      <w:numFmt w:val="decimal"/>
      <w:lvlText w:val="%1."/>
      <w:lvlJc w:val="left"/>
      <w:pPr>
        <w:tabs>
          <w:tab w:val="left" w:pos="312"/>
        </w:tabs>
      </w:pPr>
    </w:lvl>
  </w:abstractNum>
  <w:abstractNum w:abstractNumId="1">
    <w:nsid w:val="B8D06FFC"/>
    <w:multiLevelType w:val="singleLevel"/>
    <w:tmpl w:val="B8D06FFC"/>
    <w:lvl w:ilvl="0" w:tentative="0">
      <w:start w:val="1"/>
      <w:numFmt w:val="decimal"/>
      <w:suff w:val="nothing"/>
      <w:lvlText w:val="%1、"/>
      <w:lvlJc w:val="left"/>
    </w:lvl>
  </w:abstractNum>
  <w:abstractNum w:abstractNumId="2">
    <w:nsid w:val="EFE2C6B7"/>
    <w:multiLevelType w:val="singleLevel"/>
    <w:tmpl w:val="EFE2C6B7"/>
    <w:lvl w:ilvl="0" w:tentative="0">
      <w:start w:val="2"/>
      <w:numFmt w:val="decimal"/>
      <w:suff w:val="nothing"/>
      <w:lvlText w:val="（%1）"/>
      <w:lvlJc w:val="left"/>
      <w:pPr>
        <w:ind w:left="-42"/>
      </w:pPr>
    </w:lvl>
  </w:abstractNum>
  <w:abstractNum w:abstractNumId="3">
    <w:nsid w:val="FEA3D744"/>
    <w:multiLevelType w:val="singleLevel"/>
    <w:tmpl w:val="FEA3D744"/>
    <w:lvl w:ilvl="0" w:tentative="0">
      <w:start w:val="2"/>
      <w:numFmt w:val="chineseCounting"/>
      <w:suff w:val="nothing"/>
      <w:lvlText w:val="%1、"/>
      <w:lvlJc w:val="left"/>
      <w:rPr>
        <w:rFonts w:hint="eastAsia"/>
      </w:rPr>
    </w:lvl>
  </w:abstractNum>
  <w:abstractNum w:abstractNumId="4">
    <w:nsid w:val="00000000"/>
    <w:multiLevelType w:val="multilevel"/>
    <w:tmpl w:val="00000000"/>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735"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0000000C"/>
    <w:multiLevelType w:val="multilevel"/>
    <w:tmpl w:val="0000000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D"/>
    <w:multiLevelType w:val="multilevel"/>
    <w:tmpl w:val="0000000D"/>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900"/>
        </w:tabs>
        <w:ind w:left="900" w:hanging="420"/>
      </w:pPr>
    </w:lvl>
    <w:lvl w:ilvl="2" w:tentative="0">
      <w:start w:val="1"/>
      <w:numFmt w:val="lowerRoman"/>
      <w:lvlText w:val="%3."/>
      <w:lvlJc w:val="right"/>
      <w:pPr>
        <w:tabs>
          <w:tab w:val="left" w:pos="1320"/>
        </w:tabs>
        <w:ind w:left="1320" w:hanging="420"/>
      </w:pPr>
    </w:lvl>
    <w:lvl w:ilvl="3" w:tentative="0">
      <w:start w:val="1"/>
      <w:numFmt w:val="decimal"/>
      <w:lvlText w:val="%4."/>
      <w:lvlJc w:val="left"/>
      <w:pPr>
        <w:tabs>
          <w:tab w:val="left" w:pos="1740"/>
        </w:tabs>
        <w:ind w:left="1740" w:hanging="420"/>
      </w:pPr>
    </w:lvl>
    <w:lvl w:ilvl="4" w:tentative="0">
      <w:start w:val="1"/>
      <w:numFmt w:val="lowerLetter"/>
      <w:lvlText w:val="%5)"/>
      <w:lvlJc w:val="left"/>
      <w:pPr>
        <w:tabs>
          <w:tab w:val="left" w:pos="2160"/>
        </w:tabs>
        <w:ind w:left="2160" w:hanging="420"/>
      </w:pPr>
    </w:lvl>
    <w:lvl w:ilvl="5" w:tentative="0">
      <w:start w:val="1"/>
      <w:numFmt w:val="lowerRoman"/>
      <w:lvlText w:val="%6."/>
      <w:lvlJc w:val="right"/>
      <w:pPr>
        <w:tabs>
          <w:tab w:val="left" w:pos="2580"/>
        </w:tabs>
        <w:ind w:left="2580" w:hanging="420"/>
      </w:pPr>
    </w:lvl>
    <w:lvl w:ilvl="6" w:tentative="0">
      <w:start w:val="1"/>
      <w:numFmt w:val="decimal"/>
      <w:lvlText w:val="%7."/>
      <w:lvlJc w:val="left"/>
      <w:pPr>
        <w:tabs>
          <w:tab w:val="left" w:pos="3000"/>
        </w:tabs>
        <w:ind w:left="3000" w:hanging="420"/>
      </w:pPr>
    </w:lvl>
    <w:lvl w:ilvl="7" w:tentative="0">
      <w:start w:val="1"/>
      <w:numFmt w:val="lowerLetter"/>
      <w:lvlText w:val="%8)"/>
      <w:lvlJc w:val="left"/>
      <w:pPr>
        <w:tabs>
          <w:tab w:val="left" w:pos="3420"/>
        </w:tabs>
        <w:ind w:left="3420" w:hanging="420"/>
      </w:pPr>
    </w:lvl>
    <w:lvl w:ilvl="8" w:tentative="0">
      <w:start w:val="1"/>
      <w:numFmt w:val="lowerRoman"/>
      <w:lvlText w:val="%9."/>
      <w:lvlJc w:val="right"/>
      <w:pPr>
        <w:tabs>
          <w:tab w:val="left" w:pos="3840"/>
        </w:tabs>
        <w:ind w:left="3840" w:hanging="420"/>
      </w:pPr>
    </w:lvl>
  </w:abstractNum>
  <w:abstractNum w:abstractNumId="7">
    <w:nsid w:val="283D9856"/>
    <w:multiLevelType w:val="singleLevel"/>
    <w:tmpl w:val="283D9856"/>
    <w:lvl w:ilvl="0" w:tentative="0">
      <w:start w:val="1"/>
      <w:numFmt w:val="chineseCounting"/>
      <w:suff w:val="space"/>
      <w:lvlText w:val="第%1章"/>
      <w:lvlJc w:val="left"/>
      <w:rPr>
        <w:rFonts w:hint="eastAsia"/>
      </w:rPr>
    </w:lvl>
  </w:abstractNum>
  <w:abstractNum w:abstractNumId="8">
    <w:nsid w:val="45A74AD4"/>
    <w:multiLevelType w:val="multilevel"/>
    <w:tmpl w:val="45A74AD4"/>
    <w:lvl w:ilvl="0" w:tentative="0">
      <w:start w:val="1"/>
      <w:numFmt w:val="chineseCountingThousand"/>
      <w:lvlText w:val="（%1）"/>
      <w:lvlJc w:val="left"/>
      <w:pPr>
        <w:ind w:left="420" w:hanging="420"/>
      </w:pPr>
      <w:rPr>
        <w:rFonts w:hint="eastAsia" w:ascii="黑体" w:eastAsia="黑体"/>
      </w:rPr>
    </w:lvl>
    <w:lvl w:ilvl="1" w:tentative="0">
      <w:start w:val="1"/>
      <w:numFmt w:val="chineseCountingThousand"/>
      <w:lvlText w:val="（%2）"/>
      <w:lvlJc w:val="left"/>
      <w:pPr>
        <w:ind w:left="840" w:hanging="420"/>
      </w:pPr>
      <w:rPr>
        <w:rFonts w:hint="eastAsia" w:ascii="黑体" w:eastAsia="黑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75634B7"/>
    <w:multiLevelType w:val="singleLevel"/>
    <w:tmpl w:val="775634B7"/>
    <w:lvl w:ilvl="0" w:tentative="0">
      <w:start w:val="1"/>
      <w:numFmt w:val="decimal"/>
      <w:pStyle w:val="6"/>
      <w:lvlText w:val="%1."/>
      <w:lvlJc w:val="left"/>
      <w:pPr>
        <w:tabs>
          <w:tab w:val="left" w:pos="360"/>
        </w:tabs>
        <w:ind w:left="360" w:hanging="360"/>
      </w:pPr>
    </w:lvl>
  </w:abstractNum>
  <w:num w:numId="1">
    <w:abstractNumId w:val="4"/>
  </w:num>
  <w:num w:numId="2">
    <w:abstractNumId w:val="9"/>
  </w:num>
  <w:num w:numId="3">
    <w:abstractNumId w:val="7"/>
  </w:num>
  <w:num w:numId="4">
    <w:abstractNumId w:val="2"/>
  </w:num>
  <w:num w:numId="5">
    <w:abstractNumId w:val="1"/>
  </w:num>
  <w:num w:numId="6">
    <w:abstractNumId w:val="3"/>
  </w:num>
  <w:num w:numId="7">
    <w:abstractNumId w:val="8"/>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NDUzNzY0OTM4NjI5Njg0ZmZlYTlmYTI4YjQ0OTYifQ=="/>
  </w:docVars>
  <w:rsids>
    <w:rsidRoot w:val="38340B7B"/>
    <w:rsid w:val="00961851"/>
    <w:rsid w:val="00B22455"/>
    <w:rsid w:val="00F23144"/>
    <w:rsid w:val="025032E0"/>
    <w:rsid w:val="02614AEE"/>
    <w:rsid w:val="03A32D1A"/>
    <w:rsid w:val="03E91251"/>
    <w:rsid w:val="04CD3744"/>
    <w:rsid w:val="04D06438"/>
    <w:rsid w:val="05860BEC"/>
    <w:rsid w:val="06311891"/>
    <w:rsid w:val="06624721"/>
    <w:rsid w:val="07485A3C"/>
    <w:rsid w:val="078404D3"/>
    <w:rsid w:val="09273C3F"/>
    <w:rsid w:val="09D35D25"/>
    <w:rsid w:val="0A2166A1"/>
    <w:rsid w:val="0A3539B4"/>
    <w:rsid w:val="0ACF403A"/>
    <w:rsid w:val="0B315AB4"/>
    <w:rsid w:val="0B4B2918"/>
    <w:rsid w:val="0C774902"/>
    <w:rsid w:val="0CD13A42"/>
    <w:rsid w:val="0D873219"/>
    <w:rsid w:val="0DAD5587"/>
    <w:rsid w:val="0DE35358"/>
    <w:rsid w:val="0EBD7963"/>
    <w:rsid w:val="0F0547E3"/>
    <w:rsid w:val="0F0C63BA"/>
    <w:rsid w:val="0FBB6338"/>
    <w:rsid w:val="0FD33312"/>
    <w:rsid w:val="101833B4"/>
    <w:rsid w:val="103F4196"/>
    <w:rsid w:val="112700E3"/>
    <w:rsid w:val="117022CD"/>
    <w:rsid w:val="120B45B2"/>
    <w:rsid w:val="12401F52"/>
    <w:rsid w:val="127959BF"/>
    <w:rsid w:val="12993068"/>
    <w:rsid w:val="12ED2831"/>
    <w:rsid w:val="138250D5"/>
    <w:rsid w:val="13B22C93"/>
    <w:rsid w:val="143E4E0A"/>
    <w:rsid w:val="146645D4"/>
    <w:rsid w:val="149C3E8C"/>
    <w:rsid w:val="14D16849"/>
    <w:rsid w:val="15443F80"/>
    <w:rsid w:val="15CF5625"/>
    <w:rsid w:val="15F25EAE"/>
    <w:rsid w:val="17253A0A"/>
    <w:rsid w:val="18945DF0"/>
    <w:rsid w:val="18B60A74"/>
    <w:rsid w:val="18C73785"/>
    <w:rsid w:val="18E14B9B"/>
    <w:rsid w:val="198C1E51"/>
    <w:rsid w:val="199346C1"/>
    <w:rsid w:val="1A7849EB"/>
    <w:rsid w:val="1A871634"/>
    <w:rsid w:val="1ABC6A97"/>
    <w:rsid w:val="1BC52E09"/>
    <w:rsid w:val="1CF64AA3"/>
    <w:rsid w:val="1E4F1DCC"/>
    <w:rsid w:val="1EE90196"/>
    <w:rsid w:val="1F5F5B2A"/>
    <w:rsid w:val="20482300"/>
    <w:rsid w:val="22644EBF"/>
    <w:rsid w:val="22F7752E"/>
    <w:rsid w:val="231F0E19"/>
    <w:rsid w:val="24080C27"/>
    <w:rsid w:val="246A23CE"/>
    <w:rsid w:val="24982973"/>
    <w:rsid w:val="26115EFE"/>
    <w:rsid w:val="2649484A"/>
    <w:rsid w:val="26CA0394"/>
    <w:rsid w:val="26CD46B8"/>
    <w:rsid w:val="26EE58D9"/>
    <w:rsid w:val="271B1364"/>
    <w:rsid w:val="27800622"/>
    <w:rsid w:val="29522B28"/>
    <w:rsid w:val="2B2B0383"/>
    <w:rsid w:val="2B5F20B2"/>
    <w:rsid w:val="2BB91A04"/>
    <w:rsid w:val="2C062BB2"/>
    <w:rsid w:val="2C7D3460"/>
    <w:rsid w:val="2DAB49D7"/>
    <w:rsid w:val="2DB2307B"/>
    <w:rsid w:val="2DF7224D"/>
    <w:rsid w:val="2E1B7727"/>
    <w:rsid w:val="2F226FED"/>
    <w:rsid w:val="2FD33817"/>
    <w:rsid w:val="2FFB572C"/>
    <w:rsid w:val="30201B01"/>
    <w:rsid w:val="304E36C7"/>
    <w:rsid w:val="307B6426"/>
    <w:rsid w:val="309A0E7B"/>
    <w:rsid w:val="31216DCE"/>
    <w:rsid w:val="31FA6645"/>
    <w:rsid w:val="322E0CF7"/>
    <w:rsid w:val="32677F34"/>
    <w:rsid w:val="32701DFC"/>
    <w:rsid w:val="32E10CD4"/>
    <w:rsid w:val="33D070EF"/>
    <w:rsid w:val="34414EB6"/>
    <w:rsid w:val="34AE30A3"/>
    <w:rsid w:val="35DF15F3"/>
    <w:rsid w:val="36401CF4"/>
    <w:rsid w:val="369B0A21"/>
    <w:rsid w:val="36AA05FC"/>
    <w:rsid w:val="37DB6E4C"/>
    <w:rsid w:val="38340B7B"/>
    <w:rsid w:val="383F559B"/>
    <w:rsid w:val="38521E62"/>
    <w:rsid w:val="38673C95"/>
    <w:rsid w:val="392B7642"/>
    <w:rsid w:val="3BD95399"/>
    <w:rsid w:val="3C0A2601"/>
    <w:rsid w:val="3C990530"/>
    <w:rsid w:val="3CAC5A49"/>
    <w:rsid w:val="3DC07E3F"/>
    <w:rsid w:val="3E6551F0"/>
    <w:rsid w:val="3EF4628D"/>
    <w:rsid w:val="3F201683"/>
    <w:rsid w:val="3FAA60CF"/>
    <w:rsid w:val="3FDE3FD6"/>
    <w:rsid w:val="40261CF2"/>
    <w:rsid w:val="40836138"/>
    <w:rsid w:val="412E357D"/>
    <w:rsid w:val="41902626"/>
    <w:rsid w:val="424231E1"/>
    <w:rsid w:val="42AB4C60"/>
    <w:rsid w:val="42B84860"/>
    <w:rsid w:val="42F65710"/>
    <w:rsid w:val="444C3D3F"/>
    <w:rsid w:val="45462E84"/>
    <w:rsid w:val="45BE4257"/>
    <w:rsid w:val="46405B25"/>
    <w:rsid w:val="46E417DC"/>
    <w:rsid w:val="475064D9"/>
    <w:rsid w:val="487976EB"/>
    <w:rsid w:val="4948541D"/>
    <w:rsid w:val="4A804742"/>
    <w:rsid w:val="4A914BA1"/>
    <w:rsid w:val="4AE423DD"/>
    <w:rsid w:val="4B306C7B"/>
    <w:rsid w:val="4B4227F0"/>
    <w:rsid w:val="4B660AF6"/>
    <w:rsid w:val="4DB25CEB"/>
    <w:rsid w:val="4EA63BF2"/>
    <w:rsid w:val="5007730D"/>
    <w:rsid w:val="500B0C42"/>
    <w:rsid w:val="51034928"/>
    <w:rsid w:val="512A0C92"/>
    <w:rsid w:val="515C33BC"/>
    <w:rsid w:val="51756E62"/>
    <w:rsid w:val="517D5E7F"/>
    <w:rsid w:val="52087E5F"/>
    <w:rsid w:val="52220BB3"/>
    <w:rsid w:val="5234162B"/>
    <w:rsid w:val="523F6F0F"/>
    <w:rsid w:val="52BD3A47"/>
    <w:rsid w:val="52C81E0C"/>
    <w:rsid w:val="52CC293C"/>
    <w:rsid w:val="531F217A"/>
    <w:rsid w:val="54A235B3"/>
    <w:rsid w:val="54D50CF2"/>
    <w:rsid w:val="54E16725"/>
    <w:rsid w:val="55472E6F"/>
    <w:rsid w:val="556C114B"/>
    <w:rsid w:val="5581029D"/>
    <w:rsid w:val="558C2203"/>
    <w:rsid w:val="55E801E9"/>
    <w:rsid w:val="5660678B"/>
    <w:rsid w:val="569431C5"/>
    <w:rsid w:val="56CA6D56"/>
    <w:rsid w:val="56EC14E2"/>
    <w:rsid w:val="56FB3BC4"/>
    <w:rsid w:val="571C1171"/>
    <w:rsid w:val="57F549C2"/>
    <w:rsid w:val="58713819"/>
    <w:rsid w:val="589C5C8C"/>
    <w:rsid w:val="590F6F30"/>
    <w:rsid w:val="59173791"/>
    <w:rsid w:val="5AED0F5A"/>
    <w:rsid w:val="5BFC633D"/>
    <w:rsid w:val="5C3723C8"/>
    <w:rsid w:val="5CFF4817"/>
    <w:rsid w:val="5D6F565B"/>
    <w:rsid w:val="5EF05EE3"/>
    <w:rsid w:val="602C245C"/>
    <w:rsid w:val="60E6759D"/>
    <w:rsid w:val="618A2B56"/>
    <w:rsid w:val="621E4240"/>
    <w:rsid w:val="633F4866"/>
    <w:rsid w:val="6395327B"/>
    <w:rsid w:val="63B35731"/>
    <w:rsid w:val="63F30C9A"/>
    <w:rsid w:val="64BE229F"/>
    <w:rsid w:val="64C7178B"/>
    <w:rsid w:val="64F87CD6"/>
    <w:rsid w:val="65154B84"/>
    <w:rsid w:val="65617CF1"/>
    <w:rsid w:val="65874C82"/>
    <w:rsid w:val="65B714FA"/>
    <w:rsid w:val="67B748CD"/>
    <w:rsid w:val="67ED7270"/>
    <w:rsid w:val="685B1AD3"/>
    <w:rsid w:val="68C1674C"/>
    <w:rsid w:val="699B7642"/>
    <w:rsid w:val="699F231A"/>
    <w:rsid w:val="6A17150E"/>
    <w:rsid w:val="6A20038E"/>
    <w:rsid w:val="6A6B440D"/>
    <w:rsid w:val="6AF44FA8"/>
    <w:rsid w:val="6C926D9D"/>
    <w:rsid w:val="6CA67D17"/>
    <w:rsid w:val="6CB4259E"/>
    <w:rsid w:val="6CF03751"/>
    <w:rsid w:val="6D886B77"/>
    <w:rsid w:val="6DBA6806"/>
    <w:rsid w:val="6DC106B8"/>
    <w:rsid w:val="6F3B4F58"/>
    <w:rsid w:val="6FCC3BC7"/>
    <w:rsid w:val="6FDA44E4"/>
    <w:rsid w:val="6FFF7ECD"/>
    <w:rsid w:val="70A5606F"/>
    <w:rsid w:val="71A10329"/>
    <w:rsid w:val="7248047D"/>
    <w:rsid w:val="72ED55B0"/>
    <w:rsid w:val="72EE52B4"/>
    <w:rsid w:val="731863A4"/>
    <w:rsid w:val="73B70891"/>
    <w:rsid w:val="765A752C"/>
    <w:rsid w:val="768F2E9D"/>
    <w:rsid w:val="76BC376F"/>
    <w:rsid w:val="771A26C1"/>
    <w:rsid w:val="77D9291B"/>
    <w:rsid w:val="783E7867"/>
    <w:rsid w:val="785E2EF0"/>
    <w:rsid w:val="786D4D69"/>
    <w:rsid w:val="78B06F50"/>
    <w:rsid w:val="794C3A0B"/>
    <w:rsid w:val="798157F0"/>
    <w:rsid w:val="79DD6AA0"/>
    <w:rsid w:val="7A441264"/>
    <w:rsid w:val="7A45490B"/>
    <w:rsid w:val="7A92183F"/>
    <w:rsid w:val="7B061C2E"/>
    <w:rsid w:val="7B1E19C6"/>
    <w:rsid w:val="7BB90239"/>
    <w:rsid w:val="7C142DB9"/>
    <w:rsid w:val="7C2A286B"/>
    <w:rsid w:val="7C470082"/>
    <w:rsid w:val="7CBA0325"/>
    <w:rsid w:val="7E354E5F"/>
    <w:rsid w:val="7E43240D"/>
    <w:rsid w:val="7ECB797B"/>
    <w:rsid w:val="7F284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1007" w:right="1005"/>
      <w:jc w:val="center"/>
      <w:outlineLvl w:val="1"/>
    </w:pPr>
    <w:rPr>
      <w:rFonts w:ascii="宋体" w:hAnsi="宋体" w:eastAsia="宋体" w:cs="宋体"/>
      <w:b/>
      <w:bCs/>
      <w:sz w:val="36"/>
      <w:szCs w:val="36"/>
      <w:lang w:val="zh-CN" w:eastAsia="zh-CN" w:bidi="zh-CN"/>
    </w:rPr>
  </w:style>
  <w:style w:type="paragraph" w:styleId="4">
    <w:name w:val="heading 2"/>
    <w:basedOn w:val="1"/>
    <w:next w:val="1"/>
    <w:qFormat/>
    <w:uiPriority w:val="0"/>
    <w:pPr>
      <w:keepNext/>
      <w:keepLines/>
      <w:numPr>
        <w:ilvl w:val="1"/>
        <w:numId w:val="1"/>
      </w:numPr>
      <w:spacing w:before="260" w:after="260" w:line="413" w:lineRule="auto"/>
      <w:outlineLvl w:val="1"/>
    </w:pPr>
    <w:rPr>
      <w:rFonts w:ascii="Arial" w:hAnsi="Arial" w:eastAsia="黑体"/>
      <w:b/>
      <w:kern w:val="0"/>
      <w:sz w:val="32"/>
      <w:szCs w:val="20"/>
    </w:rPr>
  </w:style>
  <w:style w:type="paragraph" w:styleId="5">
    <w:name w:val="heading 3"/>
    <w:basedOn w:val="1"/>
    <w:next w:val="1"/>
    <w:qFormat/>
    <w:uiPriority w:val="1"/>
    <w:pPr>
      <w:spacing w:before="142"/>
      <w:ind w:left="1005" w:right="1005"/>
      <w:jc w:val="center"/>
      <w:outlineLvl w:val="3"/>
    </w:pPr>
    <w:rPr>
      <w:rFonts w:ascii="宋体" w:hAnsi="宋体" w:eastAsia="宋体" w:cs="宋体"/>
      <w:b/>
      <w:bCs/>
      <w:sz w:val="30"/>
      <w:szCs w:val="30"/>
      <w:lang w:val="zh-CN" w:eastAsia="zh-CN" w:bidi="zh-CN"/>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6">
    <w:name w:val="List Number"/>
    <w:basedOn w:val="1"/>
    <w:qFormat/>
    <w:uiPriority w:val="0"/>
    <w:pPr>
      <w:numPr>
        <w:ilvl w:val="0"/>
        <w:numId w:val="2"/>
      </w:numPr>
    </w:pPr>
  </w:style>
  <w:style w:type="paragraph" w:styleId="7">
    <w:name w:val="Normal Indent"/>
    <w:basedOn w:val="1"/>
    <w:qFormat/>
    <w:uiPriority w:val="0"/>
    <w:pPr>
      <w:ind w:firstLine="420"/>
    </w:pPr>
    <w:rPr>
      <w:szCs w:val="20"/>
    </w:rPr>
  </w:style>
  <w:style w:type="paragraph" w:styleId="8">
    <w:name w:val="Body Text"/>
    <w:basedOn w:val="1"/>
    <w:next w:val="1"/>
    <w:qFormat/>
    <w:uiPriority w:val="1"/>
    <w:rPr>
      <w:rFonts w:ascii="宋体" w:hAnsi="宋体" w:eastAsia="宋体" w:cs="宋体"/>
      <w:sz w:val="24"/>
      <w:szCs w:val="24"/>
      <w:lang w:val="zh-CN" w:eastAsia="zh-CN" w:bidi="zh-CN"/>
    </w:rPr>
  </w:style>
  <w:style w:type="paragraph" w:styleId="9">
    <w:name w:val="Body Text Indent"/>
    <w:basedOn w:val="1"/>
    <w:next w:val="1"/>
    <w:qFormat/>
    <w:uiPriority w:val="0"/>
    <w:pPr>
      <w:spacing w:after="120"/>
      <w:ind w:left="420" w:leftChars="200"/>
    </w:pPr>
    <w:rPr>
      <w:kern w:val="0"/>
      <w:sz w:val="20"/>
    </w:rPr>
  </w:style>
  <w:style w:type="paragraph" w:styleId="10">
    <w:name w:val="Plain Text"/>
    <w:basedOn w:val="1"/>
    <w:qFormat/>
    <w:uiPriority w:val="0"/>
    <w:rPr>
      <w:rFonts w:ascii="宋体" w:hAnsi="Courier New"/>
      <w:sz w:val="11"/>
      <w:szCs w:val="20"/>
    </w:rPr>
  </w:style>
  <w:style w:type="paragraph" w:styleId="11">
    <w:name w:val="Body Text Indent 2"/>
    <w:basedOn w:val="1"/>
    <w:qFormat/>
    <w:uiPriority w:val="0"/>
    <w:pPr>
      <w:tabs>
        <w:tab w:val="left" w:pos="785"/>
      </w:tabs>
      <w:spacing w:after="156" w:afterLines="0" w:line="360" w:lineRule="auto"/>
      <w:ind w:firstLine="480" w:firstLineChars="200"/>
    </w:pPr>
    <w:rPr>
      <w:rFonts w:ascii="宋体" w:hAnsi="宋体"/>
      <w:color w:val="000000"/>
      <w:sz w:val="24"/>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b/>
      <w:bCs/>
      <w:caps/>
      <w:sz w:val="20"/>
      <w:szCs w:val="20"/>
    </w:rPr>
  </w:style>
  <w:style w:type="paragraph" w:styleId="15">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8"/>
    <w:qFormat/>
    <w:uiPriority w:val="0"/>
    <w:pPr>
      <w:spacing w:after="120"/>
      <w:ind w:left="0" w:firstLine="420" w:firstLineChars="100"/>
    </w:pPr>
    <w:rPr>
      <w:sz w:val="21"/>
    </w:rPr>
  </w:style>
  <w:style w:type="paragraph" w:styleId="18">
    <w:name w:val="Body Text First Indent 2"/>
    <w:basedOn w:val="9"/>
    <w:qFormat/>
    <w:uiPriority w:val="0"/>
    <w:pPr>
      <w:spacing w:after="120"/>
      <w:ind w:left="420" w:leftChars="200" w:firstLine="420" w:firstLineChars="200"/>
    </w:pPr>
    <w:rPr>
      <w:rFonts w:ascii="Times New Roman" w:eastAsia="宋体"/>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样式 宋体 五号 行距: 单倍行距"/>
    <w:basedOn w:val="1"/>
    <w:qFormat/>
    <w:uiPriority w:val="0"/>
    <w:pPr>
      <w:adjustRightInd w:val="0"/>
      <w:jc w:val="left"/>
      <w:textAlignment w:val="baseline"/>
    </w:pPr>
    <w:rPr>
      <w:rFonts w:ascii="宋体" w:hAnsi="宋体"/>
      <w:kern w:val="0"/>
    </w:rPr>
  </w:style>
  <w:style w:type="paragraph" w:customStyle="1" w:styleId="26">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szCs w:val="22"/>
      <w:lang w:val="en-US" w:eastAsia="zh-CN" w:bidi="ar-SA"/>
    </w:rPr>
  </w:style>
  <w:style w:type="paragraph" w:customStyle="1" w:styleId="27">
    <w:name w:val="样式3"/>
    <w:basedOn w:val="10"/>
    <w:qFormat/>
    <w:uiPriority w:val="0"/>
    <w:pPr>
      <w:spacing w:line="0" w:lineRule="atLeast"/>
      <w:outlineLvl w:val="0"/>
    </w:pPr>
    <w:rPr>
      <w:sz w:val="28"/>
      <w:szCs w:val="24"/>
    </w:rPr>
  </w:style>
  <w:style w:type="paragraph" w:customStyle="1" w:styleId="28">
    <w:name w:val="样式 样式 样式 样式 标题 2 + 宋体 五号 非加粗 黑色 + 段前: 6 磅 段后: 0 磅 行距: 单倍行距 + 段前:..."/>
    <w:basedOn w:val="1"/>
    <w:qFormat/>
    <w:uiPriority w:val="0"/>
    <w:pPr>
      <w:keepNext/>
      <w:keepLines/>
      <w:adjustRightInd w:val="0"/>
      <w:spacing w:before="240" w:beforeLines="0"/>
      <w:textAlignment w:val="baseline"/>
      <w:outlineLvl w:val="1"/>
    </w:pPr>
    <w:rPr>
      <w:rFonts w:ascii="宋体" w:hAnsi="宋体"/>
      <w:b/>
      <w:bCs/>
      <w:kern w:val="0"/>
    </w:rPr>
  </w:style>
  <w:style w:type="paragraph" w:customStyle="1" w:styleId="29">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0">
    <w:name w:val="font01"/>
    <w:basedOn w:val="21"/>
    <w:qFormat/>
    <w:uiPriority w:val="0"/>
    <w:rPr>
      <w:rFonts w:ascii="仿宋_GB2312" w:eastAsia="仿宋_GB2312" w:cs="仿宋_GB2312"/>
      <w:color w:val="000000"/>
      <w:sz w:val="24"/>
      <w:szCs w:val="24"/>
      <w:u w:val="none"/>
    </w:rPr>
  </w:style>
  <w:style w:type="character" w:customStyle="1" w:styleId="31">
    <w:name w:val="font11"/>
    <w:basedOn w:val="21"/>
    <w:qFormat/>
    <w:uiPriority w:val="0"/>
    <w:rPr>
      <w:rFonts w:hint="default" w:ascii="Times New Roman" w:hAnsi="Times New Roman" w:cs="Times New Roman"/>
      <w:color w:val="000000"/>
      <w:sz w:val="24"/>
      <w:szCs w:val="24"/>
      <w:u w:val="none"/>
    </w:rPr>
  </w:style>
  <w:style w:type="paragraph" w:customStyle="1" w:styleId="3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32992</Words>
  <Characters>34849</Characters>
  <Lines>0</Lines>
  <Paragraphs>0</Paragraphs>
  <TotalTime>24</TotalTime>
  <ScaleCrop>false</ScaleCrop>
  <LinksUpToDate>false</LinksUpToDate>
  <CharactersWithSpaces>36548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2021-12-01T15:39:00Z</dcterms:created>
  <dc:creator>梦里想我</dc:creator>
  <cp:lastModifiedBy>梦里想我</cp:lastModifiedBy>
  <dcterms:modified xsi:type="dcterms:W3CDTF">2022-05-30T07:25:07Z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96154CC026DD4E6B86E448FF406EDCC2</vt:lpwstr>
  </property>
</Properties>
</file>