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rFonts w:ascii="宋体" w:hAnsi="宋体" w:cs="宋体"/>
          <w:highlight w:val="none"/>
        </w:rPr>
      </w:pPr>
    </w:p>
    <w:p>
      <w:pPr>
        <w:spacing w:line="360" w:lineRule="auto"/>
        <w:jc w:val="center"/>
        <w:rPr>
          <w:rFonts w:ascii="宋体" w:hAnsi="宋体" w:cs="宋体"/>
          <w:b/>
          <w:sz w:val="52"/>
          <w:szCs w:val="52"/>
          <w:highlight w:val="none"/>
        </w:rPr>
      </w:pPr>
    </w:p>
    <w:p>
      <w:pPr>
        <w:pStyle w:val="2"/>
        <w:rPr>
          <w:rFonts w:ascii="宋体" w:hAnsi="宋体" w:cs="宋体"/>
          <w:highlight w:val="none"/>
        </w:rPr>
      </w:pPr>
    </w:p>
    <w:p>
      <w:pPr>
        <w:spacing w:line="720" w:lineRule="auto"/>
        <w:jc w:val="center"/>
        <w:rPr>
          <w:rFonts w:hint="eastAsia" w:ascii="仿宋" w:hAnsi="仿宋" w:eastAsia="仿宋" w:cs="仿宋"/>
          <w:b/>
          <w:bCs/>
          <w:sz w:val="44"/>
          <w:szCs w:val="44"/>
          <w:highlight w:val="none"/>
          <w:lang w:eastAsia="zh-CN"/>
        </w:rPr>
      </w:pPr>
      <w:r>
        <w:rPr>
          <w:rFonts w:hint="eastAsia" w:ascii="仿宋" w:hAnsi="仿宋" w:eastAsia="仿宋" w:cs="仿宋"/>
          <w:b/>
          <w:sz w:val="44"/>
          <w:szCs w:val="44"/>
          <w:highlight w:val="none"/>
          <w:lang w:eastAsia="zh-CN"/>
        </w:rPr>
        <w:t>2023年度克拉玛依市机关后勤服务中心（援克服务中心）机关食堂食材供应商采购项目</w:t>
      </w:r>
    </w:p>
    <w:p>
      <w:pPr>
        <w:spacing w:line="360" w:lineRule="auto"/>
        <w:rPr>
          <w:rFonts w:hint="eastAsia" w:ascii="仿宋" w:hAnsi="仿宋" w:eastAsia="仿宋" w:cs="仿宋"/>
          <w:b/>
          <w:sz w:val="72"/>
          <w:szCs w:val="72"/>
          <w:highlight w:val="none"/>
        </w:rPr>
      </w:pPr>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招 标 文 件</w:t>
      </w:r>
    </w:p>
    <w:p>
      <w:pPr>
        <w:overflowPunct w:val="0"/>
        <w:spacing w:line="500" w:lineRule="exact"/>
        <w:jc w:val="center"/>
        <w:rPr>
          <w:rFonts w:hint="eastAsia" w:ascii="仿宋" w:hAnsi="仿宋" w:eastAsia="仿宋" w:cs="仿宋"/>
          <w:b/>
          <w:kern w:val="0"/>
          <w:sz w:val="24"/>
          <w:highlight w:val="none"/>
        </w:rPr>
      </w:pPr>
    </w:p>
    <w:p>
      <w:pPr>
        <w:pStyle w:val="2"/>
        <w:rPr>
          <w:rFonts w:hint="eastAsia" w:ascii="仿宋" w:hAnsi="仿宋" w:eastAsia="仿宋" w:cs="仿宋"/>
          <w:highlight w:val="none"/>
        </w:rPr>
      </w:pPr>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（招标文件编号：</w:t>
      </w:r>
      <w:r>
        <w:rPr>
          <w:rFonts w:hint="eastAsia" w:ascii="仿宋" w:hAnsi="仿宋" w:eastAsia="仿宋" w:cs="仿宋"/>
          <w:b/>
          <w:sz w:val="30"/>
          <w:highlight w:val="none"/>
          <w:lang w:eastAsia="zh-CN"/>
        </w:rPr>
        <w:t>XJZJ-2023(采购)-004</w:t>
      </w:r>
      <w:r>
        <w:rPr>
          <w:rFonts w:hint="eastAsia" w:ascii="仿宋" w:hAnsi="仿宋" w:eastAsia="仿宋" w:cs="仿宋"/>
          <w:b/>
          <w:sz w:val="28"/>
          <w:szCs w:val="28"/>
          <w:highlight w:val="none"/>
        </w:rPr>
        <w:t>）</w:t>
      </w:r>
    </w:p>
    <w:p>
      <w:pPr>
        <w:overflowPunct w:val="0"/>
        <w:spacing w:line="500" w:lineRule="exact"/>
        <w:jc w:val="center"/>
        <w:rPr>
          <w:rFonts w:hint="eastAsia" w:ascii="仿宋" w:hAnsi="仿宋" w:eastAsia="仿宋" w:cs="仿宋"/>
          <w:b/>
          <w:bCs/>
          <w:sz w:val="32"/>
          <w:szCs w:val="32"/>
          <w:highlight w:val="none"/>
        </w:rPr>
      </w:pPr>
    </w:p>
    <w:p>
      <w:pPr>
        <w:overflowPunct w:val="0"/>
        <w:spacing w:line="500" w:lineRule="exact"/>
        <w:rPr>
          <w:rFonts w:hint="eastAsia" w:ascii="仿宋" w:hAnsi="仿宋" w:eastAsia="仿宋" w:cs="仿宋"/>
          <w:sz w:val="32"/>
          <w:szCs w:val="32"/>
          <w:highlight w:val="none"/>
        </w:rPr>
      </w:pPr>
    </w:p>
    <w:p>
      <w:pPr>
        <w:pStyle w:val="2"/>
        <w:rPr>
          <w:rFonts w:hint="eastAsia" w:ascii="仿宋" w:hAnsi="仿宋" w:eastAsia="仿宋" w:cs="仿宋"/>
          <w:highlight w:val="none"/>
        </w:rPr>
      </w:pPr>
    </w:p>
    <w:p>
      <w:pPr>
        <w:overflowPunct w:val="0"/>
        <w:spacing w:line="500" w:lineRule="exact"/>
        <w:rPr>
          <w:rFonts w:hint="eastAsia" w:ascii="仿宋" w:hAnsi="仿宋" w:eastAsia="仿宋" w:cs="仿宋"/>
          <w:sz w:val="32"/>
          <w:szCs w:val="32"/>
          <w:highlight w:val="none"/>
        </w:rPr>
      </w:pPr>
    </w:p>
    <w:p>
      <w:pPr>
        <w:overflowPunct w:val="0"/>
        <w:spacing w:line="500" w:lineRule="exact"/>
        <w:ind w:firstLine="301" w:firstLineChars="100"/>
        <w:rPr>
          <w:rFonts w:hint="eastAsia" w:ascii="仿宋" w:hAnsi="仿宋" w:eastAsia="仿宋" w:cs="仿宋"/>
          <w:b/>
          <w:sz w:val="30"/>
          <w:szCs w:val="30"/>
          <w:highlight w:val="none"/>
        </w:rPr>
      </w:pPr>
    </w:p>
    <w:p>
      <w:pPr>
        <w:overflowPunct w:val="0"/>
        <w:spacing w:line="500" w:lineRule="exact"/>
        <w:ind w:firstLine="301" w:firstLineChars="100"/>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lang w:eastAsia="zh-CN"/>
        </w:rPr>
        <w:t>招标</w:t>
      </w:r>
      <w:r>
        <w:rPr>
          <w:rFonts w:hint="eastAsia" w:ascii="仿宋" w:hAnsi="仿宋" w:eastAsia="仿宋" w:cs="仿宋"/>
          <w:b/>
          <w:sz w:val="30"/>
          <w:szCs w:val="30"/>
          <w:highlight w:val="none"/>
        </w:rPr>
        <w:t>人：</w:t>
      </w:r>
      <w:r>
        <w:rPr>
          <w:rFonts w:hint="eastAsia" w:ascii="仿宋" w:hAnsi="仿宋" w:eastAsia="仿宋" w:cs="仿宋"/>
          <w:b/>
          <w:sz w:val="30"/>
          <w:szCs w:val="30"/>
          <w:highlight w:val="none"/>
          <w:lang w:eastAsia="zh-CN"/>
        </w:rPr>
        <w:t>克拉玛依市机关后勤服务中心（援克服务中心）</w:t>
      </w:r>
    </w:p>
    <w:p>
      <w:pPr>
        <w:overflowPunct w:val="0"/>
        <w:spacing w:line="500" w:lineRule="exact"/>
        <w:ind w:firstLine="301" w:firstLineChars="100"/>
        <w:rPr>
          <w:rFonts w:hint="eastAsia" w:ascii="仿宋" w:hAnsi="仿宋" w:eastAsia="仿宋" w:cs="仿宋"/>
          <w:b/>
          <w:sz w:val="30"/>
          <w:szCs w:val="30"/>
          <w:highlight w:val="none"/>
        </w:rPr>
      </w:pPr>
    </w:p>
    <w:p>
      <w:pPr>
        <w:overflowPunct w:val="0"/>
        <w:spacing w:line="500" w:lineRule="exact"/>
        <w:rPr>
          <w:rFonts w:hint="eastAsia" w:ascii="仿宋" w:hAnsi="仿宋" w:eastAsia="仿宋" w:cs="仿宋"/>
          <w:b/>
          <w:sz w:val="30"/>
          <w:szCs w:val="30"/>
          <w:highlight w:val="none"/>
        </w:rPr>
      </w:pPr>
    </w:p>
    <w:p>
      <w:pPr>
        <w:overflowPunct w:val="0"/>
        <w:spacing w:line="500" w:lineRule="exact"/>
        <w:ind w:firstLine="301" w:firstLineChars="100"/>
        <w:rPr>
          <w:rFonts w:hint="eastAsia" w:ascii="仿宋" w:hAnsi="仿宋" w:eastAsia="仿宋" w:cs="仿宋"/>
          <w:b/>
          <w:sz w:val="30"/>
          <w:szCs w:val="30"/>
          <w:highlight w:val="none"/>
        </w:rPr>
      </w:pPr>
      <w:r>
        <w:rPr>
          <w:rFonts w:hint="eastAsia" w:ascii="仿宋" w:hAnsi="仿宋" w:eastAsia="仿宋" w:cs="仿宋"/>
          <w:b/>
          <w:sz w:val="30"/>
          <w:szCs w:val="30"/>
          <w:highlight w:val="none"/>
        </w:rPr>
        <w:t>代理机构：新疆卓捷工程造价咨询有限公司</w:t>
      </w:r>
    </w:p>
    <w:p>
      <w:pPr>
        <w:overflowPunct w:val="0"/>
        <w:spacing w:line="500" w:lineRule="exact"/>
        <w:rPr>
          <w:rFonts w:hint="eastAsia" w:ascii="仿宋" w:hAnsi="仿宋" w:eastAsia="仿宋" w:cs="仿宋"/>
          <w:sz w:val="36"/>
          <w:szCs w:val="36"/>
          <w:highlight w:val="none"/>
        </w:rPr>
      </w:pPr>
    </w:p>
    <w:p>
      <w:pPr>
        <w:overflowPunct w:val="0"/>
        <w:spacing w:line="500" w:lineRule="exact"/>
        <w:rPr>
          <w:rFonts w:hint="eastAsia" w:ascii="仿宋" w:hAnsi="仿宋" w:eastAsia="仿宋" w:cs="仿宋"/>
          <w:sz w:val="36"/>
          <w:szCs w:val="36"/>
          <w:highlight w:val="none"/>
        </w:rPr>
      </w:pPr>
    </w:p>
    <w:p>
      <w:pPr>
        <w:overflowPunct w:val="0"/>
        <w:spacing w:line="500" w:lineRule="exact"/>
        <w:jc w:val="center"/>
        <w:rPr>
          <w:rFonts w:hint="eastAsia" w:ascii="仿宋" w:hAnsi="仿宋" w:eastAsia="仿宋" w:cs="仿宋"/>
          <w:b/>
          <w:sz w:val="32"/>
          <w:szCs w:val="32"/>
          <w:highlight w:val="none"/>
        </w:rPr>
      </w:pPr>
    </w:p>
    <w:p>
      <w:pPr>
        <w:overflowPunct w:val="0"/>
        <w:spacing w:line="500" w:lineRule="exact"/>
        <w:jc w:val="center"/>
        <w:rPr>
          <w:rFonts w:hint="eastAsia" w:ascii="仿宋" w:hAnsi="仿宋" w:eastAsia="仿宋" w:cs="仿宋"/>
          <w:spacing w:val="40"/>
          <w:sz w:val="32"/>
          <w:szCs w:val="32"/>
          <w:highlight w:val="none"/>
        </w:rPr>
        <w:sectPr>
          <w:headerReference r:id="rId4" w:type="first"/>
          <w:footerReference r:id="rId6" w:type="first"/>
          <w:headerReference r:id="rId3" w:type="default"/>
          <w:footerReference r:id="rId5" w:type="even"/>
          <w:pgSz w:w="11906" w:h="16838"/>
          <w:pgMar w:top="1418" w:right="1418" w:bottom="1418" w:left="1418" w:header="1134" w:footer="1134" w:gutter="0"/>
          <w:pgNumType w:start="1"/>
          <w:cols w:space="720" w:num="1"/>
          <w:docGrid w:type="lines" w:linePitch="312" w:charSpace="0"/>
        </w:sectPr>
      </w:pPr>
      <w:r>
        <w:rPr>
          <w:rFonts w:hint="eastAsia" w:ascii="仿宋" w:hAnsi="仿宋" w:eastAsia="仿宋" w:cs="仿宋"/>
          <w:b/>
          <w:sz w:val="32"/>
          <w:szCs w:val="32"/>
          <w:highlight w:val="none"/>
          <w:lang w:val="en-US" w:eastAsia="zh-CN"/>
        </w:rPr>
        <w:t xml:space="preserve">                              2023</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02</w:t>
      </w:r>
      <w:r>
        <w:rPr>
          <w:rFonts w:hint="eastAsia" w:ascii="仿宋" w:hAnsi="仿宋" w:eastAsia="仿宋" w:cs="仿宋"/>
          <w:b/>
          <w:sz w:val="32"/>
          <w:szCs w:val="32"/>
          <w:highlight w:val="none"/>
        </w:rPr>
        <w:t>月</w:t>
      </w:r>
    </w:p>
    <w:p>
      <w:pP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总目录</w:t>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44"/>
          <w:szCs w:val="44"/>
          <w:highlight w:val="none"/>
        </w:rPr>
        <w:fldChar w:fldCharType="begin"/>
      </w:r>
      <w:r>
        <w:rPr>
          <w:rFonts w:hint="eastAsia" w:ascii="仿宋" w:hAnsi="仿宋" w:eastAsia="仿宋" w:cs="仿宋"/>
          <w:sz w:val="44"/>
          <w:szCs w:val="44"/>
          <w:highlight w:val="none"/>
        </w:rPr>
        <w:instrText xml:space="preserve">TOC \o "1-1" \h \u </w:instrText>
      </w:r>
      <w:r>
        <w:rPr>
          <w:rFonts w:hint="eastAsia" w:ascii="仿宋" w:hAnsi="仿宋" w:eastAsia="仿宋" w:cs="仿宋"/>
          <w:sz w:val="44"/>
          <w:szCs w:val="44"/>
          <w:highlight w:val="none"/>
        </w:rPr>
        <w:fldChar w:fldCharType="separate"/>
      </w: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_Toc15973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第一章 招标公告</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_Toc15973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1</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_Toc4402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第二章 投标人须知</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_Toc4402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5</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_Toc15936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第三章  项目采购需求</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_Toc15936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24</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_Toc23657 </w:instrText>
      </w:r>
      <w:r>
        <w:rPr>
          <w:rFonts w:hint="eastAsia" w:ascii="仿宋" w:hAnsi="仿宋" w:eastAsia="仿宋" w:cs="仿宋"/>
          <w:sz w:val="36"/>
          <w:szCs w:val="96"/>
          <w:highlight w:val="none"/>
        </w:rPr>
        <w:fldChar w:fldCharType="separate"/>
      </w:r>
      <w:r>
        <w:rPr>
          <w:rFonts w:hint="eastAsia" w:ascii="仿宋" w:hAnsi="仿宋" w:eastAsia="仿宋" w:cs="仿宋"/>
          <w:bCs/>
          <w:sz w:val="36"/>
          <w:szCs w:val="52"/>
          <w:highlight w:val="none"/>
          <w:lang w:val="en-US" w:eastAsia="zh-CN"/>
        </w:rPr>
        <w:t xml:space="preserve">第四章  </w:t>
      </w:r>
      <w:r>
        <w:rPr>
          <w:rFonts w:hint="eastAsia" w:ascii="仿宋" w:hAnsi="仿宋" w:eastAsia="仿宋" w:cs="仿宋"/>
          <w:bCs/>
          <w:sz w:val="36"/>
          <w:szCs w:val="52"/>
          <w:highlight w:val="none"/>
        </w:rPr>
        <w:t>合同条款（主要条款）</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_Toc23657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30</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rFonts w:hint="eastAsia" w:ascii="仿宋" w:hAnsi="仿宋" w:eastAsia="仿宋" w:cs="仿宋"/>
          <w:sz w:val="36"/>
          <w:szCs w:val="44"/>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_Toc19586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第五章  投标文件格式</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_Toc19586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36</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pStyle w:val="17"/>
        <w:keepNext w:val="0"/>
        <w:keepLines w:val="0"/>
        <w:pageBreakBefore w:val="0"/>
        <w:widowControl w:val="0"/>
        <w:tabs>
          <w:tab w:val="right" w:leader="dot" w:pos="9747"/>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 w:val="36"/>
          <w:szCs w:val="96"/>
          <w:highlight w:val="none"/>
        </w:rPr>
        <w:fldChar w:fldCharType="begin"/>
      </w:r>
      <w:r>
        <w:rPr>
          <w:rFonts w:hint="eastAsia" w:ascii="仿宋" w:hAnsi="仿宋" w:eastAsia="仿宋" w:cs="仿宋"/>
          <w:sz w:val="36"/>
          <w:szCs w:val="96"/>
          <w:highlight w:val="none"/>
        </w:rPr>
        <w:instrText xml:space="preserve"> HYPERLINK \l _Toc9709 </w:instrText>
      </w:r>
      <w:r>
        <w:rPr>
          <w:rFonts w:hint="eastAsia" w:ascii="仿宋" w:hAnsi="仿宋" w:eastAsia="仿宋" w:cs="仿宋"/>
          <w:sz w:val="36"/>
          <w:szCs w:val="96"/>
          <w:highlight w:val="none"/>
        </w:rPr>
        <w:fldChar w:fldCharType="separate"/>
      </w:r>
      <w:r>
        <w:rPr>
          <w:rFonts w:hint="eastAsia" w:ascii="仿宋" w:hAnsi="仿宋" w:eastAsia="仿宋" w:cs="仿宋"/>
          <w:sz w:val="36"/>
          <w:szCs w:val="52"/>
          <w:highlight w:val="none"/>
        </w:rPr>
        <w:t>第六章  评审标准（综合评分法）</w:t>
      </w:r>
      <w:r>
        <w:rPr>
          <w:rFonts w:hint="eastAsia" w:ascii="仿宋" w:hAnsi="仿宋" w:eastAsia="仿宋" w:cs="仿宋"/>
          <w:sz w:val="36"/>
          <w:szCs w:val="44"/>
          <w:highlight w:val="none"/>
        </w:rPr>
        <w:tab/>
      </w:r>
      <w:r>
        <w:rPr>
          <w:rFonts w:hint="eastAsia" w:ascii="仿宋" w:hAnsi="仿宋" w:eastAsia="仿宋" w:cs="仿宋"/>
          <w:sz w:val="36"/>
          <w:szCs w:val="44"/>
          <w:highlight w:val="none"/>
        </w:rPr>
        <w:fldChar w:fldCharType="begin"/>
      </w:r>
      <w:r>
        <w:rPr>
          <w:rFonts w:hint="eastAsia" w:ascii="仿宋" w:hAnsi="仿宋" w:eastAsia="仿宋" w:cs="仿宋"/>
          <w:sz w:val="36"/>
          <w:szCs w:val="44"/>
          <w:highlight w:val="none"/>
        </w:rPr>
        <w:instrText xml:space="preserve"> PAGEREF _Toc9709 \h </w:instrText>
      </w:r>
      <w:r>
        <w:rPr>
          <w:rFonts w:hint="eastAsia" w:ascii="仿宋" w:hAnsi="仿宋" w:eastAsia="仿宋" w:cs="仿宋"/>
          <w:sz w:val="36"/>
          <w:szCs w:val="44"/>
          <w:highlight w:val="none"/>
        </w:rPr>
        <w:fldChar w:fldCharType="separate"/>
      </w:r>
      <w:r>
        <w:rPr>
          <w:rFonts w:hint="eastAsia" w:ascii="仿宋" w:hAnsi="仿宋" w:eastAsia="仿宋" w:cs="仿宋"/>
          <w:sz w:val="36"/>
          <w:szCs w:val="44"/>
          <w:highlight w:val="none"/>
        </w:rPr>
        <w:t>49</w:t>
      </w:r>
      <w:r>
        <w:rPr>
          <w:rFonts w:hint="eastAsia" w:ascii="仿宋" w:hAnsi="仿宋" w:eastAsia="仿宋" w:cs="仿宋"/>
          <w:sz w:val="36"/>
          <w:szCs w:val="44"/>
          <w:highlight w:val="none"/>
        </w:rPr>
        <w:fldChar w:fldCharType="end"/>
      </w:r>
      <w:r>
        <w:rPr>
          <w:rFonts w:hint="eastAsia" w:ascii="仿宋" w:hAnsi="仿宋" w:eastAsia="仿宋" w:cs="仿宋"/>
          <w:sz w:val="36"/>
          <w:szCs w:val="96"/>
          <w:highlight w:val="none"/>
        </w:rPr>
        <w:fldChar w:fldCharType="end"/>
      </w:r>
    </w:p>
    <w:p>
      <w:pPr>
        <w:spacing w:line="480" w:lineRule="auto"/>
        <w:rPr>
          <w:rFonts w:hint="eastAsia" w:ascii="仿宋" w:hAnsi="仿宋" w:eastAsia="仿宋" w:cs="仿宋"/>
          <w:sz w:val="44"/>
          <w:szCs w:val="44"/>
          <w:highlight w:val="none"/>
        </w:rPr>
      </w:pPr>
      <w:r>
        <w:rPr>
          <w:rFonts w:hint="eastAsia" w:ascii="仿宋" w:hAnsi="仿宋" w:eastAsia="仿宋" w:cs="仿宋"/>
          <w:szCs w:val="44"/>
          <w:highlight w:val="none"/>
        </w:rPr>
        <w:fldChar w:fldCharType="end"/>
      </w:r>
    </w:p>
    <w:p>
      <w:pPr>
        <w:spacing w:line="720" w:lineRule="auto"/>
        <w:rPr>
          <w:rFonts w:hint="eastAsia" w:ascii="仿宋" w:hAnsi="仿宋" w:eastAsia="仿宋" w:cs="仿宋"/>
          <w:sz w:val="28"/>
          <w:szCs w:val="28"/>
          <w:highlight w:val="none"/>
        </w:rPr>
      </w:pPr>
    </w:p>
    <w:p>
      <w:pPr>
        <w:spacing w:line="720" w:lineRule="auto"/>
        <w:ind w:firstLine="560" w:firstLineChars="200"/>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3"/>
        <w:rPr>
          <w:rFonts w:hint="eastAsia"/>
          <w:highlight w:val="none"/>
        </w:rPr>
      </w:pPr>
    </w:p>
    <w:p>
      <w:pPr>
        <w:spacing w:line="360" w:lineRule="auto"/>
        <w:ind w:firstLine="560" w:firstLineChars="200"/>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pStyle w:val="2"/>
        <w:rPr>
          <w:rFonts w:hint="eastAsia"/>
          <w:highlight w:val="none"/>
        </w:rPr>
      </w:pPr>
    </w:p>
    <w:p>
      <w:pPr>
        <w:spacing w:line="360" w:lineRule="auto"/>
        <w:rPr>
          <w:rFonts w:hint="eastAsia" w:ascii="仿宋" w:hAnsi="仿宋" w:eastAsia="仿宋" w:cs="仿宋"/>
          <w:b/>
          <w:sz w:val="28"/>
          <w:szCs w:val="28"/>
          <w:highlight w:val="none"/>
        </w:rPr>
      </w:pPr>
    </w:p>
    <w:p>
      <w:pPr>
        <w:pStyle w:val="5"/>
        <w:numPr>
          <w:ilvl w:val="0"/>
          <w:numId w:val="0"/>
        </w:numPr>
        <w:bidi w:val="0"/>
        <w:spacing w:line="240" w:lineRule="auto"/>
        <w:ind w:leftChars="0"/>
        <w:jc w:val="center"/>
        <w:rPr>
          <w:rFonts w:hint="eastAsia" w:ascii="仿宋" w:hAnsi="仿宋" w:eastAsia="仿宋" w:cs="仿宋"/>
          <w:sz w:val="32"/>
          <w:szCs w:val="32"/>
          <w:highlight w:val="none"/>
        </w:rPr>
        <w:sectPr>
          <w:footerReference r:id="rId7" w:type="default"/>
          <w:pgSz w:w="11907" w:h="16840"/>
          <w:pgMar w:top="1440" w:right="1080" w:bottom="1440" w:left="1080" w:header="964" w:footer="992" w:gutter="0"/>
          <w:cols w:space="720" w:num="1"/>
          <w:docGrid w:linePitch="354" w:charSpace="0"/>
        </w:sectPr>
      </w:pPr>
    </w:p>
    <w:p>
      <w:pPr>
        <w:pStyle w:val="5"/>
        <w:numPr>
          <w:ilvl w:val="0"/>
          <w:numId w:val="0"/>
        </w:numPr>
        <w:bidi w:val="0"/>
        <w:spacing w:line="240" w:lineRule="auto"/>
        <w:ind w:leftChars="0"/>
        <w:jc w:val="center"/>
        <w:rPr>
          <w:rFonts w:hint="eastAsia" w:ascii="仿宋" w:hAnsi="仿宋" w:eastAsia="仿宋" w:cs="仿宋"/>
          <w:sz w:val="32"/>
          <w:szCs w:val="32"/>
          <w:highlight w:val="none"/>
        </w:rPr>
      </w:pPr>
      <w:bookmarkStart w:id="0" w:name="_Toc15973"/>
      <w:r>
        <w:rPr>
          <w:rFonts w:hint="eastAsia" w:ascii="仿宋" w:hAnsi="仿宋" w:eastAsia="仿宋" w:cs="仿宋"/>
          <w:sz w:val="32"/>
          <w:szCs w:val="32"/>
          <w:highlight w:val="none"/>
        </w:rPr>
        <w:t>第一章 招标公告</w:t>
      </w:r>
      <w:bookmarkEnd w:id="0"/>
    </w:p>
    <w:p>
      <w:pPr>
        <w:pBdr>
          <w:top w:val="single" w:color="auto" w:sz="4" w:space="1"/>
          <w:left w:val="single" w:color="auto" w:sz="4" w:space="4"/>
          <w:bottom w:val="single" w:color="auto" w:sz="4" w:space="1"/>
          <w:right w:val="single" w:color="auto" w:sz="4" w:space="4"/>
        </w:pBdr>
        <w:spacing w:line="288" w:lineRule="auto"/>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eastAsia="zh-CN"/>
        </w:rPr>
        <w:t>2023年度克拉玛依市机关后勤服务中心（援克服务中心）机关食堂食材供应商采购项目</w:t>
      </w:r>
      <w:r>
        <w:rPr>
          <w:rFonts w:hint="eastAsia" w:ascii="仿宋" w:hAnsi="仿宋" w:eastAsia="仿宋" w:cs="仿宋"/>
          <w:sz w:val="24"/>
          <w:highlight w:val="none"/>
        </w:rPr>
        <w:t>招标项目的潜在投标人应在</w:t>
      </w:r>
      <w:r>
        <w:rPr>
          <w:rFonts w:hint="eastAsia" w:ascii="仿宋" w:hAnsi="仿宋" w:eastAsia="仿宋" w:cs="仿宋"/>
          <w:sz w:val="24"/>
          <w:highlight w:val="none"/>
          <w:u w:val="single"/>
        </w:rPr>
        <w:t>新疆政府采购网</w:t>
      </w:r>
      <w:r>
        <w:rPr>
          <w:rFonts w:hint="eastAsia" w:ascii="仿宋" w:hAnsi="仿宋" w:eastAsia="仿宋" w:cs="仿宋"/>
          <w:sz w:val="24"/>
          <w:highlight w:val="none"/>
        </w:rPr>
        <w:t>获取招标文件，并于</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03</w:t>
      </w:r>
      <w:r>
        <w:rPr>
          <w:rFonts w:hint="eastAsia" w:ascii="仿宋" w:hAnsi="仿宋" w:eastAsia="仿宋" w:cs="仿宋"/>
          <w:sz w:val="24"/>
          <w:highlight w:val="none"/>
          <w:u w:val="single"/>
        </w:rPr>
        <w:t xml:space="preserve"> 月 </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u w:val="single"/>
        </w:rPr>
        <w:t xml:space="preserve"> 日1</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0分</w:t>
      </w:r>
      <w:r>
        <w:rPr>
          <w:rFonts w:hint="eastAsia" w:ascii="仿宋" w:hAnsi="仿宋" w:eastAsia="仿宋" w:cs="仿宋"/>
          <w:bCs/>
          <w:sz w:val="24"/>
          <w:highlight w:val="none"/>
        </w:rPr>
        <w:t>前递交投标文件</w:t>
      </w:r>
      <w:r>
        <w:rPr>
          <w:rFonts w:hint="eastAsia" w:ascii="仿宋" w:hAnsi="仿宋" w:eastAsia="仿宋" w:cs="仿宋"/>
          <w:sz w:val="24"/>
          <w:highlight w:val="none"/>
        </w:rPr>
        <w:t>。</w:t>
      </w:r>
    </w:p>
    <w:p>
      <w:pPr>
        <w:spacing w:line="288" w:lineRule="auto"/>
        <w:rPr>
          <w:rFonts w:hint="eastAsia" w:ascii="仿宋" w:hAnsi="仿宋" w:eastAsia="仿宋" w:cs="仿宋"/>
          <w:b/>
          <w:bCs/>
          <w:sz w:val="24"/>
          <w:highlight w:val="none"/>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sz w:val="24"/>
          <w:highlight w:val="none"/>
        </w:rPr>
        <w:t>一、项目基本情况</w:t>
      </w:r>
      <w:bookmarkEnd w:id="1"/>
      <w:bookmarkEnd w:id="2"/>
      <w:bookmarkEnd w:id="3"/>
      <w:bookmarkEnd w:id="4"/>
    </w:p>
    <w:p>
      <w:pP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XJZJ-2023(采购)-004</w:t>
      </w:r>
    </w:p>
    <w:p>
      <w:pPr>
        <w:spacing w:line="288"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2023年度克拉玛依市机关后勤服务中心（援克服务中心）机关食堂食材供应商采购项目</w:t>
      </w:r>
    </w:p>
    <w:p>
      <w:pPr>
        <w:pStyle w:val="2"/>
        <w:ind w:firstLine="480" w:firstLineChars="200"/>
        <w:rPr>
          <w:rFonts w:hint="eastAsia" w:ascii="仿宋" w:hAnsi="仿宋" w:eastAsia="仿宋" w:cs="仿宋"/>
          <w:highlight w:val="none"/>
        </w:rPr>
      </w:pPr>
      <w:r>
        <w:rPr>
          <w:rFonts w:hint="eastAsia" w:ascii="仿宋" w:hAnsi="仿宋" w:eastAsia="仿宋" w:cs="仿宋"/>
          <w:szCs w:val="24"/>
          <w:highlight w:val="none"/>
        </w:rPr>
        <w:t>采购方式：公开招标</w:t>
      </w:r>
    </w:p>
    <w:bookmarkEnd w:id="5"/>
    <w:p>
      <w:pPr>
        <w:pStyle w:val="2"/>
        <w:ind w:firstLine="480" w:firstLineChars="200"/>
        <w:rPr>
          <w:rFonts w:hint="default" w:ascii="仿宋" w:hAnsi="仿宋" w:eastAsia="仿宋" w:cs="仿宋"/>
          <w:szCs w:val="24"/>
          <w:highlight w:val="none"/>
          <w:lang w:val="en-US" w:eastAsia="zh-CN"/>
        </w:rPr>
      </w:pPr>
      <w:bookmarkStart w:id="6" w:name="_Toc28359080"/>
      <w:bookmarkStart w:id="7" w:name="_Toc28359003"/>
      <w:bookmarkStart w:id="8" w:name="_Toc35393791"/>
      <w:bookmarkStart w:id="9" w:name="_Toc35393622"/>
      <w:r>
        <w:rPr>
          <w:rFonts w:hint="eastAsia" w:ascii="仿宋" w:hAnsi="仿宋" w:eastAsia="仿宋" w:cs="仿宋"/>
          <w:szCs w:val="24"/>
          <w:highlight w:val="none"/>
          <w:lang w:val="en-US" w:eastAsia="zh-CN"/>
        </w:rPr>
        <w:t>预算金额：737万元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标项一：猪肉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预算金额（万元）：30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简要规格描述：猪肉：包括里脊肉、前腿肉、后腿肉、五花肉、猪肘、猪蹄等；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pStyle w:val="2"/>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标项二：牛羊肉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预算金额（万元）：210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简要规格描述：牛羊肉：包括分割牛羊肉、整羊；</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标项三：水果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预算金额（万元）：35</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简要规格描述：水果：包括各种水果；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标项四：蔬菜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预算金额（万元）：110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简要规格描述：蔬菜：包括各种蔬菜、菌类等；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标项五：调味品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预算金额（万元）：52</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简要规格描述：调味品：包括预包装食品、散称调味品及干货；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标项六：低值消耗品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预算金额（万元）：35</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简要规格描述：低值消耗品：包括食堂所需的各类耗材、设备等；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标项七：乳制品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预算金额（万元）：20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简要规格描述：乳制品：包括鲜牛奶、酸奶等；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标项八：禽蛋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预算金额（万元）：10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简要规格描述：禽蛋：包括鲜鸡蛋等；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备注：无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标项九：冻货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预算金额（万元）：210</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简要规格描述：冻货：包括冻家禽、冻家畜、冻海鲜及其他预包装冷冻食品、冻猪牛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羊肉；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标项十：米面油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数量：不限</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预算金额（万元）：25</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单位：批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简要规格描述：米面油：包括大米、面粉、食用油、杂粮；</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合同履行期限：自合同签订之日起一年。</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本项目（ 否 ）接受联合体投标。</w:t>
      </w:r>
    </w:p>
    <w:p>
      <w:pPr>
        <w:numPr>
          <w:ilvl w:val="0"/>
          <w:numId w:val="2"/>
        </w:numPr>
        <w:spacing w:line="288" w:lineRule="auto"/>
        <w:rPr>
          <w:rFonts w:hint="eastAsia" w:ascii="仿宋" w:hAnsi="仿宋" w:eastAsia="仿宋" w:cs="仿宋"/>
          <w:b/>
          <w:bCs/>
          <w:sz w:val="24"/>
          <w:highlight w:val="none"/>
        </w:rPr>
      </w:pPr>
      <w:r>
        <w:rPr>
          <w:rFonts w:hint="eastAsia" w:ascii="仿宋" w:hAnsi="仿宋" w:eastAsia="仿宋" w:cs="仿宋"/>
          <w:b/>
          <w:bCs/>
          <w:sz w:val="24"/>
          <w:highlight w:val="none"/>
        </w:rPr>
        <w:t>申请人的资格要求：</w:t>
      </w:r>
      <w:bookmarkEnd w:id="6"/>
      <w:bookmarkEnd w:id="7"/>
      <w:bookmarkEnd w:id="8"/>
      <w:bookmarkEnd w:id="9"/>
    </w:p>
    <w:p>
      <w:pPr>
        <w:spacing w:line="240" w:lineRule="auto"/>
        <w:ind w:firstLine="482" w:firstLineChars="200"/>
        <w:rPr>
          <w:rFonts w:hint="eastAsia" w:ascii="仿宋" w:hAnsi="仿宋" w:eastAsia="仿宋" w:cs="仿宋"/>
          <w:b w:val="0"/>
          <w:bCs w:val="0"/>
          <w:sz w:val="24"/>
          <w:highlight w:val="none"/>
          <w:lang w:val="en-US" w:eastAsia="zh-CN"/>
        </w:rPr>
      </w:pPr>
      <w:bookmarkStart w:id="10" w:name="_Toc28359082"/>
      <w:bookmarkStart w:id="11" w:name="_Toc35393793"/>
      <w:bookmarkStart w:id="12" w:name="_Toc35393624"/>
      <w:bookmarkStart w:id="13" w:name="_Toc28359005"/>
      <w:r>
        <w:rPr>
          <w:rFonts w:hint="eastAsia" w:ascii="仿宋" w:hAnsi="仿宋" w:eastAsia="仿宋" w:cs="仿宋"/>
          <w:b/>
          <w:bCs/>
          <w:sz w:val="24"/>
          <w:highlight w:val="none"/>
          <w:lang w:val="en-US" w:eastAsia="zh-CN"/>
        </w:rPr>
        <w:t>1.基本资格要求：</w:t>
      </w:r>
      <w:r>
        <w:rPr>
          <w:rFonts w:hint="eastAsia" w:ascii="仿宋" w:hAnsi="仿宋" w:eastAsia="仿宋" w:cs="仿宋"/>
          <w:b w:val="0"/>
          <w:bCs w:val="0"/>
          <w:sz w:val="24"/>
          <w:highlight w:val="none"/>
          <w:lang w:val="en-US" w:eastAsia="zh-CN"/>
        </w:rPr>
        <w:t>符合《中华人民共和国政府采购法》第二十二条的规定；</w:t>
      </w:r>
    </w:p>
    <w:p>
      <w:pPr>
        <w:spacing w:line="240" w:lineRule="auto"/>
        <w:ind w:firstLine="482" w:firstLineChars="200"/>
        <w:rPr>
          <w:rFonts w:hint="eastAsia" w:ascii="仿宋" w:hAnsi="仿宋" w:eastAsia="仿宋" w:cs="仿宋"/>
          <w:b w:val="0"/>
          <w:bCs w:val="0"/>
          <w:sz w:val="24"/>
          <w:highlight w:val="none"/>
          <w:lang w:val="en-US" w:eastAsia="zh-CN"/>
        </w:rPr>
      </w:pPr>
      <w:r>
        <w:rPr>
          <w:rFonts w:hint="eastAsia" w:ascii="仿宋" w:hAnsi="仿宋" w:eastAsia="仿宋" w:cs="仿宋"/>
          <w:b/>
          <w:bCs/>
          <w:sz w:val="24"/>
          <w:highlight w:val="none"/>
          <w:lang w:val="en-US" w:eastAsia="zh-CN"/>
        </w:rPr>
        <w:t>2.落实政府采购政策需满足的资格要求：</w:t>
      </w:r>
      <w:r>
        <w:rPr>
          <w:rFonts w:hint="eastAsia" w:ascii="仿宋" w:hAnsi="仿宋" w:eastAsia="仿宋" w:cs="仿宋"/>
          <w:b w:val="0"/>
          <w:bCs w:val="0"/>
          <w:sz w:val="24"/>
          <w:highlight w:val="none"/>
          <w:lang w:val="en-US" w:eastAsia="zh-CN"/>
        </w:rPr>
        <w:t>落实促进中小企业发展政策，供应商为中小企业/小微企业。</w:t>
      </w:r>
    </w:p>
    <w:p>
      <w:pPr>
        <w:spacing w:line="240" w:lineRule="auto"/>
        <w:ind w:firstLine="482" w:firstLineChars="200"/>
        <w:rPr>
          <w:rFonts w:hint="eastAsia" w:ascii="仿宋" w:hAnsi="仿宋" w:eastAsia="仿宋" w:cs="仿宋"/>
          <w:b w:val="0"/>
          <w:bCs w:val="0"/>
          <w:sz w:val="24"/>
          <w:highlight w:val="none"/>
          <w:lang w:val="en-US" w:eastAsia="zh-CN"/>
        </w:rPr>
      </w:pPr>
      <w:r>
        <w:rPr>
          <w:rFonts w:hint="eastAsia" w:ascii="仿宋" w:hAnsi="仿宋" w:eastAsia="仿宋" w:cs="仿宋"/>
          <w:b/>
          <w:bCs/>
          <w:sz w:val="24"/>
          <w:highlight w:val="none"/>
          <w:lang w:val="en-US" w:eastAsia="zh-CN"/>
        </w:rPr>
        <w:t>3.本项目的特定资格要求：</w:t>
      </w:r>
    </w:p>
    <w:p>
      <w:pPr>
        <w:spacing w:line="24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标项1、2、8肉类、禽蛋供应商必须为生产厂家或生产厂家直营店，若为同一品牌的，只允许其中一位供应商进行投标，以最早报名的供应商为有效供应商。且需具备有效的《食品生产许可证》或《食品经营许可证》；还需具有《动物防疫条件合格证》或近期的检疫检验合格证明；</w:t>
      </w:r>
    </w:p>
    <w:p>
      <w:pPr>
        <w:spacing w:line="240"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2）除标项6其余标项供应商若为生产厂家的需具备有效的《食品生产许可证》或《食品经营许可证》；若为经销商或自然人的需具备《食品经营许可证》(低值易耗品、初级农产品不提供)</w:t>
      </w:r>
    </w:p>
    <w:p>
      <w:pPr>
        <w:spacing w:line="240" w:lineRule="auto"/>
        <w:rPr>
          <w:rFonts w:hint="eastAsia" w:ascii="仿宋" w:hAnsi="仿宋" w:eastAsia="仿宋" w:cs="仿宋"/>
          <w:b/>
          <w:bCs/>
          <w:sz w:val="24"/>
          <w:highlight w:val="none"/>
        </w:rPr>
      </w:pPr>
      <w:r>
        <w:rPr>
          <w:rFonts w:hint="eastAsia" w:ascii="仿宋" w:hAnsi="仿宋" w:eastAsia="仿宋" w:cs="仿宋"/>
          <w:b/>
          <w:bCs/>
          <w:sz w:val="24"/>
          <w:highlight w:val="none"/>
        </w:rPr>
        <w:t>三、获取采购文件</w:t>
      </w:r>
    </w:p>
    <w:p>
      <w:pPr>
        <w:spacing w:line="240" w:lineRule="auto"/>
        <w:rPr>
          <w:rFonts w:hint="eastAsia" w:ascii="仿宋" w:hAnsi="仿宋" w:eastAsia="仿宋" w:cs="仿宋"/>
          <w:kern w:val="0"/>
          <w:sz w:val="24"/>
          <w:szCs w:val="20"/>
          <w:highlight w:val="none"/>
        </w:rPr>
      </w:pPr>
      <w:r>
        <w:rPr>
          <w:rFonts w:hint="eastAsia" w:ascii="仿宋" w:hAnsi="仿宋" w:eastAsia="仿宋" w:cs="仿宋"/>
          <w:b/>
          <w:bCs/>
          <w:sz w:val="24"/>
          <w:highlight w:val="none"/>
        </w:rPr>
        <w:t>  1.</w:t>
      </w:r>
      <w:r>
        <w:rPr>
          <w:rFonts w:hint="eastAsia" w:ascii="仿宋" w:hAnsi="仿宋" w:eastAsia="仿宋" w:cs="仿宋"/>
          <w:kern w:val="0"/>
          <w:sz w:val="24"/>
          <w:szCs w:val="20"/>
          <w:highlight w:val="none"/>
        </w:rPr>
        <w:t> 时间：202</w:t>
      </w:r>
      <w:r>
        <w:rPr>
          <w:rFonts w:hint="eastAsia" w:ascii="仿宋" w:hAnsi="仿宋" w:eastAsia="仿宋" w:cs="仿宋"/>
          <w:kern w:val="0"/>
          <w:sz w:val="24"/>
          <w:szCs w:val="20"/>
          <w:highlight w:val="none"/>
          <w:lang w:val="en-US" w:eastAsia="zh-CN"/>
        </w:rPr>
        <w:t>3</w:t>
      </w:r>
      <w:r>
        <w:rPr>
          <w:rFonts w:hint="eastAsia" w:ascii="仿宋" w:hAnsi="仿宋" w:eastAsia="仿宋" w:cs="仿宋"/>
          <w:kern w:val="0"/>
          <w:sz w:val="24"/>
          <w:szCs w:val="20"/>
          <w:highlight w:val="none"/>
        </w:rPr>
        <w:t>年</w:t>
      </w:r>
      <w:r>
        <w:rPr>
          <w:rFonts w:hint="eastAsia" w:ascii="仿宋" w:hAnsi="仿宋" w:eastAsia="仿宋" w:cs="仿宋"/>
          <w:kern w:val="0"/>
          <w:sz w:val="24"/>
          <w:szCs w:val="20"/>
          <w:highlight w:val="none"/>
          <w:lang w:val="en-US" w:eastAsia="zh-CN"/>
        </w:rPr>
        <w:t xml:space="preserve"> 02</w:t>
      </w:r>
      <w:r>
        <w:rPr>
          <w:rFonts w:hint="eastAsia" w:ascii="仿宋" w:hAnsi="仿宋" w:eastAsia="仿宋" w:cs="仿宋"/>
          <w:kern w:val="0"/>
          <w:sz w:val="24"/>
          <w:szCs w:val="20"/>
          <w:highlight w:val="none"/>
        </w:rPr>
        <w:t>月</w:t>
      </w:r>
      <w:r>
        <w:rPr>
          <w:rFonts w:hint="eastAsia" w:ascii="仿宋" w:hAnsi="仿宋" w:eastAsia="仿宋" w:cs="仿宋"/>
          <w:kern w:val="0"/>
          <w:sz w:val="24"/>
          <w:szCs w:val="20"/>
          <w:highlight w:val="none"/>
          <w:lang w:val="en-US" w:eastAsia="zh-CN"/>
        </w:rPr>
        <w:t>09</w:t>
      </w:r>
      <w:r>
        <w:rPr>
          <w:rFonts w:hint="eastAsia" w:ascii="仿宋" w:hAnsi="仿宋" w:eastAsia="仿宋" w:cs="仿宋"/>
          <w:kern w:val="0"/>
          <w:sz w:val="24"/>
          <w:szCs w:val="20"/>
          <w:highlight w:val="none"/>
        </w:rPr>
        <w:t>日至202</w:t>
      </w:r>
      <w:r>
        <w:rPr>
          <w:rFonts w:hint="eastAsia" w:ascii="仿宋" w:hAnsi="仿宋" w:eastAsia="仿宋" w:cs="仿宋"/>
          <w:kern w:val="0"/>
          <w:sz w:val="24"/>
          <w:szCs w:val="20"/>
          <w:highlight w:val="none"/>
          <w:lang w:val="en-US" w:eastAsia="zh-CN"/>
        </w:rPr>
        <w:t>3</w:t>
      </w:r>
      <w:r>
        <w:rPr>
          <w:rFonts w:hint="eastAsia" w:ascii="仿宋" w:hAnsi="仿宋" w:eastAsia="仿宋" w:cs="仿宋"/>
          <w:kern w:val="0"/>
          <w:sz w:val="24"/>
          <w:szCs w:val="20"/>
          <w:highlight w:val="none"/>
        </w:rPr>
        <w:t>年</w:t>
      </w:r>
      <w:r>
        <w:rPr>
          <w:rFonts w:hint="eastAsia" w:ascii="仿宋" w:hAnsi="仿宋" w:eastAsia="仿宋" w:cs="仿宋"/>
          <w:kern w:val="0"/>
          <w:sz w:val="24"/>
          <w:szCs w:val="20"/>
          <w:highlight w:val="none"/>
          <w:lang w:val="en-US" w:eastAsia="zh-CN"/>
        </w:rPr>
        <w:t xml:space="preserve">02 </w:t>
      </w:r>
      <w:r>
        <w:rPr>
          <w:rFonts w:hint="eastAsia" w:ascii="仿宋" w:hAnsi="仿宋" w:eastAsia="仿宋" w:cs="仿宋"/>
          <w:kern w:val="0"/>
          <w:sz w:val="24"/>
          <w:szCs w:val="20"/>
          <w:highlight w:val="none"/>
        </w:rPr>
        <w:t>月</w:t>
      </w:r>
      <w:r>
        <w:rPr>
          <w:rFonts w:hint="eastAsia" w:ascii="仿宋" w:hAnsi="仿宋" w:eastAsia="仿宋" w:cs="仿宋"/>
          <w:kern w:val="0"/>
          <w:sz w:val="24"/>
          <w:szCs w:val="20"/>
          <w:highlight w:val="none"/>
          <w:lang w:val="en-US" w:eastAsia="zh-CN"/>
        </w:rPr>
        <w:t>16</w:t>
      </w:r>
      <w:r>
        <w:rPr>
          <w:rFonts w:hint="eastAsia" w:ascii="仿宋" w:hAnsi="仿宋" w:eastAsia="仿宋" w:cs="仿宋"/>
          <w:kern w:val="0"/>
          <w:sz w:val="24"/>
          <w:szCs w:val="20"/>
          <w:highlight w:val="none"/>
        </w:rPr>
        <w:t>日，每天上午10:00至13:00，下午16:00至19:00（北京时间，法定节假日除外）</w:t>
      </w:r>
    </w:p>
    <w:p>
      <w:pPr>
        <w:spacing w:line="240" w:lineRule="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2.地点：新疆政府采购网政采云平台（www.zcygov.cn） </w:t>
      </w:r>
    </w:p>
    <w:p>
      <w:pPr>
        <w:spacing w:line="240" w:lineRule="auto"/>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3.方式：线上获取，供应商登录政采云账户,在线申请获取采购文件（登录政府采购云平台→采购项目→获取采购文件→申请，审核通过后可下载采购文件，如有操作性问题，可与政采云在线客服进行咨询，咨询电话</w:t>
      </w:r>
      <w:r>
        <w:rPr>
          <w:rFonts w:hint="eastAsia" w:ascii="仿宋" w:hAnsi="仿宋" w:eastAsia="仿宋" w:cs="仿宋"/>
          <w:kern w:val="0"/>
          <w:sz w:val="24"/>
          <w:szCs w:val="20"/>
          <w:highlight w:val="none"/>
          <w:lang w:val="en-US" w:eastAsia="zh-CN"/>
        </w:rPr>
        <w:t>95763</w:t>
      </w:r>
      <w:r>
        <w:rPr>
          <w:rFonts w:hint="eastAsia" w:ascii="仿宋" w:hAnsi="仿宋" w:eastAsia="仿宋" w:cs="仿宋"/>
          <w:kern w:val="0"/>
          <w:sz w:val="24"/>
          <w:szCs w:val="20"/>
          <w:highlight w:val="none"/>
        </w:rPr>
        <w:t>） </w:t>
      </w:r>
    </w:p>
    <w:p>
      <w:pPr>
        <w:spacing w:line="288" w:lineRule="auto"/>
        <w:rPr>
          <w:rFonts w:hint="eastAsia" w:ascii="仿宋" w:hAnsi="仿宋" w:eastAsia="仿宋" w:cs="仿宋"/>
          <w:b/>
          <w:bCs/>
          <w:sz w:val="24"/>
          <w:highlight w:val="none"/>
        </w:rPr>
      </w:pPr>
      <w:r>
        <w:rPr>
          <w:rFonts w:hint="eastAsia" w:ascii="仿宋" w:hAnsi="仿宋" w:eastAsia="仿宋" w:cs="仿宋"/>
          <w:b/>
          <w:bCs/>
          <w:sz w:val="24"/>
          <w:highlight w:val="none"/>
        </w:rPr>
        <w:t>四、</w:t>
      </w:r>
      <w:bookmarkEnd w:id="10"/>
      <w:bookmarkEnd w:id="11"/>
      <w:bookmarkEnd w:id="12"/>
      <w:bookmarkEnd w:id="13"/>
      <w:r>
        <w:rPr>
          <w:rFonts w:hint="eastAsia" w:ascii="仿宋" w:hAnsi="仿宋" w:eastAsia="仿宋" w:cs="仿宋"/>
          <w:b/>
          <w:bCs/>
          <w:sz w:val="24"/>
          <w:highlight w:val="none"/>
        </w:rPr>
        <w:t>提交投标文件截止时间、开标时间和地点</w:t>
      </w:r>
    </w:p>
    <w:p>
      <w:pPr>
        <w:spacing w:line="288" w:lineRule="auto"/>
        <w:ind w:firstLine="480" w:firstLineChars="200"/>
        <w:rPr>
          <w:rFonts w:hint="eastAsia" w:ascii="仿宋" w:hAnsi="仿宋" w:eastAsia="仿宋" w:cs="仿宋"/>
          <w:bCs/>
          <w:sz w:val="24"/>
          <w:highlight w:val="none"/>
          <w:u w:val="single"/>
          <w:lang w:val="en-US" w:eastAsia="zh-CN"/>
        </w:rPr>
      </w:pPr>
      <w:r>
        <w:rPr>
          <w:rFonts w:hint="eastAsia" w:ascii="仿宋" w:hAnsi="仿宋" w:eastAsia="仿宋" w:cs="仿宋"/>
          <w:bCs/>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03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01 </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 xml:space="preserve"> 上午10:30</w:t>
      </w:r>
    </w:p>
    <w:p>
      <w:pP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投标地点：</w:t>
      </w:r>
      <w:bookmarkStart w:id="14" w:name="_Toc28359007"/>
      <w:bookmarkStart w:id="15" w:name="_Toc35393794"/>
      <w:bookmarkStart w:id="16" w:name="_Toc28359084"/>
      <w:bookmarkStart w:id="17" w:name="_Toc35393625"/>
      <w:r>
        <w:rPr>
          <w:rFonts w:hint="eastAsia" w:ascii="仿宋" w:hAnsi="仿宋" w:eastAsia="仿宋" w:cs="仿宋"/>
          <w:sz w:val="24"/>
          <w:highlight w:val="none"/>
        </w:rPr>
        <w:t>新疆政府采购网政采云平台（www.zcygov.cn） </w:t>
      </w:r>
    </w:p>
    <w:p>
      <w:pPr>
        <w:spacing w:line="288" w:lineRule="auto"/>
        <w:ind w:firstLine="480" w:firstLineChars="200"/>
        <w:rPr>
          <w:rFonts w:hint="eastAsia" w:ascii="仿宋" w:hAnsi="仿宋" w:eastAsia="仿宋" w:cs="仿宋"/>
          <w:bCs/>
          <w:sz w:val="24"/>
          <w:highlight w:val="none"/>
          <w:u w:val="single"/>
          <w:lang w:val="en-US" w:eastAsia="zh-CN"/>
        </w:rPr>
      </w:pPr>
      <w:r>
        <w:rPr>
          <w:rFonts w:hint="eastAsia" w:ascii="仿宋" w:hAnsi="仿宋" w:eastAsia="仿宋" w:cs="仿宋"/>
          <w:bCs/>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03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01</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 xml:space="preserve"> 上午10:30</w:t>
      </w:r>
    </w:p>
    <w:p>
      <w:pPr>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开标地点：新疆政府采购网政采云平台（www.zcygov.cn）</w:t>
      </w:r>
    </w:p>
    <w:p>
      <w:pPr>
        <w:spacing w:line="288" w:lineRule="auto"/>
        <w:rPr>
          <w:rFonts w:hint="eastAsia" w:ascii="仿宋" w:hAnsi="仿宋" w:eastAsia="仿宋" w:cs="仿宋"/>
          <w:b/>
          <w:bCs/>
          <w:sz w:val="24"/>
          <w:highlight w:val="none"/>
        </w:rPr>
      </w:pPr>
      <w:r>
        <w:rPr>
          <w:rFonts w:hint="eastAsia" w:ascii="仿宋" w:hAnsi="仿宋" w:eastAsia="仿宋" w:cs="仿宋"/>
          <w:b/>
          <w:bCs/>
          <w:sz w:val="24"/>
          <w:highlight w:val="none"/>
        </w:rPr>
        <w:t>五、公告期限</w:t>
      </w:r>
      <w:bookmarkEnd w:id="14"/>
      <w:bookmarkEnd w:id="15"/>
      <w:bookmarkEnd w:id="16"/>
      <w:bookmarkEnd w:id="17"/>
    </w:p>
    <w:p>
      <w:pPr>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p>
    <w:p>
      <w:pPr>
        <w:spacing w:line="288" w:lineRule="auto"/>
        <w:rPr>
          <w:rFonts w:hint="eastAsia" w:ascii="仿宋" w:hAnsi="仿宋" w:eastAsia="仿宋" w:cs="仿宋"/>
          <w:b/>
          <w:bCs/>
          <w:sz w:val="24"/>
          <w:highlight w:val="none"/>
        </w:rPr>
      </w:pPr>
      <w:bookmarkStart w:id="18" w:name="_Toc35393626"/>
      <w:bookmarkStart w:id="19" w:name="_Toc35393795"/>
      <w:r>
        <w:rPr>
          <w:rFonts w:hint="eastAsia" w:ascii="仿宋" w:hAnsi="仿宋" w:eastAsia="仿宋" w:cs="仿宋"/>
          <w:b/>
          <w:bCs/>
          <w:sz w:val="24"/>
          <w:highlight w:val="none"/>
        </w:rPr>
        <w:t>六、其他补充事宜</w:t>
      </w:r>
      <w:bookmarkEnd w:id="18"/>
      <w:bookmarkEnd w:id="19"/>
    </w:p>
    <w:p>
      <w:pPr>
        <w:spacing w:line="288" w:lineRule="auto"/>
        <w:ind w:firstLine="480" w:firstLineChars="200"/>
        <w:rPr>
          <w:rFonts w:hint="eastAsia" w:ascii="仿宋" w:hAnsi="仿宋" w:eastAsia="仿宋" w:cs="仿宋"/>
          <w:kern w:val="0"/>
          <w:sz w:val="24"/>
          <w:highlight w:val="none"/>
          <w:lang w:eastAsia="zh-CN"/>
        </w:rPr>
      </w:pPr>
      <w:bookmarkStart w:id="20" w:name="_Toc35393796"/>
      <w:bookmarkStart w:id="21" w:name="_Toc28359085"/>
      <w:bookmarkStart w:id="22" w:name="_Toc35393627"/>
      <w:bookmarkStart w:id="23" w:name="_Toc28359008"/>
      <w:r>
        <w:rPr>
          <w:rFonts w:hint="eastAsia" w:ascii="仿宋" w:hAnsi="仿宋" w:eastAsia="仿宋" w:cs="仿宋"/>
          <w:kern w:val="0"/>
          <w:sz w:val="24"/>
          <w:highlight w:val="none"/>
        </w:rPr>
        <w:t>（1）本项目为电子招投标项目，投标人需要使用CA加密设备，凡参加本项目投标人可通过新疆数字证书认证中心官网（https://www.xjca.com.cn/）或下载“新疆政务通”APP自行进行线上申领，或前往新疆克拉玛依市克拉玛依区迎宾路75号（中国银行大厦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楼营业部）或新疆克拉玛依市独山子区大庆东路3039号（市民服务中心三楼大厅）进行线下办理。如有操作性问题可与政采云在线客服进行咨询，咨询电话：</w:t>
      </w:r>
      <w:r>
        <w:rPr>
          <w:rFonts w:hint="eastAsia" w:ascii="仿宋" w:hAnsi="仿宋" w:eastAsia="仿宋" w:cs="仿宋"/>
          <w:kern w:val="0"/>
          <w:sz w:val="24"/>
          <w:highlight w:val="none"/>
          <w:lang w:val="en-US" w:eastAsia="zh-CN"/>
        </w:rPr>
        <w:t>95763</w:t>
      </w:r>
      <w:r>
        <w:rPr>
          <w:rFonts w:hint="eastAsia" w:ascii="仿宋" w:hAnsi="仿宋" w:eastAsia="仿宋" w:cs="仿宋"/>
          <w:kern w:val="0"/>
          <w:sz w:val="24"/>
          <w:highlight w:val="none"/>
        </w:rPr>
        <w:t>。</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（2）本项目实行网上投标，采用电子投标文件，若投标人参与投标，应自行承担投标一切费用。</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（3）投标人应在开标前确保成为新疆政府采购网正式注册入库供应商，并完成CA数字证书申领。因未注册入库、未办理CA数字证书等原因造成无法投标或投标失败等后果由投标人自行承担。</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4）投标人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w:t>
      </w:r>
      <w:r>
        <w:rPr>
          <w:rFonts w:hint="eastAsia" w:ascii="仿宋" w:hAnsi="仿宋" w:eastAsia="仿宋" w:cs="仿宋"/>
          <w:kern w:val="0"/>
          <w:sz w:val="24"/>
          <w:highlight w:val="none"/>
          <w:lang w:val="en-US" w:eastAsia="zh-CN"/>
        </w:rPr>
        <w:t>95763</w:t>
      </w:r>
      <w:r>
        <w:rPr>
          <w:rFonts w:hint="eastAsia" w:ascii="仿宋" w:hAnsi="仿宋" w:eastAsia="仿宋" w:cs="仿宋"/>
          <w:kern w:val="0"/>
          <w:sz w:val="24"/>
          <w:highlight w:val="none"/>
        </w:rPr>
        <w:t>进行咨询。</w:t>
      </w:r>
    </w:p>
    <w:p>
      <w:pPr>
        <w:spacing w:line="288" w:lineRule="auto"/>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（5）投标人应当在投标截止时间前，将生成的“电子加密投标文件”上传递交至“政府采购云平台”，投标截止时间以后上传递交的投标文件将被“政府采购云平台”拒收。</w:t>
      </w:r>
    </w:p>
    <w:p>
      <w:pPr>
        <w:spacing w:line="288"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（6）投标人登录政采云平台，在开标时间后30分钟内（202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03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01  </w:t>
      </w:r>
      <w:r>
        <w:rPr>
          <w:rFonts w:hint="eastAsia" w:ascii="仿宋" w:hAnsi="仿宋" w:eastAsia="仿宋" w:cs="仿宋"/>
          <w:kern w:val="0"/>
          <w:sz w:val="24"/>
          <w:highlight w:val="none"/>
        </w:rPr>
        <w:t>日1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00</w:t>
      </w:r>
      <w:r>
        <w:rPr>
          <w:rFonts w:hint="eastAsia" w:ascii="仿宋" w:hAnsi="仿宋" w:eastAsia="仿宋" w:cs="仿宋"/>
          <w:kern w:val="0"/>
          <w:sz w:val="24"/>
          <w:highlight w:val="none"/>
        </w:rPr>
        <w:t>）用“项目采购-开标评标”功能进行解密投标文件。若投标人在规定时间内（202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03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01  </w:t>
      </w:r>
      <w:r>
        <w:rPr>
          <w:rFonts w:hint="eastAsia" w:ascii="仿宋" w:hAnsi="仿宋" w:eastAsia="仿宋" w:cs="仿宋"/>
          <w:kern w:val="0"/>
          <w:sz w:val="24"/>
          <w:highlight w:val="none"/>
        </w:rPr>
        <w:t>日1</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-1</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00</w:t>
      </w:r>
      <w:r>
        <w:rPr>
          <w:rFonts w:hint="eastAsia" w:ascii="仿宋" w:hAnsi="仿宋" w:eastAsia="仿宋" w:cs="仿宋"/>
          <w:kern w:val="0"/>
          <w:sz w:val="24"/>
          <w:highlight w:val="none"/>
        </w:rPr>
        <w:t>）未按时解密的，视为无效投标。解密与加密投标文件须使用同一个CA。       </w:t>
      </w:r>
    </w:p>
    <w:p>
      <w:pPr>
        <w:widowControl/>
        <w:spacing w:line="288"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七、</w:t>
      </w:r>
      <w:bookmarkEnd w:id="20"/>
      <w:bookmarkEnd w:id="21"/>
      <w:bookmarkEnd w:id="22"/>
      <w:bookmarkEnd w:id="23"/>
      <w:r>
        <w:rPr>
          <w:rFonts w:hint="eastAsia" w:ascii="仿宋" w:hAnsi="仿宋" w:eastAsia="仿宋" w:cs="仿宋"/>
          <w:b/>
          <w:bCs/>
          <w:sz w:val="24"/>
          <w:highlight w:val="none"/>
        </w:rPr>
        <w:t>对本次采购提出询问，请按以下方式联系</w:t>
      </w:r>
    </w:p>
    <w:p>
      <w:pPr>
        <w:widowControl/>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t>　　　1.采购人信息</w:t>
      </w:r>
    </w:p>
    <w:p>
      <w:pPr>
        <w:spacing w:line="288" w:lineRule="auto"/>
        <w:ind w:left="1079" w:leftChars="371" w:hanging="300" w:hangingChars="125"/>
        <w:jc w:val="left"/>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克拉玛依市机关后勤服务中心（援克服务中心）</w:t>
      </w:r>
    </w:p>
    <w:p>
      <w:pPr>
        <w:spacing w:line="288" w:lineRule="auto"/>
        <w:ind w:left="1079" w:leftChars="371" w:hanging="300" w:hangingChars="125"/>
        <w:jc w:val="left"/>
        <w:rPr>
          <w:rFonts w:hint="eastAsia" w:ascii="仿宋" w:hAnsi="仿宋" w:eastAsia="仿宋" w:cs="仿宋"/>
          <w:kern w:val="0"/>
          <w:sz w:val="24"/>
          <w:highlight w:val="none"/>
          <w:lang w:eastAsia="zh-CN"/>
        </w:rPr>
      </w:pPr>
      <w:r>
        <w:rPr>
          <w:rFonts w:hint="eastAsia" w:ascii="仿宋" w:hAnsi="仿宋" w:eastAsia="仿宋" w:cs="仿宋"/>
          <w:sz w:val="24"/>
          <w:highlight w:val="none"/>
        </w:rPr>
        <w:t>地址：</w:t>
      </w:r>
      <w:bookmarkStart w:id="24" w:name="_Toc28359086"/>
      <w:bookmarkStart w:id="25" w:name="_Toc28359009"/>
      <w:r>
        <w:rPr>
          <w:rFonts w:hint="eastAsia" w:ascii="仿宋" w:hAnsi="仿宋" w:eastAsia="仿宋" w:cs="仿宋"/>
          <w:kern w:val="0"/>
          <w:sz w:val="24"/>
          <w:highlight w:val="none"/>
        </w:rPr>
        <w:t>克拉玛依市政府2号楼</w:t>
      </w:r>
    </w:p>
    <w:p>
      <w:pPr>
        <w:spacing w:line="300" w:lineRule="exact"/>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rPr>
        <w:t>联系</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szCs w:val="24"/>
          <w:highlight w:val="none"/>
          <w:lang w:val="en-US" w:eastAsia="zh-CN"/>
        </w:rPr>
        <w:t>丁维军、白关军</w:t>
      </w:r>
    </w:p>
    <w:p>
      <w:pPr>
        <w:spacing w:line="288" w:lineRule="auto"/>
        <w:ind w:left="1079" w:leftChars="371" w:hanging="300" w:hangingChars="125"/>
        <w:jc w:val="left"/>
        <w:rPr>
          <w:rFonts w:hint="eastAsia" w:ascii="仿宋" w:hAnsi="仿宋" w:eastAsia="仿宋" w:cs="仿宋"/>
          <w:sz w:val="24"/>
          <w:highlight w:val="none"/>
        </w:rPr>
      </w:pPr>
    </w:p>
    <w:p>
      <w:pPr>
        <w:spacing w:line="288" w:lineRule="auto"/>
        <w:ind w:left="1079" w:leftChars="371" w:hanging="300" w:hangingChars="125"/>
        <w:jc w:val="left"/>
        <w:rPr>
          <w:rFonts w:hint="eastAsia" w:ascii="仿宋" w:hAnsi="仿宋" w:eastAsia="仿宋" w:cs="仿宋"/>
          <w:sz w:val="24"/>
          <w:highlight w:val="none"/>
        </w:rPr>
      </w:pPr>
      <w:r>
        <w:rPr>
          <w:rFonts w:hint="eastAsia" w:ascii="仿宋" w:hAnsi="仿宋" w:eastAsia="仿宋" w:cs="仿宋"/>
          <w:sz w:val="24"/>
          <w:highlight w:val="none"/>
        </w:rPr>
        <w:t>2.采购代理机构信息</w:t>
      </w:r>
      <w:bookmarkEnd w:id="24"/>
      <w:bookmarkEnd w:id="25"/>
    </w:p>
    <w:p>
      <w:pPr>
        <w:spacing w:line="288"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名称：新疆卓捷工程造价咨询有限公司</w:t>
      </w:r>
    </w:p>
    <w:p>
      <w:pPr>
        <w:spacing w:line="288"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rPr>
        <w:t>地址：克拉玛依市和谐智源城8楼</w:t>
      </w:r>
      <w:r>
        <w:rPr>
          <w:rFonts w:hint="eastAsia" w:ascii="仿宋" w:hAnsi="仿宋" w:eastAsia="仿宋" w:cs="仿宋"/>
          <w:sz w:val="24"/>
          <w:highlight w:val="none"/>
          <w:lang w:val="en-US" w:eastAsia="zh-CN"/>
        </w:rPr>
        <w:t>801</w:t>
      </w:r>
    </w:p>
    <w:p>
      <w:pPr>
        <w:spacing w:line="288" w:lineRule="auto"/>
        <w:ind w:firstLine="720" w:firstLineChars="300"/>
        <w:rPr>
          <w:rFonts w:hint="eastAsia" w:ascii="仿宋" w:hAnsi="仿宋" w:eastAsia="仿宋" w:cs="仿宋"/>
          <w:sz w:val="24"/>
          <w:highlight w:val="none"/>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宋丽丽</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陈鑫 </w:t>
      </w:r>
    </w:p>
    <w:p>
      <w:pPr>
        <w:spacing w:line="288"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联系方式：0990-6666534、</w:t>
      </w:r>
      <w:r>
        <w:rPr>
          <w:rFonts w:hint="eastAsia" w:ascii="仿宋" w:hAnsi="仿宋" w:eastAsia="仿宋" w:cs="仿宋"/>
          <w:sz w:val="24"/>
          <w:highlight w:val="none"/>
          <w:lang w:val="en-US" w:eastAsia="zh-CN"/>
        </w:rPr>
        <w:t>18196010605</w:t>
      </w:r>
    </w:p>
    <w:p>
      <w:pPr>
        <w:spacing w:line="288" w:lineRule="auto"/>
        <w:ind w:firstLine="720" w:firstLineChars="300"/>
        <w:rPr>
          <w:rFonts w:hint="eastAsia" w:ascii="仿宋" w:hAnsi="仿宋" w:eastAsia="仿宋" w:cs="仿宋"/>
          <w:highlight w:val="none"/>
        </w:rPr>
      </w:pPr>
      <w:r>
        <w:rPr>
          <w:rFonts w:hint="eastAsia" w:ascii="仿宋" w:hAnsi="仿宋" w:eastAsia="仿宋" w:cs="仿宋"/>
          <w:sz w:val="24"/>
          <w:highlight w:val="none"/>
        </w:rPr>
        <w:t>邮箱：</w:t>
      </w:r>
      <w:r>
        <w:rPr>
          <w:rFonts w:hint="eastAsia" w:ascii="仿宋" w:hAnsi="仿宋" w:eastAsia="仿宋" w:cs="仿宋"/>
          <w:sz w:val="24"/>
          <w:highlight w:val="none"/>
          <w:lang w:val="en-US" w:eastAsia="zh-CN"/>
        </w:rPr>
        <w:t>1803121099</w:t>
      </w:r>
      <w:r>
        <w:rPr>
          <w:rFonts w:hint="eastAsia" w:ascii="仿宋" w:hAnsi="仿宋" w:eastAsia="仿宋" w:cs="仿宋"/>
          <w:sz w:val="24"/>
          <w:highlight w:val="none"/>
        </w:rPr>
        <w:t>@qq.com</w:t>
      </w:r>
    </w:p>
    <w:p>
      <w:pPr>
        <w:widowControl/>
        <w:spacing w:line="288" w:lineRule="auto"/>
        <w:ind w:firstLine="720" w:firstLineChars="300"/>
        <w:jc w:val="left"/>
        <w:rPr>
          <w:rFonts w:hint="eastAsia" w:ascii="仿宋" w:hAnsi="仿宋" w:eastAsia="仿宋" w:cs="仿宋"/>
          <w:sz w:val="24"/>
          <w:highlight w:val="none"/>
        </w:rPr>
      </w:pPr>
    </w:p>
    <w:p>
      <w:pPr>
        <w:widowControl/>
        <w:spacing w:line="288" w:lineRule="auto"/>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3.项目联系方式</w:t>
      </w:r>
    </w:p>
    <w:p>
      <w:pPr>
        <w:widowControl/>
        <w:spacing w:line="288" w:lineRule="auto"/>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宋丽丽</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陈鑫 </w:t>
      </w:r>
    </w:p>
    <w:p>
      <w:pPr>
        <w:widowControl/>
        <w:spacing w:line="288" w:lineRule="auto"/>
        <w:ind w:firstLine="720" w:firstLineChars="300"/>
        <w:jc w:val="left"/>
        <w:rPr>
          <w:rFonts w:hint="default" w:ascii="仿宋" w:hAnsi="仿宋" w:eastAsia="仿宋" w:cs="仿宋"/>
          <w:highlight w:val="none"/>
          <w:lang w:val="en-US"/>
        </w:rPr>
      </w:pPr>
      <w:r>
        <w:rPr>
          <w:rFonts w:hint="eastAsia" w:ascii="仿宋" w:hAnsi="仿宋" w:eastAsia="仿宋" w:cs="仿宋"/>
          <w:sz w:val="24"/>
          <w:highlight w:val="none"/>
        </w:rPr>
        <w:t>电 话：0990-6666534、</w:t>
      </w:r>
      <w:r>
        <w:rPr>
          <w:rFonts w:hint="eastAsia" w:ascii="仿宋" w:hAnsi="仿宋" w:eastAsia="仿宋" w:cs="仿宋"/>
          <w:sz w:val="24"/>
          <w:highlight w:val="none"/>
          <w:lang w:val="en-US" w:eastAsia="zh-CN"/>
        </w:rPr>
        <w:t>18196010605</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5"/>
        <w:numPr>
          <w:ilvl w:val="0"/>
          <w:numId w:val="0"/>
        </w:numPr>
        <w:bidi w:val="0"/>
        <w:ind w:leftChars="0"/>
        <w:jc w:val="center"/>
        <w:rPr>
          <w:rFonts w:hint="eastAsia" w:ascii="仿宋" w:hAnsi="仿宋" w:eastAsia="仿宋" w:cs="仿宋"/>
          <w:sz w:val="32"/>
          <w:szCs w:val="32"/>
          <w:highlight w:val="none"/>
        </w:rPr>
      </w:pPr>
      <w:bookmarkStart w:id="26" w:name="_Toc4402"/>
      <w:r>
        <w:rPr>
          <w:rFonts w:hint="eastAsia" w:ascii="仿宋" w:hAnsi="仿宋" w:eastAsia="仿宋" w:cs="仿宋"/>
          <w:sz w:val="32"/>
          <w:szCs w:val="32"/>
          <w:highlight w:val="none"/>
        </w:rPr>
        <w:t xml:space="preserve">第二章 </w:t>
      </w:r>
      <w:bookmarkStart w:id="27" w:name="_Toc154996575"/>
      <w:r>
        <w:rPr>
          <w:rFonts w:hint="eastAsia" w:ascii="仿宋" w:hAnsi="仿宋" w:eastAsia="仿宋" w:cs="仿宋"/>
          <w:sz w:val="32"/>
          <w:szCs w:val="32"/>
          <w:highlight w:val="none"/>
        </w:rPr>
        <w:t>投标人须知</w:t>
      </w:r>
      <w:bookmarkEnd w:id="26"/>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前附表</w:t>
      </w:r>
    </w:p>
    <w:tbl>
      <w:tblPr>
        <w:tblStyle w:val="2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949"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949" w:type="dxa"/>
            <w:vAlign w:val="center"/>
          </w:tcPr>
          <w:p>
            <w:pPr>
              <w:pStyle w:val="20"/>
              <w:spacing w:before="0" w:beforeAutospacing="0" w:after="0" w:afterAutospacing="0" w:line="340" w:lineRule="exact"/>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2023年度克拉玛依市机关后勤服务中心（援克服务中心）机关食堂食材供应商采购项目</w:t>
            </w:r>
          </w:p>
          <w:p>
            <w:pPr>
              <w:pStyle w:val="11"/>
              <w:spacing w:line="3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招标文件编号：</w:t>
            </w:r>
            <w:r>
              <w:rPr>
                <w:rFonts w:hint="eastAsia" w:ascii="仿宋" w:hAnsi="仿宋" w:eastAsia="仿宋" w:cs="仿宋"/>
                <w:sz w:val="24"/>
                <w:szCs w:val="24"/>
                <w:highlight w:val="none"/>
                <w:lang w:eastAsia="zh-CN"/>
              </w:rPr>
              <w:t>XJZJ-2023(采购)-004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949" w:type="dxa"/>
            <w:vAlign w:val="center"/>
          </w:tcPr>
          <w:p>
            <w:pPr>
              <w:autoSpaceDE w:val="0"/>
              <w:autoSpaceDN w:val="0"/>
              <w:adjustRightInd w:val="0"/>
              <w:spacing w:line="340" w:lineRule="exact"/>
              <w:ind w:left="1200" w:hanging="1200" w:hangingChars="500"/>
              <w:rPr>
                <w:rFonts w:hint="eastAsia" w:ascii="仿宋" w:hAnsi="仿宋" w:eastAsia="仿宋" w:cs="仿宋"/>
                <w:sz w:val="24"/>
                <w:highlight w:val="none"/>
                <w:lang w:eastAsia="zh-CN"/>
              </w:rPr>
            </w:pPr>
            <w:r>
              <w:rPr>
                <w:rFonts w:hint="eastAsia" w:ascii="仿宋" w:hAnsi="仿宋" w:eastAsia="仿宋" w:cs="仿宋"/>
                <w:sz w:val="24"/>
                <w:highlight w:val="none"/>
              </w:rPr>
              <w:t>采购人：</w:t>
            </w:r>
            <w:r>
              <w:rPr>
                <w:rFonts w:hint="eastAsia" w:ascii="仿宋" w:hAnsi="仿宋" w:eastAsia="仿宋" w:cs="仿宋"/>
                <w:kern w:val="0"/>
                <w:sz w:val="24"/>
                <w:highlight w:val="none"/>
                <w:lang w:eastAsia="zh-CN"/>
              </w:rPr>
              <w:t>克拉玛依市机关后勤服务中心（援克服务中心）</w:t>
            </w:r>
          </w:p>
          <w:p>
            <w:pPr>
              <w:autoSpaceDE w:val="0"/>
              <w:autoSpaceDN w:val="0"/>
              <w:adjustRightInd w:val="0"/>
              <w:spacing w:line="340" w:lineRule="exact"/>
              <w:ind w:left="1200" w:hanging="1200" w:hangingChars="50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kern w:val="0"/>
                <w:sz w:val="24"/>
                <w:highlight w:val="none"/>
              </w:rPr>
              <w:t>克拉玛依市政府2号楼</w:t>
            </w:r>
            <w:r>
              <w:rPr>
                <w:rFonts w:hint="eastAsia" w:ascii="仿宋" w:hAnsi="仿宋" w:eastAsia="仿宋" w:cs="仿宋"/>
                <w:sz w:val="24"/>
                <w:highlight w:val="none"/>
              </w:rPr>
              <w:t xml:space="preserve">  </w:t>
            </w:r>
          </w:p>
          <w:p>
            <w:pPr>
              <w:pStyle w:val="11"/>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丁维军</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、白关军</w:t>
            </w:r>
            <w:r>
              <w:rPr>
                <w:rFonts w:hint="eastAsia" w:ascii="仿宋" w:hAnsi="仿宋" w:eastAsia="仿宋" w:cs="仿宋"/>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949" w:type="dxa"/>
            <w:vAlign w:val="center"/>
          </w:tcPr>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采购代理机构：新疆卓捷工程造价咨询有限公司</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地址：新疆克拉玛依区和谐智源城8楼801    邮政编码：834000</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账户名称：新疆卓捷工程造价咨询有限公司克拉玛依市分公司</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开户行：中国建设银行股份有限公司克拉玛依朝阳支行</w:t>
            </w:r>
          </w:p>
          <w:p>
            <w:pPr>
              <w:pStyle w:val="11"/>
              <w:spacing w:line="34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账户：6505 0189 8650 0000 0187</w:t>
            </w:r>
          </w:p>
          <w:p>
            <w:pPr>
              <w:pStyle w:val="11"/>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联系人：王永红  联系电话：15909903313    0990-6666534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8949" w:type="dxa"/>
            <w:vAlign w:val="center"/>
          </w:tcPr>
          <w:p>
            <w:pPr>
              <w:pStyle w:val="11"/>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投标文件有效期：递交投标文件截止之日起90天（日历日）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8949" w:type="dxa"/>
            <w:vAlign w:val="center"/>
          </w:tcPr>
          <w:p>
            <w:pPr>
              <w:pStyle w:val="11"/>
              <w:spacing w:line="34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投标文件</w:t>
            </w:r>
            <w:r>
              <w:rPr>
                <w:rFonts w:hint="eastAsia" w:ascii="仿宋" w:hAnsi="仿宋" w:eastAsia="仿宋" w:cs="仿宋"/>
                <w:sz w:val="24"/>
                <w:szCs w:val="24"/>
                <w:highlight w:val="none"/>
                <w:lang w:val="en-US" w:eastAsia="zh-CN"/>
              </w:rPr>
              <w:t>的份数：/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8949" w:type="dxa"/>
            <w:vAlign w:val="center"/>
          </w:tcPr>
          <w:p>
            <w:pPr>
              <w:spacing w:line="34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采购人不统一组织考察，各投标人自行对招标项目进行考察。</w:t>
            </w:r>
          </w:p>
          <w:p>
            <w:pPr>
              <w:spacing w:line="3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供应商如有疑问，于202</w:t>
            </w:r>
            <w:r>
              <w:rPr>
                <w:rFonts w:hint="eastAsia" w:ascii="仿宋" w:hAnsi="仿宋" w:eastAsia="仿宋" w:cs="仿宋"/>
                <w:sz w:val="24"/>
                <w:highlight w:val="none"/>
                <w:lang w:val="en-US" w:eastAsia="zh-CN"/>
              </w:rPr>
              <w:t>3</w:t>
            </w:r>
            <w:r>
              <w:rPr>
                <w:rFonts w:hint="default" w:ascii="仿宋" w:hAnsi="仿宋" w:eastAsia="仿宋" w:cs="仿宋"/>
                <w:sz w:val="24"/>
                <w:highlight w:val="none"/>
                <w:lang w:val="en-US" w:eastAsia="zh-CN"/>
              </w:rPr>
              <w:t>年 0</w:t>
            </w:r>
            <w:r>
              <w:rPr>
                <w:rFonts w:hint="eastAsia" w:ascii="仿宋" w:hAnsi="仿宋" w:eastAsia="仿宋" w:cs="仿宋"/>
                <w:sz w:val="24"/>
                <w:highlight w:val="none"/>
                <w:lang w:val="en-US" w:eastAsia="zh-CN"/>
              </w:rPr>
              <w:t>2</w:t>
            </w:r>
            <w:r>
              <w:rPr>
                <w:rFonts w:hint="default" w:ascii="仿宋" w:hAnsi="仿宋" w:eastAsia="仿宋" w:cs="仿宋"/>
                <w:sz w:val="24"/>
                <w:highlight w:val="none"/>
                <w:lang w:val="en-US" w:eastAsia="zh-CN"/>
              </w:rPr>
              <w:t xml:space="preserve">月 </w:t>
            </w:r>
            <w:r>
              <w:rPr>
                <w:rFonts w:hint="eastAsia" w:ascii="仿宋" w:hAnsi="仿宋" w:eastAsia="仿宋" w:cs="仿宋"/>
                <w:sz w:val="24"/>
                <w:highlight w:val="none"/>
                <w:lang w:val="en-US" w:eastAsia="zh-CN"/>
              </w:rPr>
              <w:t>19</w:t>
            </w:r>
            <w:r>
              <w:rPr>
                <w:rFonts w:hint="default" w:ascii="仿宋" w:hAnsi="仿宋" w:eastAsia="仿宋" w:cs="仿宋"/>
                <w:sz w:val="24"/>
                <w:highlight w:val="none"/>
                <w:lang w:val="en-US" w:eastAsia="zh-CN"/>
              </w:rPr>
              <w:t xml:space="preserve">日19：00前将有关疑问以扫描件形式（必须加盖供应商公章）发送到邮箱： </w:t>
            </w:r>
            <w:r>
              <w:rPr>
                <w:rFonts w:hint="eastAsia" w:ascii="仿宋" w:hAnsi="仿宋" w:eastAsia="仿宋" w:cs="仿宋"/>
                <w:sz w:val="24"/>
                <w:highlight w:val="none"/>
                <w:lang w:val="en-US" w:eastAsia="zh-CN"/>
              </w:rPr>
              <w:t>1803121099</w:t>
            </w:r>
            <w:r>
              <w:rPr>
                <w:rFonts w:hint="default" w:ascii="仿宋" w:hAnsi="仿宋" w:eastAsia="仿宋" w:cs="仿宋"/>
                <w:sz w:val="24"/>
                <w:highlight w:val="none"/>
                <w:lang w:val="en-US" w:eastAsia="zh-CN"/>
              </w:rPr>
              <w:t>@qq.com ，采购人将对所提疑问以书面形式发至领取</w:t>
            </w:r>
            <w:r>
              <w:rPr>
                <w:rFonts w:hint="eastAsia" w:ascii="仿宋" w:hAnsi="仿宋" w:eastAsia="仿宋" w:cs="仿宋"/>
                <w:sz w:val="24"/>
                <w:highlight w:val="none"/>
                <w:lang w:val="en-US" w:eastAsia="zh-CN"/>
              </w:rPr>
              <w:t>招标</w:t>
            </w:r>
            <w:r>
              <w:rPr>
                <w:rFonts w:hint="default" w:ascii="仿宋" w:hAnsi="仿宋" w:eastAsia="仿宋" w:cs="仿宋"/>
                <w:sz w:val="24"/>
                <w:highlight w:val="none"/>
                <w:lang w:val="en-US" w:eastAsia="zh-CN"/>
              </w:rPr>
              <w:t>文件的每位供应商。</w:t>
            </w:r>
          </w:p>
          <w:p>
            <w:pPr>
              <w:spacing w:line="3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书面提问截止时间：202</w:t>
            </w:r>
            <w:r>
              <w:rPr>
                <w:rFonts w:hint="eastAsia" w:ascii="仿宋" w:hAnsi="仿宋" w:eastAsia="仿宋" w:cs="仿宋"/>
                <w:sz w:val="24"/>
                <w:highlight w:val="none"/>
                <w:lang w:val="en-US" w:eastAsia="zh-CN"/>
              </w:rPr>
              <w:t>3</w:t>
            </w:r>
            <w:r>
              <w:rPr>
                <w:rFonts w:hint="default" w:ascii="仿宋" w:hAnsi="仿宋" w:eastAsia="仿宋" w:cs="仿宋"/>
                <w:sz w:val="24"/>
                <w:highlight w:val="none"/>
                <w:lang w:val="en-US" w:eastAsia="zh-CN"/>
              </w:rPr>
              <w:t>年0</w:t>
            </w:r>
            <w:r>
              <w:rPr>
                <w:rFonts w:hint="eastAsia" w:ascii="仿宋" w:hAnsi="仿宋" w:eastAsia="仿宋" w:cs="仿宋"/>
                <w:sz w:val="24"/>
                <w:highlight w:val="none"/>
                <w:lang w:val="en-US" w:eastAsia="zh-CN"/>
              </w:rPr>
              <w:t>2</w:t>
            </w:r>
            <w:r>
              <w:rPr>
                <w:rFonts w:hint="default" w:ascii="仿宋" w:hAnsi="仿宋" w:eastAsia="仿宋" w:cs="仿宋"/>
                <w:sz w:val="24"/>
                <w:highlight w:val="none"/>
                <w:lang w:val="en-US" w:eastAsia="zh-CN"/>
              </w:rPr>
              <w:t xml:space="preserve"> 月</w:t>
            </w:r>
            <w:r>
              <w:rPr>
                <w:rFonts w:hint="eastAsia" w:ascii="仿宋" w:hAnsi="仿宋" w:eastAsia="仿宋" w:cs="仿宋"/>
                <w:sz w:val="24"/>
                <w:highlight w:val="none"/>
                <w:lang w:val="en-US" w:eastAsia="zh-CN"/>
              </w:rPr>
              <w:t xml:space="preserve">19 </w:t>
            </w:r>
            <w:r>
              <w:rPr>
                <w:rFonts w:hint="default" w:ascii="仿宋" w:hAnsi="仿宋" w:eastAsia="仿宋" w:cs="仿宋"/>
                <w:sz w:val="24"/>
                <w:highlight w:val="none"/>
                <w:lang w:val="en-US" w:eastAsia="zh-CN"/>
              </w:rPr>
              <w:t>日19：00</w:t>
            </w:r>
          </w:p>
          <w:p>
            <w:pPr>
              <w:spacing w:line="3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电话： 0990－6666534  联系人：</w:t>
            </w:r>
            <w:r>
              <w:rPr>
                <w:rFonts w:hint="eastAsia" w:ascii="仿宋" w:hAnsi="仿宋" w:eastAsia="仿宋" w:cs="仿宋"/>
                <w:sz w:val="24"/>
                <w:highlight w:val="none"/>
                <w:lang w:val="en-US" w:eastAsia="zh-CN"/>
              </w:rPr>
              <w:t>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8949"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rPr>
              <w:t>本项目为电子招投标项目投标人的法人代表人或其委托代理人无需到开标现场递交投标文件。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8949" w:type="dxa"/>
            <w:vAlign w:val="center"/>
          </w:tcPr>
          <w:p>
            <w:pPr>
              <w:pStyle w:val="11"/>
              <w:spacing w:line="288" w:lineRule="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递交</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文件截止时间</w:t>
            </w:r>
            <w:r>
              <w:rPr>
                <w:rFonts w:hint="eastAsia" w:ascii="仿宋" w:hAnsi="仿宋" w:eastAsia="仿宋" w:cs="仿宋"/>
                <w:sz w:val="24"/>
                <w:szCs w:val="24"/>
                <w:highlight w:val="none"/>
              </w:rPr>
              <w:t>： 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03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01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上午10:30</w:t>
            </w:r>
          </w:p>
          <w:p>
            <w:pPr>
              <w:pStyle w:val="11"/>
              <w:spacing w:line="288"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递交</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文件地点</w:t>
            </w:r>
            <w:r>
              <w:rPr>
                <w:rFonts w:hint="eastAsia" w:ascii="仿宋" w:hAnsi="仿宋" w:eastAsia="仿宋" w:cs="仿宋"/>
                <w:sz w:val="24"/>
                <w:szCs w:val="24"/>
                <w:highlight w:val="none"/>
              </w:rPr>
              <w:t>：新疆政府采购网政采云平台（www.zcygov.cn）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8949" w:type="dxa"/>
            <w:vAlign w:val="center"/>
          </w:tcPr>
          <w:p>
            <w:pPr>
              <w:pStyle w:val="11"/>
              <w:spacing w:line="3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投标人应当在投标截止时间前，将生成的“电子加密投标文件”上传递交至“政府采购云平台”，投标截止时间以后上传递交的投标文件将被“政府采购云平台”拒收。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8949" w:type="dxa"/>
            <w:vAlign w:val="center"/>
          </w:tcPr>
          <w:p>
            <w:pPr>
              <w:pStyle w:val="11"/>
              <w:spacing w:line="3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投标人登录政采云平台，在开标时间后30分钟内（202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03</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 xml:space="preserve"> 01 </w:t>
            </w:r>
            <w:r>
              <w:rPr>
                <w:rFonts w:hint="eastAsia" w:ascii="仿宋" w:hAnsi="仿宋" w:eastAsia="仿宋" w:cs="仿宋"/>
                <w:b/>
                <w:bCs/>
                <w:sz w:val="24"/>
                <w:szCs w:val="24"/>
                <w:highlight w:val="none"/>
              </w:rPr>
              <w:t>日1</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0-1</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0）用“项目采购-开标评标”功能进行解密投标文件。若投标人在规定时间内（202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03</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 xml:space="preserve"> 01 </w:t>
            </w:r>
            <w:r>
              <w:rPr>
                <w:rFonts w:hint="eastAsia" w:ascii="仿宋" w:hAnsi="仿宋" w:eastAsia="仿宋" w:cs="仿宋"/>
                <w:b/>
                <w:bCs/>
                <w:sz w:val="24"/>
                <w:szCs w:val="24"/>
                <w:highlight w:val="none"/>
              </w:rPr>
              <w:t>日1</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0-1</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0</w:t>
            </w:r>
            <w:r>
              <w:rPr>
                <w:rFonts w:hint="eastAsia" w:ascii="仿宋" w:hAnsi="仿宋" w:eastAsia="仿宋" w:cs="仿宋"/>
                <w:b/>
                <w:bCs/>
                <w:sz w:val="24"/>
                <w:szCs w:val="24"/>
                <w:highlight w:val="none"/>
              </w:rPr>
              <w:t>0）未按时解密的，视为无效投标。解密与加密投标文件须使用同一个CA。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8949" w:type="dxa"/>
            <w:vAlign w:val="center"/>
          </w:tcPr>
          <w:p>
            <w:pPr>
              <w:pStyle w:val="11"/>
              <w:spacing w:line="3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标项划分：本项目共划分为10个标项，分别为标项1：猪肉；标项2：牛羊肉；标项3：水果；标项4：蔬菜；标项5：调味品；标项6：低值消耗品；标项7：乳制品。标项8：禽蛋；标项9：冻货；标项10：米面油。每个标项分别推选5家单位为中标单位。（实际有效供应商家数不足5家的按实际数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0" w:type="dxa"/>
            <w:vAlign w:val="center"/>
          </w:tcPr>
          <w:p>
            <w:pPr>
              <w:pStyle w:val="11"/>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8949" w:type="dxa"/>
            <w:vAlign w:val="center"/>
          </w:tcPr>
          <w:p>
            <w:pPr>
              <w:pStyle w:val="11"/>
              <w:adjustRightInd w:val="0"/>
              <w:snapToGrid w:val="0"/>
              <w:spacing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供应商须综合考虑各标项食材市场价(市场价是通过本地中心夜市农贸市场同类商品比对而定)报出“结算价承诺下浮率”，并作为报价得分的依据。</w:t>
            </w:r>
            <w:r>
              <w:rPr>
                <w:rFonts w:hint="eastAsia" w:ascii="仿宋" w:hAnsi="仿宋" w:eastAsia="仿宋" w:cs="仿宋"/>
                <w:b/>
                <w:bCs/>
                <w:sz w:val="24"/>
                <w:szCs w:val="24"/>
                <w:highlight w:val="none"/>
                <w:lang w:val="en-US" w:eastAsia="zh-CN"/>
              </w:rPr>
              <w:br w:type="textWrapping"/>
            </w:r>
            <w:r>
              <w:rPr>
                <w:rFonts w:hint="eastAsia" w:ascii="仿宋" w:hAnsi="仿宋" w:eastAsia="仿宋" w:cs="仿宋"/>
                <w:b/>
                <w:bCs/>
                <w:sz w:val="24"/>
                <w:szCs w:val="24"/>
                <w:highlight w:val="none"/>
                <w:lang w:val="en-US" w:eastAsia="zh-CN"/>
              </w:rPr>
              <w:t>招标控制价下浮区间：标项1：下浮10%以内；标项2：8%以内；标项3：12%以内；标项4：下浮10%以内；标项5：下浮10%以内；标项6：下浮12%以内；标项7：下浮10%以内；标项8：下浮5%以内；标项9：下浮10%以内；标项10：下浮6%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0" w:type="dxa"/>
            <w:vAlign w:val="center"/>
          </w:tcPr>
          <w:p>
            <w:pPr>
              <w:pStyle w:val="11"/>
              <w:spacing w:line="340" w:lineRule="exact"/>
              <w:jc w:val="center"/>
              <w:rPr>
                <w:rFonts w:hint="default" w:ascii="仿宋" w:hAnsi="仿宋" w:eastAsia="仿宋" w:cs="仿宋"/>
                <w:sz w:val="24"/>
                <w:szCs w:val="24"/>
                <w:highlight w:val="none"/>
                <w:lang w:val="en-US" w:eastAsia="zh-CN"/>
              </w:rPr>
            </w:pPr>
            <w:bookmarkStart w:id="28" w:name="_Toc154996576"/>
            <w:r>
              <w:rPr>
                <w:rFonts w:hint="eastAsia" w:ascii="仿宋" w:hAnsi="仿宋" w:eastAsia="仿宋" w:cs="仿宋"/>
                <w:sz w:val="24"/>
                <w:szCs w:val="24"/>
                <w:highlight w:val="none"/>
                <w:lang w:val="en-US" w:eastAsia="zh-CN"/>
              </w:rPr>
              <w:t>12</w:t>
            </w:r>
          </w:p>
        </w:tc>
        <w:tc>
          <w:tcPr>
            <w:tcW w:w="8949" w:type="dxa"/>
            <w:vAlign w:val="center"/>
          </w:tcPr>
          <w:p>
            <w:pPr>
              <w:pStyle w:val="11"/>
              <w:adjustRightInd w:val="0"/>
              <w:snapToGrid w:val="0"/>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采购代理费：经与采购人协商，本项目采购代理服务费由中标供应商在领取中标通知书同时向采购代理机构支付，各标项采购代理服务费由该标项中标供应商均摊。</w:t>
            </w:r>
          </w:p>
        </w:tc>
      </w:tr>
      <w:bookmarkEnd w:id="27"/>
    </w:tbl>
    <w:p>
      <w:pPr>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rPr>
        <w:t>一、说明</w:t>
      </w:r>
    </w:p>
    <w:p>
      <w:pPr>
        <w:pStyle w:val="11"/>
        <w:spacing w:line="360" w:lineRule="auto"/>
        <w:ind w:firstLine="480" w:firstLineChars="200"/>
        <w:outlineLvl w:val="1"/>
        <w:rPr>
          <w:rFonts w:hint="eastAsia" w:ascii="仿宋" w:hAnsi="仿宋" w:eastAsia="仿宋" w:cs="仿宋"/>
          <w:sz w:val="24"/>
          <w:highlight w:val="none"/>
        </w:rPr>
      </w:pPr>
      <w:bookmarkStart w:id="29" w:name="_Toc246216180"/>
      <w:bookmarkStart w:id="30" w:name="_Toc243907571"/>
      <w:bookmarkStart w:id="31" w:name="_Toc243906311"/>
      <w:bookmarkStart w:id="32" w:name="_Toc233274811"/>
      <w:r>
        <w:rPr>
          <w:rFonts w:hint="eastAsia" w:ascii="仿宋" w:hAnsi="仿宋" w:eastAsia="仿宋" w:cs="仿宋"/>
          <w:sz w:val="24"/>
          <w:highlight w:val="none"/>
        </w:rPr>
        <w:t>1、适用范围</w:t>
      </w:r>
      <w:bookmarkEnd w:id="29"/>
      <w:bookmarkEnd w:id="30"/>
      <w:bookmarkEnd w:id="31"/>
      <w:bookmarkEnd w:id="32"/>
      <w:r>
        <w:rPr>
          <w:rFonts w:hint="eastAsia" w:ascii="仿宋" w:hAnsi="仿宋" w:eastAsia="仿宋" w:cs="仿宋"/>
          <w:sz w:val="24"/>
          <w:highlight w:val="none"/>
        </w:rPr>
        <w:t>及招标依据</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适用范围</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本招标文件仅适用</w:t>
      </w:r>
      <w:r>
        <w:rPr>
          <w:rFonts w:hint="eastAsia" w:ascii="仿宋" w:hAnsi="仿宋" w:eastAsia="仿宋" w:cs="仿宋"/>
          <w:sz w:val="24"/>
          <w:highlight w:val="none"/>
          <w:lang w:eastAsia="zh-CN"/>
        </w:rPr>
        <w:t>2023年度克拉玛依市机关后勤服务中心（援克服务中心）机关食堂食材供应商采购项目</w:t>
      </w:r>
      <w:r>
        <w:rPr>
          <w:rFonts w:hint="eastAsia" w:ascii="仿宋" w:hAnsi="仿宋" w:eastAsia="仿宋" w:cs="仿宋"/>
          <w:sz w:val="24"/>
          <w:highlight w:val="none"/>
        </w:rPr>
        <w:t>的招标。</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1.2招标依据</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根据《中华人民共和国政府采购法》、《中华人民共和国政府采购实施条例》、</w:t>
      </w:r>
      <w:bookmarkStart w:id="33" w:name="_Toc243906312"/>
      <w:bookmarkStart w:id="34" w:name="_Toc233274812"/>
      <w:bookmarkStart w:id="35" w:name="_Toc243907572"/>
      <w:bookmarkStart w:id="36" w:name="_Toc246216181"/>
      <w:r>
        <w:rPr>
          <w:rFonts w:hint="eastAsia" w:ascii="仿宋" w:hAnsi="仿宋" w:eastAsia="仿宋" w:cs="仿宋"/>
          <w:sz w:val="24"/>
          <w:highlight w:val="none"/>
        </w:rPr>
        <w:t>《政府采购货物和服务招标投标管理办法》（中华人民共和国财政部令第87号）及有关法律、法规。</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2、定义</w:t>
      </w:r>
      <w:bookmarkEnd w:id="33"/>
      <w:bookmarkEnd w:id="34"/>
      <w:bookmarkEnd w:id="35"/>
      <w:bookmarkEnd w:id="36"/>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w:t>
      </w:r>
      <w:r>
        <w:rPr>
          <w:rFonts w:hint="eastAsia" w:ascii="仿宋" w:hAnsi="仿宋" w:eastAsia="仿宋" w:cs="仿宋"/>
          <w:kern w:val="0"/>
          <w:sz w:val="24"/>
          <w:highlight w:val="none"/>
          <w:lang w:eastAsia="zh-CN"/>
        </w:rPr>
        <w:t>克拉玛依市机关后勤服务中心（援克服务中心）</w:t>
      </w:r>
      <w:r>
        <w:rPr>
          <w:rFonts w:hint="eastAsia" w:ascii="仿宋" w:hAnsi="仿宋" w:eastAsia="仿宋" w:cs="仿宋"/>
          <w:sz w:val="24"/>
          <w:highlight w:val="none"/>
        </w:rPr>
        <w:t>，在签订和执行合同阶段称“甲方”。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2.2 </w:t>
      </w:r>
      <w:r>
        <w:rPr>
          <w:rFonts w:hint="eastAsia" w:ascii="仿宋" w:hAnsi="仿宋" w:eastAsia="仿宋" w:cs="仿宋"/>
          <w:sz w:val="24"/>
          <w:szCs w:val="24"/>
          <w:highlight w:val="none"/>
        </w:rPr>
        <w:t>“采购代理机构”</w:t>
      </w:r>
      <w:r>
        <w:rPr>
          <w:rFonts w:hint="eastAsia" w:ascii="仿宋" w:hAnsi="仿宋" w:eastAsia="仿宋" w:cs="仿宋"/>
          <w:sz w:val="24"/>
          <w:highlight w:val="none"/>
        </w:rPr>
        <w:t>系指新疆卓捷工程造价咨询有限公司。</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“投标人”系指具备资格并响应招标文件要求提交投标文件的法人，投标人若中标，在签订和执行合同阶段称“乙方”。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“招标文件”系指由采购人向投标人发出的本招标项目的全部文件（包括项目采购需求、修改文件、补充文件、答疑纪要、各种通知和附件等）。</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 “投标文件”系指投标人根据招标文件提交的所有文件。</w:t>
      </w:r>
    </w:p>
    <w:p>
      <w:pPr>
        <w:pStyle w:val="11"/>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2.6 “服务”“服务”系指技术规范及标准、</w:t>
      </w:r>
      <w:r>
        <w:rPr>
          <w:rFonts w:hint="eastAsia" w:ascii="仿宋" w:hAnsi="仿宋" w:eastAsia="仿宋" w:cs="仿宋"/>
          <w:sz w:val="24"/>
          <w:highlight w:val="none"/>
          <w:lang w:eastAsia="zh-CN"/>
        </w:rPr>
        <w:t>项目采购需求</w:t>
      </w:r>
      <w:r>
        <w:rPr>
          <w:rFonts w:hint="eastAsia" w:ascii="仿宋" w:hAnsi="仿宋" w:eastAsia="仿宋" w:cs="仿宋"/>
          <w:sz w:val="24"/>
          <w:highlight w:val="none"/>
        </w:rPr>
        <w:t>及合同条款、本</w:t>
      </w: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规定，</w:t>
      </w:r>
      <w:r>
        <w:rPr>
          <w:rFonts w:hint="eastAsia" w:ascii="仿宋" w:hAnsi="仿宋" w:eastAsia="仿宋" w:cs="仿宋"/>
          <w:sz w:val="24"/>
          <w:highlight w:val="none"/>
          <w:lang w:eastAsia="zh-CN"/>
        </w:rPr>
        <w:t>中标供应商在服务期内须向采购人提供机关食堂各标项对应食材的供应、保险、税费、仓储运输、现场装卸（卸至需方指定地点）及保管、现场搬运，检验及验收、移交等工作，向采购人提供的售后服务等以及合同条款、技术规范及标准、项目采购需求、本招标文件约定的全部内容并配合采购人完成与此服务相关的全部工作。</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2.7凡提及的“天、日期、星期、月份和年份”系指公历日历的日历天、日期、星期、月份和年份。 </w:t>
      </w:r>
    </w:p>
    <w:p>
      <w:pPr>
        <w:spacing w:line="360" w:lineRule="auto"/>
        <w:ind w:firstLine="482" w:firstLineChars="200"/>
        <w:rPr>
          <w:rFonts w:hint="eastAsia" w:ascii="仿宋" w:hAnsi="仿宋" w:eastAsia="仿宋" w:cs="仿宋"/>
          <w:b/>
          <w:bCs/>
          <w:sz w:val="24"/>
          <w:highlight w:val="none"/>
          <w:lang w:eastAsia="zh-CN"/>
        </w:rPr>
      </w:pPr>
      <w:bookmarkStart w:id="37" w:name="_Toc243906313"/>
      <w:bookmarkStart w:id="38" w:name="_Toc233274813"/>
      <w:bookmarkStart w:id="39" w:name="_Toc246216182"/>
      <w:bookmarkStart w:id="40" w:name="_Toc243907573"/>
      <w:bookmarkStart w:id="41" w:name="_Toc243906314"/>
      <w:bookmarkStart w:id="42" w:name="_Toc243907574"/>
      <w:bookmarkStart w:id="43" w:name="_Toc246216183"/>
      <w:bookmarkStart w:id="44" w:name="_Toc233274814"/>
      <w:r>
        <w:rPr>
          <w:rFonts w:hint="eastAsia" w:ascii="仿宋" w:hAnsi="仿宋" w:eastAsia="仿宋" w:cs="仿宋"/>
          <w:b/>
          <w:bCs/>
          <w:sz w:val="24"/>
          <w:highlight w:val="none"/>
        </w:rPr>
        <w:t>3、</w:t>
      </w:r>
      <w:bookmarkEnd w:id="37"/>
      <w:bookmarkEnd w:id="38"/>
      <w:bookmarkEnd w:id="39"/>
      <w:bookmarkEnd w:id="40"/>
      <w:r>
        <w:rPr>
          <w:rFonts w:hint="eastAsia" w:ascii="仿宋" w:hAnsi="仿宋" w:eastAsia="仿宋" w:cs="仿宋"/>
          <w:b/>
          <w:bCs/>
          <w:sz w:val="24"/>
          <w:highlight w:val="none"/>
          <w:lang w:eastAsia="zh-CN"/>
        </w:rPr>
        <w:t>招标</w:t>
      </w:r>
      <w:r>
        <w:rPr>
          <w:rFonts w:hint="eastAsia" w:ascii="仿宋" w:hAnsi="仿宋" w:eastAsia="仿宋" w:cs="仿宋"/>
          <w:b/>
          <w:bCs/>
          <w:sz w:val="24"/>
          <w:highlight w:val="none"/>
        </w:rPr>
        <w:t>范围、标</w:t>
      </w:r>
      <w:r>
        <w:rPr>
          <w:rFonts w:hint="eastAsia" w:ascii="仿宋" w:hAnsi="仿宋" w:eastAsia="仿宋" w:cs="仿宋"/>
          <w:b/>
          <w:bCs/>
          <w:sz w:val="24"/>
          <w:highlight w:val="none"/>
          <w:lang w:eastAsia="zh-CN"/>
        </w:rPr>
        <w:t>项</w:t>
      </w:r>
      <w:r>
        <w:rPr>
          <w:rFonts w:hint="eastAsia" w:ascii="仿宋" w:hAnsi="仿宋" w:eastAsia="仿宋" w:cs="仿宋"/>
          <w:b/>
          <w:bCs/>
          <w:sz w:val="24"/>
          <w:highlight w:val="none"/>
        </w:rPr>
        <w:t>划</w:t>
      </w:r>
      <w:r>
        <w:rPr>
          <w:rFonts w:hint="eastAsia" w:ascii="仿宋" w:hAnsi="仿宋" w:eastAsia="仿宋" w:cs="仿宋"/>
          <w:b/>
          <w:bCs/>
          <w:sz w:val="24"/>
          <w:highlight w:val="none"/>
          <w:lang w:eastAsia="zh-CN"/>
        </w:rPr>
        <w:t>分</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供货期</w:t>
      </w:r>
      <w:r>
        <w:rPr>
          <w:rFonts w:hint="eastAsia" w:ascii="仿宋" w:hAnsi="仿宋" w:eastAsia="仿宋" w:cs="仿宋"/>
          <w:b/>
          <w:bCs/>
          <w:sz w:val="24"/>
          <w:highlight w:val="none"/>
        </w:rPr>
        <w:t>及说明</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3.1</w:t>
      </w:r>
      <w:r>
        <w:rPr>
          <w:rFonts w:hint="eastAsia" w:ascii="仿宋" w:hAnsi="仿宋" w:eastAsia="仿宋" w:cs="仿宋"/>
          <w:b/>
          <w:bCs/>
          <w:sz w:val="24"/>
          <w:highlight w:val="none"/>
          <w:lang w:eastAsia="zh-CN"/>
        </w:rPr>
        <w:t>招标范围</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克拉玛依市机关后勤服务中心（援克服务中心）机关食堂各标项对应食材的供应、保险、税费、仓储运输、现场装卸（卸至需方指定地点）及保管、现场搬运，检验及验收、移交等工作，向采购人提供的售后服务等以及合同条款、技术规范及标准、项目采购需求、本招标文件约定的全部内容并配合采购人完成与此服务相关的全部工作。</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3.</w:t>
      </w:r>
      <w:r>
        <w:rPr>
          <w:rFonts w:hint="eastAsia" w:ascii="仿宋" w:hAnsi="仿宋" w:eastAsia="仿宋" w:cs="仿宋"/>
          <w:b/>
          <w:bCs/>
          <w:sz w:val="24"/>
          <w:highlight w:val="none"/>
          <w:lang w:val="en-US" w:eastAsia="zh-CN"/>
        </w:rPr>
        <w:t xml:space="preserve">2标项划分：本项目共划分为10个标项，分别为标项1：猪肉；标项2：牛羊肉；标项3：水果；标项4：蔬菜；标项5：调味品；标项6：低值消耗品；标项7：乳制品。标项8：禽蛋；标项9：冻货；标项10：米面油。每个标项分别推选5家单位为中标单位。 </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3.3各标项供货要求：按采购人指定的时间和地点，分批次供货完成。</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3.4各标项服务期均为：自合同签订之日起一年，合同期内供应商不能满足服务要求的，采购方有权终止合同。</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3.5 投标人所供产品质量必须符合产品质量标准、行业标准和相关规定。所供产品生产日期、产地、使用方法、规格、质量、保质期、合格证等产品属性标识必须清晰，严禁出现临、过期产品。</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3.6说明：</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3.6.1供应商须综合考虑各标项食材市场价(市场价是通过本地</w:t>
      </w:r>
      <w:r>
        <w:rPr>
          <w:rFonts w:hint="eastAsia" w:ascii="仿宋" w:hAnsi="仿宋" w:eastAsia="仿宋" w:cs="仿宋"/>
          <w:b/>
          <w:bCs/>
          <w:sz w:val="24"/>
          <w:szCs w:val="24"/>
          <w:highlight w:val="none"/>
          <w:lang w:val="en-US" w:eastAsia="zh-CN"/>
        </w:rPr>
        <w:t>中心夜市农贸市场</w:t>
      </w:r>
      <w:r>
        <w:rPr>
          <w:rFonts w:hint="eastAsia" w:ascii="仿宋" w:hAnsi="仿宋" w:eastAsia="仿宋" w:cs="仿宋"/>
          <w:b/>
          <w:bCs/>
          <w:sz w:val="24"/>
          <w:highlight w:val="none"/>
          <w:lang w:val="en-US" w:eastAsia="zh-CN"/>
        </w:rPr>
        <w:t>同类商品比对而定)报出“结算价承诺下浮率”，并作为报价得分的依据。</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3.6.2各标项投标人的最终每月结算价款，按照每月经审定批准的价款结算与（1-入中标供应商的承诺下浮率）之积进行结算。</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3.6.3采购人根据实际情况、供应速度、服务质量等因素确定各</w:t>
      </w:r>
      <w:r>
        <w:rPr>
          <w:rFonts w:hint="eastAsia" w:ascii="仿宋" w:hAnsi="仿宋" w:eastAsia="仿宋" w:cs="仿宋"/>
          <w:b/>
          <w:bCs/>
          <w:sz w:val="24"/>
          <w:highlight w:val="none"/>
          <w:lang w:eastAsia="zh-CN"/>
        </w:rPr>
        <w:t>中标供应商</w:t>
      </w:r>
      <w:r>
        <w:rPr>
          <w:rFonts w:hint="eastAsia" w:ascii="仿宋" w:hAnsi="仿宋" w:eastAsia="仿宋" w:cs="仿宋"/>
          <w:b/>
          <w:bCs/>
          <w:sz w:val="24"/>
          <w:highlight w:val="none"/>
        </w:rPr>
        <w:t>的工作量。</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w:t>
      </w:r>
      <w:bookmarkEnd w:id="41"/>
      <w:bookmarkEnd w:id="42"/>
      <w:bookmarkEnd w:id="43"/>
      <w:bookmarkEnd w:id="44"/>
      <w:r>
        <w:rPr>
          <w:rFonts w:hint="eastAsia" w:ascii="仿宋" w:hAnsi="仿宋" w:eastAsia="仿宋" w:cs="仿宋"/>
          <w:b/>
          <w:bCs/>
          <w:sz w:val="24"/>
          <w:highlight w:val="none"/>
        </w:rPr>
        <w:t>合格投标人资格要求</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4.1详见第一章“招标公告”中的投标人资格要求。</w:t>
      </w:r>
    </w:p>
    <w:p>
      <w:pPr>
        <w:snapToGrid w:val="0"/>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4.2单位法定代表为同一人或者存在直接控股、管理关系的不同投标人，不得参加同一合同项下的政府采购活动。</w:t>
      </w:r>
    </w:p>
    <w:p>
      <w:pPr>
        <w:snapToGrid w:val="0"/>
        <w:spacing w:line="360" w:lineRule="auto"/>
        <w:ind w:firstLine="479" w:firstLineChars="199"/>
        <w:rPr>
          <w:rFonts w:hint="eastAsia" w:ascii="仿宋" w:hAnsi="仿宋" w:eastAsia="仿宋" w:cs="仿宋"/>
          <w:b/>
          <w:sz w:val="24"/>
          <w:highlight w:val="none"/>
        </w:rPr>
      </w:pPr>
      <w:r>
        <w:rPr>
          <w:rFonts w:hint="eastAsia" w:ascii="仿宋" w:hAnsi="仿宋" w:eastAsia="仿宋" w:cs="仿宋"/>
          <w:b/>
          <w:sz w:val="24"/>
          <w:highlight w:val="none"/>
        </w:rPr>
        <w:t>4.3为招标项目提供整体设计、规范编制或者项目管理、监理、检测等服务的投标人，不得再参加该招标项目的其他采购活动。</w:t>
      </w:r>
    </w:p>
    <w:p>
      <w:pPr>
        <w:snapToGrid w:val="0"/>
        <w:spacing w:line="360" w:lineRule="auto"/>
        <w:ind w:firstLine="479" w:firstLineChars="199"/>
        <w:rPr>
          <w:rFonts w:hint="eastAsia" w:ascii="仿宋" w:hAnsi="仿宋" w:eastAsia="仿宋" w:cs="仿宋"/>
          <w:b/>
          <w:sz w:val="24"/>
          <w:highlight w:val="none"/>
        </w:rPr>
      </w:pPr>
      <w:r>
        <w:rPr>
          <w:rFonts w:hint="eastAsia" w:ascii="仿宋" w:hAnsi="仿宋" w:eastAsia="仿宋" w:cs="仿宋"/>
          <w:b/>
          <w:sz w:val="24"/>
          <w:highlight w:val="none"/>
        </w:rPr>
        <w:t>4.4在单一品目的货物采购招标中，同一品牌同一型号的产品有多家投标人参加采购，只能按照一家投标人计算。</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4.5同一分包的货物，制造商参与采购的，不得再委托代理商参与采购。</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sz w:val="24"/>
          <w:highlight w:val="none"/>
        </w:rPr>
        <w:t>5、</w:t>
      </w:r>
      <w:r>
        <w:rPr>
          <w:rFonts w:hint="eastAsia" w:ascii="仿宋" w:hAnsi="仿宋" w:eastAsia="仿宋" w:cs="仿宋"/>
          <w:b/>
          <w:kern w:val="2"/>
          <w:sz w:val="24"/>
          <w:szCs w:val="24"/>
          <w:highlight w:val="none"/>
        </w:rPr>
        <w:t>回避。政府采购活动中，采购人员及相关人员与投标人有下列利害关系之一的，应当回避：</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5.1参加采购活动前3年内与投标人存在劳动关系；</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5.2参加采购活动前3年内担任投标人的董事、监事；</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5.3参加采购活动前3年内是投标人的控股股东或者实际控制人；</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5.4与投标人的法定代表人或者负责人有夫妻、直系血亲、三代以内旁系血亲或者近姻亲关系；</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5.5与投标人有其他可能影响政府采购活动公平、公正进行的关系。</w:t>
      </w:r>
    </w:p>
    <w:p>
      <w:pPr>
        <w:pStyle w:val="28"/>
        <w:spacing w:line="360" w:lineRule="auto"/>
        <w:ind w:left="1" w:firstLine="482" w:firstLineChars="200"/>
        <w:rPr>
          <w:rFonts w:hint="eastAsia" w:ascii="仿宋" w:hAnsi="仿宋" w:eastAsia="仿宋" w:cs="仿宋"/>
          <w:b/>
          <w:kern w:val="2"/>
          <w:sz w:val="24"/>
          <w:szCs w:val="24"/>
          <w:highlight w:val="none"/>
        </w:rPr>
      </w:pPr>
      <w:r>
        <w:rPr>
          <w:rFonts w:hint="eastAsia" w:ascii="仿宋" w:hAnsi="仿宋" w:eastAsia="仿宋" w:cs="仿宋"/>
          <w:b/>
          <w:kern w:val="2"/>
          <w:sz w:val="24"/>
          <w:szCs w:val="24"/>
          <w:highlight w:val="none"/>
        </w:rPr>
        <w:t>本项目政府采购活动中需要依法回避的采购人员是指采购人内部负责招标项目的具体经办工作人员和直接分管招标项目的负责人，以及采购代理机构负责招标项目的具体经办工作人员和直接分管采购活动的负责人。本项目政府采购活动中需要依法回避的相关人员是指评标委员会成员。</w:t>
      </w:r>
    </w:p>
    <w:p>
      <w:pPr>
        <w:pStyle w:val="28"/>
        <w:spacing w:line="360" w:lineRule="auto"/>
        <w:ind w:left="1" w:firstLine="482" w:firstLineChars="200"/>
        <w:rPr>
          <w:rFonts w:hint="eastAsia" w:ascii="仿宋" w:hAnsi="仿宋" w:eastAsia="仿宋" w:cs="仿宋"/>
          <w:b/>
          <w:sz w:val="24"/>
          <w:highlight w:val="none"/>
        </w:rPr>
      </w:pPr>
      <w:r>
        <w:rPr>
          <w:rFonts w:hint="eastAsia" w:ascii="仿宋" w:hAnsi="仿宋" w:eastAsia="仿宋" w:cs="仿宋"/>
          <w:b/>
          <w:kern w:val="2"/>
          <w:sz w:val="24"/>
          <w:szCs w:val="24"/>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11"/>
        <w:spacing w:line="360" w:lineRule="auto"/>
        <w:ind w:firstLine="480" w:firstLineChars="200"/>
        <w:rPr>
          <w:rFonts w:hint="eastAsia" w:ascii="仿宋" w:hAnsi="仿宋" w:eastAsia="仿宋" w:cs="仿宋"/>
          <w:sz w:val="24"/>
          <w:highlight w:val="none"/>
        </w:rPr>
      </w:pPr>
      <w:bookmarkStart w:id="45" w:name="_Toc233274816"/>
      <w:bookmarkStart w:id="46" w:name="_Toc245897276"/>
      <w:bookmarkStart w:id="47" w:name="_Toc243907576"/>
      <w:bookmarkStart w:id="48" w:name="_Toc243906316"/>
      <w:r>
        <w:rPr>
          <w:rFonts w:hint="eastAsia" w:ascii="仿宋" w:hAnsi="仿宋" w:eastAsia="仿宋" w:cs="仿宋"/>
          <w:sz w:val="24"/>
          <w:highlight w:val="none"/>
        </w:rPr>
        <w:t>6、实地考察和费用</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6.1实地考察</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不统一组织投标人的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6.2参与公开招标费用</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6.2.1投标人应承担所有与公开招标准备和公开招标有关的全部费用，不论公开招标结果如何，采购人和招标代理机构无义务和责任承担投标人所发生的一切费用。</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6.2.2投标人在公开招标准备、实地考察和公开招标的全过程中，如果发生人身伤亡、财物或其它任何损失，不论何种原因所造成，均由投标人自行承担全部责任和损失。</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7、法律适用</w:t>
      </w:r>
      <w:bookmarkEnd w:id="45"/>
      <w:bookmarkEnd w:id="46"/>
      <w:bookmarkEnd w:id="47"/>
      <w:bookmarkEnd w:id="48"/>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7.1本次招标活动及由本次招标产生的合同受中国法律制约和保护。</w:t>
      </w:r>
    </w:p>
    <w:p>
      <w:pPr>
        <w:pStyle w:val="11"/>
        <w:spacing w:line="360" w:lineRule="auto"/>
        <w:ind w:firstLine="480" w:firstLineChars="200"/>
        <w:outlineLvl w:val="1"/>
        <w:rPr>
          <w:rFonts w:hint="eastAsia" w:ascii="仿宋" w:hAnsi="仿宋" w:eastAsia="仿宋" w:cs="仿宋"/>
          <w:sz w:val="24"/>
          <w:highlight w:val="none"/>
        </w:rPr>
      </w:pPr>
      <w:bookmarkStart w:id="49" w:name="_Toc233274817"/>
      <w:bookmarkStart w:id="50" w:name="_Toc243906317"/>
      <w:bookmarkStart w:id="51" w:name="_Toc243907577"/>
      <w:bookmarkStart w:id="52" w:name="_Toc245897277"/>
      <w:r>
        <w:rPr>
          <w:rFonts w:hint="eastAsia" w:ascii="仿宋" w:hAnsi="仿宋" w:eastAsia="仿宋" w:cs="仿宋"/>
          <w:sz w:val="24"/>
          <w:highlight w:val="none"/>
        </w:rPr>
        <w:t>8、招标文件的约束力</w:t>
      </w:r>
      <w:bookmarkEnd w:id="49"/>
      <w:bookmarkEnd w:id="50"/>
      <w:bookmarkEnd w:id="51"/>
      <w:bookmarkEnd w:id="52"/>
    </w:p>
    <w:p>
      <w:pPr>
        <w:pStyle w:val="11"/>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8.1投标人若中标，即被认为接受了本招标文件中的所有条件和规定。是采购人与中标供应商签订合同的依据且是合同的组成部分。</w:t>
      </w:r>
      <w:bookmarkEnd w:id="28"/>
    </w:p>
    <w:p>
      <w:pPr>
        <w:pStyle w:val="11"/>
        <w:spacing w:line="360" w:lineRule="auto"/>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二、招标文件</w:t>
      </w:r>
    </w:p>
    <w:p>
      <w:pPr>
        <w:pStyle w:val="11"/>
        <w:spacing w:line="360" w:lineRule="auto"/>
        <w:ind w:firstLine="480" w:firstLineChars="200"/>
        <w:outlineLvl w:val="1"/>
        <w:rPr>
          <w:rFonts w:hint="eastAsia" w:ascii="仿宋" w:hAnsi="仿宋" w:eastAsia="仿宋" w:cs="仿宋"/>
          <w:sz w:val="24"/>
          <w:highlight w:val="none"/>
        </w:rPr>
      </w:pPr>
      <w:bookmarkStart w:id="53" w:name="_Toc233274819"/>
      <w:bookmarkStart w:id="54" w:name="_Toc246216188"/>
      <w:bookmarkStart w:id="55" w:name="_Toc243906319"/>
      <w:bookmarkStart w:id="56" w:name="_Toc243907579"/>
      <w:r>
        <w:rPr>
          <w:rFonts w:hint="eastAsia" w:ascii="仿宋" w:hAnsi="仿宋" w:eastAsia="仿宋" w:cs="仿宋"/>
          <w:sz w:val="24"/>
          <w:highlight w:val="none"/>
        </w:rPr>
        <w:t>9、招标文件的组成</w:t>
      </w:r>
      <w:bookmarkEnd w:id="53"/>
      <w:bookmarkEnd w:id="54"/>
      <w:bookmarkEnd w:id="55"/>
      <w:bookmarkEnd w:id="56"/>
    </w:p>
    <w:p>
      <w:pPr>
        <w:spacing w:line="360" w:lineRule="auto"/>
        <w:ind w:firstLine="481"/>
        <w:rPr>
          <w:rFonts w:hint="eastAsia" w:ascii="仿宋" w:hAnsi="仿宋" w:eastAsia="仿宋" w:cs="仿宋"/>
          <w:highlight w:val="none"/>
        </w:rPr>
      </w:pPr>
      <w:r>
        <w:rPr>
          <w:rFonts w:hint="eastAsia" w:ascii="仿宋" w:hAnsi="仿宋" w:eastAsia="仿宋" w:cs="仿宋"/>
          <w:sz w:val="24"/>
          <w:highlight w:val="none"/>
        </w:rPr>
        <w:t>9.1 本招标文件是对</w:t>
      </w:r>
      <w:r>
        <w:rPr>
          <w:rFonts w:hint="eastAsia" w:ascii="仿宋" w:hAnsi="仿宋" w:eastAsia="仿宋" w:cs="仿宋"/>
          <w:sz w:val="24"/>
          <w:highlight w:val="none"/>
          <w:lang w:eastAsia="zh-CN"/>
        </w:rPr>
        <w:t>2023年度克拉玛依市机关后勤服务中心（援克服务中心）机关食堂食材供应商采购项目</w:t>
      </w:r>
      <w:r>
        <w:rPr>
          <w:rFonts w:hint="eastAsia" w:ascii="仿宋" w:hAnsi="仿宋" w:eastAsia="仿宋" w:cs="仿宋"/>
          <w:sz w:val="24"/>
          <w:highlight w:val="none"/>
        </w:rPr>
        <w:t>招标程序、合同条款进行说明。招标文件包括下列内容：</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第一章  招标公告</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第二章  投标人须知</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第三章  项目采购需求</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第四章  合同条款（主要条款）</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第五章  投标文件格式</w:t>
      </w:r>
    </w:p>
    <w:p>
      <w:pPr>
        <w:pStyle w:val="11"/>
        <w:spacing w:line="360" w:lineRule="auto"/>
        <w:ind w:firstLine="440"/>
        <w:rPr>
          <w:rFonts w:hint="eastAsia" w:ascii="仿宋" w:hAnsi="仿宋" w:eastAsia="仿宋" w:cs="仿宋"/>
          <w:sz w:val="24"/>
          <w:highlight w:val="none"/>
        </w:rPr>
      </w:pPr>
      <w:r>
        <w:rPr>
          <w:rFonts w:hint="eastAsia" w:ascii="仿宋" w:hAnsi="仿宋" w:eastAsia="仿宋" w:cs="仿宋"/>
          <w:sz w:val="24"/>
          <w:highlight w:val="none"/>
        </w:rPr>
        <w:t>第六章  评审标准（综合评分法）</w:t>
      </w:r>
    </w:p>
    <w:p>
      <w:pPr>
        <w:pStyle w:val="11"/>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 xml:space="preserve">9.2 </w:t>
      </w:r>
      <w:r>
        <w:rPr>
          <w:rFonts w:hint="eastAsia" w:ascii="仿宋" w:hAnsi="仿宋" w:eastAsia="仿宋" w:cs="仿宋"/>
          <w:sz w:val="24"/>
          <w:highlight w:val="none"/>
          <w:lang w:val="zh-CN"/>
        </w:rPr>
        <w:t>招标的最小单位是标项。招标文件未分标项的，投标人须对全部招标内容投标，不得部分投标；</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9.3招标文件如果要求投标人提交备选投标方案的，投标人可以提交备选方案；否则，备选方案将被拒绝。</w:t>
      </w:r>
      <w:r>
        <w:rPr>
          <w:rFonts w:hint="eastAsia" w:ascii="仿宋" w:hAnsi="仿宋" w:eastAsia="仿宋" w:cs="仿宋"/>
          <w:b/>
          <w:bCs/>
          <w:sz w:val="24"/>
          <w:highlight w:val="none"/>
        </w:rPr>
        <w:t>本项目不允许提交备选方案。</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 招标文件由本文件及由采购人按招标文件有关规定发出的招标文件补充构成。招标文件的澄清、修改、招标答疑会纪要等书面材料在本招标项目中均称招标文件补充。</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9.5招标文件补充作为招标文件的组成部分，对投标人起同等约束作用。如果招标文件补充内容与在此招标文件补充发出之前的招标文件等书面材料中相关内容相冲突，以最后发出的文件（或通知）为准，先前发出的招标文件等书面材料中相关内容自动废止。</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9.6 除非有特殊要求，招标文件不单独提供招标项目使用地的自然环境、气候条件、劳动力及公用设施等情况，投标人被视为熟悉上述条件或若中标履行合同有关的一切情况。</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9.7采购人向投标人提供的有关数据和资料，是采购人现有的能被投标人利用的资料，投标人对此做出的推论、理解和结论自行负责。</w:t>
      </w:r>
    </w:p>
    <w:p>
      <w:pPr>
        <w:pStyle w:val="11"/>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9.8投标人应认真审阅和理解招标文件所有内容，尤其注意可能引起“否决投标”、“拒绝评审”、“无效投标”、“评审不予通过”等的条款，按照招标文件要求编制投标文件。任何对招标文件的忽略或误解不能作为投标文件存在缺陷或瑕疵的理由，其风险由投标人承担。</w:t>
      </w:r>
    </w:p>
    <w:p>
      <w:pPr>
        <w:pStyle w:val="11"/>
        <w:spacing w:line="360" w:lineRule="auto"/>
        <w:ind w:firstLine="480" w:firstLineChars="200"/>
        <w:outlineLvl w:val="1"/>
        <w:rPr>
          <w:rFonts w:hint="eastAsia" w:ascii="仿宋" w:hAnsi="仿宋" w:eastAsia="仿宋" w:cs="仿宋"/>
          <w:sz w:val="24"/>
          <w:highlight w:val="none"/>
        </w:rPr>
      </w:pPr>
      <w:bookmarkStart w:id="57" w:name="_Toc245897280"/>
      <w:bookmarkStart w:id="58" w:name="_Toc243907580"/>
      <w:bookmarkStart w:id="59" w:name="_Toc233274820"/>
      <w:bookmarkStart w:id="60" w:name="_Toc243906320"/>
      <w:r>
        <w:rPr>
          <w:rFonts w:hint="eastAsia" w:ascii="仿宋" w:hAnsi="仿宋" w:eastAsia="仿宋" w:cs="仿宋"/>
          <w:sz w:val="24"/>
          <w:highlight w:val="none"/>
        </w:rPr>
        <w:t>10、招标文件的澄清</w:t>
      </w:r>
      <w:bookmarkEnd w:id="57"/>
      <w:bookmarkEnd w:id="58"/>
      <w:bookmarkEnd w:id="59"/>
      <w:bookmarkEnd w:id="60"/>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10.1 投标人对招标文件如有疑问，可要求澄清，应按招标文件“投标人须知前附表第6条”以扫描件形式（必须加盖投标人公章）发送至邮箱：</w:t>
      </w:r>
      <w:r>
        <w:rPr>
          <w:rFonts w:hint="eastAsia" w:ascii="仿宋" w:hAnsi="仿宋" w:eastAsia="仿宋" w:cs="仿宋"/>
          <w:sz w:val="24"/>
          <w:highlight w:val="none"/>
          <w:lang w:val="en-US" w:eastAsia="zh-CN"/>
        </w:rPr>
        <w:t>1803121099@qq.com</w:t>
      </w:r>
      <w:r>
        <w:rPr>
          <w:rFonts w:hint="eastAsia" w:ascii="仿宋" w:hAnsi="仿宋" w:eastAsia="仿宋" w:cs="仿宋"/>
          <w:sz w:val="24"/>
          <w:highlight w:val="none"/>
        </w:rPr>
        <w:t>。采购人和采购代理机构将视情况以书面形式予以答复，并发至领取招标文件的每位投标人。答复中包括所提问题，但不包括问题的来源。</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11"/>
        <w:spacing w:line="360" w:lineRule="auto"/>
        <w:ind w:firstLine="480" w:firstLineChars="200"/>
        <w:outlineLvl w:val="1"/>
        <w:rPr>
          <w:rFonts w:hint="eastAsia" w:ascii="仿宋" w:hAnsi="仿宋" w:eastAsia="仿宋" w:cs="仿宋"/>
          <w:sz w:val="24"/>
          <w:highlight w:val="none"/>
        </w:rPr>
      </w:pPr>
      <w:bookmarkStart w:id="61" w:name="_Toc243906321"/>
      <w:bookmarkStart w:id="62" w:name="_Toc245897281"/>
      <w:bookmarkStart w:id="63" w:name="_Toc243907581"/>
      <w:bookmarkStart w:id="64" w:name="_Toc233274821"/>
      <w:r>
        <w:rPr>
          <w:rFonts w:hint="eastAsia" w:ascii="仿宋" w:hAnsi="仿宋" w:eastAsia="仿宋" w:cs="仿宋"/>
          <w:sz w:val="24"/>
          <w:highlight w:val="none"/>
        </w:rPr>
        <w:t>11、招标文件的修改和补充</w:t>
      </w:r>
      <w:bookmarkEnd w:id="61"/>
      <w:bookmarkEnd w:id="62"/>
      <w:bookmarkEnd w:id="63"/>
      <w:bookmarkEnd w:id="64"/>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修改或补充文件将作为招标文件的组成部分，对所有投标人具有约束力。</w:t>
      </w:r>
    </w:p>
    <w:p>
      <w:pPr>
        <w:pStyle w:val="11"/>
        <w:spacing w:line="360" w:lineRule="auto"/>
        <w:ind w:firstLine="480" w:firstLineChars="200"/>
        <w:rPr>
          <w:rFonts w:hint="eastAsia" w:ascii="仿宋" w:hAnsi="仿宋" w:eastAsia="仿宋" w:cs="仿宋"/>
          <w:b/>
          <w:bCs/>
          <w:sz w:val="28"/>
          <w:szCs w:val="28"/>
          <w:highlight w:val="none"/>
        </w:rPr>
      </w:pPr>
      <w:r>
        <w:rPr>
          <w:rFonts w:hint="eastAsia" w:ascii="仿宋" w:hAnsi="仿宋" w:eastAsia="仿宋" w:cs="仿宋"/>
          <w:sz w:val="24"/>
          <w:highlight w:val="none"/>
        </w:rPr>
        <w:t>11.2投标人在每次收到采购代理机构发至的书面文件后，应在收到后24小时内以书面形式并加盖投标人公章予以确认。</w:t>
      </w:r>
      <w:bookmarkStart w:id="65" w:name="_Toc243907582"/>
      <w:bookmarkStart w:id="66" w:name="_Toc243906322"/>
      <w:bookmarkStart w:id="67" w:name="_Toc246216191"/>
      <w:bookmarkStart w:id="68" w:name="_Toc233274822"/>
      <w:bookmarkStart w:id="69" w:name="_Toc154996580"/>
    </w:p>
    <w:p>
      <w:pPr>
        <w:pStyle w:val="11"/>
        <w:spacing w:line="360" w:lineRule="auto"/>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三、投标文件的编写</w:t>
      </w:r>
      <w:bookmarkEnd w:id="65"/>
      <w:bookmarkEnd w:id="66"/>
      <w:bookmarkEnd w:id="67"/>
      <w:bookmarkEnd w:id="68"/>
    </w:p>
    <w:p>
      <w:pPr>
        <w:pStyle w:val="11"/>
        <w:spacing w:line="360" w:lineRule="auto"/>
        <w:ind w:firstLine="480" w:firstLineChars="200"/>
        <w:outlineLvl w:val="1"/>
        <w:rPr>
          <w:rFonts w:hint="eastAsia" w:ascii="仿宋" w:hAnsi="仿宋" w:eastAsia="仿宋" w:cs="仿宋"/>
          <w:sz w:val="24"/>
          <w:highlight w:val="none"/>
        </w:rPr>
      </w:pPr>
      <w:bookmarkStart w:id="70" w:name="_Toc233274823"/>
      <w:bookmarkStart w:id="71" w:name="_Toc243906323"/>
      <w:bookmarkStart w:id="72" w:name="_Toc243907583"/>
      <w:bookmarkStart w:id="73" w:name="_Toc245897283"/>
      <w:r>
        <w:rPr>
          <w:rFonts w:hint="eastAsia" w:ascii="仿宋" w:hAnsi="仿宋" w:eastAsia="仿宋" w:cs="仿宋"/>
          <w:sz w:val="24"/>
          <w:highlight w:val="none"/>
        </w:rPr>
        <w:t>1</w:t>
      </w:r>
      <w:bookmarkEnd w:id="70"/>
      <w:r>
        <w:rPr>
          <w:rFonts w:hint="eastAsia" w:ascii="仿宋" w:hAnsi="仿宋" w:eastAsia="仿宋" w:cs="仿宋"/>
          <w:sz w:val="24"/>
          <w:highlight w:val="none"/>
        </w:rPr>
        <w:t>2、投标文件的编写</w:t>
      </w:r>
      <w:bookmarkEnd w:id="71"/>
      <w:bookmarkEnd w:id="72"/>
      <w:bookmarkEnd w:id="73"/>
    </w:p>
    <w:p>
      <w:pPr>
        <w:spacing w:line="360" w:lineRule="auto"/>
        <w:ind w:firstLine="481"/>
        <w:rPr>
          <w:rFonts w:hint="eastAsia" w:ascii="仿宋" w:hAnsi="仿宋" w:eastAsia="仿宋" w:cs="仿宋"/>
          <w:highlight w:val="none"/>
          <w:lang w:eastAsia="zh-CN"/>
        </w:rPr>
      </w:pPr>
      <w:r>
        <w:rPr>
          <w:rFonts w:hint="eastAsia" w:ascii="仿宋" w:hAnsi="仿宋" w:eastAsia="仿宋" w:cs="仿宋"/>
          <w:sz w:val="24"/>
          <w:highlight w:val="none"/>
        </w:rPr>
        <w:t>12.1投标人必须详细阅读招标文件的章、节、条款、格式等所有内容，按招标文件的要求提交投标文件，并保证所提供的全部文件及相关资料的真实性，以使其对招标文件做出实质性响应。投标人应仔细阅读并充分理解招标文件、技术规范及标准、项目采购需求及合同条款后编制投标文件。</w:t>
      </w:r>
    </w:p>
    <w:p>
      <w:pPr>
        <w:pStyle w:val="11"/>
        <w:spacing w:line="360" w:lineRule="auto"/>
        <w:ind w:firstLine="480" w:firstLineChars="200"/>
        <w:outlineLvl w:val="1"/>
        <w:rPr>
          <w:rFonts w:hint="eastAsia" w:ascii="仿宋" w:hAnsi="仿宋" w:eastAsia="仿宋" w:cs="仿宋"/>
          <w:sz w:val="24"/>
          <w:highlight w:val="none"/>
        </w:rPr>
      </w:pPr>
      <w:bookmarkStart w:id="74" w:name="_Toc245897284"/>
      <w:bookmarkStart w:id="75" w:name="_Toc233274824"/>
      <w:bookmarkStart w:id="76" w:name="_Toc243906324"/>
      <w:bookmarkStart w:id="77" w:name="_Toc243907584"/>
      <w:r>
        <w:rPr>
          <w:rFonts w:hint="eastAsia" w:ascii="仿宋" w:hAnsi="仿宋" w:eastAsia="仿宋" w:cs="仿宋"/>
          <w:sz w:val="24"/>
          <w:highlight w:val="none"/>
        </w:rPr>
        <w:t>13、投标文件的语言及计量单位</w:t>
      </w:r>
      <w:bookmarkEnd w:id="74"/>
      <w:bookmarkEnd w:id="75"/>
      <w:bookmarkEnd w:id="76"/>
      <w:bookmarkEnd w:id="77"/>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 投标文件及投标人和采购人及采购代理机构就有关招标的所有文件和来往函件，应以中文书写。投标人可以提交用其他语言（原文）打印的资料，但必须翻译成中文，当原文和译文（中文）之间存有差异和/或矛盾时，以中文为准。</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13.2 除在招标文件的项目采购需求中另有规定外，计量单位应使用中华人民共和国法定计量单位（国际单位制和国家选定的其它计量单位）。如投标人采用其它计量单位，需事先得到采购人的同意。</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14、知识产权</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14.2 采购人享有本项目实施过程中产生的知识成果及知识产权。</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60" w:firstLineChars="192"/>
        <w:rPr>
          <w:rFonts w:hint="eastAsia" w:ascii="仿宋" w:hAnsi="仿宋" w:eastAsia="仿宋" w:cs="仿宋"/>
          <w:sz w:val="24"/>
          <w:highlight w:val="none"/>
        </w:rPr>
      </w:pPr>
      <w:r>
        <w:rPr>
          <w:rFonts w:hint="eastAsia" w:ascii="仿宋" w:hAnsi="仿宋" w:eastAsia="仿宋" w:cs="仿宋"/>
          <w:sz w:val="24"/>
          <w:highlight w:val="none"/>
        </w:rPr>
        <w:t xml:space="preserve">14.4 投标人如采用其所不拥有的知识产权，则在其商务报价中必须包括合法获取该知识产权的相关费用。 </w:t>
      </w:r>
    </w:p>
    <w:p>
      <w:pPr>
        <w:spacing w:line="360" w:lineRule="auto"/>
        <w:ind w:firstLine="481"/>
        <w:rPr>
          <w:rFonts w:hint="eastAsia" w:ascii="仿宋" w:hAnsi="仿宋" w:eastAsia="仿宋" w:cs="仿宋"/>
          <w:highlight w:val="none"/>
          <w:lang w:eastAsia="zh-CN"/>
        </w:rPr>
      </w:pPr>
      <w:bookmarkStart w:id="78" w:name="_Toc243907585"/>
      <w:bookmarkStart w:id="79" w:name="_Toc243906325"/>
      <w:bookmarkStart w:id="80" w:name="_Toc245897285"/>
      <w:bookmarkStart w:id="81" w:name="_Toc233274825"/>
      <w:r>
        <w:rPr>
          <w:rFonts w:hint="eastAsia" w:ascii="仿宋" w:hAnsi="仿宋" w:eastAsia="仿宋" w:cs="仿宋"/>
          <w:b/>
          <w:bCs/>
          <w:sz w:val="24"/>
          <w:highlight w:val="none"/>
        </w:rPr>
        <w:t>15、</w:t>
      </w:r>
      <w:bookmarkEnd w:id="78"/>
      <w:bookmarkEnd w:id="79"/>
      <w:bookmarkEnd w:id="80"/>
      <w:bookmarkEnd w:id="81"/>
      <w:r>
        <w:rPr>
          <w:rFonts w:hint="eastAsia" w:ascii="仿宋" w:hAnsi="仿宋" w:eastAsia="仿宋" w:cs="仿宋"/>
          <w:b/>
          <w:bCs/>
          <w:sz w:val="24"/>
          <w:highlight w:val="none"/>
        </w:rPr>
        <w:t>投标文</w:t>
      </w:r>
      <w:r>
        <w:rPr>
          <w:rFonts w:hint="eastAsia" w:ascii="仿宋" w:hAnsi="仿宋" w:eastAsia="仿宋" w:cs="仿宋"/>
          <w:b/>
          <w:sz w:val="24"/>
          <w:highlight w:val="none"/>
        </w:rPr>
        <w:t>件的组成：投标文件</w:t>
      </w:r>
      <w:r>
        <w:rPr>
          <w:rFonts w:hint="eastAsia" w:ascii="仿宋" w:hAnsi="仿宋" w:eastAsia="仿宋" w:cs="仿宋"/>
          <w:b/>
          <w:sz w:val="24"/>
          <w:highlight w:val="none"/>
          <w:lang w:val="zh-CN"/>
        </w:rPr>
        <w:t>以标项为单位、结合各标项评分表分别编制并提交。各标项投标文件均</w:t>
      </w:r>
      <w:r>
        <w:rPr>
          <w:rFonts w:hint="eastAsia" w:ascii="仿宋" w:hAnsi="仿宋" w:eastAsia="仿宋" w:cs="仿宋"/>
          <w:b/>
          <w:sz w:val="24"/>
          <w:highlight w:val="none"/>
        </w:rPr>
        <w:t>由资格证明文件、商务、技术部分组成，装订成一册。</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分标项编制文件</w:t>
      </w:r>
      <w:r>
        <w:rPr>
          <w:rFonts w:hint="eastAsia" w:ascii="仿宋" w:hAnsi="仿宋" w:eastAsia="仿宋" w:cs="仿宋"/>
          <w:b/>
          <w:bCs/>
          <w:sz w:val="24"/>
          <w:highlight w:val="none"/>
          <w:lang w:eastAsia="zh-CN"/>
        </w:rPr>
        <w:t>）</w:t>
      </w:r>
    </w:p>
    <w:p>
      <w:pPr>
        <w:pStyle w:val="11"/>
        <w:spacing w:line="324" w:lineRule="auto"/>
        <w:outlineLvl w:val="1"/>
        <w:rPr>
          <w:rFonts w:hint="eastAsia" w:ascii="仿宋" w:hAnsi="仿宋" w:eastAsia="仿宋" w:cs="仿宋"/>
          <w:b/>
          <w:sz w:val="24"/>
          <w:highlight w:val="none"/>
        </w:rPr>
      </w:pPr>
      <w:r>
        <w:rPr>
          <w:rFonts w:hint="eastAsia" w:ascii="仿宋" w:hAnsi="仿宋" w:eastAsia="仿宋" w:cs="仿宋"/>
          <w:b/>
          <w:sz w:val="24"/>
          <w:highlight w:val="none"/>
        </w:rPr>
        <w:t>投标文件均为明标</w:t>
      </w:r>
      <w:r>
        <w:rPr>
          <w:rFonts w:hint="eastAsia" w:ascii="仿宋" w:hAnsi="仿宋" w:eastAsia="仿宋" w:cs="仿宋"/>
          <w:b/>
          <w:sz w:val="24"/>
          <w:highlight w:val="none"/>
          <w:lang w:val="zh-CN"/>
        </w:rPr>
        <w:t>，需编制目录及页码</w:t>
      </w:r>
      <w:r>
        <w:rPr>
          <w:rFonts w:hint="eastAsia" w:ascii="仿宋" w:hAnsi="仿宋" w:eastAsia="仿宋" w:cs="仿宋"/>
          <w:b/>
          <w:sz w:val="24"/>
          <w:highlight w:val="none"/>
        </w:rPr>
        <w:t>。各投标人应对照第三章“项目采购需求”及第六章“评标办法（综合评分法）”提供必要的证明资料，投标文件应包括以下内容（但不限于以下内容）：</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15.1资格证明文件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资格证明文件应简要客观反映企业面貌，使采购人对其有感性了解，必须如实提供，如发现失实之处将影响其中标。资格证明文件包括但不仅限于以下内容，投标人对照第六章“1、资格性审查”提供必要的证明材料：</w:t>
      </w:r>
    </w:p>
    <w:p>
      <w:pPr>
        <w:numPr>
          <w:ilvl w:val="0"/>
          <w:numId w:val="3"/>
        </w:numPr>
        <w:spacing w:line="360" w:lineRule="auto"/>
        <w:ind w:left="5" w:firstLine="415"/>
        <w:jc w:val="left"/>
        <w:rPr>
          <w:rFonts w:hint="eastAsia" w:ascii="仿宋" w:hAnsi="仿宋" w:eastAsia="仿宋" w:cs="仿宋"/>
          <w:highlight w:val="none"/>
        </w:rPr>
      </w:pPr>
      <w:r>
        <w:rPr>
          <w:rFonts w:hint="eastAsia" w:ascii="仿宋" w:hAnsi="仿宋" w:eastAsia="仿宋" w:cs="仿宋"/>
          <w:bCs/>
          <w:sz w:val="24"/>
          <w:highlight w:val="none"/>
        </w:rPr>
        <w:t>资格性/符合性自查表</w:t>
      </w:r>
      <w:r>
        <w:rPr>
          <w:rFonts w:hint="eastAsia" w:ascii="仿宋" w:hAnsi="仿宋" w:eastAsia="仿宋" w:cs="仿宋"/>
          <w:sz w:val="24"/>
          <w:highlight w:val="none"/>
        </w:rPr>
        <w:t>（详见文件格式1）；</w:t>
      </w:r>
    </w:p>
    <w:p>
      <w:pPr>
        <w:numPr>
          <w:ilvl w:val="0"/>
          <w:numId w:val="3"/>
        </w:numPr>
        <w:tabs>
          <w:tab w:val="left" w:pos="0"/>
        </w:tabs>
        <w:spacing w:line="360" w:lineRule="auto"/>
        <w:ind w:left="5" w:firstLine="415"/>
        <w:jc w:val="left"/>
        <w:rPr>
          <w:rFonts w:hint="eastAsia" w:ascii="仿宋" w:hAnsi="仿宋" w:eastAsia="仿宋" w:cs="仿宋"/>
          <w:bCs/>
          <w:sz w:val="24"/>
          <w:highlight w:val="none"/>
        </w:rPr>
      </w:pPr>
      <w:r>
        <w:rPr>
          <w:rFonts w:hint="eastAsia" w:ascii="仿宋" w:hAnsi="仿宋" w:eastAsia="仿宋" w:cs="仿宋"/>
          <w:bCs/>
          <w:sz w:val="24"/>
          <w:highlight w:val="none"/>
        </w:rPr>
        <w:t>法定代表人资格证明书</w:t>
      </w:r>
      <w:r>
        <w:rPr>
          <w:rFonts w:hint="eastAsia" w:ascii="仿宋" w:hAnsi="仿宋" w:eastAsia="仿宋" w:cs="仿宋"/>
          <w:sz w:val="24"/>
          <w:highlight w:val="none"/>
        </w:rPr>
        <w:t>（详见格式2）；</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bCs/>
          <w:sz w:val="24"/>
          <w:highlight w:val="none"/>
        </w:rPr>
        <w:t>法定代表人授权委托书</w:t>
      </w:r>
      <w:r>
        <w:rPr>
          <w:rFonts w:hint="eastAsia" w:ascii="仿宋" w:hAnsi="仿宋" w:eastAsia="仿宋" w:cs="仿宋"/>
          <w:sz w:val="24"/>
          <w:highlight w:val="none"/>
        </w:rPr>
        <w:t>（详见格式3）；</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有效期内的三证合一企业营业执照（复印件）；</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投标人基本情况表（详见格式4）；</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提供近三年（自</w:t>
      </w:r>
      <w:r>
        <w:rPr>
          <w:rFonts w:hint="eastAsia" w:ascii="仿宋" w:hAnsi="仿宋" w:eastAsia="仿宋" w:cs="仿宋"/>
          <w:sz w:val="24"/>
          <w:highlight w:val="none"/>
          <w:lang w:eastAsia="zh-CN"/>
        </w:rPr>
        <w:t>2020年</w:t>
      </w:r>
      <w:r>
        <w:rPr>
          <w:rFonts w:hint="eastAsia" w:ascii="仿宋" w:hAnsi="仿宋" w:eastAsia="仿宋" w:cs="仿宋"/>
          <w:sz w:val="24"/>
          <w:highlight w:val="none"/>
        </w:rPr>
        <w:t>1月1日至今）（以合同签订的时间为准）类似项目业绩证明（复印件）（详见格式10）；</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lang w:val="en-US" w:eastAsia="zh-CN"/>
        </w:rPr>
        <w:t>承 诺</w:t>
      </w:r>
      <w:r>
        <w:rPr>
          <w:rFonts w:hint="eastAsia" w:ascii="仿宋" w:hAnsi="仿宋" w:eastAsia="仿宋" w:cs="仿宋"/>
          <w:sz w:val="24"/>
          <w:highlight w:val="none"/>
        </w:rPr>
        <w:t>（详见格式</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r>
        <w:rPr>
          <w:rFonts w:hint="eastAsia" w:ascii="仿宋" w:hAnsi="仿宋" w:eastAsia="仿宋" w:cs="仿宋"/>
          <w:sz w:val="24"/>
          <w:highlight w:val="none"/>
          <w:lang w:eastAsia="zh-CN"/>
        </w:rPr>
        <w:t>；</w:t>
      </w:r>
    </w:p>
    <w:p>
      <w:pPr>
        <w:numPr>
          <w:ilvl w:val="0"/>
          <w:numId w:val="3"/>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诚信声明（详见格式5）；</w:t>
      </w:r>
    </w:p>
    <w:p>
      <w:pPr>
        <w:numPr>
          <w:ilvl w:val="0"/>
          <w:numId w:val="3"/>
        </w:numPr>
        <w:spacing w:line="360" w:lineRule="auto"/>
        <w:ind w:left="5" w:firstLine="415"/>
        <w:rPr>
          <w:rFonts w:hint="eastAsia" w:ascii="仿宋" w:hAnsi="仿宋" w:eastAsia="仿宋" w:cs="仿宋"/>
          <w:bCs/>
          <w:sz w:val="24"/>
          <w:highlight w:val="none"/>
        </w:rPr>
      </w:pPr>
      <w:r>
        <w:rPr>
          <w:rFonts w:hint="eastAsia" w:ascii="仿宋" w:hAnsi="仿宋" w:eastAsia="仿宋" w:cs="仿宋"/>
          <w:b/>
          <w:bCs/>
          <w:sz w:val="24"/>
          <w:highlight w:val="none"/>
        </w:rPr>
        <w:t>投标人根据</w:t>
      </w:r>
      <w:r>
        <w:rPr>
          <w:rFonts w:hint="eastAsia" w:ascii="仿宋" w:hAnsi="仿宋" w:eastAsia="仿宋" w:cs="仿宋"/>
          <w:b/>
          <w:bCs/>
          <w:sz w:val="24"/>
          <w:highlight w:val="none"/>
          <w:lang w:val="en-US" w:eastAsia="zh-CN"/>
        </w:rPr>
        <w:t>评审标准-</w:t>
      </w:r>
      <w:r>
        <w:rPr>
          <w:rFonts w:hint="eastAsia" w:ascii="仿宋" w:hAnsi="仿宋" w:eastAsia="仿宋" w:cs="仿宋"/>
          <w:b/>
          <w:bCs/>
          <w:sz w:val="24"/>
          <w:highlight w:val="none"/>
        </w:rPr>
        <w:t>资格</w:t>
      </w:r>
      <w:r>
        <w:rPr>
          <w:rFonts w:hint="eastAsia" w:ascii="仿宋" w:hAnsi="仿宋" w:eastAsia="仿宋" w:cs="仿宋"/>
          <w:b/>
          <w:bCs/>
          <w:sz w:val="24"/>
          <w:highlight w:val="none"/>
          <w:lang w:val="en-US" w:eastAsia="zh-CN"/>
        </w:rPr>
        <w:t>审查</w:t>
      </w:r>
      <w:r>
        <w:rPr>
          <w:rFonts w:hint="eastAsia" w:ascii="仿宋" w:hAnsi="仿宋" w:eastAsia="仿宋" w:cs="仿宋"/>
          <w:b/>
          <w:bCs/>
          <w:sz w:val="24"/>
          <w:highlight w:val="none"/>
        </w:rPr>
        <w:t>要求提供相应的证明材料</w:t>
      </w:r>
      <w:r>
        <w:rPr>
          <w:rFonts w:hint="eastAsia" w:ascii="仿宋" w:hAnsi="仿宋" w:eastAsia="仿宋" w:cs="仿宋"/>
          <w:sz w:val="24"/>
          <w:highlight w:val="none"/>
        </w:rPr>
        <w:t>。</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15.2 商务部分主要包括但不限于以下内容：</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投标函（详见格式6）；</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一览表（详见格式7）；</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商务条款偏离表（详见格式8）；</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中小企业声明函（详见格式9）；</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上一年度</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财务报告</w:t>
      </w:r>
      <w:r>
        <w:rPr>
          <w:rFonts w:hint="eastAsia" w:ascii="仿宋" w:hAnsi="仿宋" w:eastAsia="仿宋" w:cs="仿宋"/>
          <w:sz w:val="24"/>
          <w:szCs w:val="24"/>
          <w:highlight w:val="none"/>
          <w:lang w:val="en-US" w:eastAsia="zh-CN"/>
        </w:rPr>
        <w:t>或</w:t>
      </w:r>
      <w:bookmarkStart w:id="197" w:name="_GoBack"/>
      <w:bookmarkEnd w:id="197"/>
      <w:r>
        <w:rPr>
          <w:rFonts w:hint="eastAsia" w:ascii="仿宋" w:hAnsi="仿宋" w:eastAsia="仿宋" w:cs="仿宋"/>
          <w:sz w:val="24"/>
          <w:szCs w:val="24"/>
          <w:highlight w:val="none"/>
          <w:lang w:val="en-US" w:eastAsia="zh-CN"/>
        </w:rPr>
        <w:t>财务</w:t>
      </w:r>
      <w:r>
        <w:rPr>
          <w:rFonts w:hint="eastAsia" w:ascii="仿宋" w:hAnsi="仿宋" w:eastAsia="仿宋" w:cs="仿宋"/>
          <w:sz w:val="24"/>
          <w:szCs w:val="24"/>
          <w:highlight w:val="none"/>
        </w:rPr>
        <w:t>报表（包括资产负债表、损益表、利润表、现金流量表及财务状况说明书，新成立的公司提供情况说明）；</w:t>
      </w:r>
    </w:p>
    <w:p>
      <w:pPr>
        <w:pStyle w:val="7"/>
        <w:numPr>
          <w:ilvl w:val="0"/>
          <w:numId w:val="4"/>
        </w:numPr>
        <w:tabs>
          <w:tab w:val="left" w:pos="0"/>
        </w:tabs>
        <w:overflowPunct w:val="0"/>
        <w:spacing w:line="360" w:lineRule="auto"/>
        <w:ind w:left="5" w:firstLine="4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近三个月依法缴纳税收和社会保障资金的良好记录的证明材料（附复印件）；</w:t>
      </w:r>
    </w:p>
    <w:p>
      <w:pPr>
        <w:numPr>
          <w:ilvl w:val="0"/>
          <w:numId w:val="4"/>
        </w:numPr>
        <w:spacing w:line="360" w:lineRule="auto"/>
        <w:ind w:left="5" w:firstLine="415"/>
        <w:rPr>
          <w:rFonts w:hint="eastAsia" w:ascii="仿宋" w:hAnsi="仿宋" w:eastAsia="仿宋" w:cs="仿宋"/>
          <w:sz w:val="24"/>
          <w:highlight w:val="none"/>
        </w:rPr>
      </w:pPr>
      <w:r>
        <w:rPr>
          <w:rFonts w:hint="eastAsia" w:ascii="仿宋" w:hAnsi="仿宋" w:eastAsia="仿宋" w:cs="仿宋"/>
          <w:sz w:val="24"/>
          <w:highlight w:val="none"/>
        </w:rPr>
        <w:t>企业近三年（</w:t>
      </w:r>
      <w:r>
        <w:rPr>
          <w:rFonts w:hint="eastAsia" w:ascii="仿宋" w:hAnsi="仿宋" w:eastAsia="仿宋" w:cs="仿宋"/>
          <w:sz w:val="24"/>
          <w:highlight w:val="none"/>
          <w:lang w:eastAsia="zh-CN"/>
        </w:rPr>
        <w:t>2020年</w:t>
      </w:r>
      <w:r>
        <w:rPr>
          <w:rFonts w:hint="eastAsia" w:ascii="仿宋" w:hAnsi="仿宋" w:eastAsia="仿宋" w:cs="仿宋"/>
          <w:sz w:val="24"/>
          <w:highlight w:val="none"/>
        </w:rPr>
        <w:t>1月1日至今）的获奖、荣誉证书等能够体现企业信誉及其它与本项目有关的能证明企业实力的各项证明资料；</w:t>
      </w:r>
    </w:p>
    <w:p>
      <w:pPr>
        <w:pStyle w:val="7"/>
        <w:tabs>
          <w:tab w:val="left" w:pos="0"/>
        </w:tabs>
        <w:overflowPunct w:val="0"/>
        <w:spacing w:line="360" w:lineRule="auto"/>
        <w:ind w:left="420" w:firstLine="0"/>
        <w:jc w:val="both"/>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 供应商认为有必要提供的声明及</w:t>
      </w:r>
      <w:r>
        <w:rPr>
          <w:rFonts w:hint="eastAsia" w:ascii="仿宋" w:hAnsi="仿宋" w:eastAsia="仿宋" w:cs="仿宋"/>
          <w:sz w:val="24"/>
          <w:highlight w:val="none"/>
          <w:lang w:val="en-US" w:eastAsia="zh-CN"/>
        </w:rPr>
        <w:t>资料</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15.3</w:t>
      </w:r>
      <w:r>
        <w:rPr>
          <w:rFonts w:hint="eastAsia" w:ascii="仿宋" w:hAnsi="仿宋" w:eastAsia="仿宋" w:cs="仿宋"/>
          <w:b/>
          <w:bCs/>
          <w:kern w:val="0"/>
          <w:sz w:val="24"/>
          <w:highlight w:val="none"/>
        </w:rPr>
        <w:t>技术部分主要包括但不限于以下内容：</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服务方案</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人员配备</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应急预案</w:t>
      </w:r>
    </w:p>
    <w:p>
      <w:pPr>
        <w:pStyle w:val="7"/>
        <w:numPr>
          <w:ilvl w:val="0"/>
          <w:numId w:val="0"/>
        </w:numPr>
        <w:tabs>
          <w:tab w:val="left" w:pos="0"/>
        </w:tabs>
        <w:overflowPunct w:val="0"/>
        <w:spacing w:line="360" w:lineRule="auto"/>
        <w:ind w:left="420" w:left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）供应商认为有必要提供的文件资料</w:t>
      </w:r>
      <w:r>
        <w:rPr>
          <w:rFonts w:hint="eastAsia" w:ascii="仿宋" w:hAnsi="仿宋" w:eastAsia="仿宋" w:cs="仿宋"/>
          <w:sz w:val="24"/>
          <w:szCs w:val="24"/>
          <w:highlight w:val="none"/>
          <w:lang w:val="en-US" w:eastAsia="zh-CN"/>
        </w:rPr>
        <w:t>及评分表需要提供的资料</w:t>
      </w:r>
    </w:p>
    <w:p>
      <w:pPr>
        <w:pStyle w:val="11"/>
        <w:spacing w:line="360" w:lineRule="auto"/>
        <w:ind w:left="479" w:leftChars="228"/>
        <w:rPr>
          <w:rFonts w:hint="eastAsia" w:ascii="仿宋" w:hAnsi="仿宋" w:eastAsia="仿宋" w:cs="仿宋"/>
          <w:b/>
          <w:sz w:val="24"/>
          <w:highlight w:val="none"/>
        </w:rPr>
      </w:pPr>
      <w:r>
        <w:rPr>
          <w:rFonts w:hint="eastAsia" w:ascii="仿宋" w:hAnsi="仿宋" w:eastAsia="仿宋" w:cs="仿宋"/>
          <w:b/>
          <w:sz w:val="24"/>
          <w:highlight w:val="none"/>
        </w:rPr>
        <w:t>特别说明：①上述各种证件、证书复印件须加盖投标人公章。如未按要求加盖投标人公</w:t>
      </w:r>
    </w:p>
    <w:p>
      <w:pPr>
        <w:pStyle w:val="1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章者，可能导致其投标文件无效。</w:t>
      </w:r>
    </w:p>
    <w:p>
      <w:pPr>
        <w:pStyle w:val="11"/>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② 投标人应如实提供投标资料，并保证真实可靠，不得弄虚作假。如投标人隐瞒事实真相、弄虚作假，一经查实，取消该投标人的投标资格并不予退还其全部投标保证金，若中标的，取消其中标资格，并不予退还其全部投标保证金。</w:t>
      </w:r>
    </w:p>
    <w:p>
      <w:pPr>
        <w:pStyle w:val="11"/>
        <w:spacing w:line="360" w:lineRule="auto"/>
        <w:ind w:firstLine="480"/>
        <w:outlineLvl w:val="1"/>
        <w:rPr>
          <w:rFonts w:hint="eastAsia" w:ascii="仿宋" w:hAnsi="仿宋" w:eastAsia="仿宋" w:cs="仿宋"/>
          <w:sz w:val="24"/>
          <w:highlight w:val="none"/>
        </w:rPr>
      </w:pPr>
      <w:bookmarkStart w:id="82" w:name="_Toc245897286"/>
      <w:bookmarkStart w:id="83" w:name="_Toc243907587"/>
      <w:bookmarkStart w:id="84" w:name="_Toc233274827"/>
      <w:bookmarkStart w:id="85" w:name="_Toc246216196"/>
      <w:bookmarkStart w:id="86" w:name="_Toc243906326"/>
      <w:r>
        <w:rPr>
          <w:rFonts w:hint="eastAsia" w:ascii="仿宋" w:hAnsi="仿宋" w:eastAsia="仿宋" w:cs="仿宋"/>
          <w:sz w:val="24"/>
          <w:highlight w:val="none"/>
        </w:rPr>
        <w:t>16、投标文件格式</w:t>
      </w:r>
      <w:bookmarkEnd w:id="82"/>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投标人应按招标文件提供的格式及商务报价说明完整地填写所提供的合同项目、服务以及单价等内容。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投标人提供的投标文件应当使用招标文件所提供投标文件格式（表格可按照同样格式扩展），并保证所提供的资料的真实性。未提供格式的，投标人可自行编制。</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16.3 招标文件中分标项的，</w:t>
      </w:r>
      <w:r>
        <w:rPr>
          <w:rFonts w:hint="eastAsia" w:ascii="仿宋" w:hAnsi="仿宋" w:eastAsia="仿宋" w:cs="仿宋"/>
          <w:bCs/>
          <w:sz w:val="24"/>
          <w:highlight w:val="none"/>
          <w:lang w:val="zh-CN"/>
        </w:rPr>
        <w:t>投标人须针对本单位所投标项分别编制投标文件并单独提交。</w:t>
      </w:r>
      <w:r>
        <w:rPr>
          <w:rFonts w:hint="eastAsia" w:ascii="仿宋" w:hAnsi="仿宋" w:eastAsia="仿宋" w:cs="仿宋"/>
          <w:bCs/>
          <w:sz w:val="24"/>
          <w:highlight w:val="none"/>
        </w:rPr>
        <w:t>投标人应当按照招标文件的要求编制投标文件。投标文件应当对招标文件提出的要求和条件作出明确响应。</w:t>
      </w:r>
    </w:p>
    <w:p>
      <w:pPr>
        <w:pStyle w:val="11"/>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17、商务报价</w:t>
      </w:r>
      <w:bookmarkEnd w:id="83"/>
      <w:bookmarkEnd w:id="84"/>
      <w:bookmarkEnd w:id="85"/>
      <w:bookmarkEnd w:id="8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17.1投标人的商务报价应是为采购人提供全部服务，以及技术规范及标准、项目采购需求及合同条款、本招标文件约定的所有费用的总和。供应商应按招标文件所附的《开标一览表》</w:t>
      </w:r>
      <w:r>
        <w:rPr>
          <w:rFonts w:hint="eastAsia" w:ascii="仿宋" w:hAnsi="仿宋" w:eastAsia="仿宋" w:cs="仿宋"/>
          <w:sz w:val="24"/>
          <w:highlight w:val="none"/>
          <w:lang w:val="en-US" w:eastAsia="zh-CN"/>
        </w:rPr>
        <w:t>填写。</w:t>
      </w:r>
      <w:r>
        <w:rPr>
          <w:rFonts w:hint="eastAsia" w:ascii="仿宋" w:hAnsi="仿宋" w:eastAsia="仿宋" w:cs="仿宋"/>
          <w:sz w:val="24"/>
          <w:highlight w:val="none"/>
        </w:rPr>
        <w:t>任何因投标人忽视或误解招标范围、技术规范及标准、项目采购需求及合同条款和项目现场情况，若中标，采购人将不予批准由此而产生的索赔或合同履行期限延长申请。</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商务报价中不得包含技术规范及标准、项目采购需求及合同条款、本招标文件要求以外的其他内容。否则，在评审时报价不予核减，若中标，在授予合同或结算时，采购人有权将此部分费用从中标价或合同主要条款中扣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17.2商务报价总价应包括的内容和计价因素</w:t>
      </w:r>
    </w:p>
    <w:p>
      <w:pPr>
        <w:pStyle w:val="2"/>
        <w:spacing w:line="360" w:lineRule="auto"/>
        <w:ind w:firstLine="480" w:firstLineChars="200"/>
        <w:rPr>
          <w:rFonts w:hint="eastAsia" w:ascii="仿宋" w:hAnsi="仿宋" w:eastAsia="仿宋" w:cs="仿宋"/>
          <w:b/>
          <w:bCs/>
          <w:kern w:val="2"/>
          <w:szCs w:val="24"/>
          <w:highlight w:val="none"/>
        </w:rPr>
      </w:pPr>
      <w:r>
        <w:rPr>
          <w:rFonts w:hint="eastAsia" w:ascii="仿宋" w:hAnsi="仿宋" w:eastAsia="仿宋" w:cs="仿宋"/>
          <w:highlight w:val="none"/>
        </w:rPr>
        <w:t>（1）完成</w:t>
      </w:r>
      <w:r>
        <w:rPr>
          <w:rFonts w:hint="eastAsia" w:ascii="仿宋" w:hAnsi="仿宋" w:eastAsia="仿宋" w:cs="仿宋"/>
          <w:highlight w:val="none"/>
          <w:lang w:eastAsia="zh-CN"/>
        </w:rPr>
        <w:t>2023年度克拉玛依市机关后勤服务中心（援克服务中心）机关食堂食材供应商采购项目</w:t>
      </w:r>
      <w:r>
        <w:rPr>
          <w:rFonts w:hint="eastAsia" w:ascii="仿宋" w:hAnsi="仿宋" w:eastAsia="仿宋" w:cs="仿宋"/>
          <w:b/>
          <w:bCs/>
          <w:kern w:val="2"/>
          <w:szCs w:val="24"/>
          <w:highlight w:val="none"/>
        </w:rPr>
        <w:t>的合同条款、项目采购需求、本招标文件约定的全部内容及保修责任和义务。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根据对本招标文件、技术规范和标准、项目采购需求、合同条款的理解，应达到的技术指标、检验及验收标准等要求，结合市场情况进行商务报价。投标人应充分考虑合同执行期内的市场风险和国家政策性调整风险等因素对商务报价的影响。</w:t>
      </w:r>
    </w:p>
    <w:p>
      <w:pPr>
        <w:spacing w:line="360" w:lineRule="auto"/>
        <w:ind w:firstLine="480" w:firstLineChars="200"/>
        <w:rPr>
          <w:rFonts w:hint="eastAsia" w:ascii="仿宋" w:hAnsi="仿宋" w:eastAsia="仿宋" w:cs="仿宋"/>
          <w:sz w:val="24"/>
          <w:highlight w:val="none"/>
        </w:rPr>
      </w:pPr>
      <w:bookmarkStart w:id="87" w:name="_Toc243907588"/>
      <w:bookmarkStart w:id="88" w:name="_Toc233274828"/>
      <w:bookmarkStart w:id="89" w:name="_Toc243906327"/>
      <w:bookmarkStart w:id="90" w:name="_Toc246216197"/>
      <w:r>
        <w:rPr>
          <w:rFonts w:hint="eastAsia" w:ascii="仿宋" w:hAnsi="仿宋" w:eastAsia="仿宋" w:cs="仿宋"/>
          <w:sz w:val="24"/>
          <w:highlight w:val="none"/>
        </w:rPr>
        <w:t>17.3投标人应按照招标文件所附的格式完整地填写商务报价一览表，投标人应对招标范围内的全部内容进行报价。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17.4投标人若中标，不得以任何理由在合同执行期间予以价格调整。任何包含价格调整的要求将被认为是非响应而予以拒绝。</w:t>
      </w:r>
    </w:p>
    <w:bookmarkEnd w:id="87"/>
    <w:bookmarkEnd w:id="88"/>
    <w:bookmarkEnd w:id="89"/>
    <w:bookmarkEnd w:id="90"/>
    <w:p>
      <w:pPr>
        <w:pStyle w:val="11"/>
        <w:spacing w:line="360" w:lineRule="auto"/>
        <w:ind w:firstLine="480" w:firstLineChars="200"/>
        <w:outlineLvl w:val="1"/>
        <w:rPr>
          <w:rFonts w:hint="eastAsia" w:ascii="仿宋" w:hAnsi="仿宋" w:eastAsia="仿宋" w:cs="仿宋"/>
          <w:sz w:val="24"/>
          <w:highlight w:val="none"/>
        </w:rPr>
      </w:pPr>
      <w:bookmarkStart w:id="91" w:name="_Toc245897288"/>
      <w:r>
        <w:rPr>
          <w:rFonts w:hint="eastAsia" w:ascii="仿宋" w:hAnsi="仿宋" w:eastAsia="仿宋" w:cs="仿宋"/>
          <w:sz w:val="24"/>
          <w:highlight w:val="none"/>
        </w:rPr>
        <w:t>18、商务报价货币</w:t>
      </w:r>
      <w:bookmarkEnd w:id="91"/>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18.1商务报价一览表和投标文件中的所有报价一律使用人民币（RMB）填报。</w:t>
      </w:r>
    </w:p>
    <w:p>
      <w:pPr>
        <w:pStyle w:val="11"/>
        <w:spacing w:line="360" w:lineRule="auto"/>
        <w:ind w:firstLine="480" w:firstLineChars="200"/>
        <w:outlineLvl w:val="1"/>
        <w:rPr>
          <w:rFonts w:hint="eastAsia" w:ascii="仿宋" w:hAnsi="仿宋" w:eastAsia="仿宋" w:cs="仿宋"/>
          <w:sz w:val="24"/>
          <w:highlight w:val="none"/>
        </w:rPr>
      </w:pPr>
      <w:bookmarkStart w:id="92" w:name="_Toc243906328"/>
      <w:bookmarkStart w:id="93" w:name="_Toc245897289"/>
      <w:bookmarkStart w:id="94" w:name="_Toc243907589"/>
      <w:bookmarkStart w:id="95" w:name="_Toc233274829"/>
      <w:r>
        <w:rPr>
          <w:rFonts w:hint="eastAsia" w:ascii="仿宋" w:hAnsi="仿宋" w:eastAsia="仿宋" w:cs="仿宋"/>
          <w:sz w:val="24"/>
          <w:highlight w:val="none"/>
        </w:rPr>
        <w:t>19、投标人资格证明文件</w:t>
      </w:r>
      <w:bookmarkEnd w:id="92"/>
      <w:bookmarkEnd w:id="93"/>
      <w:bookmarkEnd w:id="94"/>
      <w:bookmarkEnd w:id="95"/>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19.1 投标人必须提交证明其有资格参加招标和中标后有能力履行合同的文件。</w:t>
      </w:r>
    </w:p>
    <w:p>
      <w:pPr>
        <w:pStyle w:val="11"/>
        <w:spacing w:line="360" w:lineRule="auto"/>
        <w:ind w:firstLine="480" w:firstLineChars="200"/>
        <w:outlineLvl w:val="1"/>
        <w:rPr>
          <w:rFonts w:hint="eastAsia" w:ascii="仿宋" w:hAnsi="仿宋" w:eastAsia="仿宋" w:cs="仿宋"/>
          <w:sz w:val="24"/>
          <w:highlight w:val="none"/>
        </w:rPr>
      </w:pPr>
      <w:bookmarkStart w:id="96" w:name="_Toc233274830"/>
      <w:bookmarkStart w:id="97" w:name="_Toc245897290"/>
      <w:bookmarkStart w:id="98" w:name="_Toc243907590"/>
      <w:bookmarkStart w:id="99" w:name="_Toc243906329"/>
      <w:r>
        <w:rPr>
          <w:rFonts w:hint="eastAsia" w:ascii="仿宋" w:hAnsi="仿宋" w:eastAsia="仿宋" w:cs="仿宋"/>
          <w:sz w:val="24"/>
          <w:highlight w:val="none"/>
        </w:rPr>
        <w:t>20、提供的</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符合招标文件规定的技术</w:t>
      </w:r>
      <w:bookmarkEnd w:id="96"/>
      <w:bookmarkEnd w:id="97"/>
      <w:bookmarkEnd w:id="98"/>
      <w:bookmarkEnd w:id="99"/>
      <w:r>
        <w:rPr>
          <w:rFonts w:hint="eastAsia" w:ascii="仿宋" w:hAnsi="仿宋" w:eastAsia="仿宋" w:cs="仿宋"/>
          <w:sz w:val="24"/>
          <w:highlight w:val="none"/>
        </w:rPr>
        <w:t>投标文件</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20.1 投标人须提交证明其拟供货物和服务符合招标文件、技术规范及标准、项目采购需求规定的技术投标文件，作为投标文件的一部分；</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20.2上述文件可以是文字资料、图纸和数据，并须提供货物主要技术性能的详细描述及设备清单和所提供服务的详细说明；</w:t>
      </w:r>
    </w:p>
    <w:p>
      <w:pPr>
        <w:spacing w:line="360" w:lineRule="auto"/>
        <w:ind w:firstLine="481"/>
        <w:rPr>
          <w:rFonts w:hint="eastAsia" w:ascii="仿宋" w:hAnsi="仿宋" w:eastAsia="仿宋" w:cs="仿宋"/>
          <w:sz w:val="24"/>
          <w:highlight w:val="none"/>
        </w:rPr>
      </w:pPr>
      <w:r>
        <w:rPr>
          <w:rFonts w:hint="eastAsia" w:ascii="仿宋" w:hAnsi="仿宋" w:eastAsia="仿宋" w:cs="仿宋"/>
          <w:sz w:val="24"/>
          <w:highlight w:val="none"/>
        </w:rPr>
        <w:t>20.3投标人应逐条对招标文件、项目采购需求及合同条款等进行仔细阅读，提出自己提供的货物和服务是否对其做出了实质性的响应。</w:t>
      </w:r>
    </w:p>
    <w:p>
      <w:pPr>
        <w:pStyle w:val="11"/>
        <w:spacing w:line="360" w:lineRule="auto"/>
        <w:ind w:firstLine="480" w:firstLineChars="200"/>
        <w:outlineLvl w:val="1"/>
        <w:rPr>
          <w:rFonts w:hint="eastAsia" w:ascii="仿宋" w:hAnsi="仿宋" w:eastAsia="仿宋" w:cs="仿宋"/>
          <w:sz w:val="24"/>
          <w:highlight w:val="none"/>
        </w:rPr>
      </w:pPr>
      <w:bookmarkStart w:id="100" w:name="_Toc233274831"/>
      <w:bookmarkStart w:id="101" w:name="_Toc243906330"/>
      <w:bookmarkStart w:id="102" w:name="_Toc245897291"/>
      <w:bookmarkStart w:id="103" w:name="_Toc243907591"/>
      <w:r>
        <w:rPr>
          <w:rFonts w:hint="eastAsia" w:ascii="仿宋" w:hAnsi="仿宋" w:eastAsia="仿宋" w:cs="仿宋"/>
          <w:sz w:val="24"/>
          <w:highlight w:val="none"/>
        </w:rPr>
        <w:t>21、投标文件有效期</w:t>
      </w:r>
      <w:bookmarkEnd w:id="100"/>
      <w:bookmarkEnd w:id="101"/>
      <w:bookmarkEnd w:id="102"/>
      <w:bookmarkEnd w:id="103"/>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21.1投标文件有效期为递交投标文件截止之日起90天（日历日）。投标人的投标文件有效期比规定的有效期短的，将被视为非响应而予以拒绝。</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特殊情况下，在原有效期届满之前，采购人可征得投标人的同意延长其有效期，这种要求与答复均应以书面形式。投标人拒绝延长的，其投标文件失效。同意延长有效期的投标人，既不要求也不允许其修改投标文件。</w:t>
      </w:r>
    </w:p>
    <w:p>
      <w:pPr>
        <w:pStyle w:val="11"/>
        <w:spacing w:line="360" w:lineRule="auto"/>
        <w:ind w:firstLine="480" w:firstLineChars="200"/>
        <w:outlineLvl w:val="1"/>
        <w:rPr>
          <w:rFonts w:hint="eastAsia" w:ascii="仿宋" w:hAnsi="仿宋" w:eastAsia="仿宋" w:cs="仿宋"/>
          <w:sz w:val="24"/>
          <w:highlight w:val="none"/>
        </w:rPr>
      </w:pPr>
      <w:bookmarkStart w:id="104" w:name="_Toc243907592"/>
      <w:bookmarkStart w:id="105" w:name="_Toc243906331"/>
      <w:bookmarkStart w:id="106" w:name="_Toc233274832"/>
      <w:bookmarkStart w:id="107" w:name="_Toc245897292"/>
      <w:r>
        <w:rPr>
          <w:rFonts w:hint="eastAsia" w:ascii="仿宋" w:hAnsi="仿宋" w:eastAsia="仿宋" w:cs="仿宋"/>
          <w:sz w:val="24"/>
          <w:highlight w:val="none"/>
        </w:rPr>
        <w:t>22、投标文件的签署及规定</w:t>
      </w:r>
      <w:bookmarkEnd w:id="104"/>
      <w:bookmarkEnd w:id="105"/>
      <w:bookmarkEnd w:id="106"/>
      <w:bookmarkEnd w:id="107"/>
    </w:p>
    <w:p>
      <w:pPr>
        <w:spacing w:line="288"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22.1</w:t>
      </w:r>
      <w:r>
        <w:rPr>
          <w:rFonts w:hint="eastAsia" w:ascii="仿宋" w:hAnsi="仿宋" w:eastAsia="仿宋" w:cs="仿宋"/>
          <w:kern w:val="0"/>
          <w:sz w:val="24"/>
          <w:highlight w:val="none"/>
        </w:rPr>
        <w:t>供应商提交的响应文件必须唯一有效，</w:t>
      </w:r>
      <w:r>
        <w:rPr>
          <w:rFonts w:hint="eastAsia" w:ascii="仿宋" w:hAnsi="仿宋" w:eastAsia="仿宋" w:cs="仿宋"/>
          <w:sz w:val="24"/>
          <w:highlight w:val="none"/>
        </w:rPr>
        <w:t>投标人均应使用CA数字证书加盖投标人的单位电子印章和（或）法定代表人的个人电子印章或电子签名。</w:t>
      </w:r>
    </w:p>
    <w:p>
      <w:pPr>
        <w:pStyle w:val="11"/>
        <w:spacing w:line="45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22.2 除供应商对错误做必要修改外，响应文件中不许有增删、涂改或改写。若确有修改必须由签署响应文件的委托代理人签字或盖章。</w:t>
      </w:r>
    </w:p>
    <w:p>
      <w:pPr>
        <w:pStyle w:val="11"/>
        <w:spacing w:line="450" w:lineRule="exact"/>
        <w:jc w:val="center"/>
        <w:outlineLvl w:val="1"/>
        <w:rPr>
          <w:rFonts w:hint="eastAsia" w:ascii="仿宋" w:hAnsi="仿宋" w:eastAsia="仿宋" w:cs="仿宋"/>
          <w:b/>
          <w:bCs/>
          <w:sz w:val="28"/>
          <w:szCs w:val="28"/>
          <w:highlight w:val="none"/>
        </w:rPr>
      </w:pPr>
    </w:p>
    <w:bookmarkEnd w:id="69"/>
    <w:p>
      <w:pPr>
        <w:pStyle w:val="11"/>
        <w:spacing w:line="360" w:lineRule="auto"/>
        <w:jc w:val="center"/>
        <w:outlineLvl w:val="1"/>
        <w:rPr>
          <w:rFonts w:hint="eastAsia" w:ascii="仿宋" w:hAnsi="仿宋" w:eastAsia="仿宋" w:cs="仿宋"/>
          <w:b/>
          <w:bCs/>
          <w:sz w:val="28"/>
          <w:szCs w:val="28"/>
          <w:highlight w:val="none"/>
        </w:rPr>
      </w:pPr>
      <w:bookmarkStart w:id="108" w:name="_Toc246216203"/>
      <w:bookmarkStart w:id="109" w:name="_Toc233274834"/>
      <w:bookmarkStart w:id="110" w:name="_Toc243907594"/>
      <w:bookmarkStart w:id="111" w:name="_Toc243906333"/>
      <w:r>
        <w:rPr>
          <w:rFonts w:hint="eastAsia" w:ascii="仿宋" w:hAnsi="仿宋" w:eastAsia="仿宋" w:cs="仿宋"/>
          <w:b/>
          <w:bCs/>
          <w:sz w:val="28"/>
          <w:szCs w:val="28"/>
          <w:highlight w:val="none"/>
        </w:rPr>
        <w:t>四、投标文件的递交、修改和撤回</w:t>
      </w:r>
      <w:bookmarkEnd w:id="108"/>
      <w:bookmarkEnd w:id="109"/>
      <w:bookmarkEnd w:id="110"/>
      <w:bookmarkEnd w:id="111"/>
    </w:p>
    <w:p>
      <w:pPr>
        <w:widowControl/>
        <w:spacing w:line="450" w:lineRule="exact"/>
        <w:ind w:firstLine="482" w:firstLineChars="200"/>
        <w:jc w:val="left"/>
        <w:rPr>
          <w:rFonts w:hint="eastAsia" w:ascii="仿宋" w:hAnsi="仿宋" w:eastAsia="仿宋" w:cs="仿宋"/>
          <w:b/>
          <w:sz w:val="24"/>
          <w:highlight w:val="none"/>
        </w:rPr>
      </w:pPr>
      <w:bookmarkStart w:id="112" w:name="_Toc243906334"/>
      <w:bookmarkStart w:id="113" w:name="_Toc233274835"/>
      <w:bookmarkStart w:id="114" w:name="_Toc243907595"/>
      <w:bookmarkStart w:id="115" w:name="_Toc245897295"/>
      <w:bookmarkStart w:id="116" w:name="_Toc245897296"/>
      <w:bookmarkStart w:id="117" w:name="_Toc243907596"/>
      <w:bookmarkStart w:id="118" w:name="_Toc243906335"/>
      <w:bookmarkStart w:id="119" w:name="_Toc233274836"/>
      <w:r>
        <w:rPr>
          <w:rFonts w:hint="eastAsia" w:ascii="仿宋" w:hAnsi="仿宋" w:eastAsia="仿宋" w:cs="仿宋"/>
          <w:b/>
          <w:sz w:val="24"/>
          <w:highlight w:val="none"/>
        </w:rPr>
        <w:t>23、</w:t>
      </w:r>
      <w:bookmarkEnd w:id="112"/>
      <w:bookmarkEnd w:id="113"/>
      <w:bookmarkEnd w:id="114"/>
      <w:bookmarkEnd w:id="115"/>
      <w:r>
        <w:rPr>
          <w:rFonts w:hint="eastAsia" w:ascii="仿宋" w:hAnsi="仿宋" w:eastAsia="仿宋" w:cs="仿宋"/>
          <w:b/>
          <w:sz w:val="24"/>
          <w:highlight w:val="none"/>
        </w:rPr>
        <w:t>递交响应文件截止时间</w:t>
      </w:r>
    </w:p>
    <w:p>
      <w:pPr>
        <w:widowControl/>
        <w:spacing w:line="450" w:lineRule="exact"/>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23.1所有响应文件都必须按招标人在供应商须知前附表中规定的时间将生成的“电子加密投标文件”上传递交至“政府采购云平台（www.zcygov.cn）”。</w:t>
      </w:r>
    </w:p>
    <w:p>
      <w:pPr>
        <w:spacing w:line="450" w:lineRule="exact"/>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23.2投标截止时间以后上传递交的投标文件将被“政府采购云平台”拒收，采购人（或采购代理机构）不对后果负责</w:t>
      </w:r>
      <w:r>
        <w:rPr>
          <w:rFonts w:hint="eastAsia" w:ascii="仿宋" w:hAnsi="仿宋" w:eastAsia="仿宋" w:cs="仿宋"/>
          <w:sz w:val="24"/>
          <w:highlight w:val="none"/>
        </w:rPr>
        <w:t>。</w:t>
      </w:r>
    </w:p>
    <w:p>
      <w:pPr>
        <w:pStyle w:val="11"/>
        <w:spacing w:line="360" w:lineRule="auto"/>
        <w:ind w:firstLine="480" w:firstLineChars="2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24、递交投标文件截止时间</w:t>
      </w:r>
      <w:bookmarkEnd w:id="116"/>
      <w:bookmarkEnd w:id="117"/>
      <w:bookmarkEnd w:id="118"/>
      <w:bookmarkEnd w:id="119"/>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24.1 所有投标文件都必须按采购人</w:t>
      </w:r>
      <w:r>
        <w:rPr>
          <w:rFonts w:hint="eastAsia" w:ascii="仿宋" w:hAnsi="仿宋" w:eastAsia="仿宋" w:cs="仿宋"/>
          <w:sz w:val="24"/>
          <w:highlight w:val="none"/>
        </w:rPr>
        <w:t>在投标人须知前附表中规定的截止时间之前上传。</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24.2出现因招标文件的修改推迟截止日期时，则按采购代理机构修改通知规定的时间递交投标文件。在此情况下，采购人和采购代理机构与投标人之间受截止期制约的所有权利和义务应延长至新的截止期。</w:t>
      </w:r>
    </w:p>
    <w:p>
      <w:pPr>
        <w:pStyle w:val="11"/>
        <w:spacing w:line="360" w:lineRule="auto"/>
        <w:ind w:firstLine="480" w:firstLineChars="200"/>
        <w:outlineLvl w:val="1"/>
        <w:rPr>
          <w:rFonts w:hint="eastAsia" w:ascii="仿宋" w:hAnsi="仿宋" w:eastAsia="仿宋" w:cs="仿宋"/>
          <w:sz w:val="24"/>
          <w:highlight w:val="none"/>
        </w:rPr>
      </w:pPr>
      <w:bookmarkStart w:id="120" w:name="_Toc233274837"/>
      <w:bookmarkStart w:id="121" w:name="_Toc243907597"/>
      <w:bookmarkStart w:id="122" w:name="_Toc245897297"/>
      <w:bookmarkStart w:id="123" w:name="_Toc243906336"/>
      <w:r>
        <w:rPr>
          <w:rFonts w:hint="eastAsia" w:ascii="仿宋" w:hAnsi="仿宋" w:eastAsia="仿宋" w:cs="仿宋"/>
          <w:sz w:val="24"/>
          <w:highlight w:val="none"/>
        </w:rPr>
        <w:t>25、迟交的</w:t>
      </w:r>
      <w:bookmarkEnd w:id="120"/>
      <w:bookmarkEnd w:id="121"/>
      <w:bookmarkEnd w:id="122"/>
      <w:bookmarkEnd w:id="123"/>
      <w:r>
        <w:rPr>
          <w:rFonts w:hint="eastAsia" w:ascii="仿宋" w:hAnsi="仿宋" w:eastAsia="仿宋" w:cs="仿宋"/>
          <w:sz w:val="24"/>
          <w:highlight w:val="none"/>
        </w:rPr>
        <w:t>投标文件</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 采购人将拒绝并原封退回在其规定的截止时间后送达的投标文件。</w:t>
      </w:r>
    </w:p>
    <w:p>
      <w:pPr>
        <w:pStyle w:val="11"/>
        <w:spacing w:line="360" w:lineRule="auto"/>
        <w:ind w:firstLine="480" w:firstLineChars="200"/>
        <w:outlineLvl w:val="1"/>
        <w:rPr>
          <w:rFonts w:hint="eastAsia" w:ascii="仿宋" w:hAnsi="仿宋" w:eastAsia="仿宋" w:cs="仿宋"/>
          <w:sz w:val="24"/>
          <w:highlight w:val="none"/>
        </w:rPr>
      </w:pPr>
      <w:bookmarkStart w:id="124" w:name="_Toc233274838"/>
      <w:bookmarkStart w:id="125" w:name="_Toc243906337"/>
      <w:bookmarkStart w:id="126" w:name="_Toc245897298"/>
      <w:bookmarkStart w:id="127" w:name="_Toc243907598"/>
      <w:r>
        <w:rPr>
          <w:rFonts w:hint="eastAsia" w:ascii="仿宋" w:hAnsi="仿宋" w:eastAsia="仿宋" w:cs="仿宋"/>
          <w:sz w:val="24"/>
          <w:highlight w:val="none"/>
        </w:rPr>
        <w:t>26、投标文件的修改和撤回</w:t>
      </w:r>
      <w:bookmarkEnd w:id="124"/>
      <w:bookmarkEnd w:id="125"/>
      <w:bookmarkEnd w:id="126"/>
      <w:bookmarkEnd w:id="127"/>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投标人在提交投标文件后可在截止时间前对其投标文件进行修改或撤回，但采购人须在截止时间之前收到该修改或撤回的书面通知，该通知须有法定代表人或经有效授权的委托代理人签字或盖章。</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投标人对投标文件修改的书面材料或撤回的通知应按第22条和第23条规定进行编写、密封、标记和递交，并注明“修改投标文件”或“撤回投标文件”字样。</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26.3截止时间之后，投标人不得对投标文件做任何修改。</w:t>
      </w:r>
    </w:p>
    <w:p>
      <w:pPr>
        <w:pStyle w:val="1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26.4 投标人不得在截止时间起至投标文件有效期期满前撤回投标文件。</w:t>
      </w:r>
    </w:p>
    <w:p>
      <w:pPr>
        <w:spacing w:line="360" w:lineRule="auto"/>
        <w:ind w:firstLine="480" w:firstLineChars="200"/>
        <w:outlineLvl w:val="1"/>
        <w:rPr>
          <w:rFonts w:hint="eastAsia" w:ascii="仿宋" w:hAnsi="仿宋" w:eastAsia="仿宋" w:cs="仿宋"/>
          <w:sz w:val="24"/>
          <w:highlight w:val="none"/>
        </w:rPr>
      </w:pPr>
      <w:bookmarkStart w:id="128" w:name="_Toc233274839"/>
      <w:bookmarkStart w:id="129" w:name="_Toc245897299"/>
      <w:bookmarkStart w:id="130" w:name="_Toc243907599"/>
      <w:bookmarkStart w:id="131" w:name="_Toc243906338"/>
      <w:r>
        <w:rPr>
          <w:rFonts w:hint="eastAsia" w:ascii="仿宋" w:hAnsi="仿宋" w:eastAsia="仿宋" w:cs="仿宋"/>
          <w:sz w:val="24"/>
          <w:highlight w:val="none"/>
        </w:rPr>
        <w:t>27、递交</w:t>
      </w:r>
      <w:bookmarkEnd w:id="128"/>
      <w:bookmarkEnd w:id="129"/>
      <w:bookmarkEnd w:id="130"/>
      <w:bookmarkEnd w:id="131"/>
      <w:r>
        <w:rPr>
          <w:rFonts w:hint="eastAsia" w:ascii="仿宋" w:hAnsi="仿宋" w:eastAsia="仿宋" w:cs="仿宋"/>
          <w:sz w:val="24"/>
          <w:highlight w:val="none"/>
        </w:rPr>
        <w:t>投标文件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27.1投标人应按本投标人须知前附表第7项规定的时间及地点递交投标文件。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27.2有下列情形之一的，采购人不予接收其投标文件：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27.2.1供应商在递交响应文件截止时间后上传或未上传到指定地点的响应文件；</w:t>
      </w:r>
    </w:p>
    <w:p>
      <w:pPr>
        <w:spacing w:line="360" w:lineRule="auto"/>
        <w:jc w:val="center"/>
        <w:outlineLvl w:val="1"/>
        <w:rPr>
          <w:rFonts w:hint="eastAsia" w:ascii="仿宋" w:hAnsi="仿宋" w:eastAsia="仿宋" w:cs="仿宋"/>
          <w:b/>
          <w:bCs/>
          <w:sz w:val="28"/>
          <w:szCs w:val="28"/>
          <w:highlight w:val="none"/>
        </w:rPr>
      </w:pPr>
      <w:bookmarkStart w:id="132" w:name="_Toc243906339"/>
      <w:bookmarkStart w:id="133" w:name="_Toc246216209"/>
      <w:bookmarkStart w:id="134" w:name="_Toc243907600"/>
      <w:bookmarkStart w:id="135" w:name="_Toc233274840"/>
      <w:r>
        <w:rPr>
          <w:rFonts w:hint="eastAsia" w:ascii="仿宋" w:hAnsi="仿宋" w:eastAsia="仿宋" w:cs="仿宋"/>
          <w:b/>
          <w:bCs/>
          <w:sz w:val="28"/>
          <w:szCs w:val="28"/>
          <w:highlight w:val="none"/>
        </w:rPr>
        <w:t xml:space="preserve"> 五、</w:t>
      </w:r>
      <w:bookmarkEnd w:id="132"/>
      <w:bookmarkEnd w:id="133"/>
      <w:bookmarkEnd w:id="134"/>
      <w:bookmarkEnd w:id="135"/>
      <w:r>
        <w:rPr>
          <w:rFonts w:hint="eastAsia" w:ascii="仿宋" w:hAnsi="仿宋" w:eastAsia="仿宋" w:cs="仿宋"/>
          <w:b/>
          <w:bCs/>
          <w:sz w:val="28"/>
          <w:szCs w:val="28"/>
          <w:highlight w:val="none"/>
        </w:rPr>
        <w:t>开标、评标、确定中标供应商</w:t>
      </w:r>
    </w:p>
    <w:p>
      <w:pPr>
        <w:spacing w:line="360" w:lineRule="auto"/>
        <w:ind w:firstLine="480" w:firstLineChars="200"/>
        <w:outlineLvl w:val="1"/>
        <w:rPr>
          <w:rFonts w:hint="eastAsia" w:ascii="仿宋" w:hAnsi="仿宋" w:eastAsia="仿宋" w:cs="仿宋"/>
          <w:sz w:val="24"/>
          <w:szCs w:val="20"/>
          <w:highlight w:val="none"/>
        </w:rPr>
      </w:pPr>
      <w:bookmarkStart w:id="136" w:name="_Toc243906340"/>
      <w:bookmarkStart w:id="137" w:name="_Toc243907601"/>
      <w:bookmarkStart w:id="138" w:name="_Toc233274841"/>
      <w:bookmarkStart w:id="139" w:name="_Toc245897301"/>
      <w:r>
        <w:rPr>
          <w:rFonts w:hint="eastAsia" w:ascii="仿宋" w:hAnsi="仿宋" w:eastAsia="仿宋" w:cs="仿宋"/>
          <w:sz w:val="24"/>
          <w:szCs w:val="20"/>
          <w:highlight w:val="none"/>
        </w:rPr>
        <w:t>28、</w:t>
      </w:r>
      <w:bookmarkEnd w:id="136"/>
      <w:bookmarkEnd w:id="137"/>
      <w:bookmarkEnd w:id="138"/>
      <w:bookmarkEnd w:id="139"/>
      <w:r>
        <w:rPr>
          <w:rFonts w:hint="eastAsia" w:ascii="仿宋" w:hAnsi="仿宋" w:eastAsia="仿宋" w:cs="仿宋"/>
          <w:sz w:val="24"/>
          <w:szCs w:val="20"/>
          <w:highlight w:val="none"/>
        </w:rPr>
        <w:t>开标会议</w:t>
      </w:r>
    </w:p>
    <w:p>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28.1采购人在本投标人须知前附表规定的时间和地点组织开标会议。</w:t>
      </w:r>
    </w:p>
    <w:p>
      <w:pPr>
        <w:spacing w:line="45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28.2</w:t>
      </w:r>
      <w:r>
        <w:rPr>
          <w:rStyle w:val="25"/>
          <w:rFonts w:hint="eastAsia" w:ascii="仿宋" w:hAnsi="仿宋" w:eastAsia="仿宋" w:cs="仿宋"/>
          <w:b w:val="0"/>
          <w:sz w:val="24"/>
          <w:highlight w:val="none"/>
        </w:rPr>
        <w:t>开标由招标代理机构主持，财政部门和有关监督部门可视情况派员现场监督</w:t>
      </w:r>
      <w:r>
        <w:rPr>
          <w:rFonts w:hint="eastAsia" w:ascii="仿宋" w:hAnsi="仿宋" w:eastAsia="仿宋" w:cs="仿宋"/>
          <w:sz w:val="24"/>
          <w:highlight w:val="none"/>
        </w:rPr>
        <w:t>。</w:t>
      </w:r>
    </w:p>
    <w:p>
      <w:pPr>
        <w:pStyle w:val="20"/>
        <w:spacing w:before="75" w:beforeAutospacing="0" w:after="75" w:afterAutospacing="0" w:line="360" w:lineRule="auto"/>
        <w:ind w:firstLine="482" w:firstLineChars="200"/>
        <w:rPr>
          <w:rStyle w:val="25"/>
          <w:rFonts w:hint="eastAsia" w:ascii="仿宋" w:hAnsi="仿宋" w:eastAsia="仿宋" w:cs="仿宋"/>
          <w:bCs/>
          <w:highlight w:val="none"/>
        </w:rPr>
      </w:pPr>
      <w:r>
        <w:rPr>
          <w:rFonts w:hint="eastAsia" w:ascii="仿宋" w:hAnsi="仿宋" w:eastAsia="仿宋" w:cs="仿宋"/>
          <w:b/>
          <w:bCs/>
          <w:highlight w:val="none"/>
        </w:rPr>
        <w:t>28.3</w:t>
      </w:r>
      <w:r>
        <w:rPr>
          <w:rStyle w:val="25"/>
          <w:rFonts w:hint="eastAsia" w:ascii="仿宋" w:hAnsi="仿宋" w:eastAsia="仿宋" w:cs="仿宋"/>
          <w:bCs/>
          <w:highlight w:val="none"/>
        </w:rPr>
        <w:t>本次采用不见面开标方式，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pPr>
        <w:spacing w:line="360" w:lineRule="auto"/>
        <w:ind w:firstLine="480" w:firstLineChars="200"/>
        <w:outlineLvl w:val="1"/>
        <w:rPr>
          <w:rFonts w:hint="eastAsia" w:ascii="仿宋" w:hAnsi="仿宋" w:eastAsia="仿宋" w:cs="仿宋"/>
          <w:sz w:val="24"/>
          <w:szCs w:val="20"/>
          <w:highlight w:val="none"/>
        </w:rPr>
      </w:pPr>
      <w:bookmarkStart w:id="140" w:name="_Toc233274842"/>
      <w:bookmarkStart w:id="141" w:name="_Toc243907602"/>
      <w:bookmarkStart w:id="142" w:name="_Toc245897302"/>
      <w:bookmarkStart w:id="143" w:name="_Toc243906341"/>
      <w:r>
        <w:rPr>
          <w:rFonts w:hint="eastAsia" w:ascii="仿宋" w:hAnsi="仿宋" w:eastAsia="仿宋" w:cs="仿宋"/>
          <w:sz w:val="24"/>
          <w:szCs w:val="20"/>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spacing w:line="360" w:lineRule="auto"/>
        <w:ind w:left="239" w:leftChars="114" w:firstLine="240" w:firstLineChars="1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28.4投标文件的解密：投标人登录政采云平台，在开标时间后30分钟内（</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03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01</w:t>
      </w:r>
      <w:r>
        <w:rPr>
          <w:rFonts w:hint="eastAsia" w:ascii="仿宋" w:hAnsi="仿宋" w:eastAsia="仿宋" w:cs="仿宋"/>
          <w:kern w:val="0"/>
          <w:sz w:val="24"/>
          <w:highlight w:val="none"/>
        </w:rPr>
        <w:t>日10:30-11：00</w:t>
      </w:r>
      <w:r>
        <w:rPr>
          <w:rFonts w:hint="eastAsia" w:ascii="仿宋" w:hAnsi="仿宋" w:eastAsia="仿宋" w:cs="仿宋"/>
          <w:kern w:val="0"/>
          <w:sz w:val="24"/>
          <w:highlight w:val="none"/>
          <w:lang w:eastAsia="zh-CN"/>
        </w:rPr>
        <w:t>）</w:t>
      </w:r>
      <w:r>
        <w:rPr>
          <w:rFonts w:hint="eastAsia" w:ascii="仿宋" w:hAnsi="仿宋" w:eastAsia="仿宋" w:cs="仿宋"/>
          <w:sz w:val="24"/>
          <w:szCs w:val="20"/>
          <w:highlight w:val="none"/>
        </w:rPr>
        <w:t>用“项目采购-开标评标”功能进行解密投标文件。若投标人在规定时间内（</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03</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01 </w:t>
      </w:r>
      <w:r>
        <w:rPr>
          <w:rFonts w:hint="eastAsia" w:ascii="仿宋" w:hAnsi="仿宋" w:eastAsia="仿宋" w:cs="仿宋"/>
          <w:kern w:val="0"/>
          <w:sz w:val="24"/>
          <w:highlight w:val="none"/>
        </w:rPr>
        <w:t>日10:30-11：00</w:t>
      </w:r>
      <w:r>
        <w:rPr>
          <w:rFonts w:hint="eastAsia" w:ascii="仿宋" w:hAnsi="仿宋" w:eastAsia="仿宋" w:cs="仿宋"/>
          <w:sz w:val="24"/>
          <w:szCs w:val="20"/>
          <w:highlight w:val="none"/>
        </w:rPr>
        <w:t>）未按时解密的，视为无效投标。解密与加密投标文件须使用同一个CA。</w:t>
      </w:r>
    </w:p>
    <w:p>
      <w:pPr>
        <w:spacing w:line="360" w:lineRule="auto"/>
        <w:ind w:firstLine="480" w:firstLineChars="2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28.5投标人应在开启报价20分钟内进行签字确认。</w:t>
      </w:r>
    </w:p>
    <w:p>
      <w:pPr>
        <w:spacing w:line="360" w:lineRule="auto"/>
        <w:ind w:firstLine="480" w:firstLineChars="2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28.6开标完毕，进行下一步评标。</w:t>
      </w:r>
    </w:p>
    <w:p>
      <w:pPr>
        <w:spacing w:line="360" w:lineRule="auto"/>
        <w:ind w:firstLine="480" w:firstLineChars="200"/>
        <w:outlineLvl w:val="1"/>
        <w:rPr>
          <w:rFonts w:hint="eastAsia" w:ascii="仿宋" w:hAnsi="仿宋" w:eastAsia="仿宋" w:cs="仿宋"/>
          <w:sz w:val="24"/>
          <w:szCs w:val="20"/>
          <w:highlight w:val="none"/>
        </w:rPr>
      </w:pPr>
      <w:r>
        <w:rPr>
          <w:rFonts w:hint="eastAsia" w:ascii="仿宋" w:hAnsi="仿宋" w:eastAsia="仿宋" w:cs="仿宋"/>
          <w:sz w:val="24"/>
          <w:szCs w:val="20"/>
          <w:highlight w:val="none"/>
        </w:rPr>
        <w:t>29、</w:t>
      </w:r>
      <w:bookmarkEnd w:id="140"/>
      <w:bookmarkEnd w:id="141"/>
      <w:bookmarkEnd w:id="142"/>
      <w:bookmarkEnd w:id="143"/>
      <w:r>
        <w:rPr>
          <w:rFonts w:hint="eastAsia" w:ascii="仿宋" w:hAnsi="仿宋" w:eastAsia="仿宋" w:cs="仿宋"/>
          <w:sz w:val="24"/>
          <w:szCs w:val="20"/>
          <w:highlight w:val="none"/>
        </w:rPr>
        <w:t>评标委员会</w:t>
      </w:r>
    </w:p>
    <w:p>
      <w:pPr>
        <w:widowControl/>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29.1评标委员会成员组成：按照</w:t>
      </w:r>
      <w:r>
        <w:rPr>
          <w:rFonts w:hint="eastAsia" w:ascii="仿宋" w:hAnsi="仿宋" w:eastAsia="仿宋" w:cs="仿宋"/>
          <w:sz w:val="24"/>
          <w:highlight w:val="none"/>
        </w:rPr>
        <w:t>《中华人民共和国政府采购法》、《中华人民共和国政府采购法实施条例》、《政府采购货物和服务招标投标管理办法》</w:t>
      </w:r>
      <w:r>
        <w:rPr>
          <w:rFonts w:hint="eastAsia" w:ascii="仿宋" w:hAnsi="仿宋" w:eastAsia="仿宋" w:cs="仿宋"/>
          <w:sz w:val="24"/>
          <w:szCs w:val="20"/>
          <w:highlight w:val="none"/>
        </w:rPr>
        <w:t>及相关法律、法规规定组建</w:t>
      </w:r>
      <w:r>
        <w:rPr>
          <w:rFonts w:hint="eastAsia" w:ascii="仿宋" w:hAnsi="仿宋" w:eastAsia="仿宋" w:cs="仿宋"/>
          <w:sz w:val="24"/>
          <w:highlight w:val="none"/>
        </w:rPr>
        <w:t>，由采购人代表和评审专家组成</w:t>
      </w:r>
      <w:r>
        <w:rPr>
          <w:rFonts w:hint="eastAsia" w:ascii="仿宋" w:hAnsi="仿宋" w:eastAsia="仿宋" w:cs="仿宋"/>
          <w:sz w:val="24"/>
          <w:szCs w:val="20"/>
          <w:highlight w:val="none"/>
        </w:rPr>
        <w:t>。评标委员会将负责对投标人提交的投标文件进行公开、评审，确保公开、评审过程公正、合法、保密，并向采购人推荐中标候选人。</w:t>
      </w:r>
    </w:p>
    <w:p>
      <w:pPr>
        <w:spacing w:line="360" w:lineRule="auto"/>
        <w:ind w:firstLine="482" w:firstLineChars="200"/>
        <w:outlineLvl w:val="1"/>
        <w:rPr>
          <w:rFonts w:hint="eastAsia" w:ascii="仿宋" w:hAnsi="仿宋" w:eastAsia="仿宋" w:cs="仿宋"/>
          <w:b/>
          <w:sz w:val="24"/>
          <w:highlight w:val="none"/>
        </w:rPr>
      </w:pPr>
      <w:bookmarkStart w:id="144" w:name="_Toc233274845"/>
      <w:bookmarkStart w:id="145" w:name="_Toc243906346"/>
      <w:bookmarkStart w:id="146" w:name="_Toc243907607"/>
      <w:bookmarkStart w:id="147" w:name="_Toc245897306"/>
      <w:bookmarkStart w:id="148" w:name="_Toc243906344"/>
      <w:bookmarkStart w:id="149" w:name="_Toc245897304"/>
      <w:bookmarkStart w:id="150" w:name="_Toc243907605"/>
      <w:bookmarkStart w:id="151" w:name="_Toc233274843"/>
      <w:r>
        <w:rPr>
          <w:rFonts w:hint="eastAsia" w:ascii="仿宋" w:hAnsi="仿宋" w:eastAsia="仿宋" w:cs="仿宋"/>
          <w:b/>
          <w:sz w:val="24"/>
          <w:highlight w:val="none"/>
        </w:rPr>
        <w:t>30、重大偏离</w:t>
      </w:r>
      <w:bookmarkEnd w:id="144"/>
      <w:bookmarkEnd w:id="145"/>
      <w:bookmarkEnd w:id="146"/>
      <w:bookmarkEnd w:id="147"/>
    </w:p>
    <w:p>
      <w:pPr>
        <w:spacing w:line="360" w:lineRule="auto"/>
        <w:ind w:firstLine="482" w:firstLineChars="200"/>
        <w:rPr>
          <w:rFonts w:hint="eastAsia" w:ascii="仿宋" w:hAnsi="仿宋" w:eastAsia="仿宋" w:cs="仿宋"/>
          <w:b/>
          <w:sz w:val="24"/>
          <w:highlight w:val="none"/>
        </w:rPr>
      </w:pPr>
      <w:bookmarkStart w:id="152" w:name="_Toc243907608"/>
      <w:bookmarkStart w:id="153" w:name="_Toc243906347"/>
      <w:bookmarkStart w:id="154" w:name="_Toc233274846"/>
      <w:bookmarkStart w:id="155" w:name="_Toc245897307"/>
      <w:r>
        <w:rPr>
          <w:rFonts w:hint="eastAsia" w:ascii="仿宋" w:hAnsi="仿宋" w:eastAsia="仿宋" w:cs="仿宋"/>
          <w:b/>
          <w:sz w:val="24"/>
          <w:highlight w:val="none"/>
        </w:rPr>
        <w:t>重大偏离是指实质上影响合同的招标范围、质量和性能、服务期、投标保证金等，或者实质上不满足招标文件的要求，而且限制了采购人的权力或减轻了投标人的义务。纠正或承认这些偏离将会对其他实质上投标要求的投标人合理的竞争地位产生不公正的影响。</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31、</w:t>
      </w:r>
      <w:bookmarkEnd w:id="152"/>
      <w:bookmarkEnd w:id="153"/>
      <w:bookmarkEnd w:id="154"/>
      <w:bookmarkEnd w:id="155"/>
      <w:r>
        <w:rPr>
          <w:rFonts w:hint="eastAsia" w:ascii="仿宋" w:hAnsi="仿宋" w:eastAsia="仿宋" w:cs="仿宋"/>
          <w:b/>
          <w:sz w:val="24"/>
          <w:highlight w:val="none"/>
        </w:rPr>
        <w:t>废标</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在招标采购中，出现下列情形之一的，应予废标：</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31.1符合专业条件的投标人或者对招标文件每标项作实质响应的投标人不足三家的；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31.2出现影响采购公正的违法、违规行为的；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31.3投标人的报价均超过了采购预算，采购人不能支付的；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31.4因重大变故，采购任务取消的；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31.5《中华人民共和国政府采购法》及相关法律法规及招标文件明确规定废标的其他情形。</w:t>
      </w:r>
      <w:bookmarkStart w:id="156" w:name="_Toc245897308"/>
      <w:bookmarkStart w:id="157" w:name="_Toc243906348"/>
      <w:bookmarkStart w:id="158" w:name="_Toc233274847"/>
      <w:bookmarkStart w:id="159" w:name="_Toc243907609"/>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32、投标人串通投标</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有下列情形之一的，视为投标人串通投标，其投标无效：</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32.1不同投标人的投标文件由同一单位或者个人编制；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32.2不同投标人委托同一单位或者个人办理投标事宜；</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32.3不同投标人的投标文件载明的项目管理成员或者联系人员为同一人；</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32.4不同投标人的投标文件异常一致或者投标报价呈规律性差异；</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32.5不同投标人的投标文件相互混装；</w:t>
      </w:r>
    </w:p>
    <w:p>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32.6不同投标人的投标保证金从同一单位或者个人的账户转出。</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33、投标无效：投标人存在下列情况之一的，其投标无效:</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33.1未按照招标文件的规定提交投标保证金的；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33.2投标文件未按招标文件要求签署、盖章的；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33.3不具备招标文件中规定的资格要求的；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33.4报价超过招标文件中规定的预算金额或者最高限价的；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33.5投标文件含有采购人不能接受的附加条件的;</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33.6《中华人民共和国政府采购法》、《中华人民共和国政府采购法实施条例》、《政府采购货物和服务招标投标管理办法》及相关法律法规及招标文件明确规定可以作无效投标文件的其他情形。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34、</w:t>
      </w:r>
      <w:bookmarkEnd w:id="156"/>
      <w:bookmarkEnd w:id="157"/>
      <w:bookmarkEnd w:id="158"/>
      <w:bookmarkEnd w:id="159"/>
      <w:r>
        <w:rPr>
          <w:rFonts w:hint="eastAsia" w:ascii="仿宋" w:hAnsi="仿宋" w:eastAsia="仿宋" w:cs="仿宋"/>
          <w:b/>
          <w:sz w:val="24"/>
          <w:highlight w:val="none"/>
        </w:rPr>
        <w:t>评标方法</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34.1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bookmarkEnd w:id="148"/>
    <w:bookmarkEnd w:id="149"/>
    <w:bookmarkEnd w:id="150"/>
    <w:bookmarkEnd w:id="151"/>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34.2本项目评审采用综合评分法，并严格按照招标文件的要求和条件进行。</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34.2.1投标文件符合性审查：由评标委员会评委对符合资格的各投标人投标文件进行符合性审查。符合性审查是从投标文件的有效性、完整性和对招标文件的响应程度进行审查。未通过符合性审查的投标人其投标文件将按照无效投标处理。</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34.2.1.1澄清有关问题。对投标文件中含义不明确、同类问题表述不一致或者有明显文字和计算错误的内容，评标委员会可以书面形式要求投标人作出必要的澄清、说明或者纠正。</w:t>
      </w:r>
    </w:p>
    <w:p>
      <w:pPr>
        <w:pStyle w:val="11"/>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34.2.1.2比较与评价。评标委员会应当按照招标文件中规定的评标方法和标准，对符合性审查合格的投标文件进行商务和技术评估，综合比较与评价。</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34.3综合评分法是指投标文件满足招标文件全部实质性要求，且按照评审因素的量化指标评审得分最高的投标人为中标候选人的评标方法。</w:t>
      </w:r>
    </w:p>
    <w:p>
      <w:pPr>
        <w:spacing w:line="360" w:lineRule="auto"/>
        <w:ind w:firstLine="482" w:firstLineChars="200"/>
        <w:outlineLvl w:val="9"/>
        <w:rPr>
          <w:rFonts w:hint="eastAsia" w:ascii="仿宋" w:hAnsi="仿宋" w:eastAsia="仿宋" w:cs="仿宋"/>
          <w:b/>
          <w:sz w:val="24"/>
          <w:highlight w:val="none"/>
        </w:rPr>
      </w:pPr>
      <w:bookmarkStart w:id="160" w:name="_Toc5550"/>
      <w:r>
        <w:rPr>
          <w:rFonts w:hint="eastAsia" w:ascii="仿宋" w:hAnsi="仿宋" w:eastAsia="仿宋" w:cs="仿宋"/>
          <w:b/>
          <w:sz w:val="24"/>
          <w:highlight w:val="none"/>
        </w:rPr>
        <w:t>34.4评标分值：总分值为100分，其中价格部分分值为</w:t>
      </w:r>
      <w:r>
        <w:rPr>
          <w:rFonts w:hint="eastAsia" w:ascii="仿宋" w:hAnsi="仿宋" w:eastAsia="仿宋" w:cs="仿宋"/>
          <w:b/>
          <w:sz w:val="24"/>
          <w:highlight w:val="none"/>
          <w:lang w:val="en-US" w:eastAsia="zh-CN"/>
        </w:rPr>
        <w:t>30</w:t>
      </w:r>
      <w:r>
        <w:rPr>
          <w:rFonts w:hint="eastAsia" w:ascii="仿宋" w:hAnsi="仿宋" w:eastAsia="仿宋" w:cs="仿宋"/>
          <w:b/>
          <w:sz w:val="24"/>
          <w:highlight w:val="none"/>
        </w:rPr>
        <w:t>分，其余商务、技术部分分值为</w:t>
      </w:r>
      <w:r>
        <w:rPr>
          <w:rFonts w:hint="eastAsia" w:ascii="仿宋" w:hAnsi="仿宋" w:eastAsia="仿宋" w:cs="仿宋"/>
          <w:b/>
          <w:sz w:val="24"/>
          <w:highlight w:val="none"/>
          <w:lang w:val="en-US" w:eastAsia="zh-CN"/>
        </w:rPr>
        <w:t>70</w:t>
      </w:r>
      <w:r>
        <w:rPr>
          <w:rFonts w:hint="eastAsia" w:ascii="仿宋" w:hAnsi="仿宋" w:eastAsia="仿宋" w:cs="仿宋"/>
          <w:b/>
          <w:sz w:val="24"/>
          <w:highlight w:val="none"/>
        </w:rPr>
        <w:t>分。具体评标方法详本招标文件第六章“评标方法（综合评分法）”</w:t>
      </w:r>
      <w:bookmarkEnd w:id="16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34.5商务报价错误的修正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34.5.1如果发现商务报价存在计算或表达上错误，则按下列原则进行修正：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（1）开标时，投标文件中开标一览表(报价表)内容与投标文件中明细表内容不一致的，以开标一览表(报价表)为准。</w:t>
      </w:r>
    </w:p>
    <w:p>
      <w:pPr>
        <w:spacing w:line="360" w:lineRule="auto"/>
        <w:ind w:firstLine="480" w:firstLineChars="200"/>
        <w:rPr>
          <w:rFonts w:hint="eastAsia" w:ascii="仿宋" w:hAnsi="仿宋" w:eastAsia="仿宋" w:cs="仿宋"/>
          <w:sz w:val="24"/>
          <w:highlight w:val="none"/>
        </w:rPr>
      </w:pPr>
      <w:bookmarkStart w:id="161" w:name="_Toc224624767"/>
      <w:bookmarkStart w:id="162" w:name="_Toc224620150"/>
      <w:bookmarkStart w:id="163" w:name="_Toc224623663"/>
      <w:bookmarkStart w:id="164" w:name="_Toc245897305"/>
      <w:bookmarkStart w:id="165" w:name="_Toc224624488"/>
      <w:bookmarkStart w:id="166" w:name="_Toc224623557"/>
      <w:bookmarkStart w:id="167" w:name="_Toc224624628"/>
      <w:bookmarkStart w:id="168" w:name="_Toc224620071"/>
      <w:bookmarkStart w:id="169" w:name="_Toc224622928"/>
      <w:bookmarkStart w:id="170" w:name="_Toc243906345"/>
      <w:bookmarkStart w:id="171" w:name="_Toc224623451"/>
      <w:bookmarkStart w:id="172" w:name="_Toc243907606"/>
      <w:r>
        <w:rPr>
          <w:rFonts w:hint="eastAsia" w:ascii="仿宋" w:hAnsi="仿宋" w:eastAsia="仿宋" w:cs="仿宋"/>
          <w:sz w:val="24"/>
          <w:highlight w:val="none"/>
        </w:rPr>
        <w:t>（2）投标文件的大写金额和小写金额不一致的，以大写金额为准；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总价金额与按单价汇总金额不一致的，以单价金额计算结果为准；单价金额小数点或者百分比有明显错位的，以开标一览表的总价为准，并修改单价；对不同文字文本投标文件的解释发生异议的，以中文文本为准。</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34.5.2同时出现两种以上不一致的，按照前款规定的顺序修正。修正后的报价按照财政部公布第87号令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ind w:firstLine="482" w:firstLineChars="200"/>
        <w:outlineLvl w:val="1"/>
        <w:rPr>
          <w:rFonts w:hint="eastAsia" w:ascii="仿宋" w:hAnsi="仿宋" w:eastAsia="仿宋" w:cs="仿宋"/>
          <w:b/>
          <w:bCs/>
          <w:sz w:val="24"/>
          <w:highlight w:val="none"/>
        </w:rPr>
      </w:pPr>
      <w:r>
        <w:rPr>
          <w:rFonts w:hint="eastAsia" w:ascii="仿宋" w:hAnsi="仿宋" w:eastAsia="仿宋" w:cs="仿宋"/>
          <w:b/>
          <w:bCs/>
          <w:sz w:val="24"/>
          <w:highlight w:val="none"/>
        </w:rPr>
        <w:t>34.6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35、推荐各标项中标候选供应商</w:t>
      </w:r>
    </w:p>
    <w:p>
      <w:pPr>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35.1各标项投标人的综合得分由高至低排序，综合得分排列前</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名的投标人被推荐为该标项中标候选供应商。综合得分相同的，则按照投标报价由低到高的顺序推荐；如综合得分且投标报价得分均相同，则按各标项商务、技术部分得分由高至低顺序推荐，如出现各标项综合评审得分、投标报价得分且商务、技术部分得分也均相同时，则由评标委员会投票确定其排序。</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注：评分计算保留两位小数，第三位小数四舍五入。</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35.2评标委员会评审专家复核。评标小组评分汇总结束后，评标小组应当进行评审复核，对拟推荐为中标候选人的、报价最低的、投标人资格审查未通过的、投标人投标文件作无效处理的重点复核。</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35.3确定各标项中标供应商</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35.3.1招标代理机构应当在评标结束后2个工作日内将评标报告送采购人确认。</w:t>
      </w:r>
    </w:p>
    <w:p>
      <w:pPr>
        <w:spacing w:line="360" w:lineRule="auto"/>
        <w:ind w:firstLine="482" w:firstLineChars="200"/>
        <w:rPr>
          <w:rFonts w:hint="eastAsia" w:ascii="仿宋" w:hAnsi="仿宋" w:eastAsia="仿宋" w:cs="仿宋"/>
          <w:b/>
          <w:sz w:val="24"/>
          <w:highlight w:val="none"/>
        </w:rPr>
      </w:pPr>
      <w:bookmarkStart w:id="173" w:name="_Toc243906349"/>
      <w:bookmarkStart w:id="174" w:name="_Toc233274848"/>
      <w:bookmarkStart w:id="175" w:name="_Toc245897309"/>
      <w:bookmarkStart w:id="176" w:name="_Toc243907610"/>
      <w:r>
        <w:rPr>
          <w:rFonts w:hint="eastAsia" w:ascii="仿宋" w:hAnsi="仿宋" w:eastAsia="仿宋" w:cs="仿宋"/>
          <w:b/>
          <w:sz w:val="24"/>
          <w:highlight w:val="none"/>
        </w:rPr>
        <w:t>35.3.2采购人应当在收到评标报告后5个工作日内，根据评标报告中推荐的中标候选供应商及有关规定确定中标供应商。</w:t>
      </w:r>
    </w:p>
    <w:bookmarkEnd w:id="173"/>
    <w:bookmarkEnd w:id="174"/>
    <w:bookmarkEnd w:id="175"/>
    <w:bookmarkEnd w:id="176"/>
    <w:p>
      <w:pPr>
        <w:spacing w:line="360" w:lineRule="auto"/>
        <w:ind w:firstLine="480" w:firstLineChars="200"/>
        <w:outlineLvl w:val="1"/>
        <w:rPr>
          <w:rFonts w:hint="eastAsia" w:ascii="仿宋" w:hAnsi="仿宋" w:eastAsia="仿宋" w:cs="仿宋"/>
          <w:sz w:val="24"/>
          <w:highlight w:val="none"/>
        </w:rPr>
      </w:pPr>
      <w:bookmarkStart w:id="177" w:name="_Toc233274849"/>
      <w:bookmarkStart w:id="178" w:name="_Toc243907611"/>
      <w:bookmarkStart w:id="179" w:name="_Toc243906350"/>
      <w:bookmarkStart w:id="180" w:name="_Toc245897310"/>
      <w:r>
        <w:rPr>
          <w:rFonts w:hint="eastAsia" w:ascii="仿宋" w:hAnsi="仿宋" w:eastAsia="仿宋" w:cs="仿宋"/>
          <w:sz w:val="24"/>
          <w:highlight w:val="none"/>
        </w:rPr>
        <w:t>36、采购人依法接受和拒绝任一或所有投标人的权力</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采购人保留确定中标供应商之前的任何时候依法接受或拒绝任一或所有投标人的权力，对受影响的投标人不承担任何责任，也无义务向受影响的投标人解释采取这一行动的理由。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36、中标通知书</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36.1采购人确定中标供应商后，及时通知招标代理机构，招标代理机构将按程序公告成交结果，同时向中标供应商发出中标通知书，中标通知书一经发出即发生法律效力。</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36.2《中标通知书》将是合同的组成部分。</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36.3采购人将通知其他未成交的投标人。并按照法律法规相关规定退还其投标保证金。</w:t>
      </w:r>
    </w:p>
    <w:p>
      <w:pPr>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38、纪律与保密事项</w:t>
      </w:r>
      <w:bookmarkEnd w:id="177"/>
      <w:bookmarkEnd w:id="178"/>
      <w:bookmarkEnd w:id="179"/>
      <w:bookmarkEnd w:id="18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38.1凡参与公开招标的有关人员均应自觉接受有关主管部门的监督，不得向他人透露可能影响公平竞争的有关公开的其他情况。</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38.2领取本招标文件及其它相关资料者，应对文件进行保密，不得用作本次公开以外的任何用途。由采购人向投标人提供的技术资料和所有其它资料，均视为保密资料，除非得到采购人的同意，不得向第三方透露。</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38.3投标人不得与采购人串通公开，不得向采购人或者评标委员会成员行贿谋取中标，不得以他人名义参与公开或者以其它任何方式弄虚作假骗取参与公开；投标人不得以任何方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38.4投标人不得在公开采购过程中互相串通、结盟、损害公开的公正性和竞争性，或以任何方式影响其他投标人参与正当公开。扰乱公开市场，破坏公平竞争原则。如投标人在公开招标过程中互相串通，一经查实，将取消公开招标资格并不予退还其投标保证金。</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38.5 公开之日起直至授予中标供应商合同为止，凡属于对投标文件的审查、澄清、评价、比较有关的资料和中标供应商的推荐情况及与评审有关的其他任何情况均严格保密。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38.6从公开之日起至授予合同期间，投标人试图向评标委员会、招标代理机构施加任何影响或对采购人的比较及授予合同的决定进行影响，都可能导致其投标文件被拒绝。</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38.7除投标人被要求对投标文件进行澄清外，从公开之时起至授予合同期间，投标人不得就与其投标文件有关的事项主动与评标委员会、招标代理机构以及采购人联系。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38.8中标供应商确定后，采购人不对未中标供应商就评审过程以及未能中标原因作出任何解释，未中标供应商不得向评标委员会或其他有关人员询问评审过程的情况和索取评审过程的资料。</w:t>
      </w:r>
    </w:p>
    <w:p>
      <w:pPr>
        <w:pStyle w:val="11"/>
        <w:spacing w:line="360" w:lineRule="auto"/>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六、授予合同</w:t>
      </w:r>
    </w:p>
    <w:p>
      <w:pPr>
        <w:pStyle w:val="11"/>
        <w:spacing w:line="360" w:lineRule="auto"/>
        <w:ind w:firstLine="480" w:firstLineChars="200"/>
        <w:outlineLvl w:val="1"/>
        <w:rPr>
          <w:rFonts w:hint="eastAsia" w:ascii="仿宋" w:hAnsi="仿宋" w:eastAsia="仿宋" w:cs="仿宋"/>
          <w:bCs/>
          <w:sz w:val="24"/>
          <w:szCs w:val="24"/>
          <w:highlight w:val="none"/>
        </w:rPr>
      </w:pPr>
      <w:r>
        <w:rPr>
          <w:rFonts w:hint="eastAsia" w:ascii="仿宋" w:hAnsi="仿宋" w:eastAsia="仿宋" w:cs="仿宋"/>
          <w:bCs/>
          <w:sz w:val="24"/>
          <w:szCs w:val="24"/>
          <w:highlight w:val="none"/>
        </w:rPr>
        <w:t>39、授予合同标准</w:t>
      </w:r>
    </w:p>
    <w:p>
      <w:pPr>
        <w:pStyle w:val="11"/>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39.1本招标项目的采购合同将授予按本须知第35条确定</w:t>
      </w:r>
      <w:r>
        <w:rPr>
          <w:rFonts w:hint="eastAsia" w:ascii="仿宋" w:hAnsi="仿宋" w:eastAsia="仿宋" w:cs="仿宋"/>
          <w:sz w:val="24"/>
          <w:szCs w:val="24"/>
          <w:highlight w:val="none"/>
        </w:rPr>
        <w:t>中标</w:t>
      </w:r>
      <w:r>
        <w:rPr>
          <w:rFonts w:hint="eastAsia" w:ascii="仿宋" w:hAnsi="仿宋" w:eastAsia="仿宋" w:cs="仿宋"/>
          <w:bCs/>
          <w:sz w:val="24"/>
          <w:szCs w:val="24"/>
          <w:highlight w:val="none"/>
        </w:rPr>
        <w:t>供应商。</w:t>
      </w:r>
    </w:p>
    <w:p>
      <w:pPr>
        <w:pStyle w:val="11"/>
        <w:spacing w:line="360" w:lineRule="auto"/>
        <w:ind w:firstLine="480" w:firstLineChars="200"/>
        <w:outlineLvl w:val="1"/>
        <w:rPr>
          <w:rFonts w:hint="eastAsia" w:ascii="仿宋" w:hAnsi="仿宋" w:eastAsia="仿宋" w:cs="仿宋"/>
          <w:sz w:val="24"/>
          <w:szCs w:val="24"/>
          <w:highlight w:val="none"/>
        </w:rPr>
      </w:pPr>
      <w:bookmarkStart w:id="181" w:name="_Toc243907620"/>
      <w:bookmarkStart w:id="182" w:name="_Toc233274855"/>
      <w:bookmarkStart w:id="183" w:name="_Toc243906357"/>
      <w:bookmarkStart w:id="184" w:name="_Toc245897317"/>
      <w:r>
        <w:rPr>
          <w:rFonts w:hint="eastAsia" w:ascii="仿宋" w:hAnsi="仿宋" w:eastAsia="仿宋" w:cs="仿宋"/>
          <w:sz w:val="24"/>
          <w:szCs w:val="24"/>
          <w:highlight w:val="none"/>
        </w:rPr>
        <w:t>40、签订合同</w:t>
      </w:r>
      <w:bookmarkEnd w:id="181"/>
      <w:bookmarkEnd w:id="182"/>
      <w:bookmarkEnd w:id="183"/>
      <w:bookmarkEnd w:id="184"/>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40.1中标供应商应当自中标通知书发出之日起三十日内，按照招标文件和中标供应商的投标文件订立书面合同。中标供应商不得要求订立背离本投标文件合同条款等投标文件实质性内容的其他协议。</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40.2 中标通知书、中标供应商的投标文件及其技术规范及标准、项目采购需求、本招标文件（含修改文件或补充文件）及答疑纪要等，均为签订合同的依据。</w:t>
      </w:r>
    </w:p>
    <w:p>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40.3采购人如不按本须知40.1条规定与中标供应商签订合同，或者采购人、中标供应商签订背离合同实质性内容的协议，由监督管理部门责令其改正。</w:t>
      </w:r>
    </w:p>
    <w:p>
      <w:pPr>
        <w:pStyle w:val="11"/>
        <w:tabs>
          <w:tab w:val="left" w:pos="777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40.4中标供应商如不按本须知40.1条规定与采购人签订合同，则按违约处理，采购人将有权取消中标供应商资格，不予退还其投标保证金，给采购人造成损失超过投标保证金数额的，还应当予以赔偿，同时依法承担相应的法律责任。</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sz w:val="24"/>
          <w:highlight w:val="none"/>
        </w:rPr>
        <w:t>40.5</w:t>
      </w:r>
      <w:r>
        <w:rPr>
          <w:rFonts w:hint="eastAsia" w:ascii="仿宋" w:hAnsi="仿宋" w:eastAsia="仿宋" w:cs="仿宋"/>
          <w:sz w:val="24"/>
          <w:highlight w:val="none"/>
        </w:rPr>
        <w:t>中标</w:t>
      </w:r>
      <w:r>
        <w:rPr>
          <w:rFonts w:hint="eastAsia" w:ascii="仿宋" w:hAnsi="仿宋" w:eastAsia="仿宋" w:cs="仿宋"/>
          <w:b/>
          <w:bCs/>
          <w:sz w:val="24"/>
          <w:highlight w:val="none"/>
        </w:rPr>
        <w:t>供应商因不可抗力或者自身原因不能履行政府采购合同的，采购人可以按照评审报告推荐的中标候选人名单排序，确定下一候选人为中标供应商，也可以重新开展政府采购活动。</w:t>
      </w:r>
    </w:p>
    <w:p>
      <w:pPr>
        <w:spacing w:line="360" w:lineRule="auto"/>
        <w:ind w:firstLine="480" w:firstLineChars="200"/>
        <w:outlineLvl w:val="1"/>
        <w:rPr>
          <w:rFonts w:hint="eastAsia" w:ascii="仿宋" w:hAnsi="仿宋" w:eastAsia="仿宋" w:cs="仿宋"/>
          <w:sz w:val="24"/>
          <w:highlight w:val="none"/>
        </w:rPr>
      </w:pPr>
      <w:bookmarkStart w:id="185" w:name="_Toc245897318"/>
      <w:bookmarkStart w:id="186" w:name="_Toc243907621"/>
      <w:r>
        <w:rPr>
          <w:rFonts w:hint="eastAsia" w:ascii="仿宋" w:hAnsi="仿宋" w:eastAsia="仿宋" w:cs="仿宋"/>
          <w:sz w:val="24"/>
          <w:highlight w:val="none"/>
        </w:rPr>
        <w:t>41、合同的签订准则</w:t>
      </w:r>
      <w:bookmarkEnd w:id="185"/>
      <w:bookmarkEnd w:id="18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41.1合同签订必须由采购人、中标供应商双方法定代表人或其委托代理人签署并加盖法人公章后方能生效。</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41.2合同转包（实质性要求）</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本采购项目严禁中标供应商将任何政府采购合同义务转包。本项目所称转包，是指中标供应商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中标供应商转包的，视同拒绝履行政府采购合同义务，将依法追究法律责任。</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42、验收</w:t>
      </w:r>
    </w:p>
    <w:p>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42.1本项目采购人将严格按照政府采购相关法律法规以及《克拉玛依市政府采购项目需求论证和履约验收管理办法》（克财发〔2016〕9号）的要求进行验收。</w:t>
      </w:r>
    </w:p>
    <w:p>
      <w:pPr>
        <w:snapToGrid w:val="0"/>
        <w:spacing w:line="360" w:lineRule="auto"/>
        <w:ind w:firstLine="562" w:firstLineChars="200"/>
        <w:jc w:val="center"/>
        <w:rPr>
          <w:rFonts w:hint="eastAsia" w:ascii="仿宋" w:hAnsi="仿宋" w:eastAsia="仿宋" w:cs="仿宋"/>
          <w:sz w:val="24"/>
          <w:highlight w:val="none"/>
        </w:rPr>
      </w:pPr>
      <w:r>
        <w:rPr>
          <w:rFonts w:hint="eastAsia" w:ascii="仿宋" w:hAnsi="仿宋" w:eastAsia="仿宋" w:cs="仿宋"/>
          <w:b/>
          <w:bCs/>
          <w:kern w:val="0"/>
          <w:sz w:val="28"/>
          <w:szCs w:val="28"/>
          <w:highlight w:val="none"/>
        </w:rPr>
        <w:t>七、询问、质疑、投诉</w:t>
      </w:r>
    </w:p>
    <w:p>
      <w:pPr>
        <w:snapToGrid w:val="0"/>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43、询问</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43.1投标人对采购活动事项有疑问的，可以向采购人或采购代理机构提出询问，采购人或采购代理机构应当在三个工作日内对投标人依法提出的询问作出答复，但答复的内容不得涉及商业秘密。</w:t>
      </w:r>
    </w:p>
    <w:p>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44、质疑</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44.1 投标人认为招标文件、采购过程和中标结果使自己的合法权益受到损害的，可以在知道或者应知其权益受到损害之日起七个工作日内，将质疑文件原件和必要的证明材料送达采购代理机构。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44.2上述应知其权益受到损害之日是指：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（1）对招标文件提出质疑的，为招标文件公告期限届满之日起计算；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（2）对采购过程提出质疑的，自采购程序环节结束之日起计算；</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（3）对中标结果提出质疑的，自中标或者中标结果公告期限届满之日起计算。</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44.3质疑投标人在法定质疑期内应当一次性提出针对同一采购环节提出质疑。</w:t>
      </w:r>
    </w:p>
    <w:p>
      <w:pPr>
        <w:pStyle w:val="29"/>
        <w:spacing w:line="360" w:lineRule="auto"/>
        <w:ind w:left="1"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44.4质疑文件应包括以下主要内容，并按照“谁主张、谁举证”的原则，附上相关证明材料。否则，招标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（1）投标人的姓名或者名称、地址、邮编、联系人及联系电话（包括座机、手机、传真号码等）；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（2）质疑项目的名称、招标文件编号、包号、招标公告发布时间、递交投标文件或投标文件截止时间；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（3）具体、明确的质疑事项和与质疑事项相关的请求；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（5）必要的法律依据；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（6）提起质疑的日期；</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（8）投标人委托代理质疑的，应当提交授权委托书，并载明代理人的姓名或者名称、代理事项、具体权限、期限和相关事项。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44.5质疑投标人是指直接参加本项目采购活动的投标人，未参加政府采购活动的投标人或在采购活动中自身权益未受到损害的投标人所提出的质疑不予受理。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44.6采购人、招标代理机构在收到投标人的书面质疑后将及时组织调查核实，在七个工作日内作出答复，并以书面形式通知质疑投标人和其他有关投标人，答复的内容不涉及商业秘密。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45、投诉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45.1 质疑投标人对采购人、招标代理机构的答复不满意，或采购人、招标代理机构未在规定的时间内作出答复的，可以在答复期满后十五个工作日内向采购项目同级财政部门提起投诉。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45.2投标人投诉的事项不得超出已质疑事项的范围，但基于质疑答复内容提出的投诉事项除外。</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46、诚实信用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46.1投标人不得虚假质疑和恶意质疑，并对质疑内容的真实性承担责任。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46.2 投标人不得虚假承诺，否则，按照提供虚假材料谋取中标处理。</w:t>
      </w:r>
    </w:p>
    <w:p>
      <w:pPr>
        <w:snapToGrid w:val="0"/>
        <w:spacing w:line="360" w:lineRule="auto"/>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八、义务、工作纪律</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47、采购人或者招标代理机构负责组织评标工作，并履行下列职责：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47.2宣布评标纪律；</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47.3公布投标人名单，告知评审专家应当回避的情形；</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47.4组织评标委员会推选评标组长，采购人代表不得担任组长；</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47.5在评标期间采取必要的通讯管理措施，保证评标活动不受外界干扰；</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47.6根据评标委员会的要求介绍政府采购相关政策法规、招标文件；</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47.7维护评标秩序，监督评标委员会依照招标文件规定的评标程序、方法和标准进行独立评审，及时制止和纠正采购人代表、评审专家的倾向性言论或者违法违规行为；</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47.8核对评标结果，有本办法第六十四条规定情形的，要求评标委员会复核或者书面说明理由，评标委员会拒绝的，应予记录并向本级财政部门报告；</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47.9评审工作完成后，按照规定向评审专家支付劳务报酬和异地评审差旅费，不得向评审专家以外的其他人员支付评审劳务报酬；</w:t>
      </w:r>
    </w:p>
    <w:p>
      <w:pPr>
        <w:tabs>
          <w:tab w:val="left" w:pos="7665"/>
        </w:tabs>
        <w:spacing w:line="360" w:lineRule="auto"/>
        <w:ind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 xml:space="preserve">  47.10处理与评标有关的其他事项。</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采购人可以在评标前说明项目背景和采购需求，说明内容不得含有歧视性、倾向性意见，不得超出招标文件所述范围。说明应当提交书面材料，并随招标文件一并存档。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48、评标委员会在政府采购活动中应当遵守以下工作纪律：</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48.2评审前，应当将通讯工具或者相关电子设备交由招标代理机构统一保管；</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48.3评审过程中，不得与外界联系，因发生不可预见情况，确实需要与外界联系的，应当在监督人员监督之下办理；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48.4评审过程中，不得发表影响评审公正的倾向性、歧视性言论，不得征询或者接受采购人的倾向性意见，不得明示或暗示投标人在澄清时表达与其响应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48.5在评审过程中和评审结束后，不得记录、复制或带走任何评审资料，不得向外界透露评审内容；</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48.6评审现场服从招标代理机构工作人员的管理，接受现场监督人员的合法监督；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48.7遵守有关廉洁自律规定，不得私下接触投标人，不得收受投标人及有关业务单位和个人的财物或好处，不得接受招标代理机构的请托。</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49、评标委员会负责具体评标事务，并独立履行下列职责：</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49.1审查、评价投标文件是否符合招标文件的商务、技术等实质性要求；</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49.2要求投标人对投标文件有关事项作出澄清或者说明；</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49.3对投标文件进行比较和评价；</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49.4确定中标供应商名单，以及根据采购人委托直接确定中标供应商；</w:t>
      </w:r>
    </w:p>
    <w:p>
      <w:pPr>
        <w:tabs>
          <w:tab w:val="left" w:pos="7665"/>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49.5向采购人、招标代理机构或者有关部门报告评标中发现的违法行为。</w:t>
      </w:r>
    </w:p>
    <w:p>
      <w:pPr>
        <w:tabs>
          <w:tab w:val="left" w:pos="7665"/>
        </w:tabs>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sz w:val="24"/>
          <w:highlight w:val="none"/>
        </w:rPr>
        <w:t>50、采购代理</w:t>
      </w:r>
      <w:r>
        <w:rPr>
          <w:rFonts w:hint="eastAsia" w:ascii="仿宋" w:hAnsi="仿宋" w:eastAsia="仿宋" w:cs="仿宋"/>
          <w:b/>
          <w:sz w:val="24"/>
          <w:highlight w:val="none"/>
          <w:lang w:val="en-US" w:eastAsia="zh-CN"/>
        </w:rPr>
        <w:t xml:space="preserve"> </w:t>
      </w:r>
    </w:p>
    <w:p>
      <w:pPr>
        <w:pStyle w:val="11"/>
        <w:adjustRightInd w:val="0"/>
        <w:snapToGrid w:val="0"/>
        <w:spacing w:line="360" w:lineRule="auto"/>
        <w:ind w:firstLine="482" w:firstLineChars="200"/>
        <w:jc w:val="left"/>
        <w:rPr>
          <w:rFonts w:hint="eastAsia" w:ascii="仿宋" w:hAnsi="仿宋" w:eastAsia="仿宋" w:cs="仿宋"/>
          <w:b/>
          <w:sz w:val="24"/>
          <w:szCs w:val="24"/>
          <w:highlight w:val="none"/>
          <w:lang w:val="en-US" w:eastAsia="zh-CN"/>
        </w:rPr>
      </w:pPr>
      <w:r>
        <w:rPr>
          <w:rFonts w:hint="eastAsia" w:ascii="仿宋" w:hAnsi="仿宋" w:eastAsia="仿宋" w:cs="仿宋"/>
          <w:b/>
          <w:color w:val="auto"/>
          <w:sz w:val="24"/>
          <w:szCs w:val="24"/>
          <w:highlight w:val="none"/>
        </w:rPr>
        <w:t>50.1</w:t>
      </w:r>
      <w:r>
        <w:rPr>
          <w:rFonts w:hint="eastAsia" w:ascii="仿宋" w:hAnsi="仿宋" w:eastAsia="仿宋" w:cs="仿宋"/>
          <w:b/>
          <w:color w:val="auto"/>
          <w:sz w:val="24"/>
          <w:szCs w:val="24"/>
          <w:highlight w:val="none"/>
          <w:lang w:eastAsia="zh-CN"/>
        </w:rPr>
        <w:t>经与采购人协商，本项目采购代理服务费由</w:t>
      </w:r>
      <w:r>
        <w:rPr>
          <w:rFonts w:hint="eastAsia" w:ascii="仿宋" w:hAnsi="仿宋" w:eastAsia="仿宋" w:cs="仿宋"/>
          <w:b/>
          <w:color w:val="auto"/>
          <w:sz w:val="24"/>
          <w:szCs w:val="24"/>
          <w:highlight w:val="none"/>
          <w:lang w:val="en-US" w:eastAsia="zh-CN"/>
        </w:rPr>
        <w:t>中标</w:t>
      </w:r>
      <w:r>
        <w:rPr>
          <w:rFonts w:hint="eastAsia" w:ascii="仿宋" w:hAnsi="仿宋" w:eastAsia="仿宋" w:cs="仿宋"/>
          <w:b/>
          <w:color w:val="auto"/>
          <w:sz w:val="24"/>
          <w:szCs w:val="24"/>
          <w:highlight w:val="none"/>
          <w:lang w:eastAsia="zh-CN"/>
        </w:rPr>
        <w:t>供应商在领取</w:t>
      </w:r>
      <w:r>
        <w:rPr>
          <w:rFonts w:hint="eastAsia" w:ascii="仿宋" w:hAnsi="仿宋" w:eastAsia="仿宋" w:cs="仿宋"/>
          <w:b/>
          <w:color w:val="auto"/>
          <w:sz w:val="24"/>
          <w:szCs w:val="24"/>
          <w:highlight w:val="none"/>
          <w:lang w:val="en-US" w:eastAsia="zh-CN"/>
        </w:rPr>
        <w:t>中标</w:t>
      </w:r>
      <w:r>
        <w:rPr>
          <w:rFonts w:hint="eastAsia" w:ascii="仿宋" w:hAnsi="仿宋" w:eastAsia="仿宋" w:cs="仿宋"/>
          <w:b/>
          <w:color w:val="auto"/>
          <w:sz w:val="24"/>
          <w:szCs w:val="24"/>
          <w:highlight w:val="none"/>
          <w:lang w:eastAsia="zh-CN"/>
        </w:rPr>
        <w:t>通知书同时向采购代理机构支付，各标项采购代理服务费分别为：</w:t>
      </w:r>
      <w:r>
        <w:rPr>
          <w:rFonts w:hint="eastAsia" w:ascii="仿宋" w:hAnsi="仿宋" w:eastAsia="仿宋" w:cs="仿宋"/>
          <w:b/>
          <w:color w:val="auto"/>
          <w:sz w:val="24"/>
          <w:szCs w:val="24"/>
          <w:highlight w:val="none"/>
          <w:lang w:val="en-US" w:eastAsia="zh-CN"/>
        </w:rPr>
        <w:t>标项1猪肉采购代理服务费为5000元（人民币伍仟元整）；标项2牛羊肉采购代理服务费为27100元（人民币贰万柒仟壹佰元整）；标项3水果采购代理服务费为5250元（人民币伍仟贰佰伍拾元整）；标项4蔬菜采购代理服务费为16100元（人民币壹万陆仟壹佰元整）；标项5调味品代理服务费为7800元（人民币柒仟捌佰元整）；标项6低值消耗品采购代理服务费为5250元（人民币伍仟贰佰伍拾元整）；标项7：乳制品采购代理服务费为5000元（人民币伍仟元整）。标项8：禽蛋采购代理服务费为5000元（人民币伍仟元整）；标项9：冻货采购代理服务费为27100元（人民币贰万柒仟壹佰元整）；标项10：米面油采购代理服务费为5000元（人民币伍仟元整）。每个标项分别推荐5家供应商为中标表供应商，采购代理服务费由各标项中标供应商均摊。（如每标项中标供应商不足5</w:t>
      </w:r>
      <w:r>
        <w:rPr>
          <w:rFonts w:hint="eastAsia" w:ascii="仿宋" w:hAnsi="仿宋" w:eastAsia="仿宋" w:cs="仿宋"/>
          <w:b/>
          <w:sz w:val="24"/>
          <w:szCs w:val="24"/>
          <w:highlight w:val="none"/>
          <w:lang w:val="en-US" w:eastAsia="zh-CN"/>
        </w:rPr>
        <w:t>家时，按实际中标供应商家数均摊）</w:t>
      </w: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5"/>
        <w:numPr>
          <w:ilvl w:val="0"/>
          <w:numId w:val="0"/>
        </w:numPr>
        <w:bidi w:val="0"/>
        <w:ind w:leftChars="0"/>
        <w:jc w:val="center"/>
        <w:rPr>
          <w:rFonts w:hint="eastAsia" w:ascii="仿宋" w:hAnsi="仿宋" w:eastAsia="仿宋" w:cs="仿宋"/>
          <w:sz w:val="32"/>
          <w:szCs w:val="32"/>
          <w:highlight w:val="none"/>
        </w:rPr>
      </w:pPr>
      <w:bookmarkStart w:id="187" w:name="_Toc15936"/>
      <w:r>
        <w:rPr>
          <w:rFonts w:hint="eastAsia" w:ascii="仿宋" w:hAnsi="仿宋" w:eastAsia="仿宋" w:cs="仿宋"/>
          <w:sz w:val="32"/>
          <w:szCs w:val="32"/>
          <w:highlight w:val="none"/>
        </w:rPr>
        <w:t>第三章  项目采购需求</w:t>
      </w:r>
      <w:bookmarkEnd w:id="187"/>
    </w:p>
    <w:p>
      <w:pPr>
        <w:spacing w:line="360" w:lineRule="auto"/>
        <w:ind w:firstLine="480" w:firstLineChars="200"/>
        <w:rPr>
          <w:rFonts w:hint="eastAsia" w:ascii="仿宋" w:hAnsi="仿宋" w:eastAsia="仿宋" w:cs="仿宋"/>
          <w:color w:val="auto"/>
          <w:sz w:val="24"/>
          <w:highlight w:val="none"/>
        </w:rPr>
      </w:pPr>
      <w:bookmarkStart w:id="188" w:name="_Toc490672253"/>
      <w:r>
        <w:rPr>
          <w:rFonts w:hint="eastAsia" w:ascii="仿宋" w:hAnsi="仿宋" w:eastAsia="仿宋" w:cs="仿宋"/>
          <w:color w:val="auto"/>
          <w:sz w:val="24"/>
          <w:highlight w:val="none"/>
        </w:rPr>
        <w:t>1、总则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1.1本章条款仅限于</w:t>
      </w:r>
      <w:r>
        <w:rPr>
          <w:rFonts w:hint="eastAsia" w:ascii="仿宋" w:hAnsi="仿宋" w:eastAsia="仿宋" w:cs="仿宋"/>
          <w:color w:val="auto"/>
          <w:sz w:val="24"/>
          <w:highlight w:val="none"/>
          <w:lang w:eastAsia="zh-CN"/>
        </w:rPr>
        <w:t>2023年度克拉玛依市机关后勤服务中心（援克服务中心）机关食堂食材供应商采购项目</w:t>
      </w:r>
      <w:r>
        <w:rPr>
          <w:rFonts w:hint="eastAsia" w:ascii="仿宋" w:hAnsi="仿宋" w:eastAsia="仿宋" w:cs="仿宋"/>
          <w:color w:val="auto"/>
          <w:sz w:val="24"/>
          <w:highlight w:val="none"/>
        </w:rPr>
        <w:t>的采购。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1.2本章条款提出的是最低限度的技术要求，并未对一切技术细节做出规定，也未引述有关规范条文，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不得以本文件未提出要求为理由而规避国家和行业强制规范、标准的规定，</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应保证提供符合本章条款和相关标准的服务。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1.3如果</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没有以书面形式对本章条款提出异议，采购人就可以认为</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提供的成果符合本章条款的要求。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中的服务进行详细的说明。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1.5在签订合同之后，采购人有权提出因规范标准有变化而产生的一些补充要求。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1.6本章条款使用标准如与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所执行标准发生矛盾时，按较高标准执行。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2、执行的规范和标准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本项目必须遵循国家规范和标准并应按最新版本执行，若标准、规范出现矛盾时，以最新、</w:t>
      </w:r>
      <w:r>
        <w:rPr>
          <w:rFonts w:hint="eastAsia" w:ascii="仿宋" w:hAnsi="仿宋" w:eastAsia="仿宋" w:cs="仿宋"/>
          <w:color w:val="auto"/>
          <w:sz w:val="24"/>
          <w:szCs w:val="24"/>
          <w:highlight w:val="none"/>
        </w:rPr>
        <w:t>最高标准规范执行。</w:t>
      </w:r>
    </w:p>
    <w:bookmarkEnd w:id="188"/>
    <w:p>
      <w:pPr>
        <w:numPr>
          <w:ilvl w:val="0"/>
          <w:numId w:val="5"/>
        </w:numPr>
        <w:spacing w:line="360" w:lineRule="auto"/>
        <w:ind w:left="148" w:leftChars="0" w:firstLine="482"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采购需求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3.1供应商应承诺为采购人提供优质的食品及设备供应服务。</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3.2投标人需具有独立承担民事责任的能力，有较强的经济实力，近3年内无食品安全违法经营和投诉现象，信誉度较高,在合同履行地具有相应固定的食品生产或经营场所、贮存能力，其贮存(仓库)符合相关的食品安全和食品卫生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3.3投标人需具有按要求及时进行物资配送的能力,具有相适应的食品配送车辆，车辆箱体保持清洁、定期消毒, 并做到专车专用,严禁用食品配送车辆装运有毒有害,影响食品安全的物品。</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3.4拟派服务人员需持有卫生主管部门颁发的有效健康证，服务中必须持证上。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3.5蔬菜配送重量存在的误差为总重量的5%，肉类食品配送重量存在100g的误差，但以实际验收重量付款。</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3.6供应方式：全年365天正常供应，按采购人指定的时间.地点，由专人驾驶专用车辆，送货至指定地点。</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3.7不能出现三无产品，供应商负责配送食品的卫生安全，保证供应的食堂食材数量、质量符合国家规定的相关标准，所供的食材无腐烂变质、超出保质期、缺斤少两等问题。</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3.8中标供应商（猪肉、牛羊肉、冻货类、调味品、禽蛋及其他、米面油、食堂设备、低值易耗品、乳制品）必须每月向采购人按时提供一份本标项产品的市场报价，中标供应商（蔬菜、水果）每周提供一份本标项产品的市场报价，所有供应商积极配合采购人进行市场调研，供应商所提供价格不能高于本市塔河路大型批发市场(原中心夜市)批发价格。</w:t>
      </w:r>
    </w:p>
    <w:p>
      <w:pPr>
        <w:pStyle w:val="30"/>
        <w:spacing w:line="360" w:lineRule="auto"/>
        <w:ind w:firstLine="48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4、供应食材的具体要求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配送的食品必须符合国家规定标准及强制性规定要求，食材必须符合新的《食品安全法》第三章“食品安全标准”中的规定，食品中污染物限量应符合GB 2762-2017 标准，食品中农药残留量符合GB 2763-2021标准，不得采购转基因食品或利用转基因食品原料加工的成品，食品原料新鲜、清洁卫生，同时对每批次食品原料进行检测，具有市场监管部门颁发的质量检验报告(近期)。具体要求为:</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4.1</w:t>
      </w:r>
      <w:r>
        <w:rPr>
          <w:rFonts w:hint="eastAsia" w:ascii="仿宋" w:hAnsi="仿宋" w:eastAsia="仿宋" w:cs="仿宋"/>
          <w:b/>
          <w:bCs/>
          <w:color w:val="auto"/>
          <w:kern w:val="2"/>
          <w:sz w:val="24"/>
          <w:szCs w:val="24"/>
          <w:highlight w:val="none"/>
          <w:lang w:val="en-US" w:eastAsia="zh-CN" w:bidi="ar-SA"/>
        </w:rPr>
        <w:t>大米</w:t>
      </w:r>
      <w:r>
        <w:rPr>
          <w:rFonts w:hint="eastAsia" w:ascii="仿宋" w:hAnsi="仿宋" w:eastAsia="仿宋" w:cs="仿宋"/>
          <w:b w:val="0"/>
          <w:bCs w:val="0"/>
          <w:color w:val="auto"/>
          <w:kern w:val="2"/>
          <w:sz w:val="24"/>
          <w:szCs w:val="24"/>
          <w:highlight w:val="none"/>
          <w:lang w:val="en-US" w:eastAsia="zh-CN" w:bidi="ar-SA"/>
        </w:rPr>
        <w:t>至少符合GB/T 1354-2018标准，并拥有SC食品生产许可证编号，有QS 标志，标明加工厂名称、品名、生产日期、保持期或保存期、质量等级、产品标准号、产品合格证、质量符合大米国家标准与国家粮食卫生标准。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4.2</w:t>
      </w:r>
      <w:r>
        <w:rPr>
          <w:rFonts w:hint="eastAsia" w:ascii="仿宋" w:hAnsi="仿宋" w:eastAsia="仿宋" w:cs="仿宋"/>
          <w:b/>
          <w:bCs/>
          <w:color w:val="auto"/>
          <w:kern w:val="2"/>
          <w:sz w:val="24"/>
          <w:szCs w:val="24"/>
          <w:highlight w:val="none"/>
          <w:lang w:val="en-US" w:eastAsia="zh-CN" w:bidi="ar-SA"/>
        </w:rPr>
        <w:t>面粉</w:t>
      </w:r>
      <w:r>
        <w:rPr>
          <w:rFonts w:hint="eastAsia" w:ascii="仿宋" w:hAnsi="仿宋" w:eastAsia="仿宋" w:cs="仿宋"/>
          <w:b w:val="0"/>
          <w:bCs w:val="0"/>
          <w:color w:val="auto"/>
          <w:kern w:val="2"/>
          <w:sz w:val="24"/>
          <w:szCs w:val="24"/>
          <w:highlight w:val="none"/>
          <w:lang w:val="en-US" w:eastAsia="zh-CN" w:bidi="ar-SA"/>
        </w:rPr>
        <w:t>至少符合GB/T1355-1986标准，并拥有SC食品生产许可证编号，外包装完好，有 QS 标志，标明品名、厂名、重量、生产日期、保质期或保存期、质量等级、执行标准，保证干燥、不得有结块板结现象，具有产品合格证。</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4.3</w:t>
      </w:r>
      <w:r>
        <w:rPr>
          <w:rFonts w:hint="eastAsia" w:ascii="仿宋" w:hAnsi="仿宋" w:eastAsia="仿宋" w:cs="仿宋"/>
          <w:b/>
          <w:bCs/>
          <w:color w:val="auto"/>
          <w:kern w:val="2"/>
          <w:sz w:val="24"/>
          <w:szCs w:val="24"/>
          <w:highlight w:val="none"/>
          <w:lang w:val="en-US" w:eastAsia="zh-CN" w:bidi="ar-SA"/>
        </w:rPr>
        <w:t>食用油</w:t>
      </w:r>
      <w:r>
        <w:rPr>
          <w:rFonts w:hint="eastAsia" w:ascii="仿宋" w:hAnsi="仿宋" w:eastAsia="仿宋" w:cs="仿宋"/>
          <w:b w:val="0"/>
          <w:bCs w:val="0"/>
          <w:color w:val="auto"/>
          <w:kern w:val="2"/>
          <w:sz w:val="24"/>
          <w:szCs w:val="24"/>
          <w:highlight w:val="none"/>
          <w:lang w:val="en-US" w:eastAsia="zh-CN" w:bidi="ar-SA"/>
        </w:rPr>
        <w:t>必须符合最新GB2716-2018标准，并拥有SC食品生产许可证编号。外包装完好，有 QS 标志，标明品名、厂名、重量、生产日期、保质期或保存期、质量等级、执行标准，具有产品合格证，不许以次充好、以假充真。如将毛油当一级或二级油进行销售，将低价位的植物油掺入高价位植物油中进行销售，牟取暴利，一经查处，投标人将承担全部责任。</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4.4</w:t>
      </w:r>
      <w:r>
        <w:rPr>
          <w:rFonts w:hint="eastAsia" w:ascii="仿宋" w:hAnsi="仿宋" w:eastAsia="仿宋" w:cs="仿宋"/>
          <w:b/>
          <w:bCs/>
          <w:color w:val="auto"/>
          <w:kern w:val="2"/>
          <w:sz w:val="24"/>
          <w:szCs w:val="24"/>
          <w:highlight w:val="none"/>
          <w:lang w:val="en-US" w:eastAsia="zh-CN" w:bidi="ar-SA"/>
        </w:rPr>
        <w:t>肉类</w:t>
      </w:r>
      <w:r>
        <w:rPr>
          <w:rFonts w:hint="eastAsia" w:ascii="仿宋" w:hAnsi="仿宋" w:eastAsia="仿宋" w:cs="仿宋"/>
          <w:b w:val="0"/>
          <w:bCs w:val="0"/>
          <w:color w:val="auto"/>
          <w:kern w:val="2"/>
          <w:sz w:val="24"/>
          <w:szCs w:val="24"/>
          <w:highlight w:val="none"/>
          <w:lang w:val="en-US" w:eastAsia="zh-CN" w:bidi="ar-SA"/>
        </w:rPr>
        <w:t>必须由取得国家定点屠宰许可的屠宰场提供,符合最新版本GB2707-2016标准,必须具有动物检验检疫证明及肉品品质合格证。所供货物应保持较好的外观和质量等级，符合国家食品部门的有关标准，保证无异味、无霉烂变质，肉质红色均匀，有光泽，无泥污、无血污、放血状况良好，肉边整齐、无破碎肉、无粘液渗出或发干的表皮，无点状、小颗粒及各类寄生附着物，具有其固有的正常气味。</w:t>
      </w:r>
      <w:r>
        <w:rPr>
          <w:rFonts w:hint="eastAsia" w:ascii="仿宋" w:hAnsi="仿宋" w:eastAsia="仿宋" w:cs="仿宋"/>
          <w:b/>
          <w:bCs/>
          <w:color w:val="auto"/>
          <w:kern w:val="2"/>
          <w:sz w:val="24"/>
          <w:szCs w:val="24"/>
          <w:highlight w:val="none"/>
          <w:lang w:val="en-US" w:eastAsia="zh-CN" w:bidi="ar-SA"/>
        </w:rPr>
        <w:t>猪肉、牛羊肉</w:t>
      </w:r>
      <w:r>
        <w:rPr>
          <w:rFonts w:hint="eastAsia" w:ascii="仿宋" w:hAnsi="仿宋" w:eastAsia="仿宋" w:cs="仿宋"/>
          <w:b w:val="0"/>
          <w:bCs w:val="0"/>
          <w:color w:val="auto"/>
          <w:kern w:val="2"/>
          <w:sz w:val="24"/>
          <w:szCs w:val="24"/>
          <w:highlight w:val="none"/>
          <w:lang w:val="en-US" w:eastAsia="zh-CN" w:bidi="ar-SA"/>
        </w:rPr>
        <w:t>供应商必须为生产厂商</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4.5</w:t>
      </w:r>
      <w:r>
        <w:rPr>
          <w:rFonts w:hint="eastAsia" w:ascii="仿宋" w:hAnsi="仿宋" w:eastAsia="仿宋" w:cs="仿宋"/>
          <w:b/>
          <w:bCs/>
          <w:color w:val="auto"/>
          <w:kern w:val="2"/>
          <w:sz w:val="24"/>
          <w:szCs w:val="24"/>
          <w:highlight w:val="none"/>
          <w:lang w:val="en-US" w:eastAsia="zh-CN" w:bidi="ar-SA"/>
        </w:rPr>
        <w:t>禽蛋</w:t>
      </w:r>
      <w:r>
        <w:rPr>
          <w:rFonts w:hint="eastAsia" w:ascii="仿宋" w:hAnsi="仿宋" w:eastAsia="仿宋" w:cs="仿宋"/>
          <w:b w:val="0"/>
          <w:bCs w:val="0"/>
          <w:color w:val="auto"/>
          <w:kern w:val="2"/>
          <w:sz w:val="24"/>
          <w:szCs w:val="24"/>
          <w:highlight w:val="none"/>
          <w:lang w:val="en-US" w:eastAsia="zh-CN" w:bidi="ar-SA"/>
        </w:rPr>
        <w:t>必须符合GB2749-2015标准，每批次必须有禽蛋的出场《合格证》。根据甲方采购计划单的品种数量，乙方不得缺斤少两。</w:t>
      </w:r>
      <w:r>
        <w:rPr>
          <w:rFonts w:hint="eastAsia" w:ascii="仿宋" w:hAnsi="仿宋" w:eastAsia="仿宋" w:cs="仿宋"/>
          <w:sz w:val="24"/>
          <w:szCs w:val="24"/>
          <w:highlight w:val="none"/>
        </w:rPr>
        <w:t>蛋壳颜色为红褐色，单枚蛋质量不得低于60克，大小均匀，蛋体整洁，无斑点、无粪便、无血迹、无污染、无颜色差异，无破裂，蛋白浓厚，蛋黄居中，轮廓明显，胚胎未发育，生产厂家必须具有相关生产资质。</w:t>
      </w:r>
      <w:r>
        <w:rPr>
          <w:rFonts w:hint="eastAsia" w:ascii="仿宋" w:hAnsi="仿宋" w:eastAsia="仿宋" w:cs="仿宋"/>
          <w:b/>
          <w:bCs/>
          <w:sz w:val="24"/>
          <w:szCs w:val="24"/>
          <w:highlight w:val="none"/>
          <w:lang w:val="en-US" w:eastAsia="zh-CN"/>
        </w:rPr>
        <w:t>禽蛋</w:t>
      </w:r>
      <w:r>
        <w:rPr>
          <w:rFonts w:hint="eastAsia" w:ascii="仿宋" w:hAnsi="仿宋" w:eastAsia="仿宋" w:cs="仿宋"/>
          <w:b/>
          <w:bCs/>
          <w:color w:val="auto"/>
          <w:kern w:val="2"/>
          <w:sz w:val="24"/>
          <w:szCs w:val="24"/>
          <w:highlight w:val="none"/>
          <w:lang w:val="en-US" w:eastAsia="zh-CN" w:bidi="ar-SA"/>
        </w:rPr>
        <w:t>供应商必须为生产厂商。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4.6</w:t>
      </w:r>
      <w:r>
        <w:rPr>
          <w:rFonts w:hint="eastAsia" w:ascii="仿宋" w:hAnsi="仿宋" w:eastAsia="仿宋" w:cs="仿宋"/>
          <w:b/>
          <w:bCs/>
          <w:color w:val="auto"/>
          <w:kern w:val="2"/>
          <w:sz w:val="24"/>
          <w:szCs w:val="24"/>
          <w:highlight w:val="none"/>
          <w:lang w:val="en-US" w:eastAsia="zh-CN" w:bidi="ar-SA"/>
        </w:rPr>
        <w:t>冻货</w:t>
      </w:r>
      <w:r>
        <w:rPr>
          <w:rFonts w:hint="eastAsia" w:ascii="仿宋" w:hAnsi="仿宋" w:eastAsia="仿宋" w:cs="仿宋"/>
          <w:b w:val="0"/>
          <w:bCs w:val="0"/>
          <w:color w:val="auto"/>
          <w:kern w:val="2"/>
          <w:sz w:val="24"/>
          <w:szCs w:val="24"/>
          <w:highlight w:val="none"/>
          <w:lang w:val="en-US" w:eastAsia="zh-CN" w:bidi="ar-SA"/>
        </w:rPr>
        <w:t>产品必须具有动物检验检疫合格证明或”QS”食品质量安全认证。符合冷冻食品相关国家标准和卫生检测标准，供货时每批次货物必须提供动物检疫合格证明、克拉玛依区冷链食品消毒证明、</w:t>
      </w:r>
      <w:r>
        <w:rPr>
          <w:rFonts w:hint="eastAsia" w:ascii="仿宋" w:hAnsi="仿宋" w:eastAsia="仿宋" w:cs="仿宋"/>
          <w:b/>
          <w:bCs/>
          <w:color w:val="auto"/>
          <w:kern w:val="2"/>
          <w:sz w:val="24"/>
          <w:szCs w:val="24"/>
          <w:highlight w:val="none"/>
          <w:lang w:val="en-US" w:eastAsia="zh-CN" w:bidi="ar-SA"/>
        </w:rPr>
        <w:t>新型冠状病毒冷链食品及环境检测标本报告单</w:t>
      </w:r>
      <w:r>
        <w:rPr>
          <w:rFonts w:hint="eastAsia" w:ascii="仿宋" w:hAnsi="仿宋" w:eastAsia="仿宋" w:cs="仿宋"/>
          <w:b w:val="0"/>
          <w:bCs w:val="0"/>
          <w:color w:val="auto"/>
          <w:kern w:val="2"/>
          <w:sz w:val="24"/>
          <w:szCs w:val="24"/>
          <w:highlight w:val="none"/>
          <w:lang w:val="en-US" w:eastAsia="zh-CN" w:bidi="ar-SA"/>
        </w:rPr>
        <w:t>、供货商需入住属地查安康平台；包装必须标识齐全，有生产厂家信息，有生产日期、保质期，标识中净含量是指解冻后的重量；</w:t>
      </w:r>
    </w:p>
    <w:p>
      <w:pPr>
        <w:pStyle w:val="7"/>
        <w:spacing w:line="36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4.7</w:t>
      </w:r>
      <w:r>
        <w:rPr>
          <w:rFonts w:hint="eastAsia" w:ascii="仿宋" w:hAnsi="仿宋" w:eastAsia="仿宋" w:cs="仿宋"/>
          <w:b/>
          <w:bCs/>
          <w:color w:val="auto"/>
          <w:kern w:val="2"/>
          <w:sz w:val="24"/>
          <w:szCs w:val="24"/>
          <w:highlight w:val="none"/>
          <w:lang w:val="en-US" w:eastAsia="zh-CN" w:bidi="ar-SA"/>
        </w:rPr>
        <w:t>调料</w:t>
      </w:r>
      <w:r>
        <w:rPr>
          <w:rFonts w:hint="eastAsia" w:ascii="仿宋" w:hAnsi="仿宋" w:eastAsia="仿宋" w:cs="仿宋"/>
          <w:b w:val="0"/>
          <w:bCs w:val="0"/>
          <w:color w:val="auto"/>
          <w:kern w:val="2"/>
          <w:sz w:val="24"/>
          <w:szCs w:val="24"/>
          <w:highlight w:val="none"/>
          <w:lang w:val="en-US" w:eastAsia="zh-CN" w:bidi="ar-SA"/>
        </w:rPr>
        <w:t>：糖、味精、酱油、醋、生粉等调味品必须具有包装标识上有“QS”标志,“QS”食品质量安全认证。其余调料类调料类具有该品种固有的香味，无异味，液体调料无结块，无沉淀，无浮物，不浑浊，产品包装严整，无滴漏跑气现象。</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4.8</w:t>
      </w:r>
      <w:r>
        <w:rPr>
          <w:rFonts w:hint="eastAsia" w:ascii="仿宋" w:hAnsi="仿宋" w:eastAsia="仿宋" w:cs="仿宋"/>
          <w:b/>
          <w:bCs/>
          <w:color w:val="auto"/>
          <w:kern w:val="2"/>
          <w:sz w:val="24"/>
          <w:szCs w:val="24"/>
          <w:highlight w:val="none"/>
          <w:lang w:val="en-US" w:eastAsia="zh-CN" w:bidi="ar-SA"/>
        </w:rPr>
        <w:t>水果、蔬菜</w:t>
      </w:r>
      <w:r>
        <w:rPr>
          <w:rFonts w:hint="eastAsia" w:ascii="仿宋" w:hAnsi="仿宋" w:eastAsia="仿宋" w:cs="仿宋"/>
          <w:b w:val="0"/>
          <w:bCs w:val="0"/>
          <w:color w:val="auto"/>
          <w:kern w:val="2"/>
          <w:sz w:val="24"/>
          <w:szCs w:val="24"/>
          <w:highlight w:val="none"/>
          <w:lang w:val="en-US" w:eastAsia="zh-CN" w:bidi="ar-SA"/>
        </w:rPr>
        <w:t>必须保证新鲜，且符合食品卫生安全法要求，符合蔬菜质量安全检验检测标准，农残不超标，并可溯源。根据采购人采购计划单的品种数量，乙方不得缺斤少两，缺货少货由乙方及时补齐，运输费用乙方自理。蔬菜要求品种丰富，质量均匀：</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外观要求：形状完整、色泽鲜亮、气味正常、长度均匀。</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品质要求：有新鲜度、无虫害病害、无畸形、无腐烂、少损伤和杂质。</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净菜率要求：辣椒类：95%以上；叶菜类：80%以上；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葱蒜类：90%以上；果菜类：95%以上；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花菜类：95%以上；茎菜类：90%以上；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根菜类：90%以上；食用菌类：95%以上。</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如甲方临时需购菜品水果，乙方必须按指定的品种、数量及时送货，运输费用自理。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4.9</w:t>
      </w:r>
      <w:r>
        <w:rPr>
          <w:rFonts w:hint="eastAsia" w:ascii="仿宋" w:hAnsi="仿宋" w:eastAsia="仿宋" w:cs="仿宋"/>
          <w:b/>
          <w:bCs/>
          <w:color w:val="auto"/>
          <w:kern w:val="2"/>
          <w:sz w:val="24"/>
          <w:szCs w:val="24"/>
          <w:highlight w:val="none"/>
          <w:lang w:val="en-US" w:eastAsia="zh-CN" w:bidi="ar-SA"/>
        </w:rPr>
        <w:t>乳制品</w:t>
      </w:r>
      <w:r>
        <w:rPr>
          <w:rFonts w:hint="eastAsia" w:ascii="仿宋" w:hAnsi="仿宋" w:eastAsia="仿宋" w:cs="仿宋"/>
          <w:b w:val="0"/>
          <w:bCs w:val="0"/>
          <w:color w:val="auto"/>
          <w:kern w:val="2"/>
          <w:sz w:val="24"/>
          <w:szCs w:val="24"/>
          <w:highlight w:val="none"/>
          <w:lang w:val="en-US" w:eastAsia="zh-CN" w:bidi="ar-SA"/>
        </w:rPr>
        <w:t>外包装完好，标明品名、厂名、重量、生产日期、保质期或保存期、质量等级、执行标准，剩余保质期不少于1/2。</w:t>
      </w:r>
    </w:p>
    <w:p>
      <w:pPr>
        <w:pStyle w:val="7"/>
        <w:spacing w:line="360" w:lineRule="auto"/>
        <w:rPr>
          <w:rFonts w:hint="eastAsia" w:ascii="仿宋" w:hAnsi="仿宋" w:eastAsia="仿宋" w:cs="仿宋"/>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4.10</w:t>
      </w:r>
      <w:r>
        <w:rPr>
          <w:rFonts w:hint="eastAsia" w:ascii="仿宋" w:hAnsi="仿宋" w:eastAsia="仿宋" w:cs="仿宋"/>
          <w:b/>
          <w:bCs/>
          <w:color w:val="auto"/>
          <w:kern w:val="2"/>
          <w:sz w:val="24"/>
          <w:szCs w:val="24"/>
          <w:highlight w:val="none"/>
          <w:lang w:val="en-US" w:eastAsia="zh-CN" w:bidi="ar-SA"/>
        </w:rPr>
        <w:t>食堂设备、低值易耗品</w:t>
      </w:r>
      <w:r>
        <w:rPr>
          <w:rFonts w:hint="eastAsia" w:ascii="仿宋" w:hAnsi="仿宋" w:eastAsia="仿宋" w:cs="仿宋"/>
          <w:b w:val="0"/>
          <w:bCs w:val="0"/>
          <w:color w:val="auto"/>
          <w:kern w:val="2"/>
          <w:sz w:val="24"/>
          <w:szCs w:val="24"/>
          <w:highlight w:val="none"/>
          <w:lang w:val="en-US" w:eastAsia="zh-CN" w:bidi="ar-SA"/>
        </w:rPr>
        <w:t>必须标明品名、厂名、重量、生产日期、保质期或保存期、质量等级、环保标准及要求。</w:t>
      </w:r>
      <w:r>
        <w:rPr>
          <w:rFonts w:hint="eastAsia" w:ascii="仿宋" w:hAnsi="仿宋" w:eastAsia="仿宋" w:cs="仿宋"/>
          <w:sz w:val="24"/>
          <w:szCs w:val="24"/>
          <w:highlight w:val="none"/>
        </w:rPr>
        <w:t>主要包括设备供应、保险、税费、仓储、运输（含境外设备出厂离岸、到岸运输、报关、商检、 检验检疫）、装卸（卸至需方指定地点）、安装、调试、试运行、效验、检测检验、提交技术 资料、技术咨询、人员培训、技术指导的费用，质量保修期内的维保、售后服务等全部内容。所有设备质保时间符合国家规定的质保要求，接到用户维修通知后 1 小时内 响应、2 小时内到达指定现场进行维修。质保期内出现任何质量问题均由中标单位负责免费维修，调换。</w:t>
      </w:r>
      <w:r>
        <w:rPr>
          <w:rFonts w:hint="eastAsia" w:ascii="仿宋" w:hAnsi="仿宋" w:eastAsia="仿宋" w:cs="仿宋"/>
          <w:sz w:val="24"/>
          <w:szCs w:val="24"/>
          <w:highlight w:val="none"/>
          <w:lang w:eastAsia="zh-CN"/>
        </w:rPr>
        <w:t>中标供应商</w:t>
      </w:r>
      <w:r>
        <w:rPr>
          <w:rFonts w:hint="eastAsia" w:ascii="仿宋" w:hAnsi="仿宋" w:eastAsia="仿宋" w:cs="仿宋"/>
          <w:sz w:val="24"/>
          <w:szCs w:val="24"/>
          <w:highlight w:val="none"/>
        </w:rPr>
        <w:t>售后服务中，维修使用的备品备件及易损件应为原厂配件，未经采购人同意不得使用非原厂配件，常用的、容易损坏的备品备件及易损件</w:t>
      </w:r>
      <w:r>
        <w:rPr>
          <w:rFonts w:hint="eastAsia" w:ascii="仿宋" w:hAnsi="仿宋" w:eastAsia="仿宋" w:cs="仿宋"/>
          <w:sz w:val="24"/>
          <w:szCs w:val="24"/>
          <w:highlight w:val="none"/>
          <w:lang w:eastAsia="zh-CN"/>
        </w:rPr>
        <w:t>需要备足库存。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4.11</w:t>
      </w:r>
      <w:r>
        <w:rPr>
          <w:rFonts w:hint="eastAsia" w:ascii="仿宋" w:hAnsi="仿宋" w:eastAsia="仿宋" w:cs="仿宋"/>
          <w:b/>
          <w:bCs/>
          <w:color w:val="auto"/>
          <w:kern w:val="2"/>
          <w:sz w:val="24"/>
          <w:szCs w:val="24"/>
          <w:highlight w:val="none"/>
          <w:lang w:val="en-US" w:eastAsia="zh-CN" w:bidi="ar-SA"/>
        </w:rPr>
        <w:t>活鱼要求</w:t>
      </w:r>
      <w:r>
        <w:rPr>
          <w:rFonts w:hint="eastAsia" w:ascii="仿宋" w:hAnsi="仿宋" w:eastAsia="仿宋" w:cs="仿宋"/>
          <w:b w:val="0"/>
          <w:bCs w:val="0"/>
          <w:color w:val="auto"/>
          <w:kern w:val="2"/>
          <w:sz w:val="24"/>
          <w:szCs w:val="24"/>
          <w:highlight w:val="none"/>
          <w:lang w:val="en-US" w:eastAsia="zh-CN" w:bidi="ar-SA"/>
        </w:rPr>
        <w:t>：眼珠亮而微凸，鱼鳞整齐无脱落，无出血点或斑点，表面粘液丰富发滑， 鱼鳃完整鲜红，鱼肚完整无破损，手压后凹陷立即恢复，气味微腥无臭味。所有鱼肉严禁提供死鱼肉、病鱼肉和冻鱼肉。</w:t>
      </w:r>
    </w:p>
    <w:p>
      <w:pPr>
        <w:pStyle w:val="7"/>
        <w:spacing w:line="360" w:lineRule="auto"/>
        <w:ind w:firstLine="723" w:firstLineChars="3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为使食堂有充足的库存时间以备所需，中标方应保证提供较新生产日期的大宗物资，</w:t>
      </w:r>
    </w:p>
    <w:p>
      <w:pPr>
        <w:pStyle w:val="7"/>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若到货时货物的剩余保质期少于包装上标示的整体保质期的 1/2，将不予收货。</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5、货物包装要求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5.1 投标人应保证货品均为正规生产的新鲜、检验合格货品，符合国家有关卫生、质量、包装和保质标准。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5.2 包装、容器(框、箱、袋)要求清洁、干燥、牢固、透气，无污染、无异味、无霉变现象。采购的食品不得存放在有害、有毒的容器内。食品包装上必须使用原产地标识，应注明：制造商名称和厂址、食品名称和重（容）量、生产日期和保质期以及规格和 QS 认证等。</w:t>
      </w:r>
    </w:p>
    <w:p>
      <w:pPr>
        <w:pStyle w:val="7"/>
        <w:numPr>
          <w:ilvl w:val="0"/>
          <w:numId w:val="0"/>
        </w:numPr>
        <w:spacing w:line="360" w:lineRule="auto"/>
        <w:ind w:left="630" w:leftChars="0"/>
        <w:rPr>
          <w:rFonts w:hint="eastAsia" w:ascii="仿宋" w:hAnsi="仿宋" w:eastAsia="仿宋" w:cs="仿宋"/>
          <w:highlight w:val="none"/>
          <w:lang w:val="en-US" w:eastAsia="zh-CN"/>
        </w:rPr>
      </w:pPr>
      <w:r>
        <w:rPr>
          <w:rFonts w:hint="eastAsia" w:ascii="仿宋" w:hAnsi="仿宋" w:eastAsia="仿宋" w:cs="仿宋"/>
          <w:b/>
          <w:bCs/>
          <w:color w:val="auto"/>
          <w:kern w:val="2"/>
          <w:sz w:val="24"/>
          <w:szCs w:val="24"/>
          <w:highlight w:val="none"/>
          <w:lang w:val="en-US" w:eastAsia="zh-CN" w:bidi="ar-SA"/>
        </w:rPr>
        <w:t>6、配送要求：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6.1保证配送品种质量的准确性，并以采购方的验货数量为准。</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6.2按采购方提供的配送数据，将所需食材配送至指定地点。</w:t>
      </w:r>
      <w:r>
        <w:rPr>
          <w:rFonts w:hint="eastAsia" w:ascii="仿宋" w:hAnsi="仿宋" w:eastAsia="仿宋" w:cs="仿宋"/>
          <w:sz w:val="24"/>
          <w:szCs w:val="24"/>
          <w:highlight w:val="none"/>
        </w:rPr>
        <w:t>装卸费、送货费用及运输安全由供货方承担</w:t>
      </w:r>
      <w:r>
        <w:rPr>
          <w:rFonts w:hint="eastAsia" w:ascii="仿宋" w:hAnsi="仿宋" w:eastAsia="仿宋" w:cs="仿宋"/>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若未通过验收者、必须按甲方要求时间重新配送，不得以任何借口推诿。</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6.3每次随供货送上一式两份的送货清单，供双方验货后签字确认，双方各持一份，作为送、收货的凭证。</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6.4如遇突发情况，不可遇见的因素造成的个别品种价格需临时做调整的，投标人应事先书面通知采购单位，在采购单位确认后方可调整。</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6.5货物验收要求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6.5.1 检验流程：</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采购人按合同对商品进行认真验收，对不符合规格要求的商品，供应商必须无条件退货；供应商未能履行招标文件和合同所定事项，或供应不合格的、假冒伪劣、以次充好的商品，采购人退货后将记录在案，并对供应商予以处罚，除要承担因此产生的一切损失和费用外，情节严重的可取消其中标资格。</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②要作好卸货前的检查。验收人员卸货前应对场地和验收设备做好准备，并对商品的外观质量进行初步了解。</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③应采取当场验收的方式，验收人必须认真检验食品的质量要求，按索证→过磅→入库的程序完成验收，投标人可提供原件的留原件，原件只有一份而无法提供给采购人的查验原件后索取复印件留存。</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④采购人如发现食品有损坏的情况，应在相关单据上记录所有损坏情况。对货物损坏情况进行拍照并存档。对于食品验收的全部信息数据，采购人使用单位验收人员应和供应商人员一起确认，并保留双方签字单据。</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⑥送货数量与订单不符时：多送部分有权拒收。</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6.5.2 退（补）货流程：对不符合质量要求的食品由采购人验收人员提出清退，对数量不足或部分退货的，投标人必须按食堂规定时间，要求的数量、质量、规格重新送货。</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6.5.3 验收记录：每次采购的食品都要登记记录，注明名称、数量等事项并在采购登记记录上签明意见和验收人的名字及日期。验收完毕后，双方必须在货物收货清单上确认签名，货物收货清单作为采购人支付货款的依据之一。</w:t>
      </w:r>
    </w:p>
    <w:p>
      <w:pPr>
        <w:pStyle w:val="7"/>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7、送货时间及地点的要求:</w:t>
      </w:r>
    </w:p>
    <w:p>
      <w:pPr>
        <w:pStyle w:val="7"/>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7.1一般为每天按甲方的时间要求将货物送至采购方指定地点。</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7.2投标人如送货迟到超过30分钟，扣罚当天总货款的10%；若超过时间60分钟，扣罚当天总货款的20%。三次以上，终止合同。</w:t>
      </w:r>
    </w:p>
    <w:p>
      <w:pPr>
        <w:pStyle w:val="7"/>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付款方式：</w:t>
      </w:r>
    </w:p>
    <w:p>
      <w:pPr>
        <w:pStyle w:val="7"/>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各标项供应商的最终每月结算价款，按照每月经审定批准的价款结算与（1-中标供应商的承诺下浮率）之积进行结算</w:t>
      </w:r>
      <w:r>
        <w:rPr>
          <w:rFonts w:hint="eastAsia" w:ascii="仿宋" w:hAnsi="仿宋" w:eastAsia="仿宋" w:cs="仿宋"/>
          <w:b w:val="0"/>
          <w:bCs w:val="0"/>
          <w:color w:val="auto"/>
          <w:kern w:val="2"/>
          <w:sz w:val="24"/>
          <w:szCs w:val="24"/>
          <w:highlight w:val="none"/>
          <w:lang w:val="en-US" w:eastAsia="zh-CN" w:bidi="ar-SA"/>
        </w:rPr>
        <w:t xml:space="preserve"> </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9、取消中标资格</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发生下列情况时，采购人有权立即取消中标资格，且三年内不得参加采购人组织的投标。并向克拉玛依市信用办报送供应商的“不诚信”行为。</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b w:val="0"/>
          <w:bCs w:val="0"/>
          <w:color w:val="auto"/>
          <w:kern w:val="2"/>
          <w:sz w:val="24"/>
          <w:szCs w:val="24"/>
          <w:highlight w:val="none"/>
          <w:lang w:val="en-US" w:eastAsia="zh-CN" w:bidi="ar-SA"/>
        </w:rPr>
        <w:t>供应商提交的资料弄虚作假、隐瞒重大食品安全事故、骗取中标；</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9.2在报价有效期内，撤回投标的，或拒绝按承诺下浮率价格供货的；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9.3中标后私自将项目转包的；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9.4合同期内无法按照食堂要求提供报价，影响物资供应的；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9.5供应物资达不到标准或验货不合格，退货补货不及时，服务不到位，后果严重影响</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机关食堂正常运营，收到三次书面警告通知书的</w:t>
      </w:r>
      <w:r>
        <w:rPr>
          <w:rFonts w:hint="eastAsia" w:ascii="仿宋" w:hAnsi="仿宋" w:eastAsia="仿宋" w:cs="仿宋"/>
          <w:b/>
          <w:bCs/>
          <w:color w:val="auto"/>
          <w:kern w:val="2"/>
          <w:sz w:val="24"/>
          <w:szCs w:val="24"/>
          <w:highlight w:val="none"/>
          <w:lang w:val="en-US" w:eastAsia="zh-CN" w:bidi="ar-SA"/>
        </w:rPr>
        <w:t>包括但不限于</w:t>
      </w:r>
      <w:r>
        <w:rPr>
          <w:rFonts w:hint="eastAsia" w:ascii="仿宋" w:hAnsi="仿宋" w:eastAsia="仿宋" w:cs="仿宋"/>
          <w:b w:val="0"/>
          <w:bCs w:val="0"/>
          <w:color w:val="auto"/>
          <w:kern w:val="2"/>
          <w:sz w:val="24"/>
          <w:szCs w:val="24"/>
          <w:highlight w:val="none"/>
          <w:lang w:val="en-US" w:eastAsia="zh-CN" w:bidi="ar-SA"/>
        </w:rPr>
        <w:t>：腐败变质、油脂酸败、霉变、生虫、污秽不洁、混有异物或者其他感官性状异常，对人体健康有害的；含有毒、有害物质或者被有害物质污染，对人体健康有害的；含有致病性寄生虫、微生物或者微生物含量超过国家限定标准的；未经动物检疫部门检疫、检验或者检疫、检验不合格的肉类及其制品；病死、毒死或者死因不明的禽、畜、兽、水产动物等及其制品；掺假、掺杂、伪造，影响营养、卫生的；用非食品原料加工的，加入非食品用化学物质或者将非食品当作食品的；超过整体保质期1/2或超过保质期限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9.6合同履行期间，采购人将定期及不定期核查中标方履约情况。如发现中标方存在质量、价格、材质等弄虚作假，中标后转包，配送不及时或售后服务不到位等违反合同规定的情况，采购人根据相关管理规定和合同约定条款扣除当月货款或终止合同等措施。书面警告三次及以上无效、拒不整改的，经采购人相关部门确认,将发出取消该供应商供货资格、终止合同通知书。按该类供应商评标时排名高低顺序依次替补，确定新的供应商。</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9.7未按照供货协议规定按时向采购人提供相关证件、报价单、产品年度质检部门抽检报告、自检报告、送货单等资料，未建立进销台账或台帐资料与采购人台帐不符的。</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9.8在供货期内除不可抗力因素外不能按时交货,且给采购人造成损失的。</w:t>
      </w:r>
    </w:p>
    <w:p>
      <w:pPr>
        <w:ind w:firstLine="48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9.9其他违法违规行为或者影响机关食堂正常运行的、损害采购人利益的。</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10、其他要求</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市场价根据甲方实际询价为主，若后续未按照市场价进行下浮的单位，将进行处罚。</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10.1情节较轻者按照扣除当日所供全部货物总价的10%进行扣款；</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10.2若被发现3次以上未按照市场价进行下浮的单位视为情节严重者，将无条件终止合作。</w:t>
      </w:r>
    </w:p>
    <w:p>
      <w:pPr>
        <w:pStyle w:val="2"/>
        <w:numPr>
          <w:ilvl w:val="0"/>
          <w:numId w:val="0"/>
        </w:numP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br w:type="textWrapping"/>
      </w:r>
    </w:p>
    <w:p>
      <w:pPr>
        <w:pStyle w:val="11"/>
        <w:adjustRightInd w:val="0"/>
        <w:snapToGrid w:val="0"/>
        <w:spacing w:line="360" w:lineRule="auto"/>
        <w:jc w:val="center"/>
        <w:rPr>
          <w:rFonts w:hint="default" w:ascii="宋体" w:hAnsi="宋体" w:eastAsia="宋体" w:cs="宋体"/>
          <w:b/>
          <w:color w:val="auto"/>
          <w:sz w:val="28"/>
          <w:szCs w:val="28"/>
          <w:highlight w:val="none"/>
          <w:lang w:val="en-US" w:eastAsia="zh-CN"/>
        </w:rPr>
      </w:pPr>
    </w:p>
    <w:p>
      <w:pPr>
        <w:pStyle w:val="12"/>
        <w:rPr>
          <w:rFonts w:hint="eastAsia" w:ascii="仿宋" w:hAnsi="仿宋" w:eastAsia="仿宋" w:cs="仿宋"/>
          <w:b/>
          <w:sz w:val="28"/>
          <w:szCs w:val="28"/>
          <w:highlight w:val="none"/>
        </w:rPr>
      </w:pPr>
    </w:p>
    <w:p>
      <w:pPr>
        <w:rPr>
          <w:rFonts w:hint="eastAsia" w:ascii="仿宋" w:hAnsi="仿宋" w:eastAsia="仿宋" w:cs="仿宋"/>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pStyle w:val="11"/>
        <w:adjustRightInd w:val="0"/>
        <w:snapToGrid w:val="0"/>
        <w:spacing w:line="360" w:lineRule="auto"/>
        <w:jc w:val="center"/>
        <w:rPr>
          <w:rFonts w:hint="eastAsia" w:ascii="仿宋" w:hAnsi="仿宋" w:eastAsia="仿宋" w:cs="仿宋"/>
          <w:b/>
          <w:sz w:val="32"/>
          <w:szCs w:val="32"/>
          <w:highlight w:val="none"/>
        </w:rPr>
      </w:pPr>
    </w:p>
    <w:p>
      <w:pPr>
        <w:rPr>
          <w:rFonts w:hint="eastAsia" w:ascii="仿宋" w:hAnsi="仿宋" w:eastAsia="仿宋" w:cs="仿宋"/>
          <w:b/>
          <w:bCs/>
          <w:sz w:val="32"/>
          <w:szCs w:val="32"/>
          <w:highlight w:val="none"/>
          <w:lang w:val="en-US" w:eastAsia="zh-CN"/>
        </w:rPr>
      </w:pPr>
      <w:bookmarkStart w:id="189" w:name="_Toc23657"/>
      <w:r>
        <w:rPr>
          <w:rFonts w:hint="eastAsia" w:ascii="仿宋" w:hAnsi="仿宋" w:eastAsia="仿宋" w:cs="仿宋"/>
          <w:b/>
          <w:bCs/>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xml:space="preserve">第四章  </w:t>
      </w:r>
      <w:r>
        <w:rPr>
          <w:rFonts w:hint="eastAsia" w:ascii="仿宋" w:hAnsi="仿宋" w:eastAsia="仿宋" w:cs="仿宋"/>
          <w:b/>
          <w:bCs/>
          <w:sz w:val="32"/>
          <w:szCs w:val="32"/>
          <w:highlight w:val="none"/>
        </w:rPr>
        <w:t>合同条款（主要条款）</w:t>
      </w:r>
      <w:bookmarkEnd w:id="18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sz w:val="32"/>
          <w:szCs w:val="32"/>
          <w:highlight w:val="none"/>
        </w:rPr>
        <w:br w:type="textWrapping"/>
      </w:r>
      <w:r>
        <w:rPr>
          <w:rFonts w:hint="eastAsia" w:ascii="仿宋" w:hAnsi="仿宋" w:eastAsia="仿宋" w:cs="仿宋"/>
          <w:b w:val="0"/>
          <w:bCs/>
          <w:color w:val="auto"/>
          <w:kern w:val="2"/>
          <w:sz w:val="24"/>
          <w:szCs w:val="24"/>
          <w:highlight w:val="none"/>
          <w:lang w:val="en-US" w:eastAsia="zh-CN" w:bidi="ar-SA"/>
        </w:rPr>
        <w:t>（本招标文件提供合同文本未尽事宜由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b w:val="0"/>
          <w:bCs/>
          <w:color w:val="auto"/>
          <w:kern w:val="2"/>
          <w:sz w:val="24"/>
          <w:szCs w:val="24"/>
          <w:highlight w:val="none"/>
          <w:lang w:val="en-US" w:eastAsia="zh-CN" w:bidi="ar-SA"/>
        </w:rPr>
        <w:t>供应商与采购人共同协商后签订。）</w:t>
      </w:r>
    </w:p>
    <w:p>
      <w:pPr>
        <w:pStyle w:val="3"/>
        <w:ind w:left="0" w:leftChars="0" w:firstLine="0" w:firstLineChars="0"/>
        <w:rPr>
          <w:rFonts w:hint="eastAsia"/>
          <w:highlight w:val="none"/>
        </w:rPr>
      </w:pPr>
    </w:p>
    <w:p>
      <w:pPr>
        <w:spacing w:line="560" w:lineRule="exact"/>
        <w:jc w:val="center"/>
        <w:rPr>
          <w:rFonts w:hint="eastAsia" w:ascii="方正小标宋简体" w:hAnsi="方正小标宋简体" w:eastAsia="方正小标宋简体" w:cs="方正小标宋简体"/>
          <w:b w:val="0"/>
          <w:bCs/>
          <w:sz w:val="44"/>
          <w:szCs w:val="40"/>
          <w:highlight w:val="none"/>
        </w:rPr>
      </w:pPr>
    </w:p>
    <w:p>
      <w:pPr>
        <w:spacing w:line="560" w:lineRule="exact"/>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克拉玛依市机关后勤服务中心（援克干部服务中心 ）</w:t>
      </w:r>
    </w:p>
    <w:p>
      <w:pPr>
        <w:spacing w:line="560" w:lineRule="exact"/>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机关食堂食材供货合同</w:t>
      </w:r>
    </w:p>
    <w:p>
      <w:pPr>
        <w:spacing w:line="560" w:lineRule="exact"/>
        <w:jc w:val="both"/>
        <w:rPr>
          <w:rFonts w:hint="eastAsia" w:ascii="宋体" w:hAnsi="宋体" w:cs="仿宋"/>
          <w:b/>
          <w:sz w:val="44"/>
          <w:szCs w:val="40"/>
          <w:highlight w:val="none"/>
        </w:rPr>
      </w:pP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u w:val="single"/>
        </w:rPr>
        <w:t>克拉玛依市机关后勤服务中心</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住所地：</w:t>
      </w:r>
      <w:r>
        <w:rPr>
          <w:rFonts w:hint="eastAsia" w:ascii="仿宋" w:hAnsi="仿宋" w:eastAsia="仿宋" w:cs="仿宋"/>
          <w:color w:val="000000"/>
          <w:sz w:val="24"/>
          <w:szCs w:val="24"/>
          <w:highlight w:val="none"/>
          <w:u w:val="single"/>
        </w:rPr>
        <w:t>克拉玛依市胜利路33号</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统一社会信用代码：</w:t>
      </w:r>
      <w:r>
        <w:rPr>
          <w:rFonts w:hint="eastAsia" w:ascii="仿宋" w:hAnsi="仿宋" w:eastAsia="仿宋" w:cs="仿宋"/>
          <w:color w:val="000000"/>
          <w:sz w:val="24"/>
          <w:szCs w:val="24"/>
          <w:highlight w:val="none"/>
          <w:u w:val="single"/>
        </w:rPr>
        <w:t>12650200MB1F28586J</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rPr>
        <w:t>李克鹏</w:t>
      </w:r>
    </w:p>
    <w:p>
      <w:pPr>
        <w:adjustRightInd w:val="0"/>
        <w:snapToGrid w:val="0"/>
        <w:spacing w:line="560" w:lineRule="exact"/>
        <w:ind w:firstLine="480" w:firstLineChars="200"/>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授权代理人：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000000"/>
          <w:sz w:val="24"/>
          <w:szCs w:val="24"/>
          <w:highlight w:val="none"/>
          <w:u w:val="single"/>
          <w:lang w:val="en-US" w:eastAsia="zh-CN"/>
        </w:rPr>
        <w:t xml:space="preserve">            </w:t>
      </w:r>
    </w:p>
    <w:p>
      <w:pPr>
        <w:adjustRightInd w:val="0"/>
        <w:snapToGrid w:val="0"/>
        <w:spacing w:line="560" w:lineRule="exact"/>
        <w:ind w:left="960" w:hanging="720" w:hangingChars="300"/>
        <w:rPr>
          <w:rFonts w:hint="eastAsia" w:ascii="仿宋" w:hAnsi="仿宋" w:eastAsia="仿宋" w:cs="仿宋"/>
          <w:color w:val="000000"/>
          <w:sz w:val="24"/>
          <w:szCs w:val="24"/>
          <w:highlight w:val="none"/>
        </w:rPr>
      </w:pPr>
    </w:p>
    <w:p>
      <w:pPr>
        <w:adjustRightInd w:val="0"/>
        <w:snapToGrid w:val="0"/>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住所地：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统一社会信用代码：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adjustRightInd w:val="0"/>
        <w:snapToGrid w:val="0"/>
        <w:spacing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授权代理人：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pPr>
        <w:pStyle w:val="30"/>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仿宋" w:hAnsi="仿宋" w:eastAsia="仿宋" w:cs="仿宋"/>
          <w:sz w:val="24"/>
          <w:szCs w:val="24"/>
          <w:highlight w:val="none"/>
        </w:rPr>
      </w:pPr>
    </w:p>
    <w:p>
      <w:pPr>
        <w:pStyle w:val="30"/>
        <w:keepNext w:val="0"/>
        <w:keepLines w:val="0"/>
        <w:pageBreakBefore w:val="0"/>
        <w:kinsoku/>
        <w:wordWrap/>
        <w:overflowPunct/>
        <w:topLinePunct w:val="0"/>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根据《中华人民共和国民法典》及其他相关法律法规，本着双方平等互利、诚实信用、等价有偿的原则，双方就物资采购事宜协商一致，自愿订立本合同。</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1标的物</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1.1货物名称：</w:t>
      </w:r>
      <w:r>
        <w:rPr>
          <w:rFonts w:hint="eastAsia" w:ascii="仿宋" w:hAnsi="仿宋" w:eastAsia="仿宋" w:cs="仿宋"/>
          <w:sz w:val="24"/>
          <w:szCs w:val="24"/>
          <w:highlight w:val="none"/>
          <w:lang w:eastAsia="zh-CN"/>
        </w:rPr>
        <w:t>米面油</w:t>
      </w:r>
      <w:r>
        <w:rPr>
          <w:rFonts w:hint="eastAsia" w:ascii="仿宋" w:hAnsi="仿宋" w:eastAsia="仿宋" w:cs="仿宋"/>
          <w:sz w:val="24"/>
          <w:szCs w:val="24"/>
          <w:highlight w:val="none"/>
        </w:rPr>
        <w:t>采购。</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2数量：以实际发生的货物数量为准。</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3质量</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3.1质量的标准：货物的质量标准必须按照国家标准执行，并附相关质量检测报告。</w:t>
      </w:r>
    </w:p>
    <w:p>
      <w:pPr>
        <w:pStyle w:val="30"/>
        <w:keepNext w:val="0"/>
        <w:keepLines w:val="0"/>
        <w:pageBreakBefore w:val="0"/>
        <w:kinsoku/>
        <w:wordWrap/>
        <w:overflowPunct/>
        <w:topLinePunct w:val="0"/>
        <w:bidi w:val="0"/>
        <w:adjustRightInd/>
        <w:snapToGrid/>
        <w:spacing w:line="56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3.2按生产厂家出厂质量承诺服务及“三包”服务标准执行。</w:t>
      </w:r>
    </w:p>
    <w:p>
      <w:pPr>
        <w:pStyle w:val="30"/>
        <w:keepNext w:val="0"/>
        <w:keepLines w:val="0"/>
        <w:pageBreakBefore w:val="0"/>
        <w:kinsoku/>
        <w:wordWrap/>
        <w:overflowPunct/>
        <w:topLinePunct w:val="0"/>
        <w:bidi w:val="0"/>
        <w:adjustRightInd/>
        <w:snapToGrid/>
        <w:spacing w:line="560" w:lineRule="exact"/>
        <w:ind w:firstLine="640"/>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4合同期限：</w:t>
      </w:r>
      <w:r>
        <w:rPr>
          <w:rFonts w:hint="eastAsia" w:ascii="仿宋" w:hAnsi="仿宋" w:eastAsia="仿宋" w:cs="仿宋"/>
          <w:sz w:val="24"/>
          <w:szCs w:val="24"/>
          <w:highlight w:val="none"/>
        </w:rPr>
        <w:t>自_____年_____月_____日至 ____ 年_____ 月____日止。</w:t>
      </w:r>
    </w:p>
    <w:p>
      <w:pPr>
        <w:pStyle w:val="10"/>
        <w:keepNext w:val="0"/>
        <w:keepLines w:val="0"/>
        <w:pageBreakBefore w:val="0"/>
        <w:kinsoku/>
        <w:wordWrap/>
        <w:overflowPunct/>
        <w:topLinePunct w:val="0"/>
        <w:bidi w:val="0"/>
        <w:adjustRightInd/>
        <w:snapToGrid/>
        <w:spacing w:line="560" w:lineRule="exact"/>
        <w:ind w:left="638" w:leftChars="304" w:firstLine="0" w:firstLineChars="0"/>
        <w:jc w:val="both"/>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lang w:val="en-US"/>
        </w:rPr>
        <w:t>5</w:t>
      </w:r>
      <w:r>
        <w:rPr>
          <w:rStyle w:val="33"/>
          <w:rFonts w:hint="eastAsia" w:ascii="仿宋" w:hAnsi="仿宋" w:eastAsia="仿宋" w:cs="仿宋"/>
          <w:sz w:val="24"/>
          <w:szCs w:val="24"/>
          <w:highlight w:val="none"/>
        </w:rPr>
        <w:t>价款及支付</w:t>
      </w:r>
    </w:p>
    <w:p>
      <w:pPr>
        <w:pStyle w:val="10"/>
        <w:keepNext w:val="0"/>
        <w:keepLines w:val="0"/>
        <w:pageBreakBefore w:val="0"/>
        <w:kinsoku/>
        <w:wordWrap/>
        <w:overflowPunct/>
        <w:topLinePunct w:val="0"/>
        <w:bidi w:val="0"/>
        <w:adjustRightInd/>
        <w:snapToGrid/>
        <w:spacing w:line="560" w:lineRule="exact"/>
        <w:ind w:left="0" w:leftChars="0" w:firstLine="480" w:firstLineChars="200"/>
        <w:jc w:val="both"/>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5.1合同价款：乙方承诺结算下浮率（%）为：</w:t>
      </w:r>
      <w:r>
        <w:rPr>
          <w:rStyle w:val="33"/>
          <w:rFonts w:hint="eastAsia" w:ascii="仿宋" w:hAnsi="仿宋" w:eastAsia="仿宋" w:cs="仿宋"/>
          <w:sz w:val="24"/>
          <w:szCs w:val="24"/>
          <w:highlight w:val="none"/>
          <w:u w:val="none"/>
          <w:lang w:val="en-US"/>
        </w:rPr>
        <w:t xml:space="preserve">   </w:t>
      </w:r>
      <w:r>
        <w:rPr>
          <w:rStyle w:val="33"/>
          <w:rFonts w:hint="eastAsia" w:ascii="仿宋" w:hAnsi="仿宋" w:eastAsia="仿宋" w:cs="仿宋"/>
          <w:sz w:val="24"/>
          <w:szCs w:val="24"/>
          <w:highlight w:val="none"/>
          <w:u w:val="none"/>
        </w:rPr>
        <w:t>%，</w:t>
      </w:r>
      <w:r>
        <w:rPr>
          <w:rFonts w:hint="eastAsia" w:ascii="仿宋" w:hAnsi="仿宋" w:eastAsia="仿宋" w:cs="仿宋"/>
          <w:sz w:val="24"/>
          <w:szCs w:val="24"/>
          <w:highlight w:val="none"/>
        </w:rPr>
        <w:t>乙方每月最终结算价款</w:t>
      </w:r>
      <w:r>
        <w:rPr>
          <w:rFonts w:hint="eastAsia" w:ascii="仿宋" w:hAnsi="仿宋" w:eastAsia="仿宋" w:cs="仿宋"/>
          <w:sz w:val="24"/>
          <w:szCs w:val="24"/>
          <w:highlight w:val="none"/>
          <w:lang w:eastAsia="zh-CN"/>
        </w:rPr>
        <w:t>，</w:t>
      </w:r>
      <w:r>
        <w:rPr>
          <w:rStyle w:val="33"/>
          <w:rFonts w:hint="eastAsia" w:ascii="仿宋" w:hAnsi="仿宋" w:eastAsia="仿宋" w:cs="仿宋"/>
          <w:sz w:val="24"/>
          <w:szCs w:val="24"/>
          <w:highlight w:val="none"/>
        </w:rPr>
        <w:t>按照每月经审定批准的价款结算与（1-</w:t>
      </w:r>
      <w:r>
        <w:rPr>
          <w:rStyle w:val="33"/>
          <w:rFonts w:hint="eastAsia" w:ascii="仿宋" w:hAnsi="仿宋" w:eastAsia="仿宋" w:cs="仿宋"/>
          <w:sz w:val="24"/>
          <w:szCs w:val="24"/>
          <w:highlight w:val="none"/>
          <w:lang w:val="en-US"/>
        </w:rPr>
        <w:t>5</w:t>
      </w:r>
      <w:r>
        <w:rPr>
          <w:rStyle w:val="33"/>
          <w:rFonts w:hint="eastAsia" w:ascii="仿宋" w:hAnsi="仿宋" w:eastAsia="仿宋" w:cs="仿宋"/>
          <w:sz w:val="24"/>
          <w:szCs w:val="24"/>
          <w:highlight w:val="none"/>
        </w:rPr>
        <w:t>入围供应商的承诺下浮率）之积进行结算。</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5.2价款支付方式和时间：送货款项每月结算一次，按甲方财务要求每月结算。乙方需在每月 10 日前与甲方核对账目并开具发票，若乙方未按期开票，每逾期一日，扣当月结算金额的 0.3%，甲方于乙方完成结算程序 90 日内支付应结算金额；</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Style w:val="33"/>
          <w:rFonts w:hint="eastAsia" w:ascii="仿宋" w:hAnsi="仿宋" w:eastAsia="仿宋" w:cs="仿宋"/>
          <w:sz w:val="24"/>
          <w:szCs w:val="24"/>
          <w:highlight w:val="none"/>
        </w:rPr>
      </w:pPr>
      <w:r>
        <w:rPr>
          <w:rStyle w:val="33"/>
          <w:rFonts w:hint="eastAsia" w:ascii="仿宋" w:hAnsi="仿宋" w:eastAsia="仿宋" w:cs="仿宋"/>
          <w:sz w:val="24"/>
          <w:szCs w:val="24"/>
          <w:highlight w:val="none"/>
        </w:rPr>
        <w:t>5.3乙方对其指定的账户信息的真实性、安全性、准确性负责。</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6交付</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6.1交付时间：甲方指定时间</w:t>
      </w:r>
      <w:r>
        <w:rPr>
          <w:rFonts w:hint="eastAsia" w:ascii="仿宋" w:hAnsi="仿宋" w:eastAsia="仿宋" w:cs="仿宋"/>
          <w:sz w:val="24"/>
          <w:szCs w:val="24"/>
          <w:highlight w:val="none"/>
          <w:lang w:eastAsia="zh-CN"/>
        </w:rPr>
        <w:t>；</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6.2交付地点：甲方指定地点</w:t>
      </w:r>
      <w:r>
        <w:rPr>
          <w:rFonts w:hint="eastAsia" w:ascii="仿宋" w:hAnsi="仿宋" w:eastAsia="仿宋" w:cs="仿宋"/>
          <w:sz w:val="24"/>
          <w:szCs w:val="24"/>
          <w:highlight w:val="none"/>
          <w:lang w:eastAsia="zh-CN"/>
        </w:rPr>
        <w:t>；</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6.3乙方应提供的单证和资料：提供产品合格</w:t>
      </w:r>
      <w:r>
        <w:rPr>
          <w:rFonts w:hint="eastAsia" w:ascii="仿宋" w:hAnsi="仿宋" w:eastAsia="仿宋" w:cs="仿宋"/>
          <w:sz w:val="24"/>
          <w:szCs w:val="24"/>
          <w:highlight w:val="none"/>
          <w:lang w:eastAsia="zh-CN"/>
        </w:rPr>
        <w:t>证</w:t>
      </w:r>
      <w:r>
        <w:rPr>
          <w:rFonts w:hint="eastAsia" w:ascii="仿宋" w:hAnsi="仿宋" w:eastAsia="仿宋" w:cs="仿宋"/>
          <w:sz w:val="24"/>
          <w:szCs w:val="24"/>
          <w:highlight w:val="none"/>
        </w:rPr>
        <w:t>、检疫证明，每次随供货送上一式两份的送货清单，供双方验货后签字确认，双方各持一份，作为送、收货的凭证</w:t>
      </w:r>
      <w:r>
        <w:rPr>
          <w:rFonts w:hint="eastAsia" w:ascii="仿宋" w:hAnsi="仿宋" w:eastAsia="仿宋" w:cs="仿宋"/>
          <w:sz w:val="24"/>
          <w:szCs w:val="24"/>
          <w:highlight w:val="none"/>
          <w:lang w:eastAsia="zh-CN"/>
        </w:rPr>
        <w:t>；</w:t>
      </w:r>
    </w:p>
    <w:p>
      <w:pPr>
        <w:pStyle w:val="10"/>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6.4.</w:t>
      </w:r>
      <w:bookmarkStart w:id="190" w:name="_Hlk58493029"/>
      <w:r>
        <w:rPr>
          <w:rFonts w:hint="eastAsia" w:ascii="仿宋" w:hAnsi="仿宋" w:eastAsia="仿宋" w:cs="仿宋"/>
          <w:sz w:val="24"/>
          <w:szCs w:val="24"/>
          <w:highlight w:val="none"/>
        </w:rPr>
        <w:t>甲方在验收过程中，如果发现产品的品种、数量和质量不符合规定要求，应一面妥为保管，一面在收货验货时向乙方负责人提出异议，在对产品质量异议未解决之前，甲方不能使用该产品</w:t>
      </w:r>
      <w:r>
        <w:rPr>
          <w:rFonts w:hint="eastAsia" w:ascii="仿宋" w:hAnsi="仿宋" w:eastAsia="仿宋" w:cs="仿宋"/>
          <w:sz w:val="24"/>
          <w:szCs w:val="24"/>
          <w:highlight w:val="none"/>
          <w:lang w:eastAsia="zh-CN"/>
        </w:rPr>
        <w:t>；</w:t>
      </w:r>
    </w:p>
    <w:bookmarkEnd w:id="190"/>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6.5乙方保证配送品种质量的准确性，并以采购方的验货数量为准</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6.6一般为每天按甲方的时间要求将货物送至采购方指定地点</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6.7投标人如送货迟到超过 30 分钟，扣罚当天总价款的 10%；若超过时间 60 分钟，扣罚当天总价款的 20%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三次以上，终止合同</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77" w:firstLineChars="1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7违约责任</w:t>
      </w:r>
    </w:p>
    <w:p>
      <w:pPr>
        <w:pStyle w:val="31"/>
        <w:keepNext w:val="0"/>
        <w:keepLines w:val="0"/>
        <w:pageBreakBefore w:val="0"/>
        <w:kinsoku/>
        <w:wordWrap/>
        <w:overflowPunct/>
        <w:topLinePunct w:val="0"/>
        <w:bidi w:val="0"/>
        <w:adjustRightInd/>
        <w:snapToGrid/>
        <w:spacing w:line="560" w:lineRule="exact"/>
        <w:ind w:firstLine="477" w:firstLineChars="19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7.1乙方未按甲方指定日期交付，每逾期一天，应向甲方支付迟延交付部分货款金额3％的违约金，同时负责赔偿给甲方造成的损失</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77" w:firstLineChars="19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7.2货物质量验收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入围验收不符合约定的，由乙方及时更换或采取其他补救措施，如不能及时按照要求更换或补救的，扣除当日所供全部货物总价的10%</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7.3甲方未按期付款，逾期30天，应向乙方支付未付货款金额的银行同期贷款利息违约金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7.4在检验、验收</w:t>
      </w:r>
      <w:r>
        <w:rPr>
          <w:rFonts w:hint="eastAsia" w:ascii="仿宋" w:hAnsi="仿宋" w:eastAsia="仿宋" w:cs="仿宋"/>
          <w:sz w:val="24"/>
          <w:szCs w:val="24"/>
          <w:highlight w:val="none"/>
          <w:lang w:eastAsia="zh-CN"/>
        </w:rPr>
        <w:t>过程中</w:t>
      </w:r>
      <w:r>
        <w:rPr>
          <w:rFonts w:hint="eastAsia" w:ascii="仿宋" w:hAnsi="仿宋" w:eastAsia="仿宋" w:cs="仿宋"/>
          <w:sz w:val="24"/>
          <w:szCs w:val="24"/>
          <w:highlight w:val="none"/>
        </w:rPr>
        <w:t>，如发现货物存在质量瑕疵或不符合合同约定，甲方有权向乙方提出索赔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7.5如乙方自接到甲方素赔通知之日起3日内未做出任何答复，则视为乙方已接受甲方提出的索赔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7.6甲方有权从合同价款的任何一笔付款中直接扣除乙方应付给甲方的违约金或赔偿金</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7.7乙方应确保供给甲方的货物的卫生和安全。当发生非乙方原因导致的突发食品安全卫生事件时，甲乙双方各自承担损失，但因乙方能尽到而未尽到责任的，乙方应承担违约责任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7.8发生其它违约情形，违约方应赔偿由此给对方</w:t>
      </w:r>
      <w:r>
        <w:rPr>
          <w:rFonts w:hint="eastAsia" w:ascii="仿宋" w:hAnsi="仿宋" w:eastAsia="仿宋" w:cs="仿宋"/>
          <w:sz w:val="24"/>
          <w:szCs w:val="24"/>
          <w:highlight w:val="none"/>
          <w:lang w:eastAsia="zh-CN"/>
        </w:rPr>
        <w:t>遭</w:t>
      </w:r>
      <w:r>
        <w:rPr>
          <w:rFonts w:hint="eastAsia" w:ascii="仿宋" w:hAnsi="仿宋" w:eastAsia="仿宋" w:cs="仿宋"/>
          <w:sz w:val="24"/>
          <w:szCs w:val="24"/>
          <w:highlight w:val="none"/>
        </w:rPr>
        <w:t>成的损失，如属双方过错，应各自承担相应责任。</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8不可抗力</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8.1由于不可抗力，如火灾，地震、水等自然灾害及其它不可预见、不可避免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不可克服的事件，导致不能完全或部分履行本合同义务，受不可抗力影响的一方或双方不承担违约责任，但应在不可抗力发后12小时内通知对方，并在其后5日内向对方有效证明文件</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8.2受不可抗力影响的签约一方或双方有义务采取措施，将因不可抗力造成的损失降低到最低程度</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9争议的解决</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9.1合同执行过程中发生的任何争议，如双方不能通过友好协商解决，按相关法律法规处理(合同双方一致同意提请克拉玛依区仲裁委员会仲裁</w:t>
      </w:r>
      <w:r>
        <w:rPr>
          <w:rFonts w:hint="eastAsia" w:ascii="仿宋" w:hAnsi="仿宋" w:eastAsia="仿宋" w:cs="仿宋"/>
          <w:sz w:val="24"/>
          <w:szCs w:val="24"/>
          <w:highlight w:val="none"/>
          <w:lang w:eastAsia="zh-CN"/>
        </w:rPr>
        <w:t>提起</w:t>
      </w:r>
      <w:r>
        <w:rPr>
          <w:rFonts w:hint="eastAsia" w:ascii="仿宋" w:hAnsi="仿宋" w:eastAsia="仿宋" w:cs="仿宋"/>
          <w:sz w:val="24"/>
          <w:szCs w:val="24"/>
          <w:highlight w:val="none"/>
        </w:rPr>
        <w:t>诉讼)。</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10服务要求及标准</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10.1乙方所供产品质量必须符合产品质量标准、行业标准和相关规定。乙方对提供货物的质量、卫生、食品安全承担全部责任。乙方提供的货物属于实行安全生产许可证管理的，所供货物必须经过质量认证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所供产品生产日期、产地、使用方法、规格、质量、保质期、合格证等产品属性标识必须清晰，严禁出现临过期（距过期两个月内）产品</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bookmarkStart w:id="191" w:name="_Hlk58505829"/>
      <w:r>
        <w:rPr>
          <w:rFonts w:hint="eastAsia" w:ascii="仿宋" w:hAnsi="仿宋" w:eastAsia="仿宋" w:cs="仿宋"/>
          <w:sz w:val="24"/>
          <w:szCs w:val="24"/>
          <w:highlight w:val="none"/>
        </w:rPr>
        <w:t>10.2甲方在前一天下午18:00将第二天所需产品规格、数量提供给乙方，按甲方所需产品的规格、数量及时送达</w:t>
      </w:r>
      <w:r>
        <w:rPr>
          <w:rFonts w:hint="eastAsia" w:ascii="仿宋" w:hAnsi="仿宋" w:eastAsia="仿宋" w:cs="仿宋"/>
          <w:sz w:val="24"/>
          <w:szCs w:val="24"/>
          <w:highlight w:val="none"/>
          <w:lang w:eastAsia="zh-CN"/>
        </w:rPr>
        <w:t>；</w:t>
      </w:r>
    </w:p>
    <w:bookmarkEnd w:id="191"/>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10.3蔬菜配送重量可以存在的误差为总重量的5%，肉类食品配送重量可以存在100g的误差，但以实际验收重量付款</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bookmarkStart w:id="192" w:name="_Hlk58505900"/>
      <w:r>
        <w:rPr>
          <w:rFonts w:hint="eastAsia" w:ascii="仿宋" w:hAnsi="仿宋" w:eastAsia="仿宋" w:cs="仿宋"/>
          <w:sz w:val="24"/>
          <w:szCs w:val="24"/>
          <w:highlight w:val="none"/>
        </w:rPr>
        <w:t>10.4乙方所提供产品价格应公平合理，不能高于塔河路中心夜市批发市场同类产品的售价，一经查出，甲方有权取消其供应资格。供货价格必须在供货当日由甲方签字确认</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10.5供应商（鲜猪肉、牛羊肉、冻货类、调味品、禽蛋及其他、米面油、食堂设备、低值易耗品、乳制品）必须每月向采购人按时提供一份本标项产品的市场报价，供应商（蔬菜、水果）每周提供一份本标项产品的市场报价，所有供应商积极配合采购人进行市场调研，供应商所提供价格不能高于本市塔河路大型批发市场(原中心夜市)</w:t>
      </w:r>
      <w:r>
        <w:rPr>
          <w:rFonts w:hint="eastAsia" w:ascii="仿宋" w:hAnsi="仿宋" w:eastAsia="仿宋" w:cs="仿宋"/>
          <w:sz w:val="24"/>
          <w:szCs w:val="24"/>
          <w:highlight w:val="none"/>
          <w:lang w:eastAsia="zh-CN"/>
        </w:rPr>
        <w:t>零售</w:t>
      </w:r>
      <w:r>
        <w:rPr>
          <w:rFonts w:hint="eastAsia" w:ascii="仿宋" w:hAnsi="仿宋" w:eastAsia="仿宋" w:cs="仿宋"/>
          <w:sz w:val="24"/>
          <w:szCs w:val="24"/>
          <w:highlight w:val="none"/>
        </w:rPr>
        <w:t>价格。</w:t>
      </w:r>
      <w:r>
        <w:rPr>
          <w:rFonts w:hint="eastAsia" w:ascii="仿宋" w:hAnsi="仿宋" w:eastAsia="仿宋" w:cs="仿宋"/>
          <w:sz w:val="24"/>
          <w:szCs w:val="24"/>
          <w:highlight w:val="none"/>
          <w:lang w:eastAsia="zh-CN"/>
        </w:rPr>
        <w:t>零售</w:t>
      </w:r>
      <w:r>
        <w:rPr>
          <w:rFonts w:hint="eastAsia" w:ascii="仿宋" w:hAnsi="仿宋" w:eastAsia="仿宋" w:cs="仿宋"/>
          <w:sz w:val="24"/>
          <w:szCs w:val="24"/>
          <w:highlight w:val="none"/>
        </w:rPr>
        <w:t>价格</w:t>
      </w:r>
      <w:r>
        <w:rPr>
          <w:rFonts w:hint="eastAsia" w:ascii="仿宋" w:hAnsi="仿宋" w:eastAsia="仿宋" w:cs="仿宋"/>
          <w:sz w:val="24"/>
          <w:szCs w:val="24"/>
          <w:highlight w:val="none"/>
          <w:lang w:eastAsia="zh-CN"/>
        </w:rPr>
        <w:t>高于</w:t>
      </w:r>
      <w:r>
        <w:rPr>
          <w:rFonts w:hint="eastAsia" w:ascii="仿宋" w:hAnsi="仿宋" w:eastAsia="仿宋" w:cs="仿宋"/>
          <w:sz w:val="24"/>
          <w:szCs w:val="24"/>
          <w:highlight w:val="none"/>
        </w:rPr>
        <w:t>三次以上，终止合同</w:t>
      </w:r>
      <w:r>
        <w:rPr>
          <w:rFonts w:hint="eastAsia" w:ascii="仿宋" w:hAnsi="仿宋" w:eastAsia="仿宋" w:cs="仿宋"/>
          <w:sz w:val="24"/>
          <w:szCs w:val="24"/>
          <w:highlight w:val="none"/>
          <w:lang w:eastAsia="zh-CN"/>
        </w:rPr>
        <w:t>。</w:t>
      </w:r>
    </w:p>
    <w:p>
      <w:pPr>
        <w:pStyle w:val="7"/>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11包装要求</w:t>
      </w:r>
    </w:p>
    <w:p>
      <w:pPr>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11.1采用定型包装的货物，包装必须符合国家对产品包装的有关规定。包装上必须有明确的生产日期、保质期</w:t>
      </w:r>
      <w:r>
        <w:rPr>
          <w:rFonts w:hint="eastAsia" w:ascii="仿宋" w:hAnsi="仿宋" w:eastAsia="仿宋" w:cs="仿宋"/>
          <w:sz w:val="24"/>
          <w:szCs w:val="24"/>
          <w:highlight w:val="none"/>
          <w:lang w:eastAsia="zh-CN"/>
        </w:rPr>
        <w:t>；</w:t>
      </w:r>
    </w:p>
    <w:p>
      <w:pPr>
        <w:pStyle w:val="2"/>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11.2非定型包装：为防止货物损坏和污染，乙方提供的非定型包装产品必须带有包装，甲方有权拒收未带包装的货物。</w:t>
      </w:r>
    </w:p>
    <w:bookmarkEnd w:id="192"/>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12转包或分包</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12.1本合同范围的服务内容，应由乙方直接供应，不得转让他人供应；</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12.2非经甲方书面同意，乙方不得将本合同范围的服务全部或部分分包给他人，如有转让和未经甲方同意的分包行为，甲方有权解除合同，没收履约保证金并追究乙方的违约责任；</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12.3乙方应按招标文件规定的服务标准向甲方提供服务</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12.4.乙方提供的服务标准达不到招标文件规定者，除承担相应责任外，将按失信行为处置。</w:t>
      </w:r>
    </w:p>
    <w:p>
      <w:pPr>
        <w:pStyle w:val="31"/>
        <w:keepNext w:val="0"/>
        <w:keepLines w:val="0"/>
        <w:pageBreakBefore w:val="0"/>
        <w:kinsoku/>
        <w:wordWrap/>
        <w:overflowPunct/>
        <w:topLinePunct w:val="0"/>
        <w:bidi w:val="0"/>
        <w:adjustRightInd/>
        <w:snapToGrid/>
        <w:spacing w:line="5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13合同的生效，变更，解除和终止</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13.1本合同经双方法定代表人或其授权代表签字并加盖公章后生效</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13.2双方协商一致，可变更或解除合同。变更或解除合同应采用书面形式</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left="1"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13.3发生下列情形之一的，一方可以解除合同：</w:t>
      </w:r>
    </w:p>
    <w:p>
      <w:pPr>
        <w:pStyle w:val="31"/>
        <w:keepNext w:val="0"/>
        <w:keepLines w:val="0"/>
        <w:pageBreakBefore w:val="0"/>
        <w:kinsoku/>
        <w:wordWrap/>
        <w:overflowPunct/>
        <w:topLinePunct w:val="0"/>
        <w:bidi w:val="0"/>
        <w:adjustRightInd/>
        <w:snapToGrid/>
        <w:spacing w:line="560" w:lineRule="exact"/>
        <w:ind w:left="1"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13.3.1因不可抗力，使合同目的不能实现；</w:t>
      </w:r>
    </w:p>
    <w:p>
      <w:pPr>
        <w:pStyle w:val="31"/>
        <w:keepNext w:val="0"/>
        <w:keepLines w:val="0"/>
        <w:pageBreakBefore w:val="0"/>
        <w:kinsoku/>
        <w:wordWrap/>
        <w:overflowPunct/>
        <w:topLinePunct w:val="0"/>
        <w:bidi w:val="0"/>
        <w:adjustRightInd/>
        <w:snapToGrid/>
        <w:spacing w:line="560" w:lineRule="exact"/>
        <w:ind w:left="638" w:leftChars="304"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13.3.2乙方如迟延交货超过7日。甲方有权解除合同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13.3.3乙方严重违反其在本合同项下的义务或责任，自收</w:t>
      </w:r>
    </w:p>
    <w:p>
      <w:pPr>
        <w:pStyle w:val="31"/>
        <w:keepNext w:val="0"/>
        <w:keepLines w:val="0"/>
        <w:pageBreakBefore w:val="0"/>
        <w:kinsoku/>
        <w:wordWrap/>
        <w:overflowPunct/>
        <w:topLinePunct w:val="0"/>
        <w:bidi w:val="0"/>
        <w:adjustRightInd/>
        <w:snapToGrid/>
        <w:spacing w:line="5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到甲方的违约通知之日起15日内仍未能改正的，甲方有权书面通知乙方全部或部分解除本合同</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13.3.4货物质量不符合约定，且乙方未按甲方要求采取必要补救措施的，甲方有权解除合同，有关损失由乙方承担</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13.3.5因乙方破产或因其他原因丧失清偿能力，在不损害或影响甲方的任何行动权利和已采取或将采取的对甲方补救措施的条件下、甲方可在任何时候书面通知乙方终止合同而无须向乙方作任何补偿。</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13.4发生下列情形之一的，本合同的权利义务终止：</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13.4.1合同已经按照约定履行；</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13.4.2双方解除合同；</w:t>
      </w:r>
    </w:p>
    <w:p>
      <w:pPr>
        <w:pStyle w:val="31"/>
        <w:keepNext w:val="0"/>
        <w:keepLines w:val="0"/>
        <w:pageBreakBefore w:val="0"/>
        <w:kinsoku/>
        <w:wordWrap/>
        <w:overflowPunct/>
        <w:topLinePunct w:val="0"/>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13.4.3法律规定的其它情形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13.4.4合同变更、解除或终止，不能免除违约方应承担的违约责任，给对方造成损失的，还应承担赔偿责任</w:t>
      </w:r>
      <w:r>
        <w:rPr>
          <w:rFonts w:hint="eastAsia" w:ascii="仿宋" w:hAnsi="仿宋" w:eastAsia="仿宋" w:cs="仿宋"/>
          <w:sz w:val="24"/>
          <w:szCs w:val="24"/>
          <w:highlight w:val="none"/>
          <w:lang w:eastAsia="zh-CN"/>
        </w:rPr>
        <w:t>。</w:t>
      </w:r>
    </w:p>
    <w:p>
      <w:pPr>
        <w:pStyle w:val="31"/>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14.相关责任赔偿</w:t>
      </w:r>
    </w:p>
    <w:p>
      <w:pPr>
        <w:pStyle w:val="31"/>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bookmarkStart w:id="193" w:name="_Hlk58506261"/>
      <w:r>
        <w:rPr>
          <w:rFonts w:hint="eastAsia" w:ascii="仿宋" w:hAnsi="仿宋" w:eastAsia="仿宋" w:cs="仿宋"/>
          <w:sz w:val="24"/>
          <w:szCs w:val="24"/>
          <w:highlight w:val="none"/>
        </w:rPr>
        <w:t>14.1甲方如有因食用乙方所提供的食材，导致发生食物中毒，经有关单位鉴定，原因属实后，乙方除承担全部医药费、赔偿费用，同时承担全部法律责任，当月供应费用不予结算，同时取消其供货资格。</w:t>
      </w:r>
    </w:p>
    <w:bookmarkEnd w:id="193"/>
    <w:p>
      <w:pPr>
        <w:pStyle w:val="31"/>
        <w:keepNext w:val="0"/>
        <w:keepLines w:val="0"/>
        <w:pageBreakBefore w:val="0"/>
        <w:kinsoku/>
        <w:wordWrap/>
        <w:overflowPunct/>
        <w:topLinePunct w:val="0"/>
        <w:autoSpaceDE/>
        <w:autoSpaceDN/>
        <w:bidi w:val="0"/>
        <w:adjustRightInd/>
        <w:snapToGrid/>
        <w:spacing w:line="520" w:lineRule="exact"/>
        <w:ind w:firstLine="357" w:firstLineChars="14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15.其它约定</w:t>
      </w:r>
    </w:p>
    <w:p>
      <w:pPr>
        <w:pStyle w:val="31"/>
        <w:keepNext w:val="0"/>
        <w:keepLines w:val="0"/>
        <w:pageBreakBefore w:val="0"/>
        <w:kinsoku/>
        <w:wordWrap/>
        <w:overflowPunct/>
        <w:topLinePunct w:val="0"/>
        <w:autoSpaceDE/>
        <w:autoSpaceDN/>
        <w:bidi w:val="0"/>
        <w:adjustRightInd/>
        <w:snapToGrid/>
        <w:spacing w:line="520" w:lineRule="exact"/>
        <w:ind w:firstLine="357" w:firstLineChars="14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15.1如发现乙方对甲方人员有贿赂行为，甲方有权终止合同，并且甲方有权将乙方所送食材的货款全款扣掉，并向乙方追究相应的法律责任；</w:t>
      </w:r>
    </w:p>
    <w:p>
      <w:pPr>
        <w:pStyle w:val="2"/>
        <w:keepNext w:val="0"/>
        <w:keepLines w:val="0"/>
        <w:pageBreakBefore w:val="0"/>
        <w:kinsoku/>
        <w:wordWrap/>
        <w:overflowPunct/>
        <w:topLinePunct w:val="0"/>
        <w:autoSpaceDE/>
        <w:autoSpaceDN/>
        <w:bidi w:val="0"/>
        <w:adjustRightInd/>
        <w:snapToGrid/>
        <w:spacing w:after="0" w:line="52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15.2本合同未尽事宜，双方可整订补充协议；</w:t>
      </w:r>
    </w:p>
    <w:p>
      <w:pPr>
        <w:pStyle w:val="2"/>
        <w:keepNext w:val="0"/>
        <w:keepLines w:val="0"/>
        <w:pageBreakBefore w:val="0"/>
        <w:kinsoku/>
        <w:wordWrap/>
        <w:overflowPunct/>
        <w:topLinePunct w:val="0"/>
        <w:autoSpaceDE/>
        <w:autoSpaceDN/>
        <w:bidi w:val="0"/>
        <w:adjustRightInd/>
        <w:snapToGrid/>
        <w:spacing w:after="0" w:line="52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15.3</w:t>
      </w:r>
      <w:r>
        <w:rPr>
          <w:rFonts w:hint="eastAsia" w:ascii="仿宋" w:hAnsi="仿宋" w:eastAsia="仿宋" w:cs="仿宋"/>
          <w:sz w:val="24"/>
          <w:szCs w:val="24"/>
          <w:highlight w:val="none"/>
        </w:rPr>
        <w:t>本合同履行过程中发生争议的，由双方当事人协商解决，协商不成的，可依法向</w:t>
      </w:r>
      <w:r>
        <w:rPr>
          <w:rFonts w:hint="eastAsia" w:ascii="仿宋" w:hAnsi="仿宋" w:eastAsia="仿宋" w:cs="仿宋"/>
          <w:sz w:val="24"/>
          <w:szCs w:val="24"/>
          <w:highlight w:val="none"/>
          <w:lang w:eastAsia="zh-CN"/>
        </w:rPr>
        <w:t>克拉玛依区</w:t>
      </w:r>
      <w:r>
        <w:rPr>
          <w:rFonts w:hint="eastAsia" w:ascii="仿宋" w:hAnsi="仿宋" w:eastAsia="仿宋" w:cs="仿宋"/>
          <w:sz w:val="24"/>
          <w:szCs w:val="24"/>
          <w:highlight w:val="none"/>
        </w:rPr>
        <w:t>人民法院提出诉讼。</w:t>
      </w:r>
    </w:p>
    <w:p>
      <w:pPr>
        <w:pStyle w:val="32"/>
        <w:keepNext w:val="0"/>
        <w:keepLines w:val="0"/>
        <w:pageBreakBefore w:val="0"/>
        <w:kinsoku/>
        <w:wordWrap/>
        <w:overflowPunct/>
        <w:topLinePunct w:val="0"/>
        <w:autoSpaceDE/>
        <w:autoSpaceDN/>
        <w:bidi w:val="0"/>
        <w:adjustRightInd/>
        <w:snapToGrid/>
        <w:spacing w:line="520" w:lineRule="exact"/>
        <w:ind w:left="0" w:leftChars="0"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本合同一式四份，甲方执三</w:t>
      </w:r>
      <w:r>
        <w:rPr>
          <w:rFonts w:hint="eastAsia" w:ascii="仿宋" w:hAnsi="仿宋" w:eastAsia="仿宋" w:cs="仿宋"/>
          <w:sz w:val="24"/>
          <w:szCs w:val="24"/>
          <w:highlight w:val="none"/>
          <w:u w:val="none"/>
        </w:rPr>
        <w:t>份</w:t>
      </w:r>
      <w:r>
        <w:rPr>
          <w:rFonts w:hint="eastAsia" w:ascii="仿宋" w:hAnsi="仿宋" w:eastAsia="仿宋" w:cs="仿宋"/>
          <w:sz w:val="24"/>
          <w:szCs w:val="24"/>
          <w:highlight w:val="none"/>
        </w:rPr>
        <w:t>，乙方执一份，自双方签订之日起生效。</w:t>
      </w:r>
    </w:p>
    <w:p>
      <w:pPr>
        <w:pStyle w:val="32"/>
        <w:keepNext w:val="0"/>
        <w:keepLines w:val="0"/>
        <w:pageBreakBefore w:val="0"/>
        <w:kinsoku/>
        <w:wordWrap/>
        <w:overflowPunct/>
        <w:topLinePunct w:val="0"/>
        <w:autoSpaceDE/>
        <w:autoSpaceDN/>
        <w:bidi w:val="0"/>
        <w:adjustRightInd/>
        <w:snapToGrid/>
        <w:spacing w:line="520" w:lineRule="exact"/>
        <w:ind w:firstLine="319" w:firstLineChars="133"/>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16送达条款</w:t>
      </w:r>
    </w:p>
    <w:p>
      <w:pPr>
        <w:pStyle w:val="32"/>
        <w:keepNext w:val="0"/>
        <w:keepLines w:val="0"/>
        <w:pageBreakBefore w:val="0"/>
        <w:kinsoku/>
        <w:wordWrap/>
        <w:overflowPunct/>
        <w:topLinePunct w:val="0"/>
        <w:autoSpaceDE/>
        <w:autoSpaceDN/>
        <w:bidi w:val="0"/>
        <w:adjustRightInd/>
        <w:snapToGrid/>
        <w:spacing w:line="520" w:lineRule="exact"/>
        <w:ind w:firstLine="319" w:firstLineChars="133"/>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如双方确认，在本合同履行过程中，所有通知、文件、文书、资料等均以本合同首部所列明的联系信息进行送达。一方如果迁址、变更联系电话等，使得联系信息发生变更的，应当书面通知另一方，未履行通知义务的，另一方按原地址邮寄相关材料或通知相关信息即视为已履行送达义务。当面交付上述材料的，在交付之时视为送达；以邮寄、短信、微信、电邮、传真等方式交付的，寄出、发出或者投邮后视为送达</w:t>
      </w:r>
      <w:r>
        <w:rPr>
          <w:rFonts w:hint="eastAsia" w:ascii="仿宋" w:hAnsi="仿宋" w:eastAsia="仿宋" w:cs="仿宋"/>
          <w:sz w:val="24"/>
          <w:szCs w:val="24"/>
          <w:highlight w:val="none"/>
          <w:lang w:eastAsia="zh-CN"/>
        </w:rPr>
        <w:t>；</w:t>
      </w:r>
    </w:p>
    <w:p>
      <w:pPr>
        <w:pStyle w:val="32"/>
        <w:keepNext w:val="0"/>
        <w:keepLines w:val="0"/>
        <w:pageBreakBefore w:val="0"/>
        <w:kinsoku/>
        <w:wordWrap/>
        <w:overflowPunct/>
        <w:topLinePunct w:val="0"/>
        <w:autoSpaceDE/>
        <w:autoSpaceDN/>
        <w:bidi w:val="0"/>
        <w:adjustRightInd/>
        <w:snapToGrid/>
        <w:spacing w:line="520" w:lineRule="exact"/>
        <w:ind w:firstLine="556" w:firstLineChars="23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本送达条款适用于争议解决时法律文书送达</w:t>
      </w:r>
      <w:r>
        <w:rPr>
          <w:rFonts w:hint="eastAsia" w:ascii="仿宋" w:hAnsi="仿宋" w:eastAsia="仿宋" w:cs="仿宋"/>
          <w:sz w:val="24"/>
          <w:szCs w:val="24"/>
          <w:highlight w:val="none"/>
          <w:lang w:eastAsia="zh-CN"/>
        </w:rPr>
        <w:t>；</w:t>
      </w:r>
    </w:p>
    <w:p>
      <w:pPr>
        <w:pStyle w:val="32"/>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本送达条款为独立条款，不受本合同整体及其他条款的效力的影响。</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  方（盖章）：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乙  方：（盖章）</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甲方代表（签字）：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乙方代表（签字）：</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开户银行：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开户银行：</w:t>
      </w:r>
    </w:p>
    <w:p>
      <w:pPr>
        <w:keepNext w:val="0"/>
        <w:keepLines w:val="0"/>
        <w:pageBreakBefore w:val="0"/>
        <w:kinsoku/>
        <w:wordWrap/>
        <w:overflowPunct/>
        <w:topLinePunct w:val="0"/>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税号：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税号：</w:t>
      </w:r>
    </w:p>
    <w:p>
      <w:pPr>
        <w:keepNext w:val="0"/>
        <w:keepLines w:val="0"/>
        <w:pageBreakBefore w:val="0"/>
        <w:kinsoku/>
        <w:wordWrap/>
        <w:overflowPunct/>
        <w:topLinePunct w:val="0"/>
        <w:bidi w:val="0"/>
        <w:adjustRightInd/>
        <w:snapToGrid/>
        <w:spacing w:line="560" w:lineRule="exac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住所地：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住所地：</w:t>
      </w:r>
    </w:p>
    <w:p>
      <w:pPr>
        <w:keepNext w:val="0"/>
        <w:keepLines w:val="0"/>
        <w:pageBreakBefore w:val="0"/>
        <w:kinsoku/>
        <w:wordWrap/>
        <w:overflowPunct/>
        <w:topLinePunct w:val="0"/>
        <w:bidi w:val="0"/>
        <w:adjustRightInd/>
        <w:snapToGrid/>
        <w:spacing w:line="560" w:lineRule="exact"/>
        <w:jc w:val="lef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11"/>
        <w:adjustRightInd w:val="0"/>
        <w:snapToGrid w:val="0"/>
        <w:spacing w:line="360" w:lineRule="auto"/>
        <w:jc w:val="center"/>
        <w:rPr>
          <w:rFonts w:hint="eastAsia" w:ascii="仿宋" w:hAnsi="仿宋" w:eastAsia="仿宋" w:cs="仿宋"/>
          <w:b/>
          <w:sz w:val="32"/>
          <w:szCs w:val="32"/>
          <w:highlight w:val="none"/>
        </w:rPr>
      </w:pPr>
    </w:p>
    <w:p>
      <w:pPr>
        <w:rPr>
          <w:rFonts w:hint="eastAsia" w:ascii="仿宋" w:hAnsi="仿宋" w:eastAsia="仿宋" w:cs="仿宋"/>
          <w:sz w:val="32"/>
          <w:szCs w:val="32"/>
          <w:highlight w:val="none"/>
        </w:rPr>
      </w:pPr>
      <w:bookmarkStart w:id="194" w:name="_Toc19586"/>
      <w:r>
        <w:rPr>
          <w:rFonts w:hint="eastAsia" w:ascii="仿宋" w:hAnsi="仿宋" w:eastAsia="仿宋" w:cs="仿宋"/>
          <w:sz w:val="32"/>
          <w:szCs w:val="32"/>
          <w:highlight w:val="none"/>
        </w:rPr>
        <w:br w:type="page"/>
      </w:r>
    </w:p>
    <w:p>
      <w:pPr>
        <w:pStyle w:val="5"/>
        <w:numPr>
          <w:ilvl w:val="0"/>
          <w:numId w:val="0"/>
        </w:numPr>
        <w:bidi w:val="0"/>
        <w:ind w:left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第五章  投标文件格式</w:t>
      </w:r>
      <w:bookmarkEnd w:id="194"/>
    </w:p>
    <w:p>
      <w:pPr>
        <w:spacing w:line="360" w:lineRule="auto"/>
        <w:jc w:val="left"/>
        <w:rPr>
          <w:rFonts w:hint="eastAsia" w:ascii="仿宋" w:hAnsi="仿宋" w:eastAsia="仿宋" w:cs="仿宋"/>
          <w:sz w:val="24"/>
          <w:highlight w:val="none"/>
        </w:rPr>
      </w:pPr>
    </w:p>
    <w:p>
      <w:pPr>
        <w:pStyle w:val="6"/>
        <w:spacing w:before="0" w:after="0" w:line="360" w:lineRule="auto"/>
        <w:ind w:firstLine="482" w:firstLineChars="200"/>
        <w:rPr>
          <w:rFonts w:hint="eastAsia" w:ascii="仿宋" w:hAnsi="仿宋" w:eastAsia="仿宋" w:cs="仿宋"/>
          <w:sz w:val="24"/>
          <w:highlight w:val="none"/>
        </w:rPr>
      </w:pPr>
      <w:r>
        <w:rPr>
          <w:rFonts w:hint="eastAsia" w:ascii="仿宋" w:hAnsi="仿宋" w:eastAsia="仿宋" w:cs="仿宋"/>
          <w:sz w:val="24"/>
          <w:highlight w:val="none"/>
        </w:rPr>
        <w:t>投标文件封面</w:t>
      </w:r>
    </w:p>
    <w:p>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 xml:space="preserve">格式1   </w:t>
      </w:r>
      <w:r>
        <w:rPr>
          <w:rFonts w:hint="eastAsia" w:ascii="仿宋" w:hAnsi="仿宋" w:eastAsia="仿宋" w:cs="仿宋"/>
          <w:bCs/>
          <w:sz w:val="24"/>
          <w:highlight w:val="none"/>
        </w:rPr>
        <w:t>资格性/符合性自查表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格式2   法定代表人资格证明书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格式3   法定代表人授权委托书</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格式4   投标人基本情况表</w:t>
      </w:r>
    </w:p>
    <w:p>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格式5   诚信声明</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 xml:space="preserve">格式6   </w:t>
      </w:r>
      <w:r>
        <w:rPr>
          <w:rFonts w:hint="eastAsia" w:ascii="仿宋" w:hAnsi="仿宋" w:eastAsia="仿宋" w:cs="仿宋"/>
          <w:sz w:val="24"/>
          <w:highlight w:val="none"/>
        </w:rPr>
        <w:t>投标函</w:t>
      </w:r>
    </w:p>
    <w:p>
      <w:pPr>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 xml:space="preserve">格式7   </w:t>
      </w:r>
      <w:r>
        <w:rPr>
          <w:rFonts w:hint="eastAsia" w:ascii="仿宋" w:hAnsi="仿宋" w:eastAsia="仿宋" w:cs="仿宋"/>
          <w:bCs/>
          <w:sz w:val="24"/>
          <w:highlight w:val="none"/>
          <w:lang w:eastAsia="zh-CN"/>
        </w:rPr>
        <w:t>报价一览表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格式8   商务条款偏离表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格式9   中小企业声明函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 xml:space="preserve">格式10  </w:t>
      </w:r>
      <w:r>
        <w:rPr>
          <w:rFonts w:hint="eastAsia" w:ascii="仿宋" w:hAnsi="仿宋" w:eastAsia="仿宋" w:cs="仿宋"/>
          <w:sz w:val="24"/>
          <w:highlight w:val="none"/>
        </w:rPr>
        <w:t>提供近三年（自</w:t>
      </w:r>
      <w:r>
        <w:rPr>
          <w:rFonts w:hint="eastAsia" w:ascii="仿宋" w:hAnsi="仿宋" w:eastAsia="仿宋" w:cs="仿宋"/>
          <w:sz w:val="24"/>
          <w:highlight w:val="none"/>
          <w:lang w:eastAsia="zh-CN"/>
        </w:rPr>
        <w:t>2020年</w:t>
      </w:r>
      <w:r>
        <w:rPr>
          <w:rFonts w:hint="eastAsia" w:ascii="仿宋" w:hAnsi="仿宋" w:eastAsia="仿宋" w:cs="仿宋"/>
          <w:sz w:val="24"/>
          <w:highlight w:val="none"/>
        </w:rPr>
        <w:t>1月1日至今）类似项目业绩证明（复印件）</w:t>
      </w:r>
    </w:p>
    <w:p>
      <w:pPr>
        <w:pStyle w:val="2"/>
        <w:ind w:firstLine="480" w:firstLineChars="200"/>
        <w:rPr>
          <w:rFonts w:hint="eastAsia" w:eastAsia="仿宋"/>
          <w:highlight w:val="none"/>
          <w:lang w:eastAsia="zh-CN"/>
        </w:rPr>
      </w:pPr>
      <w:r>
        <w:rPr>
          <w:rFonts w:hint="eastAsia" w:ascii="仿宋" w:hAnsi="仿宋" w:eastAsia="仿宋" w:cs="仿宋"/>
          <w:bCs/>
          <w:sz w:val="24"/>
          <w:highlight w:val="none"/>
        </w:rPr>
        <w:t>格式1</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 xml:space="preserve">  </w:t>
      </w:r>
      <w:r>
        <w:rPr>
          <w:rFonts w:hint="eastAsia" w:ascii="仿宋" w:hAnsi="仿宋" w:eastAsia="仿宋" w:cs="仿宋"/>
          <w:sz w:val="24"/>
          <w:highlight w:val="none"/>
          <w:lang w:val="en-US" w:eastAsia="zh-CN"/>
        </w:rPr>
        <w:t>承 诺</w:t>
      </w:r>
    </w:p>
    <w:p>
      <w:pPr>
        <w:spacing w:line="360" w:lineRule="auto"/>
        <w:jc w:val="center"/>
        <w:rPr>
          <w:rFonts w:hint="eastAsia" w:ascii="仿宋" w:hAnsi="仿宋" w:eastAsia="仿宋" w:cs="仿宋"/>
          <w:b/>
          <w:bCs/>
          <w:sz w:val="36"/>
          <w:szCs w:val="36"/>
          <w:highlight w:val="none"/>
        </w:rPr>
      </w:pPr>
    </w:p>
    <w:p>
      <w:pPr>
        <w:spacing w:line="360" w:lineRule="auto"/>
        <w:jc w:val="center"/>
        <w:rPr>
          <w:rFonts w:hint="eastAsia" w:ascii="仿宋" w:hAnsi="仿宋" w:eastAsia="仿宋" w:cs="仿宋"/>
          <w:b/>
          <w:bCs/>
          <w:sz w:val="36"/>
          <w:szCs w:val="36"/>
          <w:highlight w:val="none"/>
        </w:rPr>
      </w:pPr>
    </w:p>
    <w:p>
      <w:pPr>
        <w:spacing w:line="360" w:lineRule="auto"/>
        <w:jc w:val="center"/>
        <w:rPr>
          <w:rFonts w:hint="eastAsia" w:ascii="仿宋" w:hAnsi="仿宋" w:eastAsia="仿宋" w:cs="仿宋"/>
          <w:b/>
          <w:bCs/>
          <w:sz w:val="36"/>
          <w:szCs w:val="36"/>
          <w:highlight w:val="none"/>
        </w:rPr>
      </w:pPr>
    </w:p>
    <w:p>
      <w:pPr>
        <w:spacing w:line="360" w:lineRule="auto"/>
        <w:jc w:val="center"/>
        <w:rPr>
          <w:rFonts w:hint="eastAsia" w:ascii="仿宋" w:hAnsi="仿宋" w:eastAsia="仿宋" w:cs="仿宋"/>
          <w:b/>
          <w:bCs/>
          <w:sz w:val="36"/>
          <w:szCs w:val="36"/>
          <w:highlight w:val="none"/>
        </w:rPr>
      </w:pPr>
    </w:p>
    <w:p>
      <w:pPr>
        <w:spacing w:line="480" w:lineRule="auto"/>
        <w:rPr>
          <w:rFonts w:hint="eastAsia" w:ascii="仿宋" w:hAnsi="仿宋" w:eastAsia="仿宋" w:cs="仿宋"/>
          <w:b/>
          <w:sz w:val="52"/>
          <w:szCs w:val="52"/>
          <w:highlight w:val="none"/>
        </w:rPr>
      </w:pPr>
    </w:p>
    <w:p>
      <w:pPr>
        <w:spacing w:line="480" w:lineRule="auto"/>
        <w:jc w:val="center"/>
        <w:rPr>
          <w:rFonts w:hint="eastAsia" w:ascii="仿宋" w:hAnsi="仿宋" w:eastAsia="仿宋" w:cs="仿宋"/>
          <w:b/>
          <w:sz w:val="52"/>
          <w:szCs w:val="52"/>
          <w:highlight w:val="none"/>
          <w:lang w:eastAsia="zh-CN"/>
        </w:rPr>
      </w:pPr>
    </w:p>
    <w:p>
      <w:pPr>
        <w:spacing w:line="480" w:lineRule="auto"/>
        <w:jc w:val="center"/>
        <w:rPr>
          <w:rFonts w:hint="eastAsia" w:ascii="仿宋" w:hAnsi="仿宋" w:eastAsia="仿宋" w:cs="仿宋"/>
          <w:b/>
          <w:sz w:val="52"/>
          <w:szCs w:val="52"/>
          <w:highlight w:val="none"/>
          <w:lang w:eastAsia="zh-CN"/>
        </w:rPr>
      </w:pPr>
    </w:p>
    <w:p>
      <w:pPr>
        <w:pStyle w:val="2"/>
        <w:rPr>
          <w:rFonts w:hint="eastAsia" w:ascii="仿宋" w:hAnsi="仿宋" w:eastAsia="仿宋" w:cs="仿宋"/>
          <w:b/>
          <w:sz w:val="52"/>
          <w:szCs w:val="52"/>
          <w:highlight w:val="none"/>
          <w:lang w:eastAsia="zh-CN"/>
        </w:rPr>
      </w:pPr>
    </w:p>
    <w:p>
      <w:pPr>
        <w:spacing w:line="480" w:lineRule="auto"/>
        <w:jc w:val="both"/>
        <w:rPr>
          <w:rFonts w:hint="eastAsia" w:ascii="仿宋" w:hAnsi="仿宋" w:eastAsia="仿宋" w:cs="仿宋"/>
          <w:b/>
          <w:sz w:val="52"/>
          <w:szCs w:val="52"/>
          <w:highlight w:val="none"/>
          <w:lang w:eastAsia="zh-CN"/>
        </w:rPr>
      </w:pPr>
      <w:r>
        <w:rPr>
          <w:rFonts w:hint="eastAsia" w:ascii="仿宋" w:hAnsi="仿宋" w:eastAsia="仿宋" w:cs="仿宋"/>
          <w:b/>
          <w:sz w:val="52"/>
          <w:szCs w:val="52"/>
          <w:highlight w:val="none"/>
          <w:lang w:eastAsia="zh-CN"/>
        </w:rPr>
        <w:t>2023年度克拉玛依市机关后勤服务中心（援克服务中心）机关食堂食材供应商采购项目</w:t>
      </w:r>
    </w:p>
    <w:p>
      <w:pPr>
        <w:spacing w:line="480" w:lineRule="auto"/>
        <w:jc w:val="center"/>
        <w:rPr>
          <w:rFonts w:hint="eastAsia" w:ascii="仿宋" w:hAnsi="仿宋" w:eastAsia="仿宋" w:cs="仿宋"/>
          <w:highlight w:val="none"/>
        </w:rPr>
      </w:pPr>
      <w:r>
        <w:rPr>
          <w:rFonts w:hint="eastAsia" w:ascii="仿宋" w:hAnsi="仿宋" w:eastAsia="仿宋" w:cs="仿宋"/>
          <w:b/>
          <w:sz w:val="52"/>
          <w:szCs w:val="52"/>
          <w:highlight w:val="none"/>
        </w:rPr>
        <w:t>（标项</w:t>
      </w:r>
      <w:r>
        <w:rPr>
          <w:rFonts w:hint="eastAsia" w:ascii="仿宋" w:hAnsi="仿宋" w:eastAsia="仿宋" w:cs="仿宋"/>
          <w:b/>
          <w:sz w:val="52"/>
          <w:szCs w:val="52"/>
          <w:highlight w:val="none"/>
          <w:u w:val="single"/>
        </w:rPr>
        <w:t xml:space="preserve">   </w:t>
      </w:r>
      <w:r>
        <w:rPr>
          <w:rFonts w:hint="eastAsia" w:ascii="仿宋" w:hAnsi="仿宋" w:eastAsia="仿宋" w:cs="仿宋"/>
          <w:b/>
          <w:sz w:val="52"/>
          <w:szCs w:val="52"/>
          <w:highlight w:val="none"/>
        </w:rPr>
        <w:t>：</w:t>
      </w:r>
      <w:r>
        <w:rPr>
          <w:rFonts w:hint="eastAsia" w:ascii="仿宋" w:hAnsi="仿宋" w:eastAsia="仿宋" w:cs="仿宋"/>
          <w:b/>
          <w:sz w:val="52"/>
          <w:szCs w:val="52"/>
          <w:highlight w:val="none"/>
          <w:u w:val="single"/>
        </w:rPr>
        <w:t xml:space="preserve">      </w:t>
      </w:r>
      <w:r>
        <w:rPr>
          <w:rFonts w:hint="eastAsia" w:ascii="仿宋" w:hAnsi="仿宋" w:eastAsia="仿宋" w:cs="仿宋"/>
          <w:b/>
          <w:sz w:val="52"/>
          <w:szCs w:val="52"/>
          <w:highlight w:val="none"/>
        </w:rPr>
        <w:t>）</w:t>
      </w:r>
    </w:p>
    <w:p>
      <w:pPr>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rPr>
        <w:t>投  标  文  件</w:t>
      </w:r>
    </w:p>
    <w:p>
      <w:pPr>
        <w:overflowPunct w:val="0"/>
        <w:spacing w:line="500" w:lineRule="exact"/>
        <w:jc w:val="center"/>
        <w:rPr>
          <w:rFonts w:hint="eastAsia" w:ascii="仿宋" w:hAnsi="仿宋" w:eastAsia="仿宋" w:cs="仿宋"/>
          <w:b/>
          <w:kern w:val="0"/>
          <w:sz w:val="30"/>
          <w:szCs w:val="30"/>
          <w:highlight w:val="none"/>
        </w:rPr>
      </w:pPr>
    </w:p>
    <w:p>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（招标文件编号：</w:t>
      </w:r>
      <w:r>
        <w:rPr>
          <w:rFonts w:hint="eastAsia" w:ascii="仿宋" w:hAnsi="仿宋" w:eastAsia="仿宋" w:cs="仿宋"/>
          <w:b/>
          <w:sz w:val="30"/>
          <w:highlight w:val="none"/>
          <w:lang w:eastAsia="zh-CN"/>
        </w:rPr>
        <w:t>XJZJ-2023(采购)-004</w:t>
      </w:r>
      <w:r>
        <w:rPr>
          <w:rFonts w:hint="eastAsia" w:ascii="仿宋" w:hAnsi="仿宋" w:eastAsia="仿宋" w:cs="仿宋"/>
          <w:b/>
          <w:sz w:val="30"/>
          <w:szCs w:val="30"/>
          <w:highlight w:val="none"/>
        </w:rPr>
        <w:t>）</w:t>
      </w:r>
    </w:p>
    <w:p>
      <w:pPr>
        <w:pStyle w:val="8"/>
        <w:jc w:val="center"/>
        <w:rPr>
          <w:rFonts w:hint="eastAsia" w:ascii="仿宋" w:hAnsi="仿宋" w:eastAsia="仿宋" w:cs="仿宋"/>
          <w:bCs w:val="0"/>
          <w:sz w:val="30"/>
          <w:szCs w:val="30"/>
          <w:highlight w:val="none"/>
        </w:rPr>
      </w:pPr>
    </w:p>
    <w:p>
      <w:pPr>
        <w:pStyle w:val="8"/>
        <w:rPr>
          <w:rFonts w:hint="eastAsia" w:ascii="仿宋" w:hAnsi="仿宋" w:eastAsia="仿宋" w:cs="仿宋"/>
          <w:highlight w:val="none"/>
        </w:rPr>
      </w:pPr>
    </w:p>
    <w:p>
      <w:pPr>
        <w:rPr>
          <w:rFonts w:hint="eastAsia" w:ascii="仿宋" w:hAnsi="仿宋" w:eastAsia="仿宋" w:cs="仿宋"/>
          <w:highlight w:val="none"/>
        </w:rPr>
      </w:pPr>
    </w:p>
    <w:p>
      <w:pPr>
        <w:spacing w:line="360" w:lineRule="auto"/>
        <w:ind w:firstLine="602"/>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（单位名称）盖章</w:t>
      </w:r>
    </w:p>
    <w:p>
      <w:pPr>
        <w:spacing w:line="360" w:lineRule="auto"/>
        <w:rPr>
          <w:rFonts w:hint="eastAsia" w:ascii="仿宋" w:hAnsi="仿宋" w:eastAsia="仿宋" w:cs="仿宋"/>
          <w:b/>
          <w:sz w:val="30"/>
          <w:szCs w:val="30"/>
          <w:highlight w:val="none"/>
        </w:rPr>
      </w:pPr>
    </w:p>
    <w:p>
      <w:pPr>
        <w:spacing w:line="360" w:lineRule="auto"/>
        <w:ind w:firstLine="602"/>
        <w:rPr>
          <w:rFonts w:hint="default" w:ascii="仿宋" w:hAnsi="仿宋" w:eastAsia="仿宋" w:cs="仿宋"/>
          <w:b/>
          <w:sz w:val="30"/>
          <w:szCs w:val="30"/>
          <w:highlight w:val="none"/>
          <w:u w:val="single"/>
          <w:lang w:val="en-US" w:eastAsia="zh-CN"/>
        </w:rPr>
      </w:pPr>
      <w:r>
        <w:rPr>
          <w:rFonts w:hint="eastAsia" w:ascii="仿宋" w:hAnsi="仿宋" w:eastAsia="仿宋" w:cs="仿宋"/>
          <w:b/>
          <w:sz w:val="30"/>
          <w:szCs w:val="30"/>
          <w:highlight w:val="none"/>
        </w:rPr>
        <w:t>单位地址：</w:t>
      </w:r>
      <w:r>
        <w:rPr>
          <w:rFonts w:hint="eastAsia" w:ascii="仿宋" w:hAnsi="仿宋" w:eastAsia="仿宋" w:cs="仿宋"/>
          <w:b/>
          <w:sz w:val="30"/>
          <w:szCs w:val="30"/>
          <w:highlight w:val="none"/>
          <w:u w:val="single"/>
          <w:lang w:val="en-US" w:eastAsia="zh-CN"/>
        </w:rPr>
        <w:t xml:space="preserve">                           </w:t>
      </w:r>
    </w:p>
    <w:p>
      <w:pPr>
        <w:spacing w:line="360" w:lineRule="auto"/>
        <w:ind w:firstLine="602"/>
        <w:rPr>
          <w:rFonts w:hint="eastAsia" w:ascii="仿宋" w:hAnsi="仿宋" w:eastAsia="仿宋" w:cs="仿宋"/>
          <w:b/>
          <w:sz w:val="30"/>
          <w:szCs w:val="30"/>
          <w:highlight w:val="none"/>
        </w:rPr>
      </w:pPr>
    </w:p>
    <w:p>
      <w:pPr>
        <w:pStyle w:val="11"/>
        <w:ind w:firstLine="602" w:firstLineChars="200"/>
        <w:outlineLvl w:val="9"/>
        <w:rPr>
          <w:rFonts w:hint="default" w:ascii="仿宋" w:hAnsi="仿宋" w:eastAsia="仿宋" w:cs="仿宋"/>
          <w:sz w:val="24"/>
          <w:highlight w:val="none"/>
          <w:u w:val="single"/>
          <w:lang w:val="en-US" w:eastAsia="zh-CN"/>
        </w:rPr>
      </w:pPr>
      <w:r>
        <w:rPr>
          <w:rFonts w:hint="eastAsia" w:ascii="仿宋" w:hAnsi="仿宋" w:eastAsia="仿宋" w:cs="仿宋"/>
          <w:b/>
          <w:sz w:val="30"/>
          <w:szCs w:val="30"/>
          <w:highlight w:val="none"/>
        </w:rPr>
        <w:t>联系人：</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 xml:space="preserve">   联系电话：</w:t>
      </w:r>
      <w:r>
        <w:rPr>
          <w:rFonts w:hint="eastAsia" w:ascii="仿宋" w:hAnsi="仿宋" w:eastAsia="仿宋" w:cs="仿宋"/>
          <w:b/>
          <w:sz w:val="30"/>
          <w:szCs w:val="30"/>
          <w:highlight w:val="none"/>
          <w:u w:val="single"/>
          <w:lang w:val="en-US" w:eastAsia="zh-CN"/>
        </w:rPr>
        <w:t xml:space="preserve">              </w:t>
      </w:r>
    </w:p>
    <w:p>
      <w:pPr>
        <w:rPr>
          <w:rFonts w:hint="eastAsia" w:ascii="仿宋" w:hAnsi="仿宋" w:eastAsia="仿宋" w:cs="仿宋"/>
          <w:highlight w:val="none"/>
        </w:rPr>
      </w:pPr>
    </w:p>
    <w:p>
      <w:pPr>
        <w:rPr>
          <w:rFonts w:hint="eastAsia"/>
          <w:highlight w:val="none"/>
        </w:rPr>
      </w:pPr>
    </w:p>
    <w:p>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pPr>
        <w:spacing w:line="360" w:lineRule="auto"/>
        <w:jc w:val="center"/>
        <w:rPr>
          <w:rFonts w:hint="eastAsia" w:ascii="仿宋" w:hAnsi="仿宋" w:eastAsia="仿宋" w:cs="仿宋"/>
          <w:bCs/>
          <w:sz w:val="32"/>
          <w:szCs w:val="32"/>
          <w:highlight w:val="none"/>
        </w:rPr>
      </w:pPr>
      <w:r>
        <w:rPr>
          <w:rFonts w:hint="eastAsia" w:ascii="仿宋" w:hAnsi="仿宋" w:eastAsia="仿宋" w:cs="仿宋"/>
          <w:b/>
          <w:bCs/>
          <w:sz w:val="24"/>
          <w:highlight w:val="none"/>
        </w:rPr>
        <w:t xml:space="preserve">格式1 </w:t>
      </w:r>
      <w:r>
        <w:rPr>
          <w:rFonts w:hint="eastAsia" w:ascii="仿宋" w:hAnsi="仿宋" w:eastAsia="仿宋" w:cs="仿宋"/>
          <w:b/>
          <w:sz w:val="24"/>
          <w:highlight w:val="none"/>
        </w:rPr>
        <w:t>资格性/符合性自查表</w:t>
      </w:r>
    </w:p>
    <w:tbl>
      <w:tblPr>
        <w:tblStyle w:val="2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734"/>
        <w:gridCol w:w="3295"/>
        <w:gridCol w:w="2106"/>
        <w:gridCol w:w="2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43" w:hRule="atLeast"/>
          <w:jc w:val="center"/>
        </w:trPr>
        <w:tc>
          <w:tcPr>
            <w:tcW w:w="1734"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4"/>
                <w:highlight w:val="none"/>
              </w:rPr>
            </w:pPr>
            <w:r>
              <w:rPr>
                <w:rFonts w:hint="eastAsia" w:ascii="仿宋" w:hAnsi="仿宋" w:eastAsia="仿宋" w:cs="仿宋"/>
                <w:b/>
                <w:bCs/>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b/>
                <w:bCs/>
                <w:spacing w:val="10"/>
                <w:sz w:val="24"/>
                <w:highlight w:val="none"/>
              </w:rPr>
            </w:pPr>
            <w:r>
              <w:rPr>
                <w:rFonts w:hint="eastAsia" w:ascii="仿宋" w:hAnsi="仿宋" w:eastAsia="仿宋" w:cs="仿宋"/>
                <w:b/>
                <w:bCs/>
                <w:spacing w:val="10"/>
                <w:sz w:val="24"/>
                <w:highlight w:val="none"/>
              </w:rPr>
              <w:t>招标文件要求</w:t>
            </w:r>
          </w:p>
          <w:p>
            <w:pPr>
              <w:jc w:val="center"/>
              <w:rPr>
                <w:rFonts w:hint="eastAsia" w:ascii="仿宋" w:hAnsi="仿宋" w:eastAsia="仿宋" w:cs="仿宋"/>
                <w:sz w:val="24"/>
                <w:highlight w:val="none"/>
              </w:rPr>
            </w:pPr>
            <w:r>
              <w:rPr>
                <w:rFonts w:hint="eastAsia" w:ascii="仿宋" w:hAnsi="仿宋" w:eastAsia="仿宋" w:cs="仿宋"/>
                <w:sz w:val="24"/>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4"/>
                <w:highlight w:val="none"/>
              </w:rPr>
            </w:pPr>
            <w:r>
              <w:rPr>
                <w:rFonts w:hint="eastAsia" w:ascii="仿宋" w:hAnsi="仿宋" w:eastAsia="仿宋" w:cs="仿宋"/>
                <w:b/>
                <w:bCs/>
                <w:spacing w:val="10"/>
                <w:sz w:val="24"/>
                <w:highlight w:val="none"/>
              </w:rPr>
              <w:t>自查结论</w:t>
            </w:r>
          </w:p>
        </w:tc>
        <w:tc>
          <w:tcPr>
            <w:tcW w:w="2533"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4"/>
                <w:highlight w:val="none"/>
              </w:rPr>
            </w:pPr>
            <w:r>
              <w:rPr>
                <w:rFonts w:hint="eastAsia" w:ascii="仿宋" w:hAnsi="仿宋" w:eastAsia="仿宋" w:cs="仿宋"/>
                <w:b/>
                <w:bCs/>
                <w:spacing w:val="10"/>
                <w:sz w:val="24"/>
                <w:highlight w:val="none"/>
              </w:rPr>
              <w:t>证明材料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restart"/>
            <w:tcBorders>
              <w:top w:val="outset" w:color="111111" w:sz="6" w:space="0"/>
              <w:left w:val="outset" w:color="111111" w:sz="6" w:space="0"/>
              <w:right w:val="outset" w:color="111111" w:sz="6"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734" w:type="dxa"/>
            <w:vMerge w:val="continue"/>
            <w:tcBorders>
              <w:left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3295"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p>
        </w:tc>
        <w:tc>
          <w:tcPr>
            <w:tcW w:w="2106"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□通过 □不通过</w:t>
            </w:r>
          </w:p>
        </w:tc>
        <w:tc>
          <w:tcPr>
            <w:tcW w:w="2533"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highlight w:val="none"/>
              </w:rPr>
              <w:t>见投标文件第（）页</w:t>
            </w:r>
          </w:p>
        </w:tc>
      </w:tr>
    </w:tbl>
    <w:p>
      <w:pPr>
        <w:pStyle w:val="7"/>
        <w:spacing w:line="360" w:lineRule="auto"/>
        <w:ind w:firstLine="0"/>
        <w:rPr>
          <w:rFonts w:hint="eastAsia" w:ascii="仿宋" w:hAnsi="仿宋" w:eastAsia="仿宋" w:cs="仿宋"/>
          <w:b/>
          <w:sz w:val="24"/>
          <w:szCs w:val="24"/>
          <w:highlight w:val="none"/>
        </w:rPr>
      </w:pPr>
      <w:r>
        <w:rPr>
          <w:rFonts w:hint="eastAsia" w:ascii="仿宋" w:hAnsi="仿宋" w:eastAsia="仿宋" w:cs="仿宋"/>
          <w:b/>
          <w:sz w:val="24"/>
          <w:szCs w:val="24"/>
          <w:highlight w:val="none"/>
        </w:rPr>
        <w:t>注：1、以上材料将作为投标人有效性审核的重要内容之一，投标人必须严格按照其内容及序列要求在投标文件中对应如实提供，对资格性和符合性证明文件的任何缺漏和不符合项将会直接导致投标文件无效！投标人根据自查结论在对应的□打“√”。</w:t>
      </w:r>
    </w:p>
    <w:p>
      <w:pPr>
        <w:pStyle w:val="7"/>
        <w:numPr>
          <w:ilvl w:val="0"/>
          <w:numId w:val="7"/>
        </w:numPr>
        <w:spacing w:line="360" w:lineRule="auto"/>
        <w:ind w:firstLine="0"/>
        <w:rPr>
          <w:rFonts w:hint="eastAsia" w:ascii="仿宋" w:hAnsi="仿宋" w:eastAsia="仿宋" w:cs="仿宋"/>
          <w:b/>
          <w:sz w:val="24"/>
          <w:szCs w:val="24"/>
          <w:highlight w:val="none"/>
        </w:rPr>
      </w:pPr>
      <w:r>
        <w:rPr>
          <w:rFonts w:hint="eastAsia" w:ascii="仿宋" w:hAnsi="仿宋" w:eastAsia="仿宋" w:cs="仿宋"/>
          <w:b/>
          <w:sz w:val="24"/>
          <w:szCs w:val="24"/>
          <w:highlight w:val="none"/>
        </w:rPr>
        <w:t>各投标人按此表格式填写，表格不够时可自行添加。</w:t>
      </w:r>
    </w:p>
    <w:p>
      <w:pPr>
        <w:rPr>
          <w:rFonts w:hint="eastAsia" w:ascii="仿宋" w:hAnsi="仿宋" w:eastAsia="仿宋" w:cs="仿宋"/>
          <w:highlight w:val="none"/>
        </w:rPr>
      </w:pPr>
    </w:p>
    <w:p>
      <w:pPr>
        <w:rPr>
          <w:rFonts w:hint="eastAsia" w:ascii="仿宋" w:hAnsi="仿宋" w:eastAsia="仿宋" w:cs="仿宋"/>
          <w:highlight w:val="none"/>
        </w:rPr>
      </w:pPr>
    </w:p>
    <w:p>
      <w:pPr>
        <w:pStyle w:val="19"/>
        <w:rPr>
          <w:rFonts w:hint="eastAsia" w:ascii="仿宋" w:hAnsi="仿宋" w:eastAsia="仿宋" w:cs="仿宋"/>
          <w:highlight w:val="none"/>
        </w:rPr>
      </w:pPr>
    </w:p>
    <w:p>
      <w:pPr>
        <w:pStyle w:val="19"/>
        <w:rPr>
          <w:rFonts w:hint="eastAsia" w:ascii="仿宋" w:hAnsi="仿宋" w:eastAsia="仿宋" w:cs="仿宋"/>
          <w:highlight w:val="none"/>
        </w:rPr>
      </w:pPr>
    </w:p>
    <w:p>
      <w:pPr>
        <w:pStyle w:val="19"/>
        <w:rPr>
          <w:rFonts w:hint="eastAsia" w:ascii="仿宋" w:hAnsi="仿宋" w:eastAsia="仿宋" w:cs="仿宋"/>
          <w:highlight w:val="none"/>
        </w:rPr>
      </w:pPr>
    </w:p>
    <w:p>
      <w:pPr>
        <w:pStyle w:val="19"/>
        <w:rPr>
          <w:rFonts w:hint="eastAsia" w:ascii="仿宋" w:hAnsi="仿宋" w:eastAsia="仿宋" w:cs="仿宋"/>
          <w:highlight w:val="none"/>
        </w:rPr>
      </w:pPr>
    </w:p>
    <w:p>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pPr>
        <w:tabs>
          <w:tab w:val="left" w:pos="360"/>
          <w:tab w:val="left" w:pos="1800"/>
        </w:tabs>
        <w:spacing w:line="360" w:lineRule="auto"/>
        <w:jc w:val="center"/>
        <w:rPr>
          <w:rFonts w:hint="eastAsia" w:ascii="仿宋" w:hAnsi="仿宋" w:eastAsia="仿宋" w:cs="仿宋"/>
          <w:bCs/>
          <w:sz w:val="24"/>
          <w:highlight w:val="none"/>
        </w:rPr>
      </w:pPr>
      <w:r>
        <w:rPr>
          <w:rFonts w:hint="eastAsia" w:ascii="仿宋" w:hAnsi="仿宋" w:eastAsia="仿宋" w:cs="仿宋"/>
          <w:b/>
          <w:bCs/>
          <w:sz w:val="24"/>
          <w:highlight w:val="none"/>
        </w:rPr>
        <w:t>格式2 法定代表人资格证明书</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单位名称：</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所属行业：</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地</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址：</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营业期限：</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成立时间：</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经营范围：</w:t>
      </w:r>
      <w:r>
        <w:rPr>
          <w:rFonts w:hint="eastAsia" w:ascii="仿宋" w:hAnsi="仿宋" w:eastAsia="仿宋" w:cs="仿宋"/>
          <w:sz w:val="24"/>
          <w:highlight w:val="none"/>
          <w:u w:val="single"/>
          <w:lang w:val="en-US" w:eastAsia="zh-CN"/>
        </w:rPr>
        <w:t xml:space="preserve">                                     </w:t>
      </w:r>
    </w:p>
    <w:p>
      <w:pPr>
        <w:tabs>
          <w:tab w:val="left" w:pos="360"/>
          <w:tab w:val="left" w:pos="720"/>
          <w:tab w:val="left" w:pos="90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pPr>
        <w:tabs>
          <w:tab w:val="left" w:pos="360"/>
          <w:tab w:val="left" w:pos="1800"/>
        </w:tabs>
        <w:spacing w:line="480" w:lineRule="auto"/>
        <w:ind w:firstLine="480" w:firstLineChars="200"/>
        <w:jc w:val="left"/>
        <w:rPr>
          <w:rFonts w:hint="eastAsia" w:ascii="仿宋" w:hAnsi="仿宋" w:eastAsia="仿宋" w:cs="仿宋"/>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1" w:hRule="atLeast"/>
          <w:jc w:val="center"/>
        </w:trPr>
        <w:tc>
          <w:tcPr>
            <w:tcW w:w="8580" w:type="dxa"/>
          </w:tcPr>
          <w:p>
            <w:pPr>
              <w:tabs>
                <w:tab w:val="left" w:pos="360"/>
                <w:tab w:val="left" w:pos="1800"/>
              </w:tabs>
              <w:spacing w:line="480" w:lineRule="auto"/>
              <w:jc w:val="center"/>
              <w:rPr>
                <w:rFonts w:hint="eastAsia" w:ascii="仿宋" w:hAnsi="仿宋" w:eastAsia="仿宋" w:cs="仿宋"/>
                <w:sz w:val="24"/>
                <w:highlight w:val="none"/>
              </w:rPr>
            </w:pPr>
          </w:p>
          <w:p>
            <w:pPr>
              <w:tabs>
                <w:tab w:val="left" w:pos="360"/>
                <w:tab w:val="left" w:pos="1800"/>
              </w:tabs>
              <w:spacing w:line="480" w:lineRule="auto"/>
              <w:jc w:val="center"/>
              <w:rPr>
                <w:rFonts w:hint="eastAsia" w:ascii="仿宋" w:hAnsi="仿宋" w:eastAsia="仿宋" w:cs="仿宋"/>
                <w:sz w:val="24"/>
                <w:highlight w:val="none"/>
              </w:rPr>
            </w:pPr>
          </w:p>
          <w:p>
            <w:pPr>
              <w:tabs>
                <w:tab w:val="left" w:pos="360"/>
                <w:tab w:val="left" w:pos="1800"/>
              </w:tabs>
              <w:spacing w:line="48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法定代表人身份证复印件或扫描件（正、反两面）</w:t>
            </w:r>
          </w:p>
        </w:tc>
      </w:tr>
    </w:tbl>
    <w:p>
      <w:pPr>
        <w:tabs>
          <w:tab w:val="left" w:pos="360"/>
          <w:tab w:val="left" w:pos="1800"/>
        </w:tabs>
        <w:spacing w:line="480" w:lineRule="auto"/>
        <w:ind w:firstLine="720" w:firstLineChars="300"/>
        <w:rPr>
          <w:rFonts w:hint="eastAsia" w:ascii="仿宋" w:hAnsi="仿宋" w:eastAsia="仿宋" w:cs="仿宋"/>
          <w:sz w:val="24"/>
          <w:highlight w:val="none"/>
        </w:rPr>
      </w:pP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pPr>
        <w:tabs>
          <w:tab w:val="left" w:pos="360"/>
          <w:tab w:val="left" w:pos="1800"/>
        </w:tabs>
        <w:spacing w:line="480" w:lineRule="auto"/>
        <w:ind w:firstLine="480" w:firstLineChars="200"/>
        <w:rPr>
          <w:rFonts w:hint="eastAsia" w:ascii="仿宋" w:hAnsi="仿宋" w:eastAsia="仿宋" w:cs="仿宋"/>
          <w:sz w:val="24"/>
          <w:highlight w:val="none"/>
        </w:rPr>
      </w:pP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（盖章）</w:t>
      </w:r>
    </w:p>
    <w:p>
      <w:pPr>
        <w:tabs>
          <w:tab w:val="left" w:pos="36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法定代表人（签字或盖章）：</w:t>
      </w:r>
      <w:r>
        <w:rPr>
          <w:rFonts w:hint="eastAsia" w:ascii="仿宋" w:hAnsi="仿宋" w:eastAsia="仿宋" w:cs="仿宋"/>
          <w:sz w:val="24"/>
          <w:highlight w:val="none"/>
          <w:u w:val="single"/>
          <w:lang w:val="en-US" w:eastAsia="zh-CN"/>
        </w:rPr>
        <w:t xml:space="preserve">             </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2"/>
        <w:rPr>
          <w:rFonts w:hint="eastAsia" w:ascii="仿宋" w:hAnsi="仿宋" w:eastAsia="仿宋" w:cs="仿宋"/>
          <w:sz w:val="24"/>
          <w:highlight w:val="none"/>
        </w:rPr>
      </w:pPr>
    </w:p>
    <w:p>
      <w:pPr>
        <w:pStyle w:val="3"/>
        <w:rPr>
          <w:rFonts w:hint="eastAsia" w:ascii="仿宋" w:hAnsi="仿宋" w:eastAsia="仿宋" w:cs="仿宋"/>
          <w:sz w:val="24"/>
          <w:highlight w:val="none"/>
        </w:rPr>
      </w:pPr>
    </w:p>
    <w:p>
      <w:pPr>
        <w:rPr>
          <w:rFonts w:hint="eastAsia" w:ascii="仿宋" w:hAnsi="仿宋" w:eastAsia="仿宋" w:cs="仿宋"/>
          <w:highlight w:val="none"/>
        </w:rPr>
      </w:pPr>
    </w:p>
    <w:p>
      <w:pPr>
        <w:tabs>
          <w:tab w:val="left" w:pos="360"/>
          <w:tab w:val="left" w:pos="1800"/>
        </w:tabs>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格式3  法定代表人授权委托书</w:t>
      </w:r>
    </w:p>
    <w:p>
      <w:pPr>
        <w:tabs>
          <w:tab w:val="left" w:pos="360"/>
          <w:tab w:val="left" w:pos="1800"/>
        </w:tabs>
        <w:spacing w:line="480" w:lineRule="auto"/>
        <w:ind w:left="19" w:leftChars="9" w:firstLine="458" w:firstLineChars="191"/>
        <w:rPr>
          <w:rFonts w:hint="eastAsia" w:ascii="仿宋" w:hAnsi="仿宋" w:eastAsia="仿宋" w:cs="仿宋"/>
          <w:sz w:val="24"/>
          <w:highlight w:val="none"/>
        </w:rPr>
      </w:pPr>
    </w:p>
    <w:p>
      <w:pPr>
        <w:tabs>
          <w:tab w:val="left" w:pos="360"/>
          <w:tab w:val="left" w:pos="1800"/>
        </w:tabs>
        <w:spacing w:line="480" w:lineRule="auto"/>
        <w:ind w:left="19" w:leftChars="9" w:firstLine="458" w:firstLineChars="191"/>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（投标人名称）的法定代表人，现授权委托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（姓名）为我公司代理人，以本公司的名义参加</w:t>
      </w:r>
    </w:p>
    <w:p>
      <w:pPr>
        <w:tabs>
          <w:tab w:val="left" w:pos="360"/>
          <w:tab w:val="left" w:pos="1800"/>
        </w:tabs>
        <w:spacing w:line="48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标项名称）</w:t>
      </w:r>
      <w:r>
        <w:rPr>
          <w:rFonts w:hint="eastAsia" w:ascii="仿宋" w:hAnsi="仿宋" w:eastAsia="仿宋" w:cs="仿宋"/>
          <w:sz w:val="24"/>
          <w:highlight w:val="none"/>
        </w:rPr>
        <w:t>的投标活动。代理人在参加整个招标投标活动所签署的一切文件和处理与之相关的一切事物，我均予承认。</w:t>
      </w:r>
    </w:p>
    <w:p>
      <w:pPr>
        <w:tabs>
          <w:tab w:val="left" w:pos="360"/>
          <w:tab w:val="left" w:pos="1800"/>
        </w:tabs>
        <w:spacing w:line="48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本授权委托书期限自</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日起至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日止。被授权人在授权书有效期内签署的所有文件不因授权期限的终止而失效。</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委托代理人无转委权。特此委托。</w:t>
      </w:r>
    </w:p>
    <w:p>
      <w:pPr>
        <w:tabs>
          <w:tab w:val="left" w:pos="360"/>
          <w:tab w:val="left" w:pos="1800"/>
        </w:tabs>
        <w:spacing w:line="480" w:lineRule="auto"/>
        <w:ind w:firstLine="480" w:firstLineChars="200"/>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lang w:val="en-US" w:eastAsia="zh-CN"/>
        </w:rPr>
        <w:t xml:space="preserve">              </w:t>
      </w:r>
    </w:p>
    <w:p>
      <w:pPr>
        <w:tabs>
          <w:tab w:val="left" w:pos="36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部门：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1" w:hRule="atLeast"/>
          <w:jc w:val="center"/>
        </w:trPr>
        <w:tc>
          <w:tcPr>
            <w:tcW w:w="8760" w:type="dxa"/>
          </w:tcPr>
          <w:p>
            <w:pPr>
              <w:tabs>
                <w:tab w:val="left" w:pos="360"/>
                <w:tab w:val="left" w:pos="1800"/>
              </w:tabs>
              <w:spacing w:line="360" w:lineRule="auto"/>
              <w:jc w:val="center"/>
              <w:rPr>
                <w:rFonts w:hint="eastAsia" w:ascii="仿宋" w:hAnsi="仿宋" w:eastAsia="仿宋" w:cs="仿宋"/>
                <w:sz w:val="24"/>
                <w:highlight w:val="none"/>
              </w:rPr>
            </w:pPr>
          </w:p>
          <w:p>
            <w:pPr>
              <w:tabs>
                <w:tab w:val="left" w:pos="360"/>
                <w:tab w:val="left" w:pos="1800"/>
              </w:tabs>
              <w:spacing w:line="360" w:lineRule="auto"/>
              <w:jc w:val="center"/>
              <w:rPr>
                <w:rFonts w:hint="eastAsia" w:ascii="仿宋" w:hAnsi="仿宋" w:eastAsia="仿宋" w:cs="仿宋"/>
                <w:sz w:val="24"/>
                <w:highlight w:val="none"/>
              </w:rPr>
            </w:pPr>
          </w:p>
          <w:p>
            <w:pPr>
              <w:tabs>
                <w:tab w:val="left" w:pos="360"/>
                <w:tab w:val="left" w:pos="1800"/>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委托代理人身份证复印件或扫描件（正、反两面）</w:t>
            </w:r>
          </w:p>
        </w:tc>
      </w:tr>
    </w:tbl>
    <w:p>
      <w:pPr>
        <w:tabs>
          <w:tab w:val="left" w:pos="360"/>
          <w:tab w:val="left" w:pos="1800"/>
        </w:tabs>
        <w:spacing w:line="360" w:lineRule="auto"/>
        <w:ind w:firstLine="3600"/>
        <w:rPr>
          <w:rFonts w:hint="eastAsia" w:ascii="仿宋" w:hAnsi="仿宋" w:eastAsia="仿宋" w:cs="仿宋"/>
          <w:sz w:val="24"/>
          <w:highlight w:val="none"/>
        </w:rPr>
      </w:pP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（盖章）</w:t>
      </w:r>
    </w:p>
    <w:p>
      <w:pPr>
        <w:tabs>
          <w:tab w:val="left" w:pos="360"/>
          <w:tab w:val="left" w:pos="1800"/>
        </w:tabs>
        <w:spacing w:line="48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法定代表：</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（签字或盖章）</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（签字或盖章）</w:t>
      </w:r>
    </w:p>
    <w:p>
      <w:pPr>
        <w:tabs>
          <w:tab w:val="left" w:pos="360"/>
          <w:tab w:val="left" w:pos="1800"/>
        </w:tabs>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tabs>
          <w:tab w:val="left" w:pos="360"/>
          <w:tab w:val="left" w:pos="1800"/>
        </w:tabs>
        <w:spacing w:line="360" w:lineRule="auto"/>
        <w:ind w:firstLine="3600"/>
        <w:rPr>
          <w:rFonts w:hint="eastAsia" w:ascii="仿宋" w:hAnsi="仿宋" w:eastAsia="仿宋" w:cs="仿宋"/>
          <w:sz w:val="24"/>
          <w:highlight w:val="none"/>
        </w:rPr>
      </w:pPr>
    </w:p>
    <w:p>
      <w:pPr>
        <w:spacing w:before="0" w:after="0"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格式4  投标人基本情况表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投标人名称</w:t>
            </w:r>
          </w:p>
        </w:tc>
        <w:tc>
          <w:tcPr>
            <w:tcW w:w="7668" w:type="dxa"/>
            <w:gridSpan w:val="5"/>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地 址</w:t>
            </w:r>
          </w:p>
        </w:tc>
        <w:tc>
          <w:tcPr>
            <w:tcW w:w="7668" w:type="dxa"/>
            <w:gridSpan w:val="5"/>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主管部门</w:t>
            </w: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法定代表人</w:t>
            </w: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职 务</w:t>
            </w: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注册时间</w:t>
            </w:r>
          </w:p>
        </w:tc>
        <w:tc>
          <w:tcPr>
            <w:tcW w:w="2929" w:type="dxa"/>
            <w:gridSpan w:val="2"/>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经济类型</w:t>
            </w:r>
          </w:p>
        </w:tc>
        <w:tc>
          <w:tcPr>
            <w:tcW w:w="3190" w:type="dxa"/>
            <w:gridSpan w:val="2"/>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营业执照号</w:t>
            </w:r>
          </w:p>
        </w:tc>
        <w:tc>
          <w:tcPr>
            <w:tcW w:w="4739" w:type="dxa"/>
            <w:gridSpan w:val="3"/>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近三年内（20</w:t>
            </w:r>
            <w:r>
              <w:rPr>
                <w:rFonts w:hint="eastAsia" w:ascii="仿宋" w:hAnsi="仿宋" w:eastAsia="仿宋" w:cs="仿宋"/>
                <w:bCs/>
                <w:sz w:val="24"/>
                <w:highlight w:val="none"/>
                <w:lang w:val="en-US" w:eastAsia="zh-CN"/>
              </w:rPr>
              <w:t>20</w:t>
            </w:r>
            <w:r>
              <w:rPr>
                <w:rFonts w:hint="eastAsia" w:ascii="仿宋" w:hAnsi="仿宋" w:eastAsia="仿宋" w:cs="仿宋"/>
                <w:bCs/>
                <w:sz w:val="24"/>
                <w:highlight w:val="none"/>
              </w:rPr>
              <w:t>年1月1日至今）经营活动中有无重大违法纪录</w:t>
            </w:r>
          </w:p>
        </w:tc>
        <w:tc>
          <w:tcPr>
            <w:tcW w:w="4739" w:type="dxa"/>
            <w:gridSpan w:val="3"/>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是否依法缴纳税收</w:t>
            </w:r>
          </w:p>
        </w:tc>
        <w:tc>
          <w:tcPr>
            <w:tcW w:w="2929" w:type="dxa"/>
            <w:gridSpan w:val="2"/>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是否依法缴纳社会保障资金</w:t>
            </w:r>
          </w:p>
        </w:tc>
        <w:tc>
          <w:tcPr>
            <w:tcW w:w="3190" w:type="dxa"/>
            <w:gridSpan w:val="2"/>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单</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位</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概</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况</w:t>
            </w:r>
          </w:p>
        </w:tc>
        <w:tc>
          <w:tcPr>
            <w:tcW w:w="1380"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注册资本</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占地面积</w:t>
            </w:r>
          </w:p>
        </w:tc>
        <w:tc>
          <w:tcPr>
            <w:tcW w:w="3190" w:type="dxa"/>
            <w:gridSpan w:val="2"/>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职工总数</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人</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建筑面积</w:t>
            </w:r>
          </w:p>
        </w:tc>
        <w:tc>
          <w:tcPr>
            <w:tcW w:w="3190" w:type="dxa"/>
            <w:gridSpan w:val="2"/>
            <w:vAlign w:val="center"/>
          </w:tcPr>
          <w:p>
            <w:pPr>
              <w:spacing w:line="360" w:lineRule="auto"/>
              <w:ind w:firstLine="1800" w:firstLineChars="750"/>
              <w:jc w:val="center"/>
              <w:rPr>
                <w:rFonts w:hint="eastAsia" w:ascii="仿宋" w:hAnsi="仿宋" w:eastAsia="仿宋" w:cs="仿宋"/>
                <w:bCs/>
                <w:sz w:val="24"/>
                <w:highlight w:val="none"/>
              </w:rPr>
            </w:pPr>
            <w:r>
              <w:rPr>
                <w:rFonts w:hint="eastAsia" w:ascii="仿宋" w:hAnsi="仿宋" w:eastAsia="仿宋" w:cs="仿宋"/>
                <w:bCs/>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Merge w:val="restart"/>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资产</w:t>
            </w:r>
          </w:p>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情况</w:t>
            </w:r>
          </w:p>
        </w:tc>
        <w:tc>
          <w:tcPr>
            <w:tcW w:w="3098" w:type="dxa"/>
            <w:gridSpan w:val="2"/>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净资产：        万元</w:t>
            </w:r>
          </w:p>
        </w:tc>
        <w:tc>
          <w:tcPr>
            <w:tcW w:w="3190" w:type="dxa"/>
            <w:gridSpan w:val="2"/>
            <w:vMerge w:val="restart"/>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固定资产原值 ：      万元</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Merge w:val="continue"/>
            <w:vAlign w:val="center"/>
          </w:tcPr>
          <w:p>
            <w:pPr>
              <w:spacing w:line="360" w:lineRule="auto"/>
              <w:jc w:val="center"/>
              <w:rPr>
                <w:rFonts w:hint="eastAsia" w:ascii="仿宋" w:hAnsi="仿宋" w:eastAsia="仿宋" w:cs="仿宋"/>
                <w:bCs/>
                <w:sz w:val="24"/>
                <w:highlight w:val="none"/>
              </w:rPr>
            </w:pPr>
          </w:p>
        </w:tc>
        <w:tc>
          <w:tcPr>
            <w:tcW w:w="3098" w:type="dxa"/>
            <w:gridSpan w:val="2"/>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负 债：         万元</w:t>
            </w:r>
          </w:p>
        </w:tc>
        <w:tc>
          <w:tcPr>
            <w:tcW w:w="3190" w:type="dxa"/>
            <w:gridSpan w:val="2"/>
            <w:vMerge w:val="continue"/>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vAlign w:val="center"/>
          </w:tcPr>
          <w:p>
            <w:pPr>
              <w:spacing w:line="360" w:lineRule="auto"/>
              <w:ind w:firstLine="120" w:firstLineChars="50"/>
              <w:jc w:val="center"/>
              <w:rPr>
                <w:rFonts w:hint="eastAsia" w:ascii="仿宋" w:hAnsi="仿宋" w:eastAsia="仿宋" w:cs="仿宋"/>
                <w:bCs/>
                <w:sz w:val="24"/>
                <w:highlight w:val="none"/>
              </w:rPr>
            </w:pPr>
            <w:r>
              <w:rPr>
                <w:rFonts w:hint="eastAsia" w:ascii="仿宋" w:hAnsi="仿宋" w:eastAsia="仿宋" w:cs="仿宋"/>
                <w:bCs/>
                <w:sz w:val="24"/>
                <w:highlight w:val="none"/>
              </w:rPr>
              <w:t>财务状况</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（最近三年20</w:t>
            </w:r>
            <w:r>
              <w:rPr>
                <w:rFonts w:hint="eastAsia" w:ascii="仿宋" w:hAnsi="仿宋" w:eastAsia="仿宋" w:cs="仿宋"/>
                <w:bCs/>
                <w:sz w:val="24"/>
                <w:highlight w:val="none"/>
                <w:lang w:val="en-US" w:eastAsia="zh-CN"/>
              </w:rPr>
              <w:t>20</w:t>
            </w:r>
            <w:r>
              <w:rPr>
                <w:rFonts w:hint="eastAsia" w:ascii="仿宋" w:hAnsi="仿宋" w:eastAsia="仿宋" w:cs="仿宋"/>
                <w:bCs/>
                <w:sz w:val="24"/>
                <w:highlight w:val="none"/>
              </w:rPr>
              <w:t>年至202</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年）</w:t>
            </w:r>
          </w:p>
        </w:tc>
        <w:tc>
          <w:tcPr>
            <w:tcW w:w="1380"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年份</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主营收入</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549"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收入总额</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583"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利润总额</w:t>
            </w:r>
          </w:p>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c>
          <w:tcPr>
            <w:tcW w:w="1607" w:type="dxa"/>
            <w:vAlign w:val="center"/>
          </w:tcPr>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净利润</w:t>
            </w:r>
          </w:p>
          <w:p>
            <w:pPr>
              <w:spacing w:line="360" w:lineRule="auto"/>
              <w:ind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jc w:val="center"/>
              <w:rPr>
                <w:rFonts w:hint="eastAsia" w:ascii="仿宋" w:hAnsi="仿宋" w:eastAsia="仿宋" w:cs="仿宋"/>
                <w:bCs/>
                <w:sz w:val="24"/>
                <w:highlight w:val="none"/>
              </w:rPr>
            </w:pP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jc w:val="center"/>
              <w:rPr>
                <w:rFonts w:hint="eastAsia" w:ascii="仿宋" w:hAnsi="仿宋" w:eastAsia="仿宋" w:cs="仿宋"/>
                <w:bCs/>
                <w:sz w:val="24"/>
                <w:highlight w:val="none"/>
              </w:rPr>
            </w:pP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728" w:type="dxa"/>
            <w:vMerge w:val="continue"/>
            <w:vAlign w:val="center"/>
          </w:tcPr>
          <w:p>
            <w:pPr>
              <w:spacing w:line="360" w:lineRule="auto"/>
              <w:jc w:val="center"/>
              <w:rPr>
                <w:rFonts w:hint="eastAsia" w:ascii="仿宋" w:hAnsi="仿宋" w:eastAsia="仿宋" w:cs="仿宋"/>
                <w:bCs/>
                <w:sz w:val="24"/>
                <w:highlight w:val="none"/>
              </w:rPr>
            </w:pPr>
          </w:p>
        </w:tc>
        <w:tc>
          <w:tcPr>
            <w:tcW w:w="1380"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49" w:type="dxa"/>
            <w:vAlign w:val="center"/>
          </w:tcPr>
          <w:p>
            <w:pPr>
              <w:spacing w:line="360" w:lineRule="auto"/>
              <w:jc w:val="center"/>
              <w:rPr>
                <w:rFonts w:hint="eastAsia" w:ascii="仿宋" w:hAnsi="仿宋" w:eastAsia="仿宋" w:cs="仿宋"/>
                <w:bCs/>
                <w:sz w:val="24"/>
                <w:highlight w:val="none"/>
              </w:rPr>
            </w:pPr>
          </w:p>
        </w:tc>
        <w:tc>
          <w:tcPr>
            <w:tcW w:w="1583" w:type="dxa"/>
            <w:vAlign w:val="center"/>
          </w:tcPr>
          <w:p>
            <w:pPr>
              <w:spacing w:line="360" w:lineRule="auto"/>
              <w:jc w:val="center"/>
              <w:rPr>
                <w:rFonts w:hint="eastAsia" w:ascii="仿宋" w:hAnsi="仿宋" w:eastAsia="仿宋" w:cs="仿宋"/>
                <w:bCs/>
                <w:sz w:val="24"/>
                <w:highlight w:val="none"/>
              </w:rPr>
            </w:pPr>
          </w:p>
        </w:tc>
        <w:tc>
          <w:tcPr>
            <w:tcW w:w="1607" w:type="dxa"/>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经营范围</w:t>
            </w:r>
          </w:p>
        </w:tc>
        <w:tc>
          <w:tcPr>
            <w:tcW w:w="7668" w:type="dxa"/>
            <w:gridSpan w:val="5"/>
            <w:vAlign w:val="center"/>
          </w:tcPr>
          <w:p>
            <w:pPr>
              <w:spacing w:line="360" w:lineRule="auto"/>
              <w:jc w:val="center"/>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28"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7668" w:type="dxa"/>
            <w:gridSpan w:val="5"/>
            <w:vAlign w:val="center"/>
          </w:tcPr>
          <w:p>
            <w:pPr>
              <w:spacing w:line="360" w:lineRule="auto"/>
              <w:jc w:val="center"/>
              <w:rPr>
                <w:rFonts w:hint="eastAsia" w:ascii="仿宋" w:hAnsi="仿宋" w:eastAsia="仿宋" w:cs="仿宋"/>
                <w:bCs/>
                <w:sz w:val="24"/>
                <w:highlight w:val="none"/>
              </w:rPr>
            </w:pPr>
          </w:p>
        </w:tc>
      </w:tr>
    </w:tbl>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我们保证上述声明中的资料和数据是真实的、正确的，我们同意如贵方要求，可以出示相关证明文件。</w:t>
      </w:r>
    </w:p>
    <w:p>
      <w:pPr>
        <w:spacing w:line="480" w:lineRule="auto"/>
        <w:ind w:firstLine="480" w:firstLineChars="200"/>
        <w:rPr>
          <w:rFonts w:hint="default" w:ascii="仿宋" w:hAnsi="仿宋" w:eastAsia="仿宋" w:cs="仿宋"/>
          <w:bCs/>
          <w:sz w:val="24"/>
          <w:highlight w:val="none"/>
          <w:u w:val="single"/>
          <w:lang w:val="en-US" w:eastAsia="zh-CN"/>
        </w:rPr>
      </w:pPr>
      <w:r>
        <w:rPr>
          <w:rFonts w:hint="eastAsia" w:ascii="仿宋" w:hAnsi="仿宋" w:eastAsia="仿宋" w:cs="仿宋"/>
          <w:bCs/>
          <w:sz w:val="24"/>
          <w:highlight w:val="none"/>
        </w:rPr>
        <w:t>投标人（盖章）：</w:t>
      </w:r>
      <w:r>
        <w:rPr>
          <w:rFonts w:hint="eastAsia" w:ascii="仿宋" w:hAnsi="仿宋" w:eastAsia="仿宋" w:cs="仿宋"/>
          <w:bCs/>
          <w:sz w:val="24"/>
          <w:highlight w:val="none"/>
          <w:u w:val="single"/>
          <w:lang w:val="en-US" w:eastAsia="zh-CN"/>
        </w:rPr>
        <w:t xml:space="preserve">                     </w:t>
      </w:r>
    </w:p>
    <w:p>
      <w:pPr>
        <w:spacing w:line="480" w:lineRule="auto"/>
        <w:ind w:firstLine="480" w:firstLineChars="200"/>
        <w:rPr>
          <w:rFonts w:hint="default" w:ascii="仿宋" w:hAnsi="仿宋" w:eastAsia="仿宋" w:cs="仿宋"/>
          <w:bCs/>
          <w:sz w:val="24"/>
          <w:highlight w:val="none"/>
          <w:lang w:val="en-US" w:eastAsia="zh-CN"/>
        </w:rPr>
      </w:pPr>
      <w:r>
        <w:rPr>
          <w:rFonts w:hint="eastAsia" w:ascii="仿宋" w:hAnsi="仿宋" w:eastAsia="仿宋" w:cs="仿宋"/>
          <w:bCs/>
          <w:sz w:val="24"/>
          <w:highlight w:val="none"/>
        </w:rPr>
        <w:t>法定代表人或委托代理人（签字或盖章）：</w:t>
      </w:r>
      <w:r>
        <w:rPr>
          <w:rFonts w:hint="eastAsia" w:ascii="仿宋" w:hAnsi="仿宋" w:eastAsia="仿宋" w:cs="仿宋"/>
          <w:bCs/>
          <w:sz w:val="24"/>
          <w:highlight w:val="none"/>
          <w:u w:val="single"/>
          <w:lang w:val="en-US" w:eastAsia="zh-CN"/>
        </w:rPr>
        <w:t xml:space="preserve">                       </w:t>
      </w:r>
    </w:p>
    <w:p>
      <w:pPr>
        <w:spacing w:line="480" w:lineRule="auto"/>
        <w:jc w:val="center"/>
        <w:rPr>
          <w:rFonts w:hint="eastAsia" w:ascii="仿宋" w:hAnsi="仿宋" w:eastAsia="仿宋" w:cs="仿宋"/>
          <w:b/>
          <w:bCs/>
          <w:sz w:val="24"/>
          <w:highlight w:val="none"/>
        </w:rPr>
      </w:pPr>
      <w:r>
        <w:rPr>
          <w:rFonts w:hint="eastAsia" w:ascii="仿宋" w:hAnsi="仿宋" w:eastAsia="仿宋" w:cs="仿宋"/>
          <w:b/>
          <w:sz w:val="24"/>
          <w:highlight w:val="none"/>
        </w:rPr>
        <w:t>格</w:t>
      </w:r>
      <w:r>
        <w:rPr>
          <w:rFonts w:hint="eastAsia" w:ascii="仿宋" w:hAnsi="仿宋" w:eastAsia="仿宋" w:cs="仿宋"/>
          <w:b/>
          <w:bCs/>
          <w:kern w:val="2"/>
          <w:sz w:val="24"/>
          <w:szCs w:val="24"/>
          <w:highlight w:val="none"/>
          <w:lang w:val="en-US" w:eastAsia="zh-CN" w:bidi="ar-SA"/>
        </w:rPr>
        <w:t>式5   诚信声明</w:t>
      </w:r>
    </w:p>
    <w:p>
      <w:pPr>
        <w:tabs>
          <w:tab w:val="left" w:pos="6300"/>
        </w:tabs>
        <w:snapToGrid w:val="0"/>
        <w:spacing w:line="500" w:lineRule="exact"/>
        <w:ind w:firstLine="57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采购项目名称：</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 xml:space="preserve">  </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标 项 名  称：</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 xml:space="preserve">              </w:t>
      </w:r>
    </w:p>
    <w:p>
      <w:pPr>
        <w:pStyle w:val="2"/>
        <w:rPr>
          <w:rFonts w:hint="eastAsia"/>
          <w:highlight w:val="none"/>
        </w:rPr>
      </w:pP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致：</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（采购代理机构名称）</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u w:val="single"/>
        </w:rPr>
        <w:t>投标人名称）</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投标人资格条件。我方对以上声明负全部法律责任。</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特此声明。</w:t>
      </w:r>
    </w:p>
    <w:p>
      <w:pPr>
        <w:spacing w:line="480" w:lineRule="auto"/>
        <w:ind w:firstLine="480" w:firstLineChars="200"/>
        <w:rPr>
          <w:rFonts w:hint="eastAsia" w:ascii="仿宋" w:hAnsi="仿宋" w:eastAsia="仿宋" w:cs="仿宋"/>
          <w:bCs/>
          <w:sz w:val="24"/>
          <w:highlight w:val="none"/>
        </w:rPr>
      </w:pPr>
    </w:p>
    <w:p>
      <w:pPr>
        <w:spacing w:line="480" w:lineRule="auto"/>
        <w:ind w:firstLine="480" w:firstLineChars="200"/>
        <w:rPr>
          <w:rFonts w:hint="eastAsia" w:ascii="仿宋" w:hAnsi="仿宋" w:eastAsia="仿宋" w:cs="仿宋"/>
          <w:bCs/>
          <w:sz w:val="24"/>
          <w:highlight w:val="none"/>
        </w:rPr>
      </w:pPr>
    </w:p>
    <w:p>
      <w:pPr>
        <w:spacing w:line="480" w:lineRule="auto"/>
        <w:ind w:firstLine="480" w:firstLineChars="200"/>
        <w:rPr>
          <w:rFonts w:hint="eastAsia" w:ascii="仿宋" w:hAnsi="仿宋" w:eastAsia="仿宋" w:cs="仿宋"/>
          <w:bCs/>
          <w:sz w:val="24"/>
          <w:highlight w:val="none"/>
        </w:rPr>
      </w:pP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                                                       （投标人公章）</w:t>
      </w:r>
    </w:p>
    <w:p>
      <w:pPr>
        <w:spacing w:line="48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br w:type="page"/>
      </w:r>
    </w:p>
    <w:p>
      <w:pPr>
        <w:pStyle w:val="8"/>
        <w:jc w:val="center"/>
        <w:rPr>
          <w:rFonts w:hint="eastAsia" w:ascii="仿宋" w:hAnsi="仿宋" w:eastAsia="仿宋" w:cs="仿宋"/>
          <w:sz w:val="24"/>
          <w:highlight w:val="none"/>
        </w:rPr>
      </w:pPr>
      <w:r>
        <w:rPr>
          <w:rFonts w:hint="eastAsia" w:ascii="仿宋" w:hAnsi="仿宋" w:eastAsia="仿宋" w:cs="仿宋"/>
          <w:sz w:val="24"/>
          <w:highlight w:val="none"/>
        </w:rPr>
        <w:t>格式6  投标函</w:t>
      </w:r>
    </w:p>
    <w:p>
      <w:pPr>
        <w:spacing w:line="360" w:lineRule="auto"/>
        <w:ind w:firstLine="482" w:firstLineChars="200"/>
        <w:rPr>
          <w:rFonts w:hint="default" w:ascii="仿宋" w:hAnsi="仿宋" w:eastAsia="仿宋" w:cs="仿宋"/>
          <w:sz w:val="24"/>
          <w:highlight w:val="none"/>
          <w:u w:val="single"/>
          <w:lang w:val="en-US" w:eastAsia="zh-CN"/>
        </w:rPr>
      </w:pPr>
      <w:r>
        <w:rPr>
          <w:rFonts w:hint="eastAsia" w:ascii="仿宋" w:hAnsi="仿宋" w:eastAsia="仿宋" w:cs="仿宋"/>
          <w:b/>
          <w:kern w:val="0"/>
          <w:sz w:val="24"/>
          <w:highlight w:val="none"/>
        </w:rPr>
        <w:t>致：</w:t>
      </w:r>
      <w:r>
        <w:rPr>
          <w:rFonts w:hint="eastAsia" w:ascii="仿宋" w:hAnsi="仿宋" w:eastAsia="仿宋" w:cs="仿宋"/>
          <w:b/>
          <w:kern w:val="0"/>
          <w:sz w:val="24"/>
          <w:highlight w:val="none"/>
          <w:u w:val="single"/>
          <w:lang w:val="en-US" w:eastAsia="zh-CN"/>
        </w:rPr>
        <w:t xml:space="preserve">                        </w:t>
      </w:r>
      <w:r>
        <w:rPr>
          <w:rFonts w:hint="eastAsia" w:ascii="仿宋" w:hAnsi="仿宋" w:eastAsia="仿宋" w:cs="仿宋"/>
          <w:b w:val="0"/>
          <w:bCs/>
          <w:kern w:val="0"/>
          <w:sz w:val="24"/>
          <w:highlight w:val="none"/>
          <w:u w:val="none"/>
          <w:lang w:val="en-US" w:eastAsia="zh-CN"/>
        </w:rPr>
        <w:t>（采购人名称）</w:t>
      </w:r>
    </w:p>
    <w:p>
      <w:pPr>
        <w:pStyle w:val="14"/>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我方全面研究了</w:t>
      </w:r>
      <w:r>
        <w:rPr>
          <w:rFonts w:hint="eastAsia" w:ascii="仿宋" w:hAnsi="仿宋" w:eastAsia="仿宋" w:cs="仿宋"/>
          <w:bCs/>
          <w:highlight w:val="none"/>
        </w:rPr>
        <w:t>“</w:t>
      </w:r>
      <w:r>
        <w:rPr>
          <w:rFonts w:hint="eastAsia" w:ascii="仿宋" w:hAnsi="仿宋" w:eastAsia="仿宋" w:cs="仿宋"/>
          <w:bCs/>
          <w:highlight w:val="none"/>
          <w:u w:val="single"/>
        </w:rPr>
        <w:t xml:space="preserve">           </w:t>
      </w:r>
      <w:r>
        <w:rPr>
          <w:rFonts w:hint="eastAsia" w:ascii="仿宋" w:hAnsi="仿宋" w:eastAsia="仿宋" w:cs="仿宋"/>
          <w:bCs/>
          <w:highlight w:val="none"/>
        </w:rPr>
        <w:t>”</w:t>
      </w:r>
      <w:r>
        <w:rPr>
          <w:rFonts w:hint="eastAsia" w:ascii="仿宋" w:hAnsi="仿宋" w:eastAsia="仿宋" w:cs="仿宋"/>
          <w:b w:val="0"/>
          <w:bCs/>
          <w:highlight w:val="none"/>
        </w:rPr>
        <w:t>项目招标文件（招标文件编号：</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），决定参加本项目</w:t>
      </w:r>
      <w:r>
        <w:rPr>
          <w:rFonts w:hint="eastAsia" w:ascii="仿宋" w:hAnsi="仿宋" w:eastAsia="仿宋" w:cs="仿宋"/>
          <w:b w:val="0"/>
          <w:bCs/>
          <w:highlight w:val="none"/>
          <w:lang w:val="en-US" w:eastAsia="zh-CN"/>
        </w:rPr>
        <w:t>标项</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rPr>
        <w:t>投标。我方授权</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（姓名、职务）代表我方</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全权处理本项目投标的有关事宜。</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我方自愿按照招标文件规定的各项要求向采购人提供所需服务。</w:t>
      </w:r>
      <w:r>
        <w:rPr>
          <w:rFonts w:hint="eastAsia" w:ascii="仿宋" w:hAnsi="仿宋" w:eastAsia="仿宋" w:cs="仿宋"/>
          <w:b w:val="0"/>
          <w:bCs/>
          <w:highlight w:val="none"/>
          <w:lang w:eastAsia="zh-CN"/>
        </w:rPr>
        <w:t>承诺</w:t>
      </w:r>
      <w:r>
        <w:rPr>
          <w:rFonts w:hint="eastAsia" w:ascii="仿宋" w:hAnsi="仿宋" w:eastAsia="仿宋" w:cs="仿宋"/>
          <w:b w:val="0"/>
          <w:bCs/>
          <w:highlight w:val="none"/>
        </w:rPr>
        <w:t>月结算下浮率</w:t>
      </w:r>
      <w:r>
        <w:rPr>
          <w:rFonts w:hint="eastAsia" w:ascii="仿宋" w:hAnsi="仿宋" w:eastAsia="仿宋" w:cs="仿宋"/>
          <w:b w:val="0"/>
          <w:bCs/>
          <w:highlight w:val="none"/>
          <w:lang w:eastAsia="zh-CN"/>
        </w:rPr>
        <w:t>：</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lang w:val="en-US" w:eastAsia="zh-CN"/>
        </w:rPr>
        <w:t>%</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我方承诺本项目投标有效期：递交投标文件截止日起</w:t>
      </w:r>
      <w:r>
        <w:rPr>
          <w:rFonts w:hint="eastAsia" w:ascii="仿宋" w:hAnsi="仿宋" w:eastAsia="仿宋" w:cs="仿宋"/>
          <w:b w:val="0"/>
          <w:bCs/>
          <w:highlight w:val="none"/>
          <w:u w:val="single"/>
        </w:rPr>
        <w:t>90</w:t>
      </w:r>
      <w:r>
        <w:rPr>
          <w:rFonts w:hint="eastAsia" w:ascii="仿宋" w:hAnsi="仿宋" w:eastAsia="仿宋" w:cs="仿宋"/>
          <w:b w:val="0"/>
          <w:bCs/>
          <w:highlight w:val="none"/>
        </w:rPr>
        <w:t>天（日历日）。</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一旦我方中标，我方将严格履行合同规定的责任和义务，保证按采购人要求及我方承诺完成所需服务及应尽义务。</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我方愿意提供采购人可能另外要求的，与公开有关的文件资料，并保证我方已提供和将要提供的文件资料是真实、准确的。</w:t>
      </w:r>
    </w:p>
    <w:p>
      <w:pPr>
        <w:pStyle w:val="14"/>
        <w:numPr>
          <w:ilvl w:val="0"/>
          <w:numId w:val="8"/>
        </w:numPr>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我方完全理解你们将不受必须接受你们所收到的最低投标价及其它任何投标文件的约束。</w:t>
      </w:r>
    </w:p>
    <w:p>
      <w:pPr>
        <w:spacing w:line="360" w:lineRule="auto"/>
        <w:ind w:firstLine="480" w:firstLineChars="200"/>
        <w:rPr>
          <w:rFonts w:hint="eastAsia" w:ascii="仿宋" w:hAnsi="仿宋" w:eastAsia="仿宋" w:cs="仿宋"/>
          <w:bCs/>
          <w:sz w:val="24"/>
          <w:highlight w:val="none"/>
        </w:rPr>
      </w:pP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投标人名称（盖章）：</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法人代表人或委托代理人签字或盖章：</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lang w:val="en-US" w:eastAsia="zh-CN"/>
        </w:rPr>
        <w:t xml:space="preserve">    </w:t>
      </w:r>
    </w:p>
    <w:p>
      <w:pPr>
        <w:pStyle w:val="14"/>
        <w:ind w:left="0" w:firstLine="480" w:firstLineChars="200"/>
        <w:rPr>
          <w:rFonts w:hint="default" w:ascii="仿宋" w:hAnsi="仿宋" w:eastAsia="仿宋" w:cs="仿宋"/>
          <w:b w:val="0"/>
          <w:bCs/>
          <w:highlight w:val="none"/>
          <w:u w:val="single"/>
          <w:lang w:val="en-US" w:eastAsia="zh-CN"/>
        </w:rPr>
      </w:pPr>
      <w:r>
        <w:rPr>
          <w:rFonts w:hint="eastAsia" w:ascii="仿宋" w:hAnsi="仿宋" w:eastAsia="仿宋" w:cs="仿宋"/>
          <w:b w:val="0"/>
          <w:bCs/>
          <w:highlight w:val="none"/>
        </w:rPr>
        <w:t>通讯地址：</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邮政编码：</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联系电话：</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default" w:ascii="仿宋" w:hAnsi="仿宋" w:eastAsia="仿宋" w:cs="仿宋"/>
          <w:b w:val="0"/>
          <w:bCs/>
          <w:highlight w:val="none"/>
          <w:lang w:val="en-US" w:eastAsia="zh-CN"/>
        </w:rPr>
      </w:pPr>
      <w:r>
        <w:rPr>
          <w:rFonts w:hint="eastAsia" w:ascii="仿宋" w:hAnsi="仿宋" w:eastAsia="仿宋" w:cs="仿宋"/>
          <w:b w:val="0"/>
          <w:bCs/>
          <w:highlight w:val="none"/>
        </w:rPr>
        <w:t>传    真：</w:t>
      </w:r>
      <w:r>
        <w:rPr>
          <w:rFonts w:hint="eastAsia" w:ascii="仿宋" w:hAnsi="仿宋" w:eastAsia="仿宋" w:cs="仿宋"/>
          <w:b w:val="0"/>
          <w:bCs/>
          <w:highlight w:val="none"/>
          <w:u w:val="single"/>
          <w:lang w:val="en-US" w:eastAsia="zh-CN"/>
        </w:rPr>
        <w:t xml:space="preserve">                                     </w:t>
      </w:r>
    </w:p>
    <w:p>
      <w:pPr>
        <w:pStyle w:val="14"/>
        <w:ind w:left="0" w:firstLine="480" w:firstLineChars="200"/>
        <w:rPr>
          <w:rFonts w:hint="eastAsia" w:ascii="仿宋" w:hAnsi="仿宋" w:eastAsia="仿宋" w:cs="仿宋"/>
          <w:b w:val="0"/>
          <w:bCs/>
          <w:highlight w:val="none"/>
        </w:rPr>
      </w:pPr>
      <w:r>
        <w:rPr>
          <w:rFonts w:hint="eastAsia" w:ascii="仿宋" w:hAnsi="仿宋" w:eastAsia="仿宋" w:cs="仿宋"/>
          <w:b w:val="0"/>
          <w:bCs/>
          <w:highlight w:val="none"/>
        </w:rPr>
        <w:t>日    期：</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年</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月</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u w:val="single"/>
          <w:lang w:val="en-US" w:eastAsia="zh-CN"/>
        </w:rPr>
        <w:t xml:space="preserve">  </w:t>
      </w:r>
      <w:r>
        <w:rPr>
          <w:rFonts w:hint="eastAsia" w:ascii="仿宋" w:hAnsi="仿宋" w:eastAsia="仿宋" w:cs="仿宋"/>
          <w:b w:val="0"/>
          <w:bCs/>
          <w:highlight w:val="none"/>
          <w:u w:val="single"/>
        </w:rPr>
        <w:t xml:space="preserve">  </w:t>
      </w:r>
      <w:r>
        <w:rPr>
          <w:rFonts w:hint="eastAsia" w:ascii="仿宋" w:hAnsi="仿宋" w:eastAsia="仿宋" w:cs="仿宋"/>
          <w:b w:val="0"/>
          <w:bCs/>
          <w:highlight w:val="none"/>
        </w:rPr>
        <w:t>日</w:t>
      </w:r>
    </w:p>
    <w:p>
      <w:pPr>
        <w:pStyle w:val="7"/>
        <w:spacing w:line="360" w:lineRule="auto"/>
        <w:ind w:firstLine="0"/>
        <w:jc w:val="both"/>
        <w:rPr>
          <w:rFonts w:hint="eastAsia" w:ascii="仿宋" w:hAnsi="仿宋" w:eastAsia="仿宋" w:cs="仿宋"/>
          <w:highlight w:val="none"/>
        </w:rPr>
      </w:pP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pStyle w:val="2"/>
        <w:rPr>
          <w:rFonts w:hint="eastAsia" w:ascii="仿宋" w:hAnsi="仿宋" w:eastAsia="仿宋" w:cs="仿宋"/>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格式7 报价一览表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highlight w:val="none"/>
          <w:lang w:eastAsia="zh-CN"/>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币种：人民币</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color w:val="auto"/>
          <w:sz w:val="24"/>
          <w:szCs w:val="24"/>
          <w:highlight w:val="none"/>
        </w:rPr>
        <w:t xml:space="preserve">  </w:t>
      </w:r>
    </w:p>
    <w:tbl>
      <w:tblPr>
        <w:tblStyle w:val="2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3120"/>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830" w:type="dxa"/>
            <w:tcBorders>
              <w:top w:val="single" w:color="000000" w:sz="2" w:space="0"/>
              <w:left w:val="single" w:color="000000" w:sz="2" w:space="0"/>
              <w:right w:val="single" w:color="000000" w:sz="2" w:space="0"/>
            </w:tcBorders>
            <w:noWrap/>
            <w:vAlign w:val="center"/>
          </w:tcPr>
          <w:p>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序号</w:t>
            </w:r>
          </w:p>
        </w:tc>
        <w:tc>
          <w:tcPr>
            <w:tcW w:w="3120" w:type="dxa"/>
            <w:tcBorders>
              <w:top w:val="single" w:color="000000" w:sz="2" w:space="0"/>
              <w:left w:val="single" w:color="auto" w:sz="4" w:space="0"/>
            </w:tcBorders>
            <w:noWrap/>
            <w:vAlign w:val="center"/>
          </w:tcPr>
          <w:p>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名 称</w:t>
            </w:r>
          </w:p>
        </w:tc>
        <w:tc>
          <w:tcPr>
            <w:tcW w:w="5848" w:type="dxa"/>
            <w:tcBorders>
              <w:top w:val="single" w:color="000000" w:sz="2" w:space="0"/>
              <w:left w:val="single" w:color="auto" w:sz="4" w:space="0"/>
            </w:tcBorders>
            <w:noWrap/>
            <w:vAlign w:val="center"/>
          </w:tcPr>
          <w:p>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投标</w:t>
            </w:r>
            <w:r>
              <w:rPr>
                <w:rFonts w:hint="eastAsia" w:ascii="仿宋" w:hAnsi="仿宋" w:eastAsia="仿宋" w:cs="仿宋"/>
                <w:b w:val="0"/>
                <w:bCs w:val="0"/>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830" w:type="dxa"/>
            <w:tcBorders>
              <w:left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w:t>
            </w:r>
          </w:p>
        </w:tc>
        <w:tc>
          <w:tcPr>
            <w:tcW w:w="3120" w:type="dxa"/>
            <w:tcBorders>
              <w:top w:val="single" w:color="auto" w:sz="4" w:space="0"/>
              <w:left w:val="single" w:color="auto" w:sz="4" w:space="0"/>
              <w:right w:val="single" w:color="auto" w:sz="4" w:space="0"/>
            </w:tcBorders>
            <w:noWrap/>
            <w:vAlign w:val="center"/>
          </w:tcPr>
          <w:p>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承诺</w:t>
            </w:r>
            <w:r>
              <w:rPr>
                <w:rFonts w:hint="eastAsia" w:ascii="仿宋" w:hAnsi="仿宋" w:eastAsia="仿宋" w:cs="仿宋"/>
                <w:b w:val="0"/>
                <w:bCs w:val="0"/>
                <w:color w:val="auto"/>
                <w:sz w:val="24"/>
                <w:szCs w:val="24"/>
                <w:highlight w:val="none"/>
              </w:rPr>
              <w:t>月结算下浮率（%）</w:t>
            </w:r>
          </w:p>
        </w:tc>
        <w:tc>
          <w:tcPr>
            <w:tcW w:w="5848" w:type="dxa"/>
            <w:tcBorders>
              <w:top w:val="single" w:color="auto" w:sz="4" w:space="0"/>
              <w:left w:val="single" w:color="auto" w:sz="4" w:space="0"/>
              <w:right w:val="single" w:color="000000" w:sz="2" w:space="0"/>
            </w:tcBorders>
            <w:noWrap/>
            <w:vAlign w:val="center"/>
          </w:tcPr>
          <w:p>
            <w:pPr>
              <w:wordWrap w:val="0"/>
              <w:adjustRightInd w:val="0"/>
              <w:snapToGrid w:val="0"/>
              <w:spacing w:line="360" w:lineRule="auto"/>
              <w:jc w:val="left"/>
              <w:rPr>
                <w:rFonts w:hint="eastAsia" w:ascii="仿宋" w:hAnsi="仿宋" w:eastAsia="仿宋" w:cs="仿宋"/>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830" w:type="dxa"/>
            <w:tcBorders>
              <w:left w:val="single" w:color="000000" w:sz="2" w:space="0"/>
              <w:bottom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w:t>
            </w:r>
          </w:p>
        </w:tc>
        <w:tc>
          <w:tcPr>
            <w:tcW w:w="3120" w:type="dxa"/>
            <w:tcBorders>
              <w:top w:val="single" w:color="auto" w:sz="4" w:space="0"/>
              <w:left w:val="single" w:color="auto" w:sz="4" w:space="0"/>
              <w:bottom w:val="single" w:color="000000" w:sz="2" w:space="0"/>
              <w:right w:val="single" w:color="auto" w:sz="4"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供货服务承诺</w:t>
            </w:r>
          </w:p>
        </w:tc>
        <w:tc>
          <w:tcPr>
            <w:tcW w:w="5848" w:type="dxa"/>
            <w:tcBorders>
              <w:top w:val="single" w:color="auto" w:sz="4" w:space="0"/>
              <w:left w:val="single" w:color="auto" w:sz="4" w:space="0"/>
              <w:bottom w:val="single" w:color="000000" w:sz="2" w:space="0"/>
              <w:right w:val="single" w:color="000000" w:sz="2" w:space="0"/>
            </w:tcBorders>
            <w:noWrap/>
            <w:vAlign w:val="center"/>
          </w:tcPr>
          <w:p>
            <w:pPr>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kern w:val="2"/>
                <w:sz w:val="24"/>
                <w:szCs w:val="24"/>
                <w:highlight w:val="none"/>
                <w:lang w:val="en-US" w:eastAsia="zh-CN" w:bidi="ar-SA"/>
              </w:rPr>
              <w:t>自合同签订之日起一年，</w:t>
            </w:r>
            <w:r>
              <w:rPr>
                <w:rFonts w:hint="eastAsia" w:ascii="仿宋" w:hAnsi="仿宋" w:eastAsia="仿宋" w:cs="仿宋"/>
                <w:b w:val="0"/>
                <w:bCs w:val="0"/>
                <w:color w:val="auto"/>
                <w:sz w:val="24"/>
                <w:szCs w:val="24"/>
                <w:highlight w:val="none"/>
                <w:lang w:val="en-US" w:eastAsia="zh-CN"/>
              </w:rPr>
              <w:t>按采购人指定的时间和地点，分批次供货完成。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830" w:type="dxa"/>
            <w:tcBorders>
              <w:left w:val="single" w:color="000000" w:sz="2" w:space="0"/>
              <w:bottom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三</w:t>
            </w:r>
          </w:p>
        </w:tc>
        <w:tc>
          <w:tcPr>
            <w:tcW w:w="3120" w:type="dxa"/>
            <w:tcBorders>
              <w:top w:val="single" w:color="auto" w:sz="4" w:space="0"/>
              <w:left w:val="single" w:color="auto" w:sz="4" w:space="0"/>
              <w:bottom w:val="single" w:color="000000" w:sz="2" w:space="0"/>
              <w:right w:val="single" w:color="auto" w:sz="4"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质量承诺</w:t>
            </w:r>
          </w:p>
        </w:tc>
        <w:tc>
          <w:tcPr>
            <w:tcW w:w="5848" w:type="dxa"/>
            <w:tcBorders>
              <w:top w:val="single" w:color="auto" w:sz="4" w:space="0"/>
              <w:left w:val="single" w:color="auto" w:sz="4" w:space="0"/>
              <w:bottom w:val="single" w:color="000000" w:sz="2" w:space="0"/>
              <w:right w:val="single" w:color="000000" w:sz="2" w:space="0"/>
            </w:tcBorders>
            <w:noWrap/>
            <w:vAlign w:val="center"/>
          </w:tcPr>
          <w:p>
            <w:pPr>
              <w:spacing w:line="36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供应食材满足招标文件及相关现行质量要求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57" w:hRule="atLeast"/>
          <w:jc w:val="center"/>
        </w:trPr>
        <w:tc>
          <w:tcPr>
            <w:tcW w:w="830" w:type="dxa"/>
            <w:tcBorders>
              <w:top w:val="single" w:color="auto" w:sz="4" w:space="0"/>
              <w:left w:val="single" w:color="000000" w:sz="2" w:space="0"/>
              <w:bottom w:val="single" w:color="000000" w:sz="2" w:space="0"/>
              <w:right w:val="single" w:color="000000" w:sz="2" w:space="0"/>
            </w:tcBorders>
            <w:noWrap/>
            <w:vAlign w:val="center"/>
          </w:tcPr>
          <w:p>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四</w:t>
            </w:r>
          </w:p>
        </w:tc>
        <w:tc>
          <w:tcPr>
            <w:tcW w:w="3120" w:type="dxa"/>
            <w:tcBorders>
              <w:top w:val="single" w:color="auto" w:sz="4" w:space="0"/>
              <w:left w:val="single" w:color="auto" w:sz="4" w:space="0"/>
              <w:bottom w:val="single" w:color="000000" w:sz="2" w:space="0"/>
              <w:right w:val="single" w:color="000000" w:sz="2" w:space="0"/>
            </w:tcBorders>
            <w:noWrap/>
            <w:vAlign w:val="center"/>
          </w:tcPr>
          <w:p>
            <w:pPr>
              <w:spacing w:line="360" w:lineRule="auto"/>
              <w:ind w:firstLine="9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其它说明（由各</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根据本采购项目要求自行列出需说明及承诺内容）</w:t>
            </w:r>
          </w:p>
        </w:tc>
        <w:tc>
          <w:tcPr>
            <w:tcW w:w="5848" w:type="dxa"/>
            <w:tcBorders>
              <w:top w:val="single" w:color="auto" w:sz="4" w:space="0"/>
              <w:left w:val="single" w:color="auto" w:sz="4" w:space="0"/>
              <w:bottom w:val="single" w:color="000000" w:sz="2" w:space="0"/>
              <w:right w:val="single" w:color="000000" w:sz="2" w:space="0"/>
            </w:tcBorders>
            <w:noWrap/>
            <w:vAlign w:val="center"/>
          </w:tcPr>
          <w:p>
            <w:pPr>
              <w:spacing w:line="360" w:lineRule="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0" w:hRule="exact"/>
          <w:jc w:val="center"/>
        </w:trPr>
        <w:tc>
          <w:tcPr>
            <w:tcW w:w="9798" w:type="dxa"/>
            <w:gridSpan w:val="3"/>
            <w:tcBorders>
              <w:top w:val="single" w:color="auto" w:sz="4" w:space="0"/>
              <w:left w:val="single" w:color="000000" w:sz="2" w:space="0"/>
              <w:bottom w:val="single" w:color="000000" w:sz="2" w:space="0"/>
              <w:right w:val="single" w:color="000000" w:sz="2" w:space="0"/>
            </w:tcBorders>
            <w:noWrap/>
            <w:vAlign w:val="center"/>
          </w:tcPr>
          <w:p>
            <w:pPr>
              <w:adjustRightInd w:val="0"/>
              <w:snapToGrid w:val="0"/>
              <w:spacing w:line="24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报价包含的内容：</w:t>
            </w:r>
            <w:r>
              <w:rPr>
                <w:rFonts w:hint="eastAsia" w:ascii="仿宋" w:hAnsi="仿宋" w:eastAsia="仿宋" w:cs="仿宋"/>
                <w:color w:val="auto"/>
                <w:sz w:val="24"/>
                <w:szCs w:val="24"/>
                <w:highlight w:val="none"/>
                <w:lang w:eastAsia="zh-CN"/>
              </w:rPr>
              <w:t>完成2023年度克拉玛依市机关后勤服务中心（援克服务中心）机关食堂食材供应商采购项目各标项对应食材的供应、保险、税费、仓储运输、现场装卸（卸至需方指定地点）及保管、现场搬运，检验及验收、移交等工作，向采购人提供的售后服务等以及合同条款、技术规范及标准、项目采购需求、本招标文件约定的全部内容并配合采购人完成与此服务相关的全部工作的全部费用（包括：运输费、人工费、保管费等所有相关费用）。</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最终每月结算的价款，按照</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每月经审定批准的价款与（1-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的承诺下浮率）之积进行结算。</w:t>
            </w:r>
          </w:p>
        </w:tc>
      </w:tr>
    </w:tbl>
    <w:p>
      <w:pPr>
        <w:spacing w:line="360" w:lineRule="auto"/>
        <w:rPr>
          <w:rFonts w:hint="eastAsia" w:ascii="仿宋" w:hAnsi="仿宋" w:eastAsia="仿宋" w:cs="仿宋"/>
          <w:b/>
          <w:sz w:val="36"/>
          <w:szCs w:val="36"/>
          <w:highlight w:val="none"/>
        </w:rPr>
      </w:pPr>
    </w:p>
    <w:p>
      <w:pPr>
        <w:spacing w:line="360" w:lineRule="auto"/>
        <w:ind w:firstLine="240" w:firstLineChars="100"/>
        <w:rPr>
          <w:rFonts w:hint="eastAsia" w:ascii="仿宋" w:hAnsi="仿宋" w:eastAsia="仿宋" w:cs="仿宋"/>
          <w:sz w:val="24"/>
          <w:highlight w:val="none"/>
          <w:lang w:eastAsia="zh-CN"/>
        </w:rPr>
      </w:pPr>
    </w:p>
    <w:p>
      <w:pPr>
        <w:spacing w:line="360" w:lineRule="auto"/>
        <w:ind w:firstLine="240" w:firstLineChars="100"/>
        <w:rPr>
          <w:rFonts w:hint="default" w:ascii="仿宋" w:hAnsi="仿宋" w:eastAsia="仿宋" w:cs="仿宋"/>
          <w:sz w:val="24"/>
          <w:highlight w:val="none"/>
          <w:u w:val="single"/>
          <w:lang w:val="en-US" w:eastAsia="zh-CN"/>
        </w:rPr>
      </w:pPr>
      <w:r>
        <w:rPr>
          <w:rFonts w:hint="eastAsia" w:ascii="仿宋" w:hAnsi="仿宋" w:eastAsia="仿宋" w:cs="仿宋"/>
          <w:sz w:val="24"/>
          <w:highlight w:val="none"/>
          <w:lang w:eastAsia="zh-CN"/>
        </w:rPr>
        <w:t>投标</w:t>
      </w:r>
      <w:r>
        <w:rPr>
          <w:rFonts w:hint="eastAsia" w:ascii="仿宋" w:hAnsi="仿宋" w:eastAsia="仿宋" w:cs="仿宋"/>
          <w:sz w:val="24"/>
          <w:highlight w:val="none"/>
        </w:rPr>
        <w:t>人</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rPr>
        <w:t>(盖章)：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p>
      <w:pPr>
        <w:spacing w:line="360" w:lineRule="auto"/>
        <w:ind w:firstLine="240" w:firstLineChars="100"/>
        <w:rPr>
          <w:rFonts w:hint="default" w:ascii="仿宋" w:hAnsi="仿宋" w:eastAsia="仿宋" w:cs="仿宋"/>
          <w:sz w:val="24"/>
          <w:highlight w:val="none"/>
          <w:lang w:val="en-US" w:eastAsia="zh-CN"/>
        </w:rPr>
      </w:pPr>
      <w:r>
        <w:rPr>
          <w:rFonts w:hint="eastAsia" w:ascii="仿宋" w:hAnsi="仿宋" w:eastAsia="仿宋" w:cs="仿宋"/>
          <w:sz w:val="24"/>
          <w:highlight w:val="none"/>
        </w:rPr>
        <w:t>法定代表人或委托代理人（签字或盖章）：</w:t>
      </w:r>
      <w:r>
        <w:rPr>
          <w:rFonts w:hint="eastAsia" w:ascii="仿宋" w:hAnsi="仿宋" w:eastAsia="仿宋" w:cs="仿宋"/>
          <w:sz w:val="24"/>
          <w:highlight w:val="none"/>
          <w:u w:val="single"/>
          <w:lang w:val="en-US" w:eastAsia="zh-CN"/>
        </w:rPr>
        <w:t xml:space="preserve">                </w:t>
      </w:r>
    </w:p>
    <w:p>
      <w:pPr>
        <w:spacing w:line="360" w:lineRule="auto"/>
        <w:jc w:val="right"/>
        <w:rPr>
          <w:rFonts w:hint="eastAsia" w:ascii="仿宋" w:hAnsi="仿宋" w:eastAsia="仿宋" w:cs="仿宋"/>
          <w:szCs w:val="21"/>
          <w:highlight w:val="none"/>
        </w:rPr>
      </w:pPr>
      <w:r>
        <w:rPr>
          <w:rFonts w:hint="eastAsia" w:ascii="仿宋" w:hAnsi="仿宋" w:eastAsia="仿宋" w:cs="仿宋"/>
          <w:sz w:val="24"/>
          <w:highlight w:val="none"/>
        </w:rPr>
        <w:t>报价日期：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24"/>
          <w:highlight w:val="none"/>
        </w:rPr>
      </w:pPr>
    </w:p>
    <w:p>
      <w:pPr>
        <w:spacing w:line="360" w:lineRule="auto"/>
        <w:jc w:val="both"/>
        <w:rPr>
          <w:rFonts w:hint="eastAsia" w:ascii="仿宋" w:hAnsi="仿宋" w:eastAsia="仿宋" w:cs="仿宋"/>
          <w:b/>
          <w:sz w:val="28"/>
          <w:szCs w:val="28"/>
          <w:highlight w:val="none"/>
        </w:rPr>
      </w:pPr>
    </w:p>
    <w:p>
      <w:pPr>
        <w:spacing w:line="360" w:lineRule="auto"/>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格式8  商务条款偏离表</w:t>
      </w:r>
    </w:p>
    <w:p>
      <w:pPr>
        <w:spacing w:line="360" w:lineRule="auto"/>
        <w:rPr>
          <w:rFonts w:hint="eastAsia" w:ascii="仿宋" w:hAnsi="仿宋" w:eastAsia="仿宋" w:cs="仿宋"/>
          <w:b/>
          <w:bCs/>
          <w:sz w:val="24"/>
          <w:highlight w:val="none"/>
        </w:rPr>
      </w:pP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项目名称：                     标项：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228"/>
        <w:gridCol w:w="2228"/>
        <w:gridCol w:w="2228"/>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条款序号</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招标商务条款</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投标商务条款</w:t>
            </w:r>
          </w:p>
        </w:tc>
        <w:tc>
          <w:tcPr>
            <w:tcW w:w="2228" w:type="dxa"/>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c>
          <w:tcPr>
            <w:tcW w:w="2228" w:type="dxa"/>
            <w:vAlign w:val="center"/>
          </w:tcPr>
          <w:p>
            <w:pP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27"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c>
          <w:tcPr>
            <w:tcW w:w="2228" w:type="dxa"/>
            <w:vAlign w:val="center"/>
          </w:tcPr>
          <w:p>
            <w:pPr>
              <w:spacing w:line="360" w:lineRule="auto"/>
              <w:jc w:val="center"/>
              <w:rPr>
                <w:rFonts w:hint="eastAsia" w:ascii="仿宋" w:hAnsi="仿宋" w:eastAsia="仿宋" w:cs="仿宋"/>
                <w:sz w:val="24"/>
                <w:highlight w:val="none"/>
              </w:rPr>
            </w:pPr>
          </w:p>
        </w:tc>
      </w:tr>
    </w:tbl>
    <w:p>
      <w:pPr>
        <w:rPr>
          <w:rFonts w:hint="eastAsia" w:ascii="仿宋" w:hAnsi="仿宋" w:eastAsia="仿宋" w:cs="仿宋"/>
          <w:highlight w:val="none"/>
        </w:rPr>
      </w:pPr>
    </w:p>
    <w:p>
      <w:pPr>
        <w:ind w:firstLine="482" w:firstLineChars="200"/>
        <w:rPr>
          <w:rFonts w:hint="eastAsia" w:ascii="仿宋" w:hAnsi="仿宋" w:eastAsia="仿宋" w:cs="仿宋"/>
          <w:bCs/>
          <w:sz w:val="24"/>
          <w:highlight w:val="none"/>
        </w:rPr>
      </w:pPr>
      <w:r>
        <w:rPr>
          <w:rFonts w:hint="eastAsia" w:ascii="仿宋" w:hAnsi="仿宋" w:eastAsia="仿宋" w:cs="仿宋"/>
          <w:b/>
          <w:bCs/>
          <w:sz w:val="24"/>
          <w:highlight w:val="none"/>
        </w:rPr>
        <w:t>注：投标人按此表格式列出不影响投标实质性响应的商务偏差，没有说明的其他条款将被认为完全满足招标文件的规定。</w:t>
      </w:r>
    </w:p>
    <w:p>
      <w:pPr>
        <w:pStyle w:val="11"/>
        <w:spacing w:line="360" w:lineRule="auto"/>
        <w:ind w:firstLine="480" w:firstLineChars="200"/>
        <w:rPr>
          <w:rFonts w:hint="eastAsia" w:ascii="仿宋" w:hAnsi="仿宋" w:eastAsia="仿宋" w:cs="仿宋"/>
          <w:bCs/>
          <w:sz w:val="24"/>
          <w:szCs w:val="24"/>
          <w:highlight w:val="none"/>
        </w:rPr>
      </w:pPr>
    </w:p>
    <w:p>
      <w:pPr>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lang w:val="en-US" w:eastAsia="zh-CN"/>
        </w:rPr>
        <w:t>名称</w:t>
      </w:r>
      <w:r>
        <w:rPr>
          <w:rFonts w:hint="eastAsia" w:ascii="仿宋" w:hAnsi="仿宋" w:eastAsia="仿宋" w:cs="仿宋"/>
          <w:sz w:val="24"/>
          <w:highlight w:val="none"/>
        </w:rPr>
        <w:t>(盖章)：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pPr>
        <w:ind w:firstLine="480" w:firstLineChars="200"/>
        <w:rPr>
          <w:rFonts w:hint="eastAsia" w:ascii="仿宋" w:hAnsi="仿宋" w:eastAsia="仿宋" w:cs="仿宋"/>
          <w:sz w:val="24"/>
          <w:highlight w:val="none"/>
        </w:rPr>
      </w:pPr>
    </w:p>
    <w:p>
      <w:pPr>
        <w:ind w:firstLine="480" w:firstLineChars="200"/>
        <w:rPr>
          <w:rFonts w:hint="eastAsia" w:ascii="仿宋" w:hAnsi="仿宋" w:eastAsia="仿宋" w:cs="仿宋"/>
          <w:sz w:val="24"/>
          <w:highlight w:val="none"/>
        </w:rPr>
      </w:pPr>
    </w:p>
    <w:p>
      <w:pPr>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法定代表人或委托代理人（签字或盖章）：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pPr>
        <w:ind w:firstLine="480" w:firstLineChars="200"/>
        <w:rPr>
          <w:rFonts w:hint="eastAsia" w:ascii="仿宋" w:hAnsi="仿宋" w:eastAsia="仿宋" w:cs="仿宋"/>
          <w:sz w:val="24"/>
          <w:highlight w:val="none"/>
        </w:rPr>
      </w:pPr>
    </w:p>
    <w:p>
      <w:pPr>
        <w:ind w:firstLine="480" w:firstLineChars="200"/>
        <w:rPr>
          <w:rFonts w:hint="eastAsia" w:ascii="仿宋" w:hAnsi="仿宋" w:eastAsia="仿宋" w:cs="仿宋"/>
          <w:sz w:val="24"/>
          <w:highlight w:val="none"/>
        </w:rPr>
      </w:pPr>
    </w:p>
    <w:p>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rPr>
          <w:rFonts w:hint="eastAsia" w:ascii="仿宋" w:hAnsi="仿宋" w:eastAsia="仿宋" w:cs="仿宋"/>
          <w:b/>
          <w:bCs/>
          <w:sz w:val="24"/>
          <w:highlight w:val="none"/>
        </w:rPr>
      </w:pPr>
    </w:p>
    <w:p>
      <w:pPr>
        <w:rPr>
          <w:rFonts w:hint="eastAsia" w:ascii="仿宋" w:hAnsi="仿宋" w:eastAsia="仿宋" w:cs="仿宋"/>
          <w:b/>
          <w:bCs/>
          <w:sz w:val="24"/>
          <w:highlight w:val="none"/>
        </w:rPr>
      </w:pPr>
    </w:p>
    <w:p>
      <w:pPr>
        <w:rPr>
          <w:rFonts w:hint="eastAsia" w:ascii="仿宋" w:hAnsi="仿宋" w:eastAsia="仿宋" w:cs="仿宋"/>
          <w:b/>
          <w:bCs/>
          <w:sz w:val="24"/>
          <w:highlight w:val="none"/>
        </w:rPr>
      </w:pP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格式9  中小企业声明函</w:t>
      </w:r>
    </w:p>
    <w:p>
      <w:pPr>
        <w:tabs>
          <w:tab w:val="left" w:pos="6300"/>
        </w:tabs>
        <w:snapToGrid w:val="0"/>
        <w:spacing w:line="500" w:lineRule="exact"/>
        <w:ind w:firstLine="720" w:firstLineChars="200"/>
        <w:jc w:val="center"/>
        <w:outlineLvl w:val="0"/>
        <w:rPr>
          <w:rFonts w:hint="eastAsia" w:ascii="仿宋" w:hAnsi="仿宋" w:eastAsia="仿宋" w:cs="仿宋"/>
          <w:sz w:val="36"/>
          <w:szCs w:val="36"/>
          <w:highlight w:val="none"/>
        </w:rPr>
      </w:pP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color w:val="000000" w:themeColor="text1"/>
          <w:sz w:val="24"/>
          <w:highlight w:val="none"/>
          <w:u w:val="single"/>
          <w14:textFill>
            <w14:solidFill>
              <w14:schemeClr w14:val="tx1"/>
            </w14:solidFill>
          </w14:textFill>
        </w:rPr>
        <w:t xml:space="preserve"> （单位名称）</w:t>
      </w:r>
      <w:r>
        <w:rPr>
          <w:rFonts w:hint="eastAsia" w:ascii="仿宋" w:hAnsi="仿宋" w:eastAsia="仿宋" w:cs="仿宋"/>
          <w:color w:val="000000" w:themeColor="text1"/>
          <w:sz w:val="24"/>
          <w:highlight w:val="none"/>
          <w14:textFill>
            <w14:solidFill>
              <w14:schemeClr w14:val="tx1"/>
            </w14:solidFill>
          </w14:textFill>
        </w:rPr>
        <w:t xml:space="preserve"> 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 </w:t>
      </w:r>
      <w:r>
        <w:rPr>
          <w:rFonts w:hint="eastAsia" w:ascii="仿宋" w:hAnsi="仿宋" w:eastAsia="仿宋" w:cs="仿宋"/>
          <w:color w:val="000000" w:themeColor="text1"/>
          <w:sz w:val="24"/>
          <w:highlight w:val="none"/>
          <w:u w:val="single"/>
          <w14:textFill>
            <w14:solidFill>
              <w14:schemeClr w14:val="tx1"/>
            </w14:solidFill>
          </w14:textFill>
        </w:rPr>
        <w:t xml:space="preserve">（标的名称） </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 xml:space="preserve">（企业名称） </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 ，属于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 </w:t>
      </w:r>
      <w:r>
        <w:rPr>
          <w:rFonts w:hint="eastAsia" w:ascii="仿宋" w:hAnsi="仿宋" w:eastAsia="仿宋" w:cs="仿宋"/>
          <w:color w:val="000000" w:themeColor="text1"/>
          <w:sz w:val="24"/>
          <w:highlight w:val="none"/>
          <w:u w:val="single"/>
          <w14:textFill>
            <w14:solidFill>
              <w14:schemeClr w14:val="tx1"/>
            </w14:solidFill>
          </w14:textFill>
        </w:rPr>
        <w:t xml:space="preserve">（标的名称）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 xml:space="preserve">（企业名称） </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firstLine="480"/>
        <w:rPr>
          <w:rFonts w:hint="eastAsia" w:ascii="仿宋" w:hAnsi="仿宋" w:eastAsia="仿宋" w:cs="仿宋"/>
          <w:sz w:val="24"/>
          <w:highlight w:val="none"/>
        </w:rPr>
      </w:pPr>
    </w:p>
    <w:p>
      <w:pPr>
        <w:spacing w:line="360" w:lineRule="auto"/>
        <w:ind w:firstLine="5280" w:firstLineChars="2200"/>
        <w:rPr>
          <w:rFonts w:hint="default" w:ascii="仿宋" w:hAnsi="仿宋" w:eastAsia="仿宋" w:cs="仿宋"/>
          <w:sz w:val="24"/>
          <w:highlight w:val="none"/>
          <w:lang w:val="en-US" w:eastAsia="zh-CN"/>
        </w:rPr>
      </w:pPr>
      <w:r>
        <w:rPr>
          <w:rFonts w:hint="eastAsia" w:ascii="仿宋" w:hAnsi="仿宋" w:eastAsia="仿宋" w:cs="仿宋"/>
          <w:sz w:val="24"/>
          <w:highlight w:val="none"/>
        </w:rPr>
        <w:t>企业名称（盖章）：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pPr>
        <w:pStyle w:val="11"/>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11"/>
        <w:spacing w:line="360" w:lineRule="auto"/>
        <w:ind w:firstLine="5280" w:firstLineChars="2200"/>
        <w:rPr>
          <w:rFonts w:hint="default" w:ascii="仿宋" w:hAnsi="仿宋" w:eastAsia="仿宋" w:cs="仿宋"/>
          <w:sz w:val="24"/>
          <w:szCs w:val="24"/>
          <w:highlight w:val="none"/>
          <w:lang w:val="en-US" w:eastAsia="zh-CN"/>
        </w:rPr>
        <w:sectPr>
          <w:footerReference r:id="rId8" w:type="default"/>
          <w:pgSz w:w="11907" w:h="16840"/>
          <w:pgMar w:top="1440" w:right="1080" w:bottom="1440" w:left="1080" w:header="964" w:footer="992" w:gutter="0"/>
          <w:pgNumType w:fmt="decimal" w:start="1"/>
          <w:cols w:space="720" w:num="1"/>
          <w:docGrid w:linePitch="354" w:charSpace="0"/>
        </w:sect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格式10 近三年（20</w:t>
      </w:r>
      <w:r>
        <w:rPr>
          <w:rFonts w:hint="eastAsia" w:ascii="仿宋" w:hAnsi="仿宋" w:eastAsia="仿宋" w:cs="仿宋"/>
          <w:b/>
          <w:bCs/>
          <w:sz w:val="24"/>
          <w:highlight w:val="none"/>
          <w:lang w:val="en-US" w:eastAsia="zh-CN"/>
        </w:rPr>
        <w:t>20</w:t>
      </w:r>
      <w:r>
        <w:rPr>
          <w:rFonts w:hint="eastAsia" w:ascii="仿宋" w:hAnsi="仿宋" w:eastAsia="仿宋" w:cs="仿宋"/>
          <w:b/>
          <w:bCs/>
          <w:sz w:val="24"/>
          <w:highlight w:val="none"/>
        </w:rPr>
        <w:t>年1月1日至今）同类项目业绩表</w:t>
      </w:r>
    </w:p>
    <w:tbl>
      <w:tblPr>
        <w:tblStyle w:val="22"/>
        <w:tblpPr w:leftFromText="180" w:rightFromText="180" w:vertAnchor="text" w:horzAnchor="page" w:tblpX="1018"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609"/>
        <w:gridCol w:w="10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tcBorders>
            <w:noWrap w:val="0"/>
            <w:vAlign w:val="bottom"/>
          </w:tcPr>
          <w:p>
            <w:pPr>
              <w:spacing w:line="360" w:lineRule="auto"/>
              <w:ind w:firstLine="105" w:firstLineChars="50"/>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年份</w:t>
            </w:r>
          </w:p>
        </w:tc>
        <w:tc>
          <w:tcPr>
            <w:tcW w:w="1440" w:type="dxa"/>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项目名称</w:t>
            </w:r>
          </w:p>
        </w:tc>
        <w:tc>
          <w:tcPr>
            <w:tcW w:w="1320" w:type="dxa"/>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用户名称</w:t>
            </w:r>
          </w:p>
        </w:tc>
        <w:tc>
          <w:tcPr>
            <w:tcW w:w="1161" w:type="dxa"/>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完成时间</w:t>
            </w:r>
          </w:p>
        </w:tc>
        <w:tc>
          <w:tcPr>
            <w:tcW w:w="1260" w:type="dxa"/>
            <w:noWrap w:val="0"/>
            <w:vAlign w:val="bottom"/>
          </w:tcPr>
          <w:p>
            <w:pPr>
              <w:spacing w:line="360" w:lineRule="auto"/>
              <w:ind w:firstLine="105" w:firstLineChars="50"/>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合同金额</w:t>
            </w:r>
          </w:p>
        </w:tc>
        <w:tc>
          <w:tcPr>
            <w:tcW w:w="1374" w:type="dxa"/>
            <w:gridSpan w:val="3"/>
            <w:tcBorders>
              <w:right w:val="single" w:color="auto" w:sz="4" w:space="0"/>
            </w:tcBorders>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完成项目质量</w:t>
            </w:r>
          </w:p>
        </w:tc>
        <w:tc>
          <w:tcPr>
            <w:tcW w:w="1609" w:type="dxa"/>
            <w:tcBorders>
              <w:left w:val="single" w:color="auto" w:sz="4" w:space="0"/>
            </w:tcBorders>
            <w:noWrap w:val="0"/>
            <w:vAlign w:val="bottom"/>
          </w:tcPr>
          <w:p>
            <w:pPr>
              <w:spacing w:line="360" w:lineRule="auto"/>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用户联系电话</w:t>
            </w:r>
          </w:p>
        </w:tc>
        <w:tc>
          <w:tcPr>
            <w:tcW w:w="1001" w:type="dxa"/>
            <w:tcBorders>
              <w:left w:val="single" w:color="auto" w:sz="4" w:space="0"/>
            </w:tcBorders>
            <w:noWrap w:val="0"/>
            <w:vAlign w:val="bottom"/>
          </w:tcPr>
          <w:p>
            <w:pPr>
              <w:spacing w:line="360" w:lineRule="auto"/>
              <w:ind w:firstLine="102" w:firstLineChars="49"/>
              <w:jc w:val="center"/>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0" w:type="dxa"/>
            <w:noWrap w:val="0"/>
            <w:vAlign w:val="center"/>
          </w:tcPr>
          <w:p>
            <w:pPr>
              <w:spacing w:line="360" w:lineRule="auto"/>
              <w:jc w:val="center"/>
              <w:rPr>
                <w:rFonts w:hint="eastAsia" w:ascii="仿宋" w:hAnsi="仿宋" w:eastAsia="仿宋" w:cs="仿宋"/>
                <w:b w:val="0"/>
                <w:bCs/>
                <w:color w:val="auto"/>
                <w:highlight w:val="none"/>
              </w:rPr>
            </w:pPr>
          </w:p>
        </w:tc>
        <w:tc>
          <w:tcPr>
            <w:tcW w:w="1374" w:type="dxa"/>
            <w:gridSpan w:val="3"/>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440"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320"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161"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269" w:type="dxa"/>
            <w:gridSpan w:val="2"/>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365" w:type="dxa"/>
            <w:gridSpan w:val="2"/>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609" w:type="dxa"/>
            <w:tcBorders>
              <w:lef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rPr>
                <w:rFonts w:hint="eastAsia" w:ascii="仿宋" w:hAnsi="仿宋" w:eastAsia="仿宋" w:cs="仿宋"/>
                <w:b w:val="0"/>
                <w:bCs/>
                <w:color w:val="auto"/>
                <w:highlight w:val="none"/>
              </w:rPr>
            </w:pPr>
          </w:p>
        </w:tc>
        <w:tc>
          <w:tcPr>
            <w:tcW w:w="1440" w:type="dxa"/>
            <w:noWrap w:val="0"/>
            <w:vAlign w:val="center"/>
          </w:tcPr>
          <w:p>
            <w:pPr>
              <w:spacing w:line="360" w:lineRule="auto"/>
              <w:rPr>
                <w:rFonts w:hint="eastAsia" w:ascii="仿宋" w:hAnsi="仿宋" w:eastAsia="仿宋" w:cs="仿宋"/>
                <w:b w:val="0"/>
                <w:bCs/>
                <w:color w:val="auto"/>
                <w:highlight w:val="none"/>
              </w:rPr>
            </w:pPr>
          </w:p>
        </w:tc>
        <w:tc>
          <w:tcPr>
            <w:tcW w:w="1320" w:type="dxa"/>
            <w:noWrap w:val="0"/>
            <w:vAlign w:val="center"/>
          </w:tcPr>
          <w:p>
            <w:pPr>
              <w:spacing w:line="360" w:lineRule="auto"/>
              <w:rPr>
                <w:rFonts w:hint="eastAsia" w:ascii="仿宋" w:hAnsi="仿宋" w:eastAsia="仿宋" w:cs="仿宋"/>
                <w:b w:val="0"/>
                <w:bCs/>
                <w:color w:val="auto"/>
                <w:highlight w:val="none"/>
              </w:rPr>
            </w:pPr>
          </w:p>
        </w:tc>
        <w:tc>
          <w:tcPr>
            <w:tcW w:w="1161" w:type="dxa"/>
            <w:noWrap w:val="0"/>
            <w:vAlign w:val="center"/>
          </w:tcPr>
          <w:p>
            <w:pPr>
              <w:spacing w:line="360" w:lineRule="auto"/>
              <w:rPr>
                <w:rFonts w:hint="eastAsia" w:ascii="仿宋" w:hAnsi="仿宋" w:eastAsia="仿宋" w:cs="仿宋"/>
                <w:b w:val="0"/>
                <w:bCs/>
                <w:color w:val="auto"/>
                <w:highlight w:val="none"/>
              </w:rPr>
            </w:pPr>
          </w:p>
        </w:tc>
        <w:tc>
          <w:tcPr>
            <w:tcW w:w="1269" w:type="dxa"/>
            <w:gridSpan w:val="2"/>
            <w:tcBorders>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356" w:type="dxa"/>
            <w:tcBorders>
              <w:left w:val="single" w:color="auto" w:sz="4" w:space="0"/>
              <w:righ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618" w:type="dxa"/>
            <w:gridSpan w:val="2"/>
            <w:tcBorders>
              <w:left w:val="single" w:color="auto" w:sz="4" w:space="0"/>
            </w:tcBorders>
            <w:noWrap w:val="0"/>
            <w:vAlign w:val="center"/>
          </w:tcPr>
          <w:p>
            <w:pPr>
              <w:spacing w:line="360" w:lineRule="auto"/>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noWrap w:val="0"/>
            <w:vAlign w:val="center"/>
          </w:tcPr>
          <w:p>
            <w:pPr>
              <w:spacing w:line="360" w:lineRule="auto"/>
              <w:jc w:val="center"/>
              <w:rPr>
                <w:rFonts w:hint="eastAsia" w:ascii="仿宋" w:hAnsi="仿宋" w:eastAsia="仿宋" w:cs="仿宋"/>
                <w:b w:val="0"/>
                <w:bCs/>
                <w:color w:val="auto"/>
                <w:highlight w:val="none"/>
              </w:rPr>
            </w:pPr>
          </w:p>
        </w:tc>
        <w:tc>
          <w:tcPr>
            <w:tcW w:w="1440" w:type="dxa"/>
            <w:noWrap w:val="0"/>
            <w:vAlign w:val="center"/>
          </w:tcPr>
          <w:p>
            <w:pPr>
              <w:spacing w:line="360" w:lineRule="auto"/>
              <w:jc w:val="center"/>
              <w:rPr>
                <w:rFonts w:hint="eastAsia" w:ascii="仿宋" w:hAnsi="仿宋" w:eastAsia="仿宋" w:cs="仿宋"/>
                <w:b w:val="0"/>
                <w:bCs/>
                <w:color w:val="auto"/>
                <w:highlight w:val="none"/>
              </w:rPr>
            </w:pPr>
          </w:p>
        </w:tc>
        <w:tc>
          <w:tcPr>
            <w:tcW w:w="1320" w:type="dxa"/>
            <w:noWrap w:val="0"/>
            <w:vAlign w:val="center"/>
          </w:tcPr>
          <w:p>
            <w:pPr>
              <w:spacing w:line="360" w:lineRule="auto"/>
              <w:jc w:val="center"/>
              <w:rPr>
                <w:rFonts w:hint="eastAsia" w:ascii="仿宋" w:hAnsi="仿宋" w:eastAsia="仿宋" w:cs="仿宋"/>
                <w:b w:val="0"/>
                <w:bCs/>
                <w:color w:val="auto"/>
                <w:highlight w:val="none"/>
              </w:rPr>
            </w:pPr>
          </w:p>
        </w:tc>
        <w:tc>
          <w:tcPr>
            <w:tcW w:w="1161" w:type="dxa"/>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lef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trPr>
        <w:tc>
          <w:tcPr>
            <w:tcW w:w="7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44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20"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161"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269" w:type="dxa"/>
            <w:gridSpan w:val="2"/>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618" w:type="dxa"/>
            <w:gridSpan w:val="2"/>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val="0"/>
                <w:bCs/>
                <w:color w:val="auto"/>
                <w:highlight w:val="none"/>
              </w:rPr>
            </w:pPr>
          </w:p>
        </w:tc>
        <w:tc>
          <w:tcPr>
            <w:tcW w:w="1001" w:type="dxa"/>
            <w:tcBorders>
              <w:top w:val="single" w:color="auto" w:sz="4" w:space="0"/>
              <w:left w:val="single" w:color="auto" w:sz="4" w:space="0"/>
              <w:bottom w:val="single" w:color="auto" w:sz="4" w:space="0"/>
            </w:tcBorders>
            <w:noWrap w:val="0"/>
            <w:vAlign w:val="top"/>
          </w:tcPr>
          <w:p>
            <w:pPr>
              <w:spacing w:line="360" w:lineRule="auto"/>
              <w:jc w:val="center"/>
              <w:rPr>
                <w:rFonts w:hint="eastAsia" w:ascii="仿宋" w:hAnsi="仿宋" w:eastAsia="仿宋" w:cs="仿宋"/>
                <w:b w:val="0"/>
                <w:bCs/>
                <w:color w:val="auto"/>
                <w:highlight w:val="none"/>
              </w:rPr>
            </w:pPr>
          </w:p>
        </w:tc>
      </w:tr>
    </w:tbl>
    <w:p>
      <w:pPr>
        <w:rPr>
          <w:rFonts w:hint="eastAsia" w:ascii="仿宋" w:hAnsi="仿宋" w:eastAsia="仿宋" w:cs="仿宋"/>
          <w:b/>
          <w:bCs/>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（仅限于</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自身实施的）以上业绩需提供有关书面证明材料</w:t>
      </w:r>
      <w:r>
        <w:rPr>
          <w:rFonts w:hint="eastAsia" w:ascii="仿宋" w:hAnsi="仿宋" w:eastAsia="仿宋" w:cs="仿宋"/>
          <w:b/>
          <w:bCs/>
          <w:color w:val="auto"/>
          <w:sz w:val="21"/>
          <w:szCs w:val="21"/>
          <w:highlight w:val="none"/>
          <w:lang w:eastAsia="zh-CN"/>
        </w:rPr>
        <w:t>（如中标通知书</w:t>
      </w:r>
      <w:r>
        <w:rPr>
          <w:rFonts w:hint="eastAsia" w:ascii="仿宋" w:hAnsi="仿宋" w:eastAsia="仿宋" w:cs="仿宋"/>
          <w:b/>
          <w:bCs/>
          <w:color w:val="auto"/>
          <w:sz w:val="21"/>
          <w:szCs w:val="21"/>
          <w:highlight w:val="none"/>
          <w:lang w:val="en-US" w:eastAsia="zh-CN"/>
        </w:rPr>
        <w:t>/成交通知书或采购合同</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。“合同金额”需提供合同复印件；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sectPr>
          <w:footerReference r:id="rId9" w:type="default"/>
          <w:pgSz w:w="11906" w:h="16838"/>
          <w:pgMar w:top="1440" w:right="1080" w:bottom="1440" w:left="1080" w:header="851" w:footer="992" w:gutter="0"/>
          <w:pgNumType w:fmt="decimal"/>
          <w:cols w:space="720" w:num="1"/>
          <w:docGrid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格式</w:t>
      </w:r>
      <w:r>
        <w:rPr>
          <w:rFonts w:hint="eastAsia" w:ascii="仿宋" w:hAnsi="仿宋" w:eastAsia="仿宋" w:cs="仿宋"/>
          <w:b/>
          <w:bCs/>
          <w:sz w:val="24"/>
          <w:highlight w:val="none"/>
          <w:lang w:val="en-US" w:eastAsia="zh-CN"/>
        </w:rPr>
        <w:t>11</w:t>
      </w: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承 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致：</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（采购人名称）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我公司针对本项目做出以下承诺：</w:t>
      </w:r>
      <w:r>
        <w:rPr>
          <w:rFonts w:hint="eastAsia" w:ascii="仿宋" w:hAnsi="仿宋" w:eastAsia="仿宋" w:cs="仿宋"/>
          <w:b w:val="0"/>
          <w:bCs w:val="0"/>
          <w:sz w:val="24"/>
          <w:highlight w:val="none"/>
          <w:lang w:val="en-US" w:eastAsia="zh-CN"/>
        </w:rPr>
        <w:br w:type="textWrapping"/>
      </w:r>
      <w:r>
        <w:rPr>
          <w:rFonts w:hint="eastAsia" w:ascii="仿宋" w:hAnsi="仿宋" w:eastAsia="仿宋" w:cs="仿宋"/>
          <w:b w:val="0"/>
          <w:bCs w:val="0"/>
          <w:sz w:val="24"/>
          <w:highlight w:val="none"/>
          <w:lang w:val="en-US" w:eastAsia="zh-CN"/>
        </w:rPr>
        <w:t>1、我方承诺报价下浮率根据本地中心夜市农贸市场价格进行下浮；</w:t>
      </w:r>
      <w:r>
        <w:rPr>
          <w:rFonts w:hint="eastAsia" w:ascii="仿宋" w:hAnsi="仿宋" w:eastAsia="仿宋" w:cs="仿宋"/>
          <w:b w:val="0"/>
          <w:bCs w:val="0"/>
          <w:sz w:val="24"/>
          <w:highlight w:val="none"/>
          <w:lang w:val="en-US" w:eastAsia="zh-CN"/>
        </w:rPr>
        <w:br w:type="textWrapping"/>
      </w:r>
      <w:r>
        <w:rPr>
          <w:rFonts w:hint="eastAsia" w:ascii="仿宋" w:hAnsi="仿宋" w:eastAsia="仿宋" w:cs="仿宋"/>
          <w:b w:val="0"/>
          <w:bCs w:val="0"/>
          <w:sz w:val="24"/>
          <w:highlight w:val="none"/>
          <w:lang w:val="en-US" w:eastAsia="zh-CN"/>
        </w:rPr>
        <w:t>2、我方承诺若我方中标供货价格根据中标下浮率进行供货，若未按照承诺下浮价格进行配送的，愿意按照甲方合同条款中的处罚办法进行处罚；</w:t>
      </w:r>
      <w:r>
        <w:rPr>
          <w:rFonts w:hint="eastAsia" w:ascii="仿宋" w:hAnsi="仿宋" w:eastAsia="仿宋" w:cs="仿宋"/>
          <w:b w:val="0"/>
          <w:bCs w:val="0"/>
          <w:sz w:val="24"/>
          <w:highlight w:val="none"/>
          <w:lang w:val="en-US" w:eastAsia="zh-CN"/>
        </w:rPr>
        <w:br w:type="textWrapping"/>
      </w:r>
      <w:r>
        <w:rPr>
          <w:rFonts w:hint="eastAsia" w:ascii="仿宋" w:hAnsi="仿宋" w:eastAsia="仿宋" w:cs="仿宋"/>
          <w:b w:val="0"/>
          <w:bCs w:val="0"/>
          <w:sz w:val="24"/>
          <w:highlight w:val="none"/>
          <w:lang w:val="en-US" w:eastAsia="zh-CN"/>
        </w:rPr>
        <w:t>3、我方承诺完全响应招标文件要求；</w:t>
      </w:r>
      <w:r>
        <w:rPr>
          <w:rFonts w:hint="eastAsia" w:ascii="仿宋" w:hAnsi="仿宋" w:eastAsia="仿宋" w:cs="仿宋"/>
          <w:b w:val="0"/>
          <w:bCs w:val="0"/>
          <w:sz w:val="24"/>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5986" w:leftChars="2736" w:hanging="240" w:hangingChars="100"/>
        <w:jc w:val="left"/>
        <w:textAlignment w:val="auto"/>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承诺人：</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986" w:leftChars="2736" w:hanging="240" w:hangingChars="100"/>
        <w:jc w:val="left"/>
        <w:textAlignment w:val="auto"/>
        <w:rPr>
          <w:rFonts w:hint="default"/>
          <w:highlight w:val="none"/>
          <w:lang w:val="en-US"/>
        </w:rPr>
        <w:sectPr>
          <w:pgSz w:w="11906" w:h="16838"/>
          <w:pgMar w:top="1440" w:right="1080" w:bottom="1440" w:left="1080" w:header="851" w:footer="992" w:gutter="0"/>
          <w:pgNumType w:fmt="decimal"/>
          <w:cols w:space="720" w:num="1"/>
          <w:docGrid w:linePitch="312" w:charSpace="0"/>
        </w:sectPr>
      </w:pPr>
      <w:r>
        <w:rPr>
          <w:rFonts w:hint="eastAsia" w:ascii="仿宋" w:hAnsi="仿宋" w:eastAsia="仿宋" w:cs="仿宋"/>
          <w:b w:val="0"/>
          <w:bCs w:val="0"/>
          <w:sz w:val="24"/>
          <w:highlight w:val="none"/>
          <w:lang w:val="en-US" w:eastAsia="zh-CN"/>
        </w:rPr>
        <w:t>日  期：</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年</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月</w:t>
      </w:r>
      <w:r>
        <w:rPr>
          <w:rFonts w:hint="eastAsia" w:ascii="仿宋" w:hAnsi="仿宋" w:eastAsia="仿宋" w:cs="仿宋"/>
          <w:b w:val="0"/>
          <w:bCs w:val="0"/>
          <w:sz w:val="24"/>
          <w:highlight w:val="none"/>
          <w:u w:val="single"/>
          <w:lang w:val="en-US" w:eastAsia="zh-CN"/>
        </w:rPr>
        <w:t xml:space="preserve">    </w:t>
      </w:r>
      <w:r>
        <w:rPr>
          <w:rFonts w:hint="eastAsia" w:ascii="仿宋" w:hAnsi="仿宋" w:eastAsia="仿宋" w:cs="仿宋"/>
          <w:b w:val="0"/>
          <w:bCs w:val="0"/>
          <w:sz w:val="24"/>
          <w:highlight w:val="none"/>
          <w:lang w:val="en-US" w:eastAsia="zh-CN"/>
        </w:rPr>
        <w:t>日</w:t>
      </w:r>
    </w:p>
    <w:p>
      <w:pPr>
        <w:pStyle w:val="5"/>
        <w:numPr>
          <w:ilvl w:val="0"/>
          <w:numId w:val="0"/>
        </w:numPr>
        <w:bidi w:val="0"/>
        <w:ind w:leftChars="0"/>
        <w:jc w:val="center"/>
        <w:rPr>
          <w:rFonts w:hint="eastAsia" w:ascii="仿宋" w:hAnsi="仿宋" w:eastAsia="仿宋" w:cs="仿宋"/>
          <w:sz w:val="32"/>
          <w:szCs w:val="32"/>
          <w:highlight w:val="none"/>
        </w:rPr>
      </w:pPr>
      <w:bookmarkStart w:id="195" w:name="_Toc9709"/>
      <w:r>
        <w:rPr>
          <w:rFonts w:hint="eastAsia" w:ascii="仿宋" w:hAnsi="仿宋" w:eastAsia="仿宋" w:cs="仿宋"/>
          <w:sz w:val="32"/>
          <w:szCs w:val="32"/>
          <w:highlight w:val="none"/>
        </w:rPr>
        <w:t>第六章  评审标准（综合评分法）</w:t>
      </w:r>
      <w:bookmarkEnd w:id="195"/>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1、资格性审查</w:t>
      </w:r>
    </w:p>
    <w:tbl>
      <w:tblPr>
        <w:tblStyle w:val="22"/>
        <w:tblW w:w="10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276"/>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907" w:type="dxa"/>
            <w:vAlign w:val="center"/>
          </w:tcPr>
          <w:p>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4276" w:type="dxa"/>
            <w:vAlign w:val="center"/>
          </w:tcPr>
          <w:p>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评审因素</w:t>
            </w:r>
          </w:p>
        </w:tc>
        <w:tc>
          <w:tcPr>
            <w:tcW w:w="5376" w:type="dxa"/>
            <w:vAlign w:val="center"/>
          </w:tcPr>
          <w:p>
            <w:pPr>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907" w:type="dxa"/>
            <w:vAlign w:val="center"/>
          </w:tcPr>
          <w:p>
            <w:pPr>
              <w:widowControl/>
              <w:spacing w:line="288"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2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投标人须符合《中华人民共和国政府采购法》第二十二条</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907" w:type="dxa"/>
            <w:vAlign w:val="center"/>
          </w:tcPr>
          <w:p>
            <w:pPr>
              <w:spacing w:before="59" w:line="33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2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依法取得企业营业执照及营业执照在有效期内且具有相应的经营范围</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907" w:type="dxa"/>
            <w:vAlign w:val="center"/>
          </w:tcPr>
          <w:p>
            <w:pPr>
              <w:spacing w:before="59" w:line="33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276" w:type="dxa"/>
            <w:vAlign w:val="center"/>
          </w:tcPr>
          <w:p>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highlight w:val="none"/>
                <w:lang w:val="en-US" w:eastAsia="zh-CN"/>
              </w:rPr>
              <w:t>标项1、2、8肉类、禽蛋供应商必须为生产厂家或生产厂家直营店，若为同一品牌的，只允许其中一位供应商进行投标，以最早发送报名资料的供应商为有效供应商。且需具备有效的《食品生产许可证》或《食品经营许可证》；还需具有《动物防疫条件合格证》或近期的检疫检验合格证明；</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907" w:type="dxa"/>
            <w:vAlign w:val="center"/>
          </w:tcPr>
          <w:p>
            <w:pPr>
              <w:spacing w:before="59" w:line="33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4276" w:type="dxa"/>
            <w:vAlign w:val="center"/>
          </w:tcPr>
          <w:p>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highlight w:val="none"/>
                <w:lang w:val="en-US" w:eastAsia="zh-CN"/>
              </w:rPr>
              <w:t>除标项6其余标项供应商若为生产厂家的需具备有效的《食品生产许可证》或《食品经营许可证》；若为经销商或自然人的需具备《食品经营许可证》(低值易耗品、初级农产品不提供)</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907" w:type="dxa"/>
            <w:vAlign w:val="center"/>
          </w:tcPr>
          <w:p>
            <w:pPr>
              <w:spacing w:before="59" w:line="33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4276" w:type="dxa"/>
            <w:vAlign w:val="center"/>
          </w:tcPr>
          <w:p>
            <w:pPr>
              <w:spacing w:line="240" w:lineRule="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供应商为中小企业</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907" w:type="dxa"/>
            <w:vAlign w:val="center"/>
          </w:tcPr>
          <w:p>
            <w:pPr>
              <w:spacing w:before="59" w:line="33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42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本项目不接受联合体投标人参加招标</w:t>
            </w:r>
          </w:p>
        </w:tc>
        <w:tc>
          <w:tcPr>
            <w:tcW w:w="5376" w:type="dxa"/>
            <w:vAlign w:val="center"/>
          </w:tcPr>
          <w:p>
            <w:pPr>
              <w:spacing w:before="59" w:line="330" w:lineRule="exact"/>
              <w:ind w:left="1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符合招标文件规定</w:t>
            </w:r>
          </w:p>
        </w:tc>
      </w:tr>
    </w:tbl>
    <w:p>
      <w:pPr>
        <w:spacing w:line="360" w:lineRule="auto"/>
        <w:rPr>
          <w:rFonts w:hint="eastAsia" w:ascii="仿宋" w:hAnsi="仿宋" w:eastAsia="仿宋" w:cs="仿宋"/>
          <w:b/>
          <w:bCs/>
          <w:sz w:val="24"/>
          <w:highlight w:val="none"/>
        </w:rPr>
      </w:pPr>
    </w:p>
    <w:p>
      <w:pPr>
        <w:spacing w:line="360" w:lineRule="auto"/>
        <w:rPr>
          <w:rFonts w:hint="eastAsia" w:ascii="仿宋" w:hAnsi="仿宋" w:eastAsia="仿宋" w:cs="仿宋"/>
          <w:b/>
          <w:bCs/>
          <w:sz w:val="24"/>
          <w:highlight w:val="none"/>
        </w:rPr>
      </w:pPr>
    </w:p>
    <w:p>
      <w:pPr>
        <w:pStyle w:val="2"/>
        <w:rPr>
          <w:rFonts w:hint="eastAsia"/>
          <w:highlight w:val="none"/>
        </w:rPr>
      </w:pPr>
    </w:p>
    <w:p>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2、符合性审查</w:t>
      </w:r>
    </w:p>
    <w:tbl>
      <w:tblPr>
        <w:tblStyle w:val="22"/>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40"/>
        <w:gridCol w:w="2365"/>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9" w:type="dxa"/>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3605" w:type="dxa"/>
            <w:gridSpan w:val="2"/>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评审因素</w:t>
            </w:r>
          </w:p>
        </w:tc>
        <w:tc>
          <w:tcPr>
            <w:tcW w:w="5815" w:type="dxa"/>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9"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240"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有效性审查</w:t>
            </w:r>
          </w:p>
        </w:tc>
        <w:tc>
          <w:tcPr>
            <w:tcW w:w="236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sz w:val="24"/>
                <w:highlight w:val="none"/>
              </w:rPr>
              <w:t>签署</w:t>
            </w:r>
          </w:p>
        </w:tc>
        <w:tc>
          <w:tcPr>
            <w:tcW w:w="581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sz w:val="24"/>
                <w:highlight w:val="none"/>
              </w:rPr>
              <w:t>中法定代表人或其委托代理人的签字或盖章齐全。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jc w:val="center"/>
              <w:rPr>
                <w:rFonts w:hint="eastAsia" w:ascii="仿宋" w:hAnsi="仿宋" w:eastAsia="仿宋" w:cs="仿宋"/>
                <w:kern w:val="0"/>
                <w:sz w:val="24"/>
                <w:highlight w:val="none"/>
              </w:rPr>
            </w:pP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rPr>
              <w:t>法定代表人身份证明及授权委托书</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rPr>
              <w:t>法定代表人身份证明及授权委托书有效，且符合招标文件规定的格式，签字或盖章齐全。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jc w:val="center"/>
              <w:rPr>
                <w:rFonts w:hint="eastAsia" w:ascii="仿宋" w:hAnsi="仿宋" w:eastAsia="仿宋" w:cs="仿宋"/>
                <w:kern w:val="0"/>
                <w:sz w:val="24"/>
                <w:highlight w:val="none"/>
              </w:rPr>
            </w:pP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投标方案</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jc w:val="center"/>
              <w:rPr>
                <w:rFonts w:hint="eastAsia" w:ascii="仿宋" w:hAnsi="仿宋" w:eastAsia="仿宋" w:cs="仿宋"/>
                <w:kern w:val="0"/>
                <w:sz w:val="24"/>
                <w:highlight w:val="none"/>
              </w:rPr>
            </w:pP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报价唯一</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679"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240"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完整性审查</w:t>
            </w:r>
          </w:p>
        </w:tc>
        <w:tc>
          <w:tcPr>
            <w:tcW w:w="236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投标文件内容</w:t>
            </w:r>
          </w:p>
        </w:tc>
        <w:tc>
          <w:tcPr>
            <w:tcW w:w="5815" w:type="dxa"/>
            <w:vAlign w:val="center"/>
          </w:tcPr>
          <w:p>
            <w:pPr>
              <w:spacing w:line="288"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9" w:type="dxa"/>
            <w:vMerge w:val="restart"/>
            <w:vAlign w:val="center"/>
          </w:tcPr>
          <w:p>
            <w:pPr>
              <w:spacing w:line="288"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240" w:type="dxa"/>
            <w:vMerge w:val="restart"/>
            <w:vAlign w:val="center"/>
          </w:tcPr>
          <w:p>
            <w:pPr>
              <w:spacing w:line="288" w:lineRule="auto"/>
              <w:jc w:val="center"/>
              <w:rPr>
                <w:rFonts w:hint="eastAsia" w:ascii="仿宋" w:hAnsi="仿宋" w:eastAsia="仿宋" w:cs="仿宋"/>
                <w:sz w:val="24"/>
                <w:highlight w:val="none"/>
                <w:lang w:val="zh-CN"/>
              </w:rPr>
            </w:pPr>
            <w:r>
              <w:rPr>
                <w:rFonts w:hint="eastAsia" w:ascii="仿宋" w:hAnsi="仿宋" w:eastAsia="仿宋" w:cs="仿宋"/>
                <w:kern w:val="0"/>
                <w:sz w:val="24"/>
                <w:highlight w:val="none"/>
              </w:rPr>
              <w:t>招标文件的响应程度审查</w:t>
            </w:r>
          </w:p>
        </w:tc>
        <w:tc>
          <w:tcPr>
            <w:tcW w:w="236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kern w:val="0"/>
                <w:sz w:val="24"/>
                <w:highlight w:val="none"/>
              </w:rPr>
              <w:t>内容</w:t>
            </w:r>
          </w:p>
        </w:tc>
        <w:tc>
          <w:tcPr>
            <w:tcW w:w="5815" w:type="dxa"/>
            <w:vAlign w:val="center"/>
          </w:tcPr>
          <w:p>
            <w:pPr>
              <w:pStyle w:val="13"/>
              <w:spacing w:line="288" w:lineRule="auto"/>
              <w:ind w:left="0" w:leftChars="0"/>
              <w:rPr>
                <w:rFonts w:hint="eastAsia" w:ascii="仿宋" w:hAnsi="仿宋" w:eastAsia="仿宋" w:cs="仿宋"/>
                <w:kern w:val="0"/>
                <w:sz w:val="24"/>
                <w:highlight w:val="none"/>
              </w:rPr>
            </w:pPr>
            <w:r>
              <w:rPr>
                <w:rFonts w:hint="eastAsia" w:ascii="仿宋" w:hAnsi="仿宋" w:eastAsia="仿宋" w:cs="仿宋"/>
                <w:kern w:val="0"/>
                <w:sz w:val="24"/>
                <w:highlight w:val="none"/>
              </w:rPr>
              <w:t>对招标文件规定的全部内容作出响应。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rPr>
                <w:rFonts w:hint="eastAsia" w:ascii="仿宋" w:hAnsi="仿宋" w:eastAsia="仿宋" w:cs="仿宋"/>
                <w:sz w:val="24"/>
                <w:highlight w:val="none"/>
                <w:lang w:val="zh-CN"/>
              </w:rPr>
            </w:pPr>
          </w:p>
        </w:tc>
        <w:tc>
          <w:tcPr>
            <w:tcW w:w="236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sz w:val="24"/>
                <w:highlight w:val="none"/>
                <w:lang w:val="zh-CN"/>
              </w:rPr>
              <w:t>投标文件</w:t>
            </w:r>
            <w:r>
              <w:rPr>
                <w:rFonts w:hint="eastAsia" w:ascii="仿宋" w:hAnsi="仿宋" w:eastAsia="仿宋" w:cs="仿宋"/>
                <w:kern w:val="0"/>
                <w:sz w:val="24"/>
                <w:highlight w:val="none"/>
              </w:rPr>
              <w:t>有效期</w:t>
            </w:r>
          </w:p>
        </w:tc>
        <w:tc>
          <w:tcPr>
            <w:tcW w:w="5815" w:type="dxa"/>
            <w:vAlign w:val="center"/>
          </w:tcPr>
          <w:p>
            <w:pPr>
              <w:spacing w:line="288"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满足招标文件</w:t>
            </w:r>
            <w:r>
              <w:rPr>
                <w:rFonts w:hint="eastAsia" w:ascii="仿宋" w:hAnsi="仿宋" w:eastAsia="仿宋" w:cs="仿宋"/>
                <w:sz w:val="24"/>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rPr>
                <w:rFonts w:hint="eastAsia" w:ascii="仿宋" w:hAnsi="仿宋" w:eastAsia="仿宋" w:cs="仿宋"/>
                <w:sz w:val="24"/>
                <w:highlight w:val="none"/>
                <w:lang w:val="zh-CN"/>
              </w:rPr>
            </w:pPr>
          </w:p>
        </w:tc>
        <w:tc>
          <w:tcPr>
            <w:tcW w:w="2365" w:type="dxa"/>
            <w:vAlign w:val="center"/>
          </w:tcPr>
          <w:p>
            <w:pPr>
              <w:spacing w:line="288"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供货期</w:t>
            </w:r>
          </w:p>
        </w:tc>
        <w:tc>
          <w:tcPr>
            <w:tcW w:w="5815"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lang w:val="zh-CN"/>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9" w:type="dxa"/>
            <w:vMerge w:val="continue"/>
            <w:vAlign w:val="center"/>
          </w:tcPr>
          <w:p>
            <w:pPr>
              <w:spacing w:line="288" w:lineRule="auto"/>
              <w:jc w:val="center"/>
              <w:rPr>
                <w:rFonts w:hint="eastAsia" w:ascii="仿宋" w:hAnsi="仿宋" w:eastAsia="仿宋" w:cs="仿宋"/>
                <w:kern w:val="0"/>
                <w:sz w:val="24"/>
                <w:highlight w:val="none"/>
              </w:rPr>
            </w:pPr>
          </w:p>
        </w:tc>
        <w:tc>
          <w:tcPr>
            <w:tcW w:w="1240" w:type="dxa"/>
            <w:vMerge w:val="continue"/>
            <w:vAlign w:val="center"/>
          </w:tcPr>
          <w:p>
            <w:pPr>
              <w:spacing w:line="288" w:lineRule="auto"/>
              <w:rPr>
                <w:rFonts w:hint="eastAsia" w:ascii="仿宋" w:hAnsi="仿宋" w:eastAsia="仿宋" w:cs="仿宋"/>
                <w:sz w:val="24"/>
                <w:highlight w:val="none"/>
                <w:lang w:val="zh-CN"/>
              </w:rPr>
            </w:pPr>
          </w:p>
        </w:tc>
        <w:tc>
          <w:tcPr>
            <w:tcW w:w="2365"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lang w:val="zh-CN"/>
              </w:rPr>
              <w:t>其他</w:t>
            </w:r>
          </w:p>
        </w:tc>
        <w:tc>
          <w:tcPr>
            <w:tcW w:w="5815" w:type="dxa"/>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lang w:val="zh-CN"/>
              </w:rPr>
              <w:t>满足招标文件相关规定。</w:t>
            </w:r>
          </w:p>
        </w:tc>
      </w:tr>
    </w:tbl>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注：以上评审内容，有一项不通过者，视为投标人初步评审不通过，未通过</w:t>
      </w:r>
      <w:r>
        <w:rPr>
          <w:rFonts w:hint="eastAsia" w:ascii="仿宋" w:hAnsi="仿宋" w:eastAsia="仿宋" w:cs="仿宋"/>
          <w:b/>
          <w:sz w:val="24"/>
          <w:szCs w:val="22"/>
          <w:highlight w:val="none"/>
        </w:rPr>
        <w:t>初审</w:t>
      </w:r>
      <w:r>
        <w:rPr>
          <w:rFonts w:hint="eastAsia" w:ascii="仿宋" w:hAnsi="仿宋" w:eastAsia="仿宋" w:cs="仿宋"/>
          <w:b/>
          <w:sz w:val="24"/>
          <w:highlight w:val="none"/>
        </w:rPr>
        <w:t>的其投标文件将按照无效响应处理。</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sz w:val="22"/>
          <w:szCs w:val="28"/>
          <w:highlight w:val="none"/>
        </w:rPr>
      </w:pPr>
      <w:r>
        <w:rPr>
          <w:rFonts w:hint="eastAsia" w:ascii="仿宋" w:hAnsi="仿宋" w:eastAsia="仿宋" w:cs="仿宋"/>
          <w:b/>
          <w:sz w:val="24"/>
          <w:highlight w:val="none"/>
        </w:rPr>
        <w:t>3、评标办法（综合评分法）</w:t>
      </w:r>
    </w:p>
    <w:tbl>
      <w:tblPr>
        <w:tblStyle w:val="22"/>
        <w:tblpPr w:leftFromText="180" w:rightFromText="180" w:vertAnchor="text" w:horzAnchor="margin" w:tblpXSpec="center" w:tblpY="222"/>
        <w:tblW w:w="10092" w:type="dxa"/>
        <w:jc w:val="center"/>
        <w:tblLayout w:type="fixed"/>
        <w:tblCellMar>
          <w:top w:w="0" w:type="dxa"/>
          <w:left w:w="108" w:type="dxa"/>
          <w:bottom w:w="0" w:type="dxa"/>
          <w:right w:w="108" w:type="dxa"/>
        </w:tblCellMar>
      </w:tblPr>
      <w:tblGrid>
        <w:gridCol w:w="804"/>
        <w:gridCol w:w="1332"/>
        <w:gridCol w:w="7188"/>
        <w:gridCol w:w="768"/>
      </w:tblGrid>
      <w:tr>
        <w:tblPrEx>
          <w:tblCellMar>
            <w:top w:w="0" w:type="dxa"/>
            <w:left w:w="108" w:type="dxa"/>
            <w:bottom w:w="0" w:type="dxa"/>
            <w:right w:w="108" w:type="dxa"/>
          </w:tblCellMar>
        </w:tblPrEx>
        <w:trPr>
          <w:trHeight w:val="90"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评审因素</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评审指标         </w:t>
            </w:r>
          </w:p>
        </w:tc>
        <w:tc>
          <w:tcPr>
            <w:tcW w:w="71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r>
      <w:tr>
        <w:tblPrEx>
          <w:tblCellMar>
            <w:top w:w="0" w:type="dxa"/>
            <w:left w:w="108" w:type="dxa"/>
            <w:bottom w:w="0" w:type="dxa"/>
            <w:right w:w="108" w:type="dxa"/>
          </w:tblCellMar>
        </w:tblPrEx>
        <w:trPr>
          <w:trHeight w:val="1555"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价格部分</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（权重</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投标报价</w:t>
            </w:r>
          </w:p>
        </w:tc>
        <w:tc>
          <w:tcPr>
            <w:tcW w:w="7188"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满足招标文件要求且所报承诺月结算下浮率（%）最低的投标人的下浮率其价格分为为基准价，得30分。投标下浮率以下浮点越多为最低。下浮率得分＝（ 报价下浮率/评标基准价）×30%×100 。 </w:t>
            </w:r>
          </w:p>
          <w:p>
            <w:pPr>
              <w:keepNext w:val="0"/>
              <w:keepLines w:val="0"/>
              <w:pageBreakBefore w:val="0"/>
              <w:kinsoku/>
              <w:wordWrap/>
              <w:overflowPunct/>
              <w:topLinePunct w:val="0"/>
              <w:autoSpaceDE/>
              <w:autoSpaceDN/>
              <w:bidi w:val="0"/>
              <w:adjustRightInd/>
              <w:snapToGrid/>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注：报价得分精确到小数点后两位；无效投标的报价不计入价格分值的计算。</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30</w:t>
            </w:r>
          </w:p>
        </w:tc>
      </w:tr>
      <w:tr>
        <w:tblPrEx>
          <w:tblCellMar>
            <w:top w:w="0" w:type="dxa"/>
            <w:left w:w="108" w:type="dxa"/>
            <w:bottom w:w="0" w:type="dxa"/>
            <w:right w:w="108" w:type="dxa"/>
          </w:tblCellMar>
        </w:tblPrEx>
        <w:trPr>
          <w:trHeight w:val="364" w:hRule="atLeast"/>
          <w:jc w:val="center"/>
        </w:trPr>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商务、技术部分（权重</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lang w:eastAsia="zh-CN"/>
              </w:rPr>
              <w:t>）</w:t>
            </w:r>
          </w:p>
        </w:tc>
        <w:tc>
          <w:tcPr>
            <w:tcW w:w="13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综合实力及</w:t>
            </w:r>
            <w:r>
              <w:rPr>
                <w:rFonts w:hint="eastAsia" w:ascii="仿宋" w:hAnsi="仿宋" w:eastAsia="仿宋" w:cs="仿宋"/>
                <w:color w:val="auto"/>
                <w:kern w:val="0"/>
                <w:sz w:val="24"/>
                <w:szCs w:val="24"/>
                <w:highlight w:val="none"/>
              </w:rPr>
              <w:t>履约能力</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投标人在合同履行地有生产、存储、保鲜场地、</w:t>
            </w:r>
            <w:r>
              <w:rPr>
                <w:rFonts w:hint="eastAsia" w:ascii="仿宋" w:hAnsi="仿宋" w:eastAsia="仿宋" w:cs="仿宋"/>
                <w:b w:val="0"/>
                <w:bCs w:val="0"/>
                <w:color w:val="auto"/>
                <w:kern w:val="2"/>
                <w:sz w:val="24"/>
                <w:szCs w:val="24"/>
                <w:highlight w:val="none"/>
                <w:lang w:val="en-US" w:eastAsia="zh-CN" w:bidi="ar-SA"/>
              </w:rPr>
              <w:t>实体店面，</w:t>
            </w:r>
            <w:r>
              <w:rPr>
                <w:rFonts w:hint="eastAsia" w:ascii="仿宋" w:hAnsi="仿宋" w:eastAsia="仿宋" w:cs="仿宋"/>
                <w:color w:val="auto"/>
                <w:kern w:val="0"/>
                <w:sz w:val="24"/>
                <w:szCs w:val="24"/>
                <w:highlight w:val="none"/>
                <w:lang w:val="en-US" w:eastAsia="zh-CN"/>
              </w:rPr>
              <w:t>具有相应的配送能力的证明资料，经营状况良好，综合能力强的得5分，其次得4分，再其次得3分，依次递减。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64"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投标人各标包提供近3年（2020年1月1日至今）完成类似项目供货的业绩，为政府机关、企事业单位、学校、金融单位等提供过服务供应的案例，每个案例得1 分，最高5分。</w:t>
            </w: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注：业绩需同时提供中标（成交）通知书或合同扫描件，且合同业绩中主要内容、标的、金额清晰可见，否则不予加分。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64"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相关同类业绩售后反馈评价良好，每提供一项反馈评价得</w:t>
            </w:r>
            <w:r>
              <w:rPr>
                <w:rFonts w:hint="eastAsia" w:ascii="仿宋" w:hAnsi="仿宋" w:eastAsia="仿宋" w:cs="仿宋"/>
                <w:color w:val="auto"/>
                <w:kern w:val="0"/>
                <w:sz w:val="24"/>
                <w:szCs w:val="24"/>
                <w:highlight w:val="none"/>
                <w:lang w:val="en-US" w:eastAsia="zh-CN"/>
              </w:rPr>
              <w:t>1分，最多5分。没有则不得分（附相关证明材料）。</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1054"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服务方案</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配送时间满足招标文件要求，并提供书面承诺，送货时间及时得</w:t>
            </w:r>
            <w:r>
              <w:rPr>
                <w:rFonts w:hint="eastAsia" w:ascii="仿宋" w:hAnsi="仿宋" w:eastAsia="仿宋" w:cs="仿宋"/>
                <w:color w:val="auto"/>
                <w:kern w:val="0"/>
                <w:sz w:val="24"/>
                <w:szCs w:val="24"/>
                <w:highlight w:val="none"/>
                <w:lang w:val="en-US" w:eastAsia="zh-CN"/>
              </w:rPr>
              <w:t>5分，一般得3分，无承诺不得分。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项目组织配置</w:t>
            </w:r>
            <w:r>
              <w:rPr>
                <w:rFonts w:hint="eastAsia" w:ascii="仿宋" w:hAnsi="仿宋" w:eastAsia="仿宋" w:cs="仿宋"/>
                <w:color w:val="auto"/>
                <w:kern w:val="0"/>
                <w:sz w:val="24"/>
                <w:szCs w:val="24"/>
                <w:highlight w:val="none"/>
                <w:lang w:eastAsia="zh-CN"/>
              </w:rPr>
              <w:t>合理，有固定服务团队，配置人员职责范围清晰。项目团队配备方案、满足配送服务、方案磋商较优的得</w:t>
            </w:r>
            <w:r>
              <w:rPr>
                <w:rFonts w:hint="eastAsia" w:ascii="仿宋" w:hAnsi="仿宋" w:eastAsia="仿宋" w:cs="仿宋"/>
                <w:color w:val="auto"/>
                <w:kern w:val="0"/>
                <w:sz w:val="24"/>
                <w:szCs w:val="24"/>
                <w:highlight w:val="none"/>
                <w:lang w:val="en-US" w:eastAsia="zh-CN"/>
              </w:rPr>
              <w:t>7分，其次得6</w:t>
            </w:r>
            <w:r>
              <w:rPr>
                <w:rFonts w:hint="eastAsia" w:ascii="仿宋" w:hAnsi="仿宋" w:eastAsia="仿宋" w:cs="仿宋"/>
                <w:color w:val="auto"/>
                <w:kern w:val="0"/>
                <w:sz w:val="24"/>
                <w:szCs w:val="24"/>
                <w:highlight w:val="none"/>
                <w:lang w:eastAsia="zh-CN"/>
              </w:rPr>
              <w:t>分，再其次得</w:t>
            </w:r>
            <w:r>
              <w:rPr>
                <w:rFonts w:hint="eastAsia" w:ascii="仿宋" w:hAnsi="仿宋" w:eastAsia="仿宋" w:cs="仿宋"/>
                <w:color w:val="auto"/>
                <w:kern w:val="0"/>
                <w:sz w:val="24"/>
                <w:szCs w:val="24"/>
                <w:highlight w:val="none"/>
                <w:lang w:val="en-US" w:eastAsia="zh-CN"/>
              </w:rPr>
              <w:t>5分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依次递减。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7</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能够提供完善的售后服务保障，社会诚信度良好，产品出现问题有急事响应解决。具有完善的售后服务制度，包括售后服务的管理要求、退货、调货等制度。根据提供内容，较优的得7分，其次得6</w:t>
            </w:r>
            <w:r>
              <w:rPr>
                <w:rFonts w:hint="eastAsia" w:ascii="仿宋" w:hAnsi="仿宋" w:eastAsia="仿宋" w:cs="仿宋"/>
                <w:color w:val="auto"/>
                <w:kern w:val="0"/>
                <w:sz w:val="24"/>
                <w:szCs w:val="24"/>
                <w:highlight w:val="none"/>
                <w:lang w:eastAsia="zh-CN"/>
              </w:rPr>
              <w:t>分，再其次得</w:t>
            </w:r>
            <w:r>
              <w:rPr>
                <w:rFonts w:hint="eastAsia" w:ascii="仿宋" w:hAnsi="仿宋" w:eastAsia="仿宋" w:cs="仿宋"/>
                <w:color w:val="auto"/>
                <w:kern w:val="0"/>
                <w:sz w:val="24"/>
                <w:szCs w:val="24"/>
                <w:highlight w:val="none"/>
                <w:lang w:val="en-US" w:eastAsia="zh-CN"/>
              </w:rPr>
              <w:t>5分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依次递减。</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0-7</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投标人自有运输车辆及专职配送人员，满足日常配送要求较优得5分，其次得4</w:t>
            </w:r>
            <w:r>
              <w:rPr>
                <w:rFonts w:hint="eastAsia" w:ascii="仿宋" w:hAnsi="仿宋" w:eastAsia="仿宋" w:cs="仿宋"/>
                <w:color w:val="auto"/>
                <w:kern w:val="0"/>
                <w:sz w:val="24"/>
                <w:szCs w:val="24"/>
                <w:highlight w:val="none"/>
                <w:lang w:eastAsia="zh-CN"/>
              </w:rPr>
              <w:t>分，再其次得</w:t>
            </w:r>
            <w:r>
              <w:rPr>
                <w:rFonts w:hint="eastAsia" w:ascii="仿宋" w:hAnsi="仿宋" w:eastAsia="仿宋" w:cs="仿宋"/>
                <w:color w:val="auto"/>
                <w:kern w:val="0"/>
                <w:sz w:val="24"/>
                <w:szCs w:val="24"/>
                <w:highlight w:val="none"/>
                <w:lang w:val="en-US" w:eastAsia="zh-CN"/>
              </w:rPr>
              <w:t>3分，依次递减。需提供相关证明材料。</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311"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完全响应项目采购需求明细列支的各项内容，服务方案体系完整，内容完整。完全满足得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分，部分满足得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分，不满足得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r>
      <w:tr>
        <w:tblPrEx>
          <w:tblCellMar>
            <w:top w:w="0" w:type="dxa"/>
            <w:left w:w="108" w:type="dxa"/>
            <w:bottom w:w="0" w:type="dxa"/>
            <w:right w:w="108" w:type="dxa"/>
          </w:tblCellMar>
        </w:tblPrEx>
        <w:trPr>
          <w:trHeight w:val="630"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企业的承诺及优惠条件</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非常满意的承诺和优惠条件得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较好的承诺和优惠条件得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承诺较差、优惠条件一般得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；未提供承诺和优惠条件不得分。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p>
        </w:tc>
      </w:tr>
      <w:tr>
        <w:tblPrEx>
          <w:tblCellMar>
            <w:top w:w="0" w:type="dxa"/>
            <w:left w:w="108" w:type="dxa"/>
            <w:bottom w:w="0" w:type="dxa"/>
            <w:right w:w="108" w:type="dxa"/>
          </w:tblCellMar>
        </w:tblPrEx>
        <w:trPr>
          <w:trHeight w:val="885" w:hRule="atLeast"/>
          <w:jc w:val="center"/>
        </w:trPr>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仓储供货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能力 </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具有独立的库房及存货能力较强能提供相应证明资料，得</w:t>
            </w:r>
            <w:r>
              <w:rPr>
                <w:rFonts w:hint="eastAsia" w:ascii="仿宋" w:hAnsi="仿宋" w:eastAsia="仿宋" w:cs="仿宋"/>
                <w:color w:val="auto"/>
                <w:kern w:val="0"/>
                <w:sz w:val="24"/>
                <w:szCs w:val="24"/>
                <w:highlight w:val="none"/>
                <w:lang w:val="en-US" w:eastAsia="zh-CN"/>
              </w:rPr>
              <w:t>6-8</w:t>
            </w:r>
            <w:r>
              <w:rPr>
                <w:rFonts w:hint="eastAsia" w:ascii="仿宋" w:hAnsi="仿宋" w:eastAsia="仿宋" w:cs="仿宋"/>
                <w:color w:val="auto"/>
                <w:kern w:val="0"/>
                <w:sz w:val="24"/>
                <w:szCs w:val="24"/>
                <w:highlight w:val="none"/>
                <w:lang w:eastAsia="zh-CN"/>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仅具有库房但不具备存货能力提供部分相应证明资料，得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eastAsia="zh-CN"/>
              </w:rPr>
              <w:t xml:space="preserve"> 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无库房及其他，得0 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注：证明资料为库存照片、库房租赁及所属证明、货品照片</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p>
        </w:tc>
      </w:tr>
      <w:tr>
        <w:tblPrEx>
          <w:tblCellMar>
            <w:top w:w="0" w:type="dxa"/>
            <w:left w:w="108" w:type="dxa"/>
            <w:bottom w:w="0" w:type="dxa"/>
            <w:right w:w="108" w:type="dxa"/>
          </w:tblCellMar>
        </w:tblPrEx>
        <w:trPr>
          <w:trHeight w:val="635" w:hRule="atLeast"/>
          <w:jc w:val="center"/>
        </w:trPr>
        <w:tc>
          <w:tcPr>
            <w:tcW w:w="80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质量保证措施详细，所供货物符合具体标准，</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6分</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质量保证措施可行，可操作性一般，</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质量保证措施一般，可操作性差，</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w:t>
            </w:r>
          </w:p>
        </w:tc>
      </w:tr>
      <w:tr>
        <w:tblPrEx>
          <w:tblCellMar>
            <w:top w:w="0" w:type="dxa"/>
            <w:left w:w="108" w:type="dxa"/>
            <w:bottom w:w="0" w:type="dxa"/>
            <w:right w:w="108" w:type="dxa"/>
          </w:tblCellMar>
        </w:tblPrEx>
        <w:trPr>
          <w:trHeight w:val="1426" w:hRule="atLeast"/>
          <w:jc w:val="center"/>
        </w:trPr>
        <w:tc>
          <w:tcPr>
            <w:tcW w:w="80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rPr>
            </w:pP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负责食品卫生安全，保证供应的副食品</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rPr>
              <w:t>数量、质量符合采购人及国家规定的相关标准；所供的副食品无腐烂变质、超出保质期、缺斤少两等问题有切实可行的保证措施。保证措施完善可行的得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分，保证措施基本完善可行的得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分，无保证措施的不得分。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p>
        </w:tc>
      </w:tr>
      <w:tr>
        <w:tblPrEx>
          <w:tblCellMar>
            <w:top w:w="0" w:type="dxa"/>
            <w:left w:w="108" w:type="dxa"/>
            <w:bottom w:w="0" w:type="dxa"/>
            <w:right w:w="108" w:type="dxa"/>
          </w:tblCellMar>
        </w:tblPrEx>
        <w:trPr>
          <w:trHeight w:val="785" w:hRule="atLeast"/>
          <w:jc w:val="center"/>
        </w:trPr>
        <w:tc>
          <w:tcPr>
            <w:tcW w:w="8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编制质量</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条款和要求认真组织编写</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及相关工作。投标文件内容编制完整、格式规范、排列顺序准确，装订整齐、美观，完全符合招标文件要求的，得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有</w:t>
            </w:r>
            <w:r>
              <w:rPr>
                <w:rFonts w:hint="eastAsia" w:ascii="仿宋" w:hAnsi="仿宋" w:eastAsia="仿宋" w:cs="仿宋"/>
                <w:color w:val="auto"/>
                <w:kern w:val="0"/>
                <w:sz w:val="24"/>
                <w:szCs w:val="24"/>
                <w:highlight w:val="none"/>
                <w:lang w:eastAsia="zh-CN"/>
              </w:rPr>
              <w:t>不符合上述要求的由评标委员会酌情</w:t>
            </w:r>
            <w:r>
              <w:rPr>
                <w:rFonts w:hint="eastAsia" w:ascii="仿宋" w:hAnsi="仿宋" w:eastAsia="仿宋" w:cs="仿宋"/>
                <w:color w:val="auto"/>
                <w:kern w:val="0"/>
                <w:sz w:val="24"/>
                <w:szCs w:val="24"/>
                <w:highlight w:val="none"/>
              </w:rPr>
              <w:t>，扣分扣至0分为止。</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p>
        </w:tc>
      </w:tr>
      <w:tr>
        <w:tblPrEx>
          <w:tblCellMar>
            <w:top w:w="0" w:type="dxa"/>
            <w:left w:w="108" w:type="dxa"/>
            <w:bottom w:w="0" w:type="dxa"/>
            <w:right w:w="108" w:type="dxa"/>
          </w:tblCellMar>
        </w:tblPrEx>
        <w:trPr>
          <w:trHeight w:val="655" w:hRule="atLeast"/>
          <w:jc w:val="center"/>
        </w:trPr>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bidi="ar"/>
              </w:rPr>
              <w:t>分值合计</w:t>
            </w:r>
          </w:p>
        </w:tc>
        <w:tc>
          <w:tcPr>
            <w:tcW w:w="7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评分计算结果保留两位小数，第三位小数四舍五入。</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lang w:val="en-US" w:eastAsia="zh-CN"/>
              </w:rPr>
              <w:t>100</w:t>
            </w:r>
          </w:p>
        </w:tc>
      </w:tr>
    </w:tbl>
    <w:p>
      <w:pPr>
        <w:bidi w:val="0"/>
        <w:rPr>
          <w:rFonts w:hint="eastAsia"/>
          <w:highlight w:val="none"/>
        </w:rPr>
      </w:pP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28</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840" w:firstLineChars="3800"/>
      <w:rPr>
        <w:rFonts w:hint="eastAsia" w:ascii="仿宋" w:hAnsi="仿宋" w:eastAsia="仿宋" w:cs="仿宋"/>
        <w:b w:val="0"/>
        <w:bCs w:val="0"/>
      </w:rPr>
    </w:pPr>
    <w:r>
      <w:rPr>
        <w:rFonts w:hint="eastAsia" w:ascii="仿宋" w:hAnsi="仿宋" w:eastAsia="仿宋" w:cs="仿宋"/>
        <w:b w:val="0"/>
        <w:bCs w:val="0"/>
      </w:rPr>
      <w:t>新疆卓捷工程造价咨询有限公司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6840" w:firstLineChars="3800"/>
      <w:rPr>
        <w:rFonts w:hint="eastAsia" w:ascii="仿宋" w:hAnsi="仿宋" w:eastAsia="仿宋" w:cs="仿宋"/>
        <w:b w:val="0"/>
        <w:bCs w:val="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b w:val="0"/>
        <w:bCs w:val="0"/>
      </w:rPr>
      <w:t>新疆卓捷工程造价咨询有限公司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tted" w:color="auto" w:sz="4" w:space="1"/>
      </w:pBdr>
      <w:jc w:val="center"/>
      <w:rPr>
        <w:rFonts w:hint="eastAsia" w:ascii="仿宋" w:hAnsi="仿宋" w:eastAsia="仿宋" w:cs="仿宋"/>
        <w:b/>
        <w:bCs/>
        <w:lang w:eastAsia="zh-CN"/>
      </w:rPr>
    </w:pPr>
    <w:bookmarkStart w:id="196" w:name="_1343059473"/>
    <w:bookmarkEnd w:id="196"/>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-197485</wp:posOffset>
          </wp:positionH>
          <wp:positionV relativeFrom="paragraph">
            <wp:posOffset>-156210</wp:posOffset>
          </wp:positionV>
          <wp:extent cx="810260" cy="165735"/>
          <wp:effectExtent l="0" t="0" r="12700" b="1905"/>
          <wp:wrapNone/>
          <wp:docPr id="2" name="图片 1" descr="C:\Users\ADMINI~1\AppData\Local\Temp\WeChat Files\8ac56931864f654c55dd051c3ea9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8ac56931864f654c55dd051c3ea9894.jpg"/>
                  <pic:cNvPicPr>
                    <a:picLocks noChangeAspect="1"/>
                  </pic:cNvPicPr>
                </pic:nvPicPr>
                <pic:blipFill>
                  <a:blip r:embed="rId1"/>
                  <a:stretch>
                    <a:fillRect/>
                  </a:stretch>
                </pic:blipFill>
                <pic:spPr>
                  <a:xfrm>
                    <a:off x="0" y="0"/>
                    <a:ext cx="810260" cy="165735"/>
                  </a:xfrm>
                  <a:prstGeom prst="rect">
                    <a:avLst/>
                  </a:prstGeom>
                  <a:noFill/>
                  <a:ln>
                    <a:noFill/>
                  </a:ln>
                </pic:spPr>
              </pic:pic>
            </a:graphicData>
          </a:graphic>
        </wp:anchor>
      </w:drawing>
    </w:r>
    <w:r>
      <w:rPr>
        <w:rFonts w:hint="eastAsia" w:ascii="仿宋" w:hAnsi="仿宋" w:eastAsia="仿宋" w:cs="仿宋"/>
        <w:b/>
        <w:bCs/>
        <w:lang w:eastAsia="zh-CN"/>
      </w:rPr>
      <w:t>2023年度克拉玛依市机关后勤服务中心（援克服务中心）机关食堂食材供应商采购项目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 MERGEFORMAT </w:instrText>
    </w:r>
    <w:r>
      <w:fldChar w:fldCharType="separate"/>
    </w:r>
    <w:r>
      <w:rPr>
        <w:lang w:val="zh-CN"/>
      </w:rPr>
      <w:t>2</w:t>
    </w:r>
    <w:r>
      <w:rPr>
        <w:lang w:val="zh-CN"/>
      </w:rPr>
      <w:fldChar w:fldCharType="end"/>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18572"/>
    <w:multiLevelType w:val="singleLevel"/>
    <w:tmpl w:val="81E18572"/>
    <w:lvl w:ilvl="0" w:tentative="0">
      <w:start w:val="3"/>
      <w:numFmt w:val="decimal"/>
      <w:suff w:val="nothing"/>
      <w:lvlText w:val="%1、"/>
      <w:lvlJc w:val="left"/>
      <w:pPr>
        <w:ind w:left="148"/>
      </w:pPr>
    </w:lvl>
  </w:abstractNum>
  <w:abstractNum w:abstractNumId="1">
    <w:nsid w:val="A98BEA3D"/>
    <w:multiLevelType w:val="singleLevel"/>
    <w:tmpl w:val="A98BEA3D"/>
    <w:lvl w:ilvl="0" w:tentative="0">
      <w:start w:val="2"/>
      <w:numFmt w:val="decimal"/>
      <w:suff w:val="nothing"/>
      <w:lvlText w:val="%1、"/>
      <w:lvlJc w:val="left"/>
    </w:lvl>
  </w:abstractNum>
  <w:abstractNum w:abstractNumId="2">
    <w:nsid w:val="EB64DF87"/>
    <w:multiLevelType w:val="singleLevel"/>
    <w:tmpl w:val="EB64DF87"/>
    <w:lvl w:ilvl="0" w:tentative="0">
      <w:start w:val="1"/>
      <w:numFmt w:val="decimal"/>
      <w:lvlText w:val="(%1)"/>
      <w:lvlJc w:val="left"/>
      <w:pPr>
        <w:ind w:left="425" w:hanging="425"/>
      </w:pPr>
      <w:rPr>
        <w:rFonts w:hint="default"/>
      </w:rPr>
    </w:lvl>
  </w:abstractNum>
  <w:abstractNum w:abstractNumId="3">
    <w:nsid w:val="EC92FA4E"/>
    <w:multiLevelType w:val="singleLevel"/>
    <w:tmpl w:val="EC92FA4E"/>
    <w:lvl w:ilvl="0" w:tentative="0">
      <w:start w:val="1"/>
      <w:numFmt w:val="decimal"/>
      <w:suff w:val="nothing"/>
      <w:lvlText w:val="%1、"/>
      <w:lvlJc w:val="left"/>
    </w:lvl>
  </w:abstractNum>
  <w:abstractNum w:abstractNumId="4">
    <w:nsid w:val="13395686"/>
    <w:multiLevelType w:val="singleLevel"/>
    <w:tmpl w:val="13395686"/>
    <w:lvl w:ilvl="0" w:tentative="0">
      <w:start w:val="8"/>
      <w:numFmt w:val="decimal"/>
      <w:suff w:val="nothing"/>
      <w:lvlText w:val="%1、"/>
      <w:lvlJc w:val="left"/>
    </w:lvl>
  </w:abstractNum>
  <w:abstractNum w:abstractNumId="5">
    <w:nsid w:val="14180274"/>
    <w:multiLevelType w:val="multilevel"/>
    <w:tmpl w:val="14180274"/>
    <w:lvl w:ilvl="0" w:tentative="0">
      <w:start w:val="1"/>
      <w:numFmt w:val="decimal"/>
      <w:pStyle w:val="5"/>
      <w:lvlText w:val="%1."/>
      <w:lvlJc w:val="left"/>
      <w:pPr>
        <w:tabs>
          <w:tab w:val="left" w:pos="0"/>
        </w:tabs>
        <w:ind w:left="0" w:firstLine="0"/>
      </w:pPr>
      <w:rPr>
        <w:rFonts w:hint="eastAsia"/>
        <w:b/>
        <w:sz w:val="24"/>
        <w:szCs w:val="32"/>
      </w:rPr>
    </w:lvl>
    <w:lvl w:ilvl="1" w:tentative="0">
      <w:start w:val="1"/>
      <w:numFmt w:val="decimal"/>
      <w:lvlText w:val="%1.%2."/>
      <w:lvlJc w:val="left"/>
      <w:pPr>
        <w:tabs>
          <w:tab w:val="left" w:pos="-105"/>
        </w:tabs>
        <w:ind w:left="-105" w:firstLine="0"/>
      </w:pPr>
      <w:rPr>
        <w:rFonts w:hint="eastAsia"/>
      </w:rPr>
    </w:lvl>
    <w:lvl w:ilvl="2" w:tentative="0">
      <w:start w:val="1"/>
      <w:numFmt w:val="decimal"/>
      <w:lvlText w:val="%1.%2.%3."/>
      <w:lvlJc w:val="left"/>
      <w:pPr>
        <w:tabs>
          <w:tab w:val="left" w:pos="-105"/>
        </w:tabs>
        <w:ind w:left="-105" w:firstLine="0"/>
      </w:pPr>
      <w:rPr>
        <w:rFonts w:hint="eastAsia"/>
      </w:rPr>
    </w:lvl>
    <w:lvl w:ilvl="3" w:tentative="0">
      <w:start w:val="1"/>
      <w:numFmt w:val="decimal"/>
      <w:lvlText w:val="%1.%2.%3.%4."/>
      <w:lvlJc w:val="left"/>
      <w:pPr>
        <w:tabs>
          <w:tab w:val="left" w:pos="-105"/>
        </w:tabs>
        <w:ind w:left="-105" w:firstLine="0"/>
      </w:pPr>
      <w:rPr>
        <w:rFonts w:hint="eastAsia"/>
      </w:rPr>
    </w:lvl>
    <w:lvl w:ilvl="4" w:tentative="0">
      <w:start w:val="1"/>
      <w:numFmt w:val="decimal"/>
      <w:lvlText w:val="%1.%2.%3.%4.%5."/>
      <w:lvlJc w:val="left"/>
      <w:pPr>
        <w:tabs>
          <w:tab w:val="left" w:pos="1488"/>
        </w:tabs>
        <w:ind w:left="1488" w:hanging="992"/>
      </w:pPr>
      <w:rPr>
        <w:rFonts w:hint="eastAsia"/>
      </w:rPr>
    </w:lvl>
    <w:lvl w:ilvl="5" w:tentative="0">
      <w:start w:val="1"/>
      <w:numFmt w:val="decimal"/>
      <w:lvlText w:val="%1.%2.%3.%4.%5.%6."/>
      <w:lvlJc w:val="left"/>
      <w:pPr>
        <w:tabs>
          <w:tab w:val="left" w:pos="1630"/>
        </w:tabs>
        <w:ind w:left="1630" w:hanging="1134"/>
      </w:pPr>
      <w:rPr>
        <w:rFonts w:hint="eastAsia"/>
      </w:rPr>
    </w:lvl>
    <w:lvl w:ilvl="6" w:tentative="0">
      <w:start w:val="1"/>
      <w:numFmt w:val="decimal"/>
      <w:lvlText w:val="%1.%2.%3.%4.%5.%6.%7."/>
      <w:lvlJc w:val="left"/>
      <w:pPr>
        <w:tabs>
          <w:tab w:val="left" w:pos="1772"/>
        </w:tabs>
        <w:ind w:left="1772" w:hanging="1276"/>
      </w:pPr>
      <w:rPr>
        <w:rFonts w:hint="eastAsia"/>
      </w:rPr>
    </w:lvl>
    <w:lvl w:ilvl="7" w:tentative="0">
      <w:start w:val="1"/>
      <w:numFmt w:val="decimal"/>
      <w:lvlText w:val="%1.%2.%3.%4.%5.%6.%7.%8."/>
      <w:lvlJc w:val="left"/>
      <w:pPr>
        <w:tabs>
          <w:tab w:val="left" w:pos="1914"/>
        </w:tabs>
        <w:ind w:left="1914" w:hanging="1418"/>
      </w:pPr>
      <w:rPr>
        <w:rFonts w:hint="eastAsia"/>
      </w:rPr>
    </w:lvl>
    <w:lvl w:ilvl="8" w:tentative="0">
      <w:start w:val="1"/>
      <w:numFmt w:val="decimal"/>
      <w:lvlText w:val="%1.%2.%3.%4.%5.%6.%7.%8.%9."/>
      <w:lvlJc w:val="left"/>
      <w:pPr>
        <w:tabs>
          <w:tab w:val="left" w:pos="2055"/>
        </w:tabs>
        <w:ind w:left="2055" w:hanging="1559"/>
      </w:pPr>
      <w:rPr>
        <w:rFonts w:hint="eastAsia"/>
      </w:rPr>
    </w:lvl>
  </w:abstractNum>
  <w:abstractNum w:abstractNumId="6">
    <w:nsid w:val="5CB4A51C"/>
    <w:multiLevelType w:val="singleLevel"/>
    <w:tmpl w:val="5CB4A51C"/>
    <w:lvl w:ilvl="0" w:tentative="0">
      <w:start w:val="1"/>
      <w:numFmt w:val="decimal"/>
      <w:lvlText w:val="(%1)"/>
      <w:lvlJc w:val="left"/>
      <w:pPr>
        <w:ind w:left="425" w:hanging="425"/>
      </w:pPr>
      <w:rPr>
        <w:rFonts w:hint="default"/>
      </w:rPr>
    </w:lvl>
  </w:abstractNum>
  <w:abstractNum w:abstractNumId="7">
    <w:nsid w:val="60EB5D54"/>
    <w:multiLevelType w:val="singleLevel"/>
    <w:tmpl w:val="60EB5D54"/>
    <w:lvl w:ilvl="0" w:tentative="0">
      <w:start w:val="2"/>
      <w:numFmt w:val="chineseCounting"/>
      <w:suff w:val="nothing"/>
      <w:lvlText w:val="%1、"/>
      <w:lvlJc w:val="left"/>
      <w:rPr>
        <w:rFonts w:hint="eastAsia"/>
      </w:rPr>
    </w:lvl>
  </w:abstractNum>
  <w:num w:numId="1">
    <w:abstractNumId w:val="5"/>
  </w:num>
  <w:num w:numId="2">
    <w:abstractNumId w:val="7"/>
  </w:num>
  <w:num w:numId="3">
    <w:abstractNumId w:val="6"/>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MmVhOTA1YzJiNzRjZjAzZDQ1ZGZhMGRiMmE3MTEifQ=="/>
  </w:docVars>
  <w:rsids>
    <w:rsidRoot w:val="00250308"/>
    <w:rsid w:val="00101B98"/>
    <w:rsid w:val="00250308"/>
    <w:rsid w:val="00460D10"/>
    <w:rsid w:val="008245E5"/>
    <w:rsid w:val="00AD558A"/>
    <w:rsid w:val="00BD244A"/>
    <w:rsid w:val="00BF503F"/>
    <w:rsid w:val="00C1736A"/>
    <w:rsid w:val="00DC4E88"/>
    <w:rsid w:val="01185A0A"/>
    <w:rsid w:val="01626374"/>
    <w:rsid w:val="016B01C6"/>
    <w:rsid w:val="02557C87"/>
    <w:rsid w:val="02C40969"/>
    <w:rsid w:val="032F17BB"/>
    <w:rsid w:val="03BA2E83"/>
    <w:rsid w:val="04017C6C"/>
    <w:rsid w:val="045F303F"/>
    <w:rsid w:val="04BA2023"/>
    <w:rsid w:val="050B0D65"/>
    <w:rsid w:val="05577D3F"/>
    <w:rsid w:val="05615275"/>
    <w:rsid w:val="056703FD"/>
    <w:rsid w:val="059211F2"/>
    <w:rsid w:val="05AF5758"/>
    <w:rsid w:val="05FC6C9A"/>
    <w:rsid w:val="06284FC0"/>
    <w:rsid w:val="064160D3"/>
    <w:rsid w:val="0656050A"/>
    <w:rsid w:val="06924830"/>
    <w:rsid w:val="0825634E"/>
    <w:rsid w:val="082B28A3"/>
    <w:rsid w:val="092B14E2"/>
    <w:rsid w:val="095C18FB"/>
    <w:rsid w:val="09652EA6"/>
    <w:rsid w:val="09E031CD"/>
    <w:rsid w:val="0A081588"/>
    <w:rsid w:val="0A60541B"/>
    <w:rsid w:val="0A7F7F97"/>
    <w:rsid w:val="0B07180B"/>
    <w:rsid w:val="0B21104E"/>
    <w:rsid w:val="0B520B0D"/>
    <w:rsid w:val="0B7078E0"/>
    <w:rsid w:val="0BCB3638"/>
    <w:rsid w:val="0BE633F6"/>
    <w:rsid w:val="0C873D3D"/>
    <w:rsid w:val="0C9327B6"/>
    <w:rsid w:val="0D1C7D1F"/>
    <w:rsid w:val="0E5057A7"/>
    <w:rsid w:val="0E613C58"/>
    <w:rsid w:val="0E8357AF"/>
    <w:rsid w:val="0EEC3721"/>
    <w:rsid w:val="0F8558D5"/>
    <w:rsid w:val="0FED0B2A"/>
    <w:rsid w:val="0FF40A01"/>
    <w:rsid w:val="10802373"/>
    <w:rsid w:val="10D118CA"/>
    <w:rsid w:val="112B082B"/>
    <w:rsid w:val="11590876"/>
    <w:rsid w:val="11E1356E"/>
    <w:rsid w:val="11FE7CD9"/>
    <w:rsid w:val="12A34632"/>
    <w:rsid w:val="12A34D4B"/>
    <w:rsid w:val="12C861E1"/>
    <w:rsid w:val="12D26FB8"/>
    <w:rsid w:val="134C0C32"/>
    <w:rsid w:val="13944DEA"/>
    <w:rsid w:val="13DC0628"/>
    <w:rsid w:val="13F015BE"/>
    <w:rsid w:val="147E306D"/>
    <w:rsid w:val="14B52807"/>
    <w:rsid w:val="14F66DA1"/>
    <w:rsid w:val="163A1216"/>
    <w:rsid w:val="16685D83"/>
    <w:rsid w:val="168C1346"/>
    <w:rsid w:val="172E6FA3"/>
    <w:rsid w:val="175759E5"/>
    <w:rsid w:val="175B58E8"/>
    <w:rsid w:val="18143770"/>
    <w:rsid w:val="189E1F3C"/>
    <w:rsid w:val="18DB27F2"/>
    <w:rsid w:val="190653E0"/>
    <w:rsid w:val="19322678"/>
    <w:rsid w:val="198829FA"/>
    <w:rsid w:val="19A326B3"/>
    <w:rsid w:val="19CD414F"/>
    <w:rsid w:val="1A3A33F9"/>
    <w:rsid w:val="1A607D8E"/>
    <w:rsid w:val="1A8F274D"/>
    <w:rsid w:val="1AB44A1E"/>
    <w:rsid w:val="1B5C39DD"/>
    <w:rsid w:val="1B8C0636"/>
    <w:rsid w:val="1C691742"/>
    <w:rsid w:val="1D3C70FD"/>
    <w:rsid w:val="1DCA06C5"/>
    <w:rsid w:val="1DDD7BA5"/>
    <w:rsid w:val="1DE43646"/>
    <w:rsid w:val="1E127EC3"/>
    <w:rsid w:val="1EFA59E6"/>
    <w:rsid w:val="1EFD7285"/>
    <w:rsid w:val="1F3233D2"/>
    <w:rsid w:val="1F5275D0"/>
    <w:rsid w:val="1F605859"/>
    <w:rsid w:val="1F617814"/>
    <w:rsid w:val="1FF16DE9"/>
    <w:rsid w:val="20081CEC"/>
    <w:rsid w:val="202D04AD"/>
    <w:rsid w:val="207D067D"/>
    <w:rsid w:val="20A02C61"/>
    <w:rsid w:val="20CB6CB7"/>
    <w:rsid w:val="20D529C8"/>
    <w:rsid w:val="217F13BA"/>
    <w:rsid w:val="21884C03"/>
    <w:rsid w:val="2231619F"/>
    <w:rsid w:val="223E208E"/>
    <w:rsid w:val="229D5007"/>
    <w:rsid w:val="22DB6290"/>
    <w:rsid w:val="234A549F"/>
    <w:rsid w:val="23637525"/>
    <w:rsid w:val="23827D58"/>
    <w:rsid w:val="239A1546"/>
    <w:rsid w:val="23C952D5"/>
    <w:rsid w:val="24A804C6"/>
    <w:rsid w:val="24AA3A0B"/>
    <w:rsid w:val="25184E18"/>
    <w:rsid w:val="253675DA"/>
    <w:rsid w:val="26AC31E1"/>
    <w:rsid w:val="281278AA"/>
    <w:rsid w:val="2816562C"/>
    <w:rsid w:val="28461C9C"/>
    <w:rsid w:val="284651E9"/>
    <w:rsid w:val="28A44A91"/>
    <w:rsid w:val="291C1C1A"/>
    <w:rsid w:val="293B05E6"/>
    <w:rsid w:val="29F319B0"/>
    <w:rsid w:val="29F80D74"/>
    <w:rsid w:val="2D19172E"/>
    <w:rsid w:val="2D5A13EC"/>
    <w:rsid w:val="2D62353A"/>
    <w:rsid w:val="2EF74B56"/>
    <w:rsid w:val="2F135803"/>
    <w:rsid w:val="2F282799"/>
    <w:rsid w:val="2F714E2E"/>
    <w:rsid w:val="2F880DEC"/>
    <w:rsid w:val="2FAC047A"/>
    <w:rsid w:val="2FB828A9"/>
    <w:rsid w:val="30A27C8C"/>
    <w:rsid w:val="30C577D0"/>
    <w:rsid w:val="30D251AE"/>
    <w:rsid w:val="315667E6"/>
    <w:rsid w:val="3176144A"/>
    <w:rsid w:val="317F3B29"/>
    <w:rsid w:val="324D55D3"/>
    <w:rsid w:val="32D86AF0"/>
    <w:rsid w:val="32DB0C08"/>
    <w:rsid w:val="32E20814"/>
    <w:rsid w:val="32FF150F"/>
    <w:rsid w:val="3320613D"/>
    <w:rsid w:val="333176DD"/>
    <w:rsid w:val="33D20888"/>
    <w:rsid w:val="33DF1C73"/>
    <w:rsid w:val="33EA214A"/>
    <w:rsid w:val="341B4C51"/>
    <w:rsid w:val="346C65E7"/>
    <w:rsid w:val="34D96C06"/>
    <w:rsid w:val="34DB03E2"/>
    <w:rsid w:val="34E72111"/>
    <w:rsid w:val="35A64FF2"/>
    <w:rsid w:val="36525CB0"/>
    <w:rsid w:val="378B3228"/>
    <w:rsid w:val="37D54385"/>
    <w:rsid w:val="39AE52E5"/>
    <w:rsid w:val="39D832FA"/>
    <w:rsid w:val="3A0C30B5"/>
    <w:rsid w:val="3A3B1E79"/>
    <w:rsid w:val="3AE710BD"/>
    <w:rsid w:val="3B295232"/>
    <w:rsid w:val="3B790244"/>
    <w:rsid w:val="3B9F2F15"/>
    <w:rsid w:val="3BB371F1"/>
    <w:rsid w:val="3C215F09"/>
    <w:rsid w:val="3C3D6ABB"/>
    <w:rsid w:val="3C594B3E"/>
    <w:rsid w:val="3D476D34"/>
    <w:rsid w:val="3E8B6D54"/>
    <w:rsid w:val="3EDD7996"/>
    <w:rsid w:val="3F082866"/>
    <w:rsid w:val="3FD40807"/>
    <w:rsid w:val="3FDC2362"/>
    <w:rsid w:val="40610FCA"/>
    <w:rsid w:val="4064606A"/>
    <w:rsid w:val="40833636"/>
    <w:rsid w:val="4084115C"/>
    <w:rsid w:val="41BF5090"/>
    <w:rsid w:val="41E719A3"/>
    <w:rsid w:val="42551CE8"/>
    <w:rsid w:val="43364D0E"/>
    <w:rsid w:val="43F6288F"/>
    <w:rsid w:val="446C618F"/>
    <w:rsid w:val="45E00BE3"/>
    <w:rsid w:val="46211CE2"/>
    <w:rsid w:val="462A6302"/>
    <w:rsid w:val="46337C01"/>
    <w:rsid w:val="464D3001"/>
    <w:rsid w:val="466B0DF4"/>
    <w:rsid w:val="46B856BC"/>
    <w:rsid w:val="473F5DDD"/>
    <w:rsid w:val="477640E8"/>
    <w:rsid w:val="47DB3D58"/>
    <w:rsid w:val="480E5EDB"/>
    <w:rsid w:val="491E7378"/>
    <w:rsid w:val="49364C69"/>
    <w:rsid w:val="4942492D"/>
    <w:rsid w:val="4985306E"/>
    <w:rsid w:val="49972D3B"/>
    <w:rsid w:val="49F509D5"/>
    <w:rsid w:val="49FF7561"/>
    <w:rsid w:val="4A26273F"/>
    <w:rsid w:val="4B58431C"/>
    <w:rsid w:val="4B810772"/>
    <w:rsid w:val="4D1534AB"/>
    <w:rsid w:val="4D1A0E7E"/>
    <w:rsid w:val="4DB251FE"/>
    <w:rsid w:val="4DE60D60"/>
    <w:rsid w:val="4DF87681"/>
    <w:rsid w:val="4E475EEC"/>
    <w:rsid w:val="4E8567CB"/>
    <w:rsid w:val="4F49652A"/>
    <w:rsid w:val="4F5A7C58"/>
    <w:rsid w:val="4F674123"/>
    <w:rsid w:val="4FB355BA"/>
    <w:rsid w:val="4FDE3E2A"/>
    <w:rsid w:val="50012CE1"/>
    <w:rsid w:val="5018410B"/>
    <w:rsid w:val="5036689E"/>
    <w:rsid w:val="504D3F74"/>
    <w:rsid w:val="50AF7B2F"/>
    <w:rsid w:val="51080D9E"/>
    <w:rsid w:val="51A258E6"/>
    <w:rsid w:val="51E67581"/>
    <w:rsid w:val="51EC2EB0"/>
    <w:rsid w:val="524150EB"/>
    <w:rsid w:val="5265338C"/>
    <w:rsid w:val="52A93C05"/>
    <w:rsid w:val="54330A77"/>
    <w:rsid w:val="545D78A2"/>
    <w:rsid w:val="546834E8"/>
    <w:rsid w:val="5472490F"/>
    <w:rsid w:val="54D56135"/>
    <w:rsid w:val="54DC110F"/>
    <w:rsid w:val="552F56E3"/>
    <w:rsid w:val="55757C5B"/>
    <w:rsid w:val="55A048FF"/>
    <w:rsid w:val="56020701"/>
    <w:rsid w:val="562128FD"/>
    <w:rsid w:val="56665134"/>
    <w:rsid w:val="56890E23"/>
    <w:rsid w:val="56A56EFC"/>
    <w:rsid w:val="57120CBD"/>
    <w:rsid w:val="57201787"/>
    <w:rsid w:val="57396B0E"/>
    <w:rsid w:val="57AA2DFF"/>
    <w:rsid w:val="58CE3CA0"/>
    <w:rsid w:val="58DE337E"/>
    <w:rsid w:val="592340EB"/>
    <w:rsid w:val="5A1B6236"/>
    <w:rsid w:val="5A471BE4"/>
    <w:rsid w:val="5B070568"/>
    <w:rsid w:val="5B5453ED"/>
    <w:rsid w:val="5B906E08"/>
    <w:rsid w:val="5C697D16"/>
    <w:rsid w:val="5C6C0FCA"/>
    <w:rsid w:val="5C961BA3"/>
    <w:rsid w:val="5CDC2CBD"/>
    <w:rsid w:val="5D590BB3"/>
    <w:rsid w:val="5DE80B25"/>
    <w:rsid w:val="5E1216FE"/>
    <w:rsid w:val="5E2044B5"/>
    <w:rsid w:val="5E272363"/>
    <w:rsid w:val="5EAE58CA"/>
    <w:rsid w:val="5EC724E8"/>
    <w:rsid w:val="5F021772"/>
    <w:rsid w:val="5F351B48"/>
    <w:rsid w:val="5FB011CE"/>
    <w:rsid w:val="60B9208B"/>
    <w:rsid w:val="60BD3BA3"/>
    <w:rsid w:val="61187A4A"/>
    <w:rsid w:val="61A9459B"/>
    <w:rsid w:val="62661FA3"/>
    <w:rsid w:val="626A746E"/>
    <w:rsid w:val="62A904DC"/>
    <w:rsid w:val="637107A3"/>
    <w:rsid w:val="637E3274"/>
    <w:rsid w:val="64AD6428"/>
    <w:rsid w:val="64B21E84"/>
    <w:rsid w:val="64DF4F6A"/>
    <w:rsid w:val="64F25B18"/>
    <w:rsid w:val="64FD4EB5"/>
    <w:rsid w:val="65426299"/>
    <w:rsid w:val="65777EDA"/>
    <w:rsid w:val="65F04A1A"/>
    <w:rsid w:val="65FA7B96"/>
    <w:rsid w:val="662B15AE"/>
    <w:rsid w:val="6656283E"/>
    <w:rsid w:val="666E17C7"/>
    <w:rsid w:val="66794A10"/>
    <w:rsid w:val="66D27D29"/>
    <w:rsid w:val="66DC55BD"/>
    <w:rsid w:val="67AC64F8"/>
    <w:rsid w:val="67D22E92"/>
    <w:rsid w:val="68233184"/>
    <w:rsid w:val="683B2DD1"/>
    <w:rsid w:val="68647E42"/>
    <w:rsid w:val="68E03C3B"/>
    <w:rsid w:val="68E75895"/>
    <w:rsid w:val="68EC14C9"/>
    <w:rsid w:val="6B0234DF"/>
    <w:rsid w:val="6B447202"/>
    <w:rsid w:val="6B734162"/>
    <w:rsid w:val="6C2C6080"/>
    <w:rsid w:val="6C414357"/>
    <w:rsid w:val="6C6D2921"/>
    <w:rsid w:val="6CAE2F39"/>
    <w:rsid w:val="6D012BF6"/>
    <w:rsid w:val="6DA63F32"/>
    <w:rsid w:val="6DC96001"/>
    <w:rsid w:val="6E657628"/>
    <w:rsid w:val="6F490CF7"/>
    <w:rsid w:val="6FC71F7F"/>
    <w:rsid w:val="71AD7C63"/>
    <w:rsid w:val="72011AED"/>
    <w:rsid w:val="72204217"/>
    <w:rsid w:val="72B1108D"/>
    <w:rsid w:val="72D03C09"/>
    <w:rsid w:val="73657957"/>
    <w:rsid w:val="738F6EF9"/>
    <w:rsid w:val="741713C4"/>
    <w:rsid w:val="74324FA0"/>
    <w:rsid w:val="74A52E74"/>
    <w:rsid w:val="74A70A58"/>
    <w:rsid w:val="74D774D1"/>
    <w:rsid w:val="74F022CD"/>
    <w:rsid w:val="74FC0CE6"/>
    <w:rsid w:val="751E7BDB"/>
    <w:rsid w:val="75D94B83"/>
    <w:rsid w:val="763B76F4"/>
    <w:rsid w:val="76736A7A"/>
    <w:rsid w:val="76FC03FE"/>
    <w:rsid w:val="76FD6F97"/>
    <w:rsid w:val="778E7071"/>
    <w:rsid w:val="77996933"/>
    <w:rsid w:val="78093B6A"/>
    <w:rsid w:val="780E2ADE"/>
    <w:rsid w:val="782964B6"/>
    <w:rsid w:val="786372CE"/>
    <w:rsid w:val="787212BF"/>
    <w:rsid w:val="790630F9"/>
    <w:rsid w:val="79192719"/>
    <w:rsid w:val="79534C4C"/>
    <w:rsid w:val="79604737"/>
    <w:rsid w:val="797F1EE5"/>
    <w:rsid w:val="79E85CDC"/>
    <w:rsid w:val="7A000D96"/>
    <w:rsid w:val="7A0B7BCF"/>
    <w:rsid w:val="7BC0198A"/>
    <w:rsid w:val="7BC25D6F"/>
    <w:rsid w:val="7D6C1630"/>
    <w:rsid w:val="7DB54FC8"/>
    <w:rsid w:val="7DD576F5"/>
    <w:rsid w:val="7DE74F12"/>
    <w:rsid w:val="7F277599"/>
    <w:rsid w:val="7FFB603E"/>
    <w:rsid w:val="7FFE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adjustRightInd w:val="0"/>
      <w:snapToGrid w:val="0"/>
      <w:spacing w:before="100" w:beforeAutospacing="1" w:after="100" w:afterAutospacing="1"/>
      <w:outlineLvl w:val="0"/>
    </w:pPr>
    <w:rPr>
      <w:rFonts w:ascii="仿宋_GB2312"/>
      <w:b/>
      <w:bCs/>
      <w:snapToGrid w:val="0"/>
      <w:color w:val="000000"/>
      <w:kern w:val="0"/>
      <w:sz w:val="28"/>
      <w:szCs w:val="28"/>
    </w:rPr>
  </w:style>
  <w:style w:type="paragraph" w:styleId="6">
    <w:name w:val="heading 2"/>
    <w:basedOn w:val="1"/>
    <w:next w:val="7"/>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24"/>
      <w:szCs w:val="20"/>
    </w:rPr>
  </w:style>
  <w:style w:type="paragraph" w:styleId="3">
    <w:name w:val="Body Text Indent"/>
    <w:basedOn w:val="1"/>
    <w:next w:val="4"/>
    <w:qFormat/>
    <w:uiPriority w:val="0"/>
    <w:pPr>
      <w:spacing w:after="120"/>
      <w:ind w:left="420" w:leftChars="200"/>
    </w:pPr>
    <w:rPr>
      <w:rFonts w:ascii="Calibri" w:hAnsi="Calibri" w:cs="黑体"/>
    </w:rPr>
  </w:style>
  <w:style w:type="paragraph" w:customStyle="1" w:styleId="4">
    <w:name w:val="样式 四号 左 行距: 单倍行距"/>
    <w:basedOn w:val="1"/>
    <w:qFormat/>
    <w:uiPriority w:val="0"/>
    <w:pPr>
      <w:widowControl/>
      <w:ind w:firstLine="200" w:firstLineChars="200"/>
      <w:jc w:val="left"/>
      <w:textAlignment w:val="baseline"/>
    </w:pPr>
    <w:rPr>
      <w:color w:val="000000"/>
      <w:kern w:val="0"/>
      <w:sz w:val="28"/>
      <w:szCs w:val="20"/>
    </w:rPr>
  </w:style>
  <w:style w:type="paragraph" w:styleId="7">
    <w:name w:val="Normal Indent"/>
    <w:basedOn w:val="1"/>
    <w:next w:val="1"/>
    <w:qFormat/>
    <w:uiPriority w:val="0"/>
    <w:pPr>
      <w:widowControl/>
      <w:ind w:firstLine="420"/>
      <w:jc w:val="left"/>
    </w:pPr>
    <w:rPr>
      <w:rFonts w:ascii="Calibri" w:hAnsi="Calibri" w:cs="黑体"/>
      <w:szCs w:val="22"/>
    </w:rPr>
  </w:style>
  <w:style w:type="paragraph" w:styleId="9">
    <w:name w:val="caption"/>
    <w:basedOn w:val="1"/>
    <w:next w:val="1"/>
    <w:qFormat/>
    <w:uiPriority w:val="35"/>
    <w:rPr>
      <w:rFonts w:ascii="Arial" w:hAnsi="Arial" w:eastAsia="黑体" w:cs="Arial"/>
      <w:sz w:val="20"/>
    </w:rPr>
  </w:style>
  <w:style w:type="paragraph" w:styleId="10">
    <w:name w:val="annotation text"/>
    <w:basedOn w:val="1"/>
    <w:unhideWhenUsed/>
    <w:qFormat/>
    <w:uiPriority w:val="99"/>
    <w:pPr>
      <w:jc w:val="left"/>
    </w:pPr>
  </w:style>
  <w:style w:type="paragraph" w:styleId="11">
    <w:name w:val="Plain Text"/>
    <w:basedOn w:val="1"/>
    <w:next w:val="12"/>
    <w:qFormat/>
    <w:uiPriority w:val="0"/>
    <w:rPr>
      <w:rFonts w:ascii="宋体" w:hAnsi="Courier New" w:cs="黑体"/>
      <w:szCs w:val="22"/>
    </w:rPr>
  </w:style>
  <w:style w:type="paragraph" w:styleId="12">
    <w:name w:val="index 7"/>
    <w:basedOn w:val="1"/>
    <w:next w:val="1"/>
    <w:semiHidden/>
    <w:qFormat/>
    <w:uiPriority w:val="0"/>
    <w:pPr>
      <w:ind w:left="2520"/>
    </w:pPr>
  </w:style>
  <w:style w:type="paragraph" w:styleId="13">
    <w:name w:val="Date"/>
    <w:basedOn w:val="1"/>
    <w:next w:val="1"/>
    <w:qFormat/>
    <w:uiPriority w:val="0"/>
    <w:pPr>
      <w:ind w:left="100" w:leftChars="2500"/>
    </w:pPr>
    <w:rPr>
      <w:rFonts w:ascii="Calibri" w:hAnsi="Calibri" w:cs="黑体"/>
    </w:rPr>
  </w:style>
  <w:style w:type="paragraph" w:styleId="14">
    <w:name w:val="Body Text Indent 2"/>
    <w:basedOn w:val="1"/>
    <w:qFormat/>
    <w:uiPriority w:val="0"/>
    <w:pPr>
      <w:spacing w:line="360" w:lineRule="auto"/>
      <w:ind w:left="839" w:hanging="839" w:hangingChars="355"/>
    </w:pPr>
    <w:rPr>
      <w:b/>
      <w:sz w:val="24"/>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9"/>
    <w:basedOn w:val="1"/>
    <w:next w:val="1"/>
    <w:unhideWhenUsed/>
    <w:qFormat/>
    <w:uiPriority w:val="39"/>
    <w:pPr>
      <w:ind w:left="1680"/>
      <w:jc w:val="left"/>
    </w:pPr>
    <w:rPr>
      <w:rFonts w:ascii="Calibri" w:hAnsi="Calibri" w:cs="Calibri"/>
      <w:sz w:val="18"/>
      <w:szCs w:val="18"/>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2"/>
    <w:basedOn w:val="3"/>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paragraph" w:styleId="27">
    <w:name w:val="List Paragraph"/>
    <w:basedOn w:val="1"/>
    <w:qFormat/>
    <w:uiPriority w:val="34"/>
    <w:pPr>
      <w:ind w:firstLine="420" w:firstLineChars="200"/>
    </w:p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采购正文"/>
    <w:link w:val="33"/>
    <w:qFormat/>
    <w:uiPriority w:val="0"/>
    <w:pPr>
      <w:widowControl w:val="0"/>
      <w:autoSpaceDE w:val="0"/>
      <w:autoSpaceDN w:val="0"/>
      <w:spacing w:line="560" w:lineRule="exact"/>
      <w:ind w:firstLine="480" w:firstLineChars="200"/>
      <w:contextualSpacing/>
      <w:jc w:val="both"/>
    </w:pPr>
    <w:rPr>
      <w:rFonts w:ascii="仿宋" w:hAnsi="仿宋" w:eastAsia="仿宋" w:cs="Times New Roman"/>
      <w:kern w:val="24"/>
      <w:sz w:val="24"/>
      <w:szCs w:val="24"/>
      <w:lang w:val="en-US" w:eastAsia="zh-CN" w:bidi="ar-SA"/>
    </w:r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 Indent1"/>
    <w:basedOn w:val="1"/>
    <w:unhideWhenUsed/>
    <w:qFormat/>
    <w:uiPriority w:val="99"/>
    <w:pPr>
      <w:ind w:firstLine="420" w:firstLineChars="200"/>
    </w:pPr>
  </w:style>
  <w:style w:type="character" w:customStyle="1" w:styleId="33">
    <w:name w:val="采购正文 Char"/>
    <w:basedOn w:val="24"/>
    <w:link w:val="30"/>
    <w:qFormat/>
    <w:uiPriority w:val="0"/>
    <w:rPr>
      <w:rFonts w:ascii="仿宋" w:hAnsi="仿宋" w:eastAsia="仿宋"/>
      <w:kern w:val="24"/>
      <w:sz w:val="24"/>
      <w:szCs w:val="24"/>
      <w:lang w:val="en-US" w:eastAsia="zh-CN" w:bidi="ar-SA"/>
    </w:rPr>
  </w:style>
  <w:style w:type="paragraph" w:customStyle="1" w:styleId="34">
    <w:name w:val="Default Text"/>
    <w:qFormat/>
    <w:uiPriority w:val="99"/>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3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qFormat/>
    <w:uiPriority w:val="1"/>
    <w:pPr>
      <w:autoSpaceDE w:val="0"/>
      <w:autoSpaceDN w:val="0"/>
      <w:jc w:val="left"/>
    </w:pPr>
    <w:rPr>
      <w:rFonts w:ascii="Arial Unicode MS" w:hAnsi="Arial Unicode MS" w:eastAsia="Arial Unicode MS" w:cs="Arial Unicode MS"/>
      <w:kern w:val="0"/>
      <w:sz w:val="22"/>
      <w:lang w:eastAsia="en-US"/>
    </w:rPr>
  </w:style>
  <w:style w:type="character" w:customStyle="1" w:styleId="39">
    <w:name w:val="样式 宋体 四号"/>
    <w:qFormat/>
    <w:uiPriority w:val="0"/>
    <w:rPr>
      <w:rFonts w:ascii="宋体" w:hAnsi="宋体" w:eastAsia="仿宋_GB2312"/>
      <w:sz w:val="28"/>
    </w:rPr>
  </w:style>
  <w:style w:type="paragraph" w:customStyle="1" w:styleId="40">
    <w:name w:val="题注4"/>
    <w:basedOn w:val="1"/>
    <w:next w:val="9"/>
    <w:qFormat/>
    <w:uiPriority w:val="0"/>
    <w:pPr>
      <w:ind w:left="-132" w:leftChars="-64" w:right="-105" w:rightChars="-50" w:hanging="2"/>
      <w:jc w:val="center"/>
    </w:pPr>
    <w:rPr>
      <w:rFonts w:eastAsia="宋体"/>
      <w:b/>
      <w:color w:val="FF0000"/>
      <w:sz w:val="21"/>
      <w:szCs w:val="21"/>
      <w:lang w:val="en-GB"/>
    </w:rPr>
  </w:style>
  <w:style w:type="character" w:customStyle="1" w:styleId="41">
    <w:name w:val="font122"/>
    <w:basedOn w:val="24"/>
    <w:qFormat/>
    <w:uiPriority w:val="0"/>
    <w:rPr>
      <w:rFonts w:hint="eastAsia" w:ascii="仿宋" w:hAnsi="仿宋" w:eastAsia="仿宋" w:cs="仿宋"/>
      <w:color w:val="000000"/>
      <w:sz w:val="24"/>
      <w:szCs w:val="24"/>
      <w:u w:val="none"/>
    </w:rPr>
  </w:style>
  <w:style w:type="character" w:customStyle="1" w:styleId="42">
    <w:name w:val="font61"/>
    <w:basedOn w:val="24"/>
    <w:qFormat/>
    <w:uiPriority w:val="0"/>
    <w:rPr>
      <w:rFonts w:hint="eastAsia" w:ascii="仿宋" w:hAnsi="仿宋" w:eastAsia="仿宋" w:cs="仿宋"/>
      <w:color w:val="000000"/>
      <w:sz w:val="24"/>
      <w:szCs w:val="24"/>
      <w:u w:val="none"/>
    </w:rPr>
  </w:style>
  <w:style w:type="character" w:customStyle="1" w:styleId="43">
    <w:name w:val="font51"/>
    <w:basedOn w:val="24"/>
    <w:qFormat/>
    <w:uiPriority w:val="0"/>
    <w:rPr>
      <w:rFonts w:hint="eastAsia" w:ascii="仿宋" w:hAnsi="仿宋" w:eastAsia="仿宋" w:cs="仿宋"/>
      <w:b/>
      <w:bCs/>
      <w:color w:val="000000"/>
      <w:sz w:val="24"/>
      <w:szCs w:val="24"/>
      <w:u w:val="none"/>
    </w:rPr>
  </w:style>
  <w:style w:type="character" w:customStyle="1" w:styleId="44">
    <w:name w:val="font141"/>
    <w:basedOn w:val="24"/>
    <w:qFormat/>
    <w:uiPriority w:val="0"/>
    <w:rPr>
      <w:rFonts w:hint="eastAsia" w:ascii="仿宋" w:hAnsi="仿宋" w:eastAsia="仿宋" w:cs="仿宋"/>
      <w:color w:val="FF0000"/>
      <w:sz w:val="24"/>
      <w:szCs w:val="24"/>
      <w:u w:val="none"/>
    </w:rPr>
  </w:style>
  <w:style w:type="character" w:customStyle="1" w:styleId="45">
    <w:name w:val="font111"/>
    <w:basedOn w:val="24"/>
    <w:qFormat/>
    <w:uiPriority w:val="0"/>
    <w:rPr>
      <w:rFonts w:hint="eastAsia" w:ascii="仿宋" w:hAnsi="仿宋" w:eastAsia="仿宋" w:cs="仿宋"/>
      <w:color w:val="000000"/>
      <w:sz w:val="22"/>
      <w:szCs w:val="22"/>
      <w:u w:val="none"/>
    </w:rPr>
  </w:style>
  <w:style w:type="character" w:customStyle="1" w:styleId="46">
    <w:name w:val="font81"/>
    <w:basedOn w:val="2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29799</Words>
  <Characters>31534</Characters>
  <Lines>227</Lines>
  <Paragraphs>64</Paragraphs>
  <TotalTime>6</TotalTime>
  <ScaleCrop>false</ScaleCrop>
  <LinksUpToDate>false</LinksUpToDate>
  <CharactersWithSpaces>32807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2022-05-23T03:41:00Z</dcterms:created>
  <dc:creator>Administrator</dc:creator>
  <cp:lastModifiedBy>Anny</cp:lastModifiedBy>
  <cp:lastPrinted>2023-01-09T07:53:00Z</cp:lastPrinted>
  <dcterms:modified xsi:type="dcterms:W3CDTF">2023-02-08T09:14:36Z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C479A9051E6F4E598A453C55A0253B03</vt:lpwstr>
  </property>
</Properties>
</file>