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rPr>
      </w:pPr>
      <w:r>
        <w:rPr>
          <w:rFonts w:hint="eastAsia" w:ascii="仿宋" w:hAnsi="仿宋" w:eastAsia="仿宋" w:cs="仿宋"/>
          <w:color w:val="auto"/>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4"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jc w:val="center"/>
        <w:rPr>
          <w:rFonts w:hint="eastAsia" w:ascii="仿宋" w:hAnsi="仿宋" w:eastAsia="仿宋" w:cs="仿宋"/>
          <w:b/>
          <w:color w:val="auto"/>
          <w:sz w:val="52"/>
        </w:rPr>
      </w:pPr>
    </w:p>
    <w:p>
      <w:pPr>
        <w:jc w:val="center"/>
        <w:rPr>
          <w:rFonts w:hint="eastAsia" w:ascii="仿宋" w:hAnsi="仿宋" w:eastAsia="仿宋" w:cs="仿宋"/>
          <w:b/>
          <w:color w:val="auto"/>
          <w:sz w:val="52"/>
        </w:rPr>
      </w:pPr>
    </w:p>
    <w:p>
      <w:pPr>
        <w:jc w:val="center"/>
        <w:rPr>
          <w:rFonts w:hint="eastAsia" w:ascii="仿宋" w:hAnsi="仿宋" w:eastAsia="仿宋" w:cs="仿宋"/>
          <w:color w:val="auto"/>
          <w:sz w:val="48"/>
        </w:rPr>
      </w:pPr>
      <w:r>
        <w:rPr>
          <w:rFonts w:hint="eastAsia" w:ascii="仿宋" w:hAnsi="仿宋" w:eastAsia="仿宋" w:cs="仿宋"/>
          <w:color w:val="auto"/>
          <w:sz w:val="120"/>
          <w:szCs w:val="120"/>
        </w:rPr>
        <w:t>招 标 文 件</w:t>
      </w:r>
    </w:p>
    <w:p>
      <w:pPr>
        <w:rPr>
          <w:rFonts w:hint="eastAsia" w:ascii="仿宋" w:hAnsi="仿宋" w:eastAsia="仿宋" w:cs="仿宋"/>
          <w:color w:val="auto"/>
          <w:sz w:val="48"/>
        </w:rPr>
      </w:pPr>
    </w:p>
    <w:p>
      <w:pPr>
        <w:rPr>
          <w:rFonts w:hint="eastAsia" w:ascii="仿宋" w:hAnsi="仿宋" w:eastAsia="仿宋" w:cs="仿宋"/>
          <w:color w:val="auto"/>
          <w:sz w:val="48"/>
        </w:rPr>
      </w:pPr>
    </w:p>
    <w:p>
      <w:pPr>
        <w:pStyle w:val="25"/>
        <w:ind w:left="2337" w:leftChars="539" w:hanging="1206" w:hangingChars="335"/>
        <w:rPr>
          <w:rFonts w:hint="eastAsia" w:ascii="仿宋" w:hAnsi="仿宋" w:eastAsia="仿宋" w:cs="仿宋"/>
          <w:color w:val="auto"/>
          <w:sz w:val="36"/>
          <w:szCs w:val="36"/>
          <w:lang w:eastAsia="zh-CN"/>
        </w:rPr>
      </w:pPr>
      <w:r>
        <w:rPr>
          <w:rFonts w:hint="eastAsia" w:ascii="仿宋" w:hAnsi="仿宋" w:eastAsia="仿宋" w:cs="仿宋"/>
          <w:color w:val="auto"/>
          <w:sz w:val="36"/>
          <w:szCs w:val="36"/>
        </w:rPr>
        <w:t>文件编号：</w:t>
      </w:r>
      <w:r>
        <w:rPr>
          <w:rFonts w:hint="eastAsia" w:ascii="仿宋" w:hAnsi="仿宋" w:eastAsia="仿宋" w:cs="仿宋"/>
          <w:color w:val="auto"/>
          <w:sz w:val="36"/>
          <w:szCs w:val="36"/>
          <w:lang w:eastAsia="zh-CN"/>
        </w:rPr>
        <w:t>2041xzjk034</w:t>
      </w:r>
    </w:p>
    <w:p>
      <w:pPr>
        <w:pStyle w:val="25"/>
        <w:ind w:left="2337" w:leftChars="539" w:hanging="1206" w:hangingChars="335"/>
        <w:rPr>
          <w:rFonts w:hint="eastAsia" w:ascii="仿宋" w:hAnsi="仿宋" w:eastAsia="仿宋" w:cs="仿宋"/>
          <w:color w:val="auto"/>
          <w:sz w:val="36"/>
          <w:szCs w:val="36"/>
        </w:rPr>
      </w:pPr>
      <w:r>
        <w:rPr>
          <w:rFonts w:hint="eastAsia" w:ascii="仿宋" w:hAnsi="仿宋" w:eastAsia="仿宋" w:cs="仿宋"/>
          <w:color w:val="000000" w:themeColor="text1"/>
          <w:sz w:val="36"/>
          <w:szCs w:val="36"/>
          <w14:textFill>
            <w14:solidFill>
              <w14:schemeClr w14:val="tx1"/>
            </w14:solidFill>
          </w14:textFill>
        </w:rPr>
        <w:t>项目名称：</w:t>
      </w:r>
      <w:r>
        <w:rPr>
          <w:rFonts w:hint="eastAsia" w:ascii="仿宋" w:hAnsi="仿宋" w:eastAsia="仿宋" w:cs="仿宋"/>
          <w:color w:val="000000" w:themeColor="text1"/>
          <w:sz w:val="36"/>
          <w:szCs w:val="36"/>
          <w:lang w:eastAsia="zh-CN"/>
          <w14:textFill>
            <w14:solidFill>
              <w14:schemeClr w14:val="tx1"/>
            </w14:solidFill>
          </w14:textFill>
        </w:rPr>
        <w:t>昌吉市中医院综合项目</w:t>
      </w:r>
    </w:p>
    <w:p>
      <w:pPr>
        <w:jc w:val="right"/>
        <w:rPr>
          <w:rFonts w:hint="eastAsia" w:ascii="仿宋" w:hAnsi="仿宋" w:eastAsia="仿宋" w:cs="仿宋"/>
          <w:color w:val="auto"/>
          <w:sz w:val="40"/>
        </w:rPr>
      </w:pPr>
    </w:p>
    <w:p>
      <w:pPr>
        <w:rPr>
          <w:rFonts w:hint="eastAsia" w:ascii="仿宋" w:hAnsi="仿宋" w:eastAsia="仿宋" w:cs="仿宋"/>
          <w:color w:val="auto"/>
          <w:sz w:val="40"/>
        </w:rPr>
      </w:pPr>
    </w:p>
    <w:p>
      <w:pPr>
        <w:jc w:val="cente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新疆新之建工程咨询有限公司</w:t>
      </w:r>
    </w:p>
    <w:p>
      <w:pPr>
        <w:jc w:val="center"/>
        <w:rPr>
          <w:rFonts w:hint="eastAsia" w:ascii="仿宋" w:hAnsi="仿宋" w:eastAsia="仿宋" w:cs="仿宋"/>
          <w:b/>
          <w:color w:val="auto"/>
          <w:sz w:val="44"/>
          <w:szCs w:val="44"/>
        </w:rPr>
      </w:pPr>
      <w:r>
        <w:rPr>
          <w:rFonts w:hint="eastAsia" w:ascii="仿宋" w:hAnsi="仿宋" w:eastAsia="仿宋" w:cs="仿宋"/>
          <w:color w:val="auto"/>
          <w:sz w:val="32"/>
          <w:szCs w:val="32"/>
        </w:rPr>
        <w:t>2020年0</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p>
    <w:p>
      <w:pPr>
        <w:tabs>
          <w:tab w:val="left" w:pos="2700"/>
        </w:tabs>
        <w:spacing w:before="624" w:beforeLines="200" w:line="360" w:lineRule="atLeast"/>
        <w:ind w:firstLine="723"/>
        <w:rPr>
          <w:rFonts w:hint="eastAsia" w:ascii="仿宋" w:hAnsi="仿宋" w:eastAsia="仿宋" w:cs="仿宋"/>
          <w:b/>
          <w:color w:val="auto"/>
          <w:sz w:val="44"/>
          <w:szCs w:val="44"/>
        </w:rPr>
        <w:sectPr>
          <w:pgSz w:w="11906" w:h="16838"/>
          <w:pgMar w:top="1247" w:right="1134" w:bottom="1247" w:left="1134" w:header="851" w:footer="851" w:gutter="0"/>
          <w:cols w:space="720" w:num="1"/>
          <w:docGrid w:type="linesAndChars" w:linePitch="312" w:charSpace="0"/>
        </w:sectPr>
      </w:pPr>
    </w:p>
    <w:p>
      <w:pPr>
        <w:tabs>
          <w:tab w:val="left" w:pos="2700"/>
        </w:tabs>
        <w:spacing w:before="624" w:beforeLines="200" w:line="360" w:lineRule="atLeast"/>
        <w:jc w:val="center"/>
        <w:rPr>
          <w:rFonts w:hint="eastAsia" w:ascii="仿宋" w:hAnsi="仿宋" w:eastAsia="仿宋" w:cs="仿宋"/>
          <w:color w:val="auto"/>
          <w:sz w:val="44"/>
          <w:szCs w:val="44"/>
        </w:rPr>
      </w:pPr>
      <w:r>
        <w:rPr>
          <w:rFonts w:hint="eastAsia" w:ascii="仿宋" w:hAnsi="仿宋" w:eastAsia="仿宋" w:cs="仿宋"/>
          <w:b/>
          <w:color w:val="auto"/>
          <w:sz w:val="44"/>
          <w:szCs w:val="44"/>
        </w:rPr>
        <w:t>目    录</w:t>
      </w:r>
    </w:p>
    <w:p>
      <w:pPr>
        <w:pStyle w:val="16"/>
        <w:tabs>
          <w:tab w:val="right" w:leader="dot" w:pos="9288"/>
        </w:tabs>
        <w:ind w:firstLine="600"/>
        <w:rPr>
          <w:rFonts w:hint="eastAsia" w:ascii="仿宋" w:hAnsi="仿宋" w:eastAsia="仿宋" w:cs="仿宋"/>
          <w:b w:val="0"/>
          <w:bCs w:val="0"/>
          <w:caps w:val="0"/>
          <w:color w:val="auto"/>
          <w:sz w:val="30"/>
          <w:szCs w:val="30"/>
        </w:rPr>
      </w:pPr>
      <w:r>
        <w:rPr>
          <w:rFonts w:hint="eastAsia" w:ascii="仿宋" w:hAnsi="仿宋" w:eastAsia="仿宋" w:cs="仿宋"/>
          <w:b w:val="0"/>
          <w:color w:val="auto"/>
          <w:sz w:val="30"/>
          <w:szCs w:val="30"/>
        </w:rPr>
        <w:fldChar w:fldCharType="begin"/>
      </w:r>
      <w:r>
        <w:rPr>
          <w:rFonts w:hint="eastAsia" w:ascii="仿宋" w:hAnsi="仿宋" w:eastAsia="仿宋" w:cs="仿宋"/>
          <w:b w:val="0"/>
          <w:color w:val="auto"/>
          <w:sz w:val="30"/>
          <w:szCs w:val="30"/>
        </w:rPr>
        <w:instrText xml:space="preserve"> TOC \o "1-3" \h \z \u </w:instrText>
      </w:r>
      <w:r>
        <w:rPr>
          <w:rFonts w:hint="eastAsia" w:ascii="仿宋" w:hAnsi="仿宋" w:eastAsia="仿宋" w:cs="仿宋"/>
          <w:b w:val="0"/>
          <w:color w:val="auto"/>
          <w:sz w:val="30"/>
          <w:szCs w:val="30"/>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"_Toc5987693" </w:instrText>
      </w:r>
      <w:r>
        <w:rPr>
          <w:rFonts w:hint="eastAsia" w:ascii="仿宋" w:hAnsi="仿宋" w:eastAsia="仿宋" w:cs="仿宋"/>
          <w:color w:val="auto"/>
        </w:rPr>
        <w:fldChar w:fldCharType="separate"/>
      </w:r>
      <w:r>
        <w:rPr>
          <w:rStyle w:val="24"/>
          <w:rFonts w:hint="eastAsia" w:ascii="仿宋" w:hAnsi="仿宋" w:eastAsia="仿宋" w:cs="仿宋"/>
          <w:b w:val="0"/>
          <w:color w:val="auto"/>
          <w:sz w:val="30"/>
          <w:szCs w:val="30"/>
        </w:rPr>
        <w:t>投标须知前附表</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rPr>
        <w:fldChar w:fldCharType="begin"/>
      </w:r>
      <w:r>
        <w:rPr>
          <w:rFonts w:hint="eastAsia" w:ascii="仿宋" w:hAnsi="仿宋" w:eastAsia="仿宋" w:cs="仿宋"/>
          <w:b w:val="0"/>
          <w:color w:val="auto"/>
          <w:sz w:val="30"/>
          <w:szCs w:val="30"/>
        </w:rPr>
        <w:instrText xml:space="preserve"> PAGEREF _Toc5987693 \h </w:instrText>
      </w:r>
      <w:r>
        <w:rPr>
          <w:rFonts w:hint="eastAsia" w:ascii="仿宋" w:hAnsi="仿宋" w:eastAsia="仿宋" w:cs="仿宋"/>
          <w:b w:val="0"/>
          <w:color w:val="auto"/>
          <w:sz w:val="30"/>
          <w:szCs w:val="30"/>
        </w:rPr>
        <w:fldChar w:fldCharType="separate"/>
      </w:r>
      <w:r>
        <w:rPr>
          <w:rFonts w:hint="eastAsia" w:ascii="仿宋" w:hAnsi="仿宋" w:eastAsia="仿宋" w:cs="仿宋"/>
          <w:b w:val="0"/>
          <w:color w:val="auto"/>
          <w:sz w:val="30"/>
          <w:szCs w:val="30"/>
        </w:rPr>
        <w:t>1</w:t>
      </w:r>
      <w:r>
        <w:rPr>
          <w:rFonts w:hint="eastAsia" w:ascii="仿宋" w:hAnsi="仿宋" w:eastAsia="仿宋" w:cs="仿宋"/>
          <w:b w:val="0"/>
          <w:color w:val="auto"/>
          <w:sz w:val="30"/>
          <w:szCs w:val="30"/>
        </w:rPr>
        <w:fldChar w:fldCharType="end"/>
      </w:r>
      <w:r>
        <w:rPr>
          <w:rFonts w:hint="eastAsia" w:ascii="仿宋" w:hAnsi="仿宋" w:eastAsia="仿宋" w:cs="仿宋"/>
          <w:b w:val="0"/>
          <w:color w:val="auto"/>
          <w:sz w:val="30"/>
          <w:szCs w:val="30"/>
        </w:rPr>
        <w:fldChar w:fldCharType="end"/>
      </w:r>
    </w:p>
    <w:p>
      <w:pPr>
        <w:pStyle w:val="16"/>
        <w:tabs>
          <w:tab w:val="right" w:leader="dot" w:pos="9288"/>
        </w:tabs>
        <w:ind w:firstLine="402"/>
        <w:rPr>
          <w:rFonts w:hint="eastAsia" w:ascii="仿宋" w:hAnsi="仿宋" w:eastAsia="仿宋" w:cs="仿宋"/>
          <w:b w:val="0"/>
          <w:bCs w:val="0"/>
          <w:caps w:val="0"/>
          <w:color w:val="auto"/>
          <w:sz w:val="30"/>
          <w:szCs w:val="30"/>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"_Toc5987694" </w:instrText>
      </w:r>
      <w:r>
        <w:rPr>
          <w:rFonts w:hint="eastAsia" w:ascii="仿宋" w:hAnsi="仿宋" w:eastAsia="仿宋" w:cs="仿宋"/>
          <w:color w:val="auto"/>
        </w:rPr>
        <w:fldChar w:fldCharType="separate"/>
      </w:r>
      <w:r>
        <w:rPr>
          <w:rStyle w:val="24"/>
          <w:rFonts w:hint="eastAsia" w:ascii="仿宋" w:hAnsi="仿宋" w:eastAsia="仿宋" w:cs="仿宋"/>
          <w:b w:val="0"/>
          <w:color w:val="auto"/>
          <w:sz w:val="30"/>
          <w:szCs w:val="30"/>
        </w:rPr>
        <w:t>第一章  招标公告</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lang w:val="en-US" w:eastAsia="zh-CN"/>
        </w:rPr>
        <w:t>6</w:t>
      </w:r>
      <w:r>
        <w:rPr>
          <w:rFonts w:hint="eastAsia" w:ascii="仿宋" w:hAnsi="仿宋" w:eastAsia="仿宋" w:cs="仿宋"/>
          <w:b w:val="0"/>
          <w:color w:val="auto"/>
          <w:sz w:val="30"/>
          <w:szCs w:val="30"/>
        </w:rPr>
        <w:fldChar w:fldCharType="end"/>
      </w:r>
    </w:p>
    <w:p>
      <w:pPr>
        <w:pStyle w:val="16"/>
        <w:tabs>
          <w:tab w:val="right" w:leader="dot" w:pos="9288"/>
        </w:tabs>
        <w:ind w:firstLine="402"/>
        <w:rPr>
          <w:rFonts w:hint="eastAsia" w:ascii="仿宋" w:hAnsi="仿宋" w:eastAsia="仿宋" w:cs="仿宋"/>
          <w:b w:val="0"/>
          <w:bCs w:val="0"/>
          <w:caps w:val="0"/>
          <w:color w:val="auto"/>
          <w:sz w:val="30"/>
          <w:szCs w:val="30"/>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"_Toc5987695" </w:instrText>
      </w:r>
      <w:r>
        <w:rPr>
          <w:rFonts w:hint="eastAsia" w:ascii="仿宋" w:hAnsi="仿宋" w:eastAsia="仿宋" w:cs="仿宋"/>
          <w:color w:val="auto"/>
        </w:rPr>
        <w:fldChar w:fldCharType="separate"/>
      </w:r>
      <w:r>
        <w:rPr>
          <w:rStyle w:val="24"/>
          <w:rFonts w:hint="eastAsia" w:ascii="仿宋" w:hAnsi="仿宋" w:eastAsia="仿宋" w:cs="仿宋"/>
          <w:b w:val="0"/>
          <w:color w:val="auto"/>
          <w:sz w:val="30"/>
          <w:szCs w:val="30"/>
        </w:rPr>
        <w:t>第二章  投标须知</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lang w:val="en-US" w:eastAsia="zh-CN"/>
        </w:rPr>
        <w:t>1</w:t>
      </w:r>
      <w:r>
        <w:rPr>
          <w:rFonts w:hint="eastAsia" w:ascii="仿宋" w:hAnsi="仿宋" w:eastAsia="仿宋" w:cs="仿宋"/>
          <w:b w:val="0"/>
          <w:color w:val="auto"/>
          <w:sz w:val="30"/>
          <w:szCs w:val="30"/>
        </w:rPr>
        <w:fldChar w:fldCharType="end"/>
      </w:r>
      <w:r>
        <w:rPr>
          <w:rFonts w:hint="eastAsia" w:ascii="仿宋" w:hAnsi="仿宋" w:eastAsia="仿宋" w:cs="仿宋"/>
          <w:b w:val="0"/>
          <w:color w:val="auto"/>
          <w:sz w:val="30"/>
          <w:szCs w:val="30"/>
          <w:lang w:val="en-US" w:eastAsia="zh-CN"/>
        </w:rPr>
        <w:t>0</w:t>
      </w:r>
    </w:p>
    <w:p>
      <w:pPr>
        <w:pStyle w:val="16"/>
        <w:tabs>
          <w:tab w:val="right" w:leader="dot" w:pos="9288"/>
        </w:tabs>
        <w:ind w:firstLine="402"/>
        <w:rPr>
          <w:rFonts w:hint="eastAsia" w:ascii="仿宋" w:hAnsi="仿宋" w:eastAsia="仿宋" w:cs="仿宋"/>
          <w:b w:val="0"/>
          <w:bCs w:val="0"/>
          <w:caps w:val="0"/>
          <w:color w:val="auto"/>
          <w:sz w:val="30"/>
          <w:szCs w:val="30"/>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"_Toc5987696" </w:instrText>
      </w:r>
      <w:r>
        <w:rPr>
          <w:rFonts w:hint="eastAsia" w:ascii="仿宋" w:hAnsi="仿宋" w:eastAsia="仿宋" w:cs="仿宋"/>
          <w:color w:val="auto"/>
        </w:rPr>
        <w:fldChar w:fldCharType="separate"/>
      </w:r>
      <w:r>
        <w:rPr>
          <w:rStyle w:val="24"/>
          <w:rFonts w:hint="eastAsia" w:ascii="仿宋" w:hAnsi="仿宋" w:eastAsia="仿宋" w:cs="仿宋"/>
          <w:b w:val="0"/>
          <w:color w:val="auto"/>
          <w:sz w:val="30"/>
          <w:szCs w:val="30"/>
        </w:rPr>
        <w:t>第三章  招标内容及技术要求</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lang w:val="en-US" w:eastAsia="zh-CN"/>
        </w:rPr>
        <w:t>3</w:t>
      </w:r>
      <w:r>
        <w:rPr>
          <w:rFonts w:hint="eastAsia" w:ascii="仿宋" w:hAnsi="仿宋" w:eastAsia="仿宋" w:cs="仿宋"/>
          <w:b w:val="0"/>
          <w:color w:val="auto"/>
          <w:sz w:val="30"/>
          <w:szCs w:val="30"/>
        </w:rPr>
        <w:fldChar w:fldCharType="end"/>
      </w:r>
      <w:r>
        <w:rPr>
          <w:rFonts w:hint="eastAsia" w:ascii="仿宋" w:hAnsi="仿宋" w:eastAsia="仿宋" w:cs="仿宋"/>
          <w:b w:val="0"/>
          <w:color w:val="auto"/>
          <w:sz w:val="30"/>
          <w:szCs w:val="30"/>
          <w:lang w:val="en-US" w:eastAsia="zh-CN"/>
        </w:rPr>
        <w:t>6</w:t>
      </w:r>
    </w:p>
    <w:p>
      <w:pPr>
        <w:pStyle w:val="16"/>
        <w:tabs>
          <w:tab w:val="right" w:leader="dot" w:pos="9288"/>
        </w:tabs>
        <w:ind w:firstLine="402"/>
        <w:rPr>
          <w:rFonts w:hint="default" w:ascii="仿宋" w:hAnsi="仿宋" w:eastAsia="仿宋" w:cs="仿宋"/>
          <w:b w:val="0"/>
          <w:bCs w:val="0"/>
          <w:caps w:val="0"/>
          <w:color w:val="auto"/>
          <w:sz w:val="30"/>
          <w:szCs w:val="30"/>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"_Toc5987697" </w:instrText>
      </w:r>
      <w:r>
        <w:rPr>
          <w:rFonts w:hint="eastAsia" w:ascii="仿宋" w:hAnsi="仿宋" w:eastAsia="仿宋" w:cs="仿宋"/>
          <w:color w:val="auto"/>
        </w:rPr>
        <w:fldChar w:fldCharType="separate"/>
      </w:r>
      <w:r>
        <w:rPr>
          <w:rStyle w:val="24"/>
          <w:rFonts w:hint="eastAsia" w:ascii="仿宋" w:hAnsi="仿宋" w:eastAsia="仿宋" w:cs="仿宋"/>
          <w:b w:val="0"/>
          <w:color w:val="auto"/>
          <w:sz w:val="30"/>
          <w:szCs w:val="30"/>
        </w:rPr>
        <w:t>第四章  合同主要条款</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lang w:val="en-US" w:eastAsia="zh-CN"/>
        </w:rPr>
        <w:t>1</w:t>
      </w:r>
      <w:r>
        <w:rPr>
          <w:rFonts w:hint="eastAsia" w:ascii="仿宋" w:hAnsi="仿宋" w:eastAsia="仿宋" w:cs="仿宋"/>
          <w:b w:val="0"/>
          <w:color w:val="auto"/>
          <w:sz w:val="30"/>
          <w:szCs w:val="30"/>
        </w:rPr>
        <w:fldChar w:fldCharType="end"/>
      </w:r>
      <w:r>
        <w:rPr>
          <w:rFonts w:hint="eastAsia" w:ascii="仿宋" w:hAnsi="仿宋" w:eastAsia="仿宋" w:cs="仿宋"/>
          <w:b w:val="0"/>
          <w:color w:val="auto"/>
          <w:sz w:val="30"/>
          <w:szCs w:val="30"/>
          <w:lang w:val="en-US" w:eastAsia="zh-CN"/>
        </w:rPr>
        <w:t>08</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30"/>
          <w:szCs w:val="30"/>
        </w:rPr>
        <w:fldChar w:fldCharType="end"/>
      </w:r>
      <w:r>
        <w:rPr>
          <w:rFonts w:hint="eastAsia" w:ascii="仿宋" w:hAnsi="仿宋" w:eastAsia="仿宋" w:cs="仿宋"/>
          <w:color w:val="auto"/>
          <w:sz w:val="28"/>
        </w:rPr>
        <w:t>附件：（投标书格式）</w:t>
      </w:r>
    </w:p>
    <w:p>
      <w:pPr>
        <w:pStyle w:val="26"/>
        <w:tabs>
          <w:tab w:val="left" w:pos="7147"/>
        </w:tabs>
        <w:spacing w:line="540" w:lineRule="exact"/>
        <w:ind w:firstLine="560"/>
        <w:rPr>
          <w:rFonts w:hint="eastAsia" w:ascii="仿宋" w:hAnsi="仿宋" w:eastAsia="仿宋" w:cs="仿宋"/>
          <w:color w:val="auto"/>
          <w:sz w:val="28"/>
          <w:lang w:eastAsia="zh-CN"/>
        </w:rPr>
      </w:pPr>
      <w:r>
        <w:rPr>
          <w:rFonts w:hint="eastAsia" w:ascii="仿宋" w:hAnsi="仿宋" w:eastAsia="仿宋" w:cs="仿宋"/>
          <w:color w:val="auto"/>
          <w:sz w:val="28"/>
        </w:rPr>
        <w:t>附件一 投标书</w:t>
      </w:r>
      <w:r>
        <w:rPr>
          <w:rFonts w:hint="eastAsia" w:ascii="仿宋" w:hAnsi="仿宋" w:eastAsia="仿宋" w:cs="仿宋"/>
          <w:color w:val="auto"/>
          <w:sz w:val="28"/>
          <w:lang w:eastAsia="zh-CN"/>
        </w:rPr>
        <w:tab/>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附件二 法定代表人资格证明书（格式）/法定代表人授权委托书（格式）</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附件三 供应商关于投标文件的声明函</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附件四 供应商诚信投标承诺书</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附件五 供应商反商业贿赂承诺书</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附件六 开标一览表</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附件七 投标产品名称、数量、规格分项报价表</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附件八 技术规格偏离表</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附件九 商务条款偏离表</w:t>
      </w:r>
    </w:p>
    <w:p>
      <w:pPr>
        <w:pStyle w:val="26"/>
        <w:spacing w:line="540" w:lineRule="exact"/>
        <w:ind w:firstLine="560"/>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附件十 第四包工程量清单</w:t>
      </w:r>
    </w:p>
    <w:p>
      <w:pPr>
        <w:pStyle w:val="26"/>
        <w:spacing w:line="540" w:lineRule="exact"/>
        <w:ind w:firstLine="560"/>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附件十一 第五包工程量清单</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附件十</w:t>
      </w:r>
      <w:r>
        <w:rPr>
          <w:rFonts w:hint="eastAsia" w:ascii="仿宋" w:hAnsi="仿宋" w:eastAsia="仿宋" w:cs="仿宋"/>
          <w:color w:val="auto"/>
          <w:sz w:val="28"/>
          <w:lang w:val="en-US" w:eastAsia="zh-CN"/>
        </w:rPr>
        <w:t>二</w:t>
      </w:r>
      <w:r>
        <w:rPr>
          <w:rFonts w:hint="eastAsia" w:ascii="仿宋" w:hAnsi="仿宋" w:eastAsia="仿宋" w:cs="仿宋"/>
          <w:color w:val="auto"/>
          <w:sz w:val="28"/>
        </w:rPr>
        <w:t xml:space="preserve"> 投标产品近三年相同产品销售业绩表</w:t>
      </w:r>
    </w:p>
    <w:p>
      <w:pPr>
        <w:tabs>
          <w:tab w:val="left" w:pos="6262"/>
        </w:tabs>
        <w:spacing w:line="480" w:lineRule="auto"/>
        <w:ind w:firstLine="560" w:firstLineChars="200"/>
        <w:rPr>
          <w:rFonts w:hint="eastAsia" w:ascii="仿宋" w:hAnsi="仿宋" w:eastAsia="仿宋" w:cs="仿宋"/>
          <w:color w:val="auto"/>
          <w:sz w:val="28"/>
        </w:rPr>
      </w:pPr>
    </w:p>
    <w:p>
      <w:pPr>
        <w:pStyle w:val="18"/>
        <w:tabs>
          <w:tab w:val="left" w:pos="1647"/>
          <w:tab w:val="center" w:pos="4633"/>
        </w:tabs>
        <w:ind w:left="0" w:firstLine="0"/>
        <w:jc w:val="left"/>
        <w:rPr>
          <w:rFonts w:hint="eastAsia" w:ascii="仿宋" w:hAnsi="仿宋" w:eastAsia="仿宋" w:cs="仿宋"/>
          <w:color w:val="auto"/>
          <w:sz w:val="36"/>
          <w:lang w:eastAsia="zh-CN"/>
        </w:rPr>
        <w:sectPr>
          <w:footerReference r:id="rId3" w:type="default"/>
          <w:pgSz w:w="11906" w:h="16838"/>
          <w:pgMar w:top="1440" w:right="1800" w:bottom="1440" w:left="960" w:header="851" w:footer="992" w:gutter="0"/>
          <w:pgNumType w:fmt="numberInDash" w:start="1"/>
          <w:cols w:space="720" w:num="1"/>
          <w:docGrid w:type="lines" w:linePitch="317" w:charSpace="609"/>
        </w:sectPr>
      </w:pPr>
      <w:bookmarkStart w:id="0" w:name="_Toc5987693"/>
    </w:p>
    <w:p>
      <w:pPr>
        <w:pStyle w:val="18"/>
        <w:tabs>
          <w:tab w:val="left" w:pos="1647"/>
          <w:tab w:val="center" w:pos="4633"/>
        </w:tabs>
        <w:ind w:left="0" w:firstLine="0"/>
        <w:jc w:val="left"/>
        <w:rPr>
          <w:rFonts w:hint="eastAsia" w:ascii="仿宋" w:hAnsi="仿宋" w:eastAsia="仿宋" w:cs="仿宋"/>
          <w:color w:val="auto"/>
          <w:sz w:val="36"/>
        </w:rPr>
      </w:pPr>
      <w:r>
        <w:rPr>
          <w:rFonts w:hint="eastAsia" w:ascii="仿宋" w:hAnsi="仿宋" w:eastAsia="仿宋" w:cs="仿宋"/>
          <w:color w:val="auto"/>
          <w:sz w:val="36"/>
          <w:lang w:eastAsia="zh-CN"/>
        </w:rPr>
        <w:tab/>
      </w:r>
      <w:r>
        <w:rPr>
          <w:rFonts w:hint="eastAsia" w:ascii="仿宋" w:hAnsi="仿宋" w:eastAsia="仿宋" w:cs="仿宋"/>
          <w:color w:val="auto"/>
          <w:sz w:val="36"/>
          <w:lang w:eastAsia="zh-CN"/>
        </w:rPr>
        <w:tab/>
      </w:r>
      <w:r>
        <w:rPr>
          <w:rFonts w:hint="eastAsia" w:ascii="仿宋" w:hAnsi="仿宋" w:eastAsia="仿宋" w:cs="仿宋"/>
          <w:color w:val="auto"/>
          <w:sz w:val="36"/>
        </w:rPr>
        <w:t>投标须知前附表</w:t>
      </w:r>
      <w:bookmarkEnd w:id="0"/>
    </w:p>
    <w:tbl>
      <w:tblPr>
        <w:tblStyle w:val="20"/>
        <w:tblW w:w="9923"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tblHeader/>
        </w:trPr>
        <w:tc>
          <w:tcPr>
            <w:tcW w:w="824" w:type="dxa"/>
            <w:tcMar>
              <w:top w:w="57" w:type="dxa"/>
              <w:bottom w:w="57" w:type="dxa"/>
            </w:tcMar>
            <w:vAlign w:val="center"/>
          </w:tcPr>
          <w:p>
            <w:pPr>
              <w:pStyle w:val="25"/>
              <w:snapToGrid w:val="0"/>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9099" w:type="dxa"/>
            <w:tcMar>
              <w:top w:w="57" w:type="dxa"/>
              <w:bottom w:w="57" w:type="dxa"/>
            </w:tcMar>
            <w:vAlign w:val="center"/>
          </w:tcPr>
          <w:p>
            <w:pPr>
              <w:pStyle w:val="25"/>
              <w:snapToGrid w:val="0"/>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099" w:type="dxa"/>
            <w:tcBorders>
              <w:bottom w:val="single" w:color="auto" w:sz="4" w:space="0"/>
            </w:tcBorders>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15"/>
                <w:lang w:eastAsia="zh-CN"/>
              </w:rPr>
              <w:t>昌吉市中医院综合项目</w:t>
            </w:r>
          </w:p>
          <w:p>
            <w:pPr>
              <w:pStyle w:val="25"/>
              <w:spacing w:line="420" w:lineRule="exact"/>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15"/>
                <w:lang w:eastAsia="zh-CN"/>
              </w:rPr>
              <w:t>2041xzjk034</w:t>
            </w:r>
          </w:p>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招标内容：</w:t>
            </w:r>
            <w:r>
              <w:rPr>
                <w:rFonts w:hint="eastAsia" w:ascii="仿宋" w:hAnsi="仿宋" w:eastAsia="仿宋" w:cs="仿宋"/>
                <w:color w:val="auto"/>
                <w:sz w:val="24"/>
                <w:szCs w:val="15"/>
              </w:rPr>
              <w:t>医疗设备一批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项目采购预算：总预算586万元，其中第一包166万元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第二包30万元，第三包220万元，第四包50万元，</w:t>
            </w:r>
            <w:r>
              <w:rPr>
                <w:rFonts w:hint="eastAsia" w:ascii="仿宋" w:hAnsi="仿宋" w:eastAsia="仿宋"/>
                <w:color w:val="auto"/>
                <w:sz w:val="24"/>
                <w:szCs w:val="24"/>
              </w:rPr>
              <w:t>第五包120万元</w:t>
            </w:r>
            <w:r>
              <w:rPr>
                <w:rFonts w:hint="eastAsia" w:ascii="仿宋" w:hAnsi="仿宋" w:eastAsia="仿宋"/>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17"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采购人：昌吉市卫生健康委员会</w:t>
            </w:r>
          </w:p>
          <w:p>
            <w:pPr>
              <w:pStyle w:val="25"/>
              <w:spacing w:line="420" w:lineRule="exact"/>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联系人：张元庆</w:t>
            </w:r>
          </w:p>
          <w:p>
            <w:pPr>
              <w:pStyle w:val="25"/>
              <w:spacing w:line="420" w:lineRule="exact"/>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联系电话：15999089135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采购代理机构：新疆新之建工程咨询有限公司。</w:t>
            </w:r>
          </w:p>
          <w:p>
            <w:pPr>
              <w:pStyle w:val="25"/>
              <w:spacing w:line="420" w:lineRule="exact"/>
              <w:ind w:firstLine="0" w:firstLineChars="0"/>
              <w:rPr>
                <w:rFonts w:hint="eastAsia" w:ascii="仿宋" w:hAnsi="仿宋" w:eastAsia="仿宋" w:cs="仿宋"/>
                <w:color w:val="auto"/>
                <w:kern w:val="0"/>
                <w:sz w:val="24"/>
                <w:szCs w:val="24"/>
              </w:rPr>
            </w:pPr>
            <w:r>
              <w:rPr>
                <w:rFonts w:hint="eastAsia" w:ascii="仿宋" w:hAnsi="仿宋" w:eastAsia="仿宋" w:cs="仿宋"/>
                <w:color w:val="auto"/>
                <w:sz w:val="24"/>
                <w:szCs w:val="24"/>
              </w:rPr>
              <w:t>地址：新疆乌鲁木齐市沙依巴克区公园北街162号文苑综合楼七楼。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9099" w:type="dxa"/>
            <w:tcMar>
              <w:top w:w="57" w:type="dxa"/>
              <w:bottom w:w="57" w:type="dxa"/>
            </w:tcMar>
            <w:vAlign w:val="center"/>
          </w:tcPr>
          <w:p>
            <w:pPr>
              <w:pStyle w:val="25"/>
              <w:spacing w:line="420" w:lineRule="exact"/>
              <w:ind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投标保证金金额：</w:t>
            </w:r>
            <w:r>
              <w:rPr>
                <w:rFonts w:hint="eastAsia" w:ascii="仿宋" w:hAnsi="仿宋" w:eastAsia="仿宋" w:cs="仿宋"/>
                <w:color w:val="auto"/>
                <w:sz w:val="24"/>
                <w:szCs w:val="24"/>
                <w:lang w:val="en-US" w:eastAsia="zh-CN"/>
              </w:rPr>
              <w:t>第一包：</w:t>
            </w:r>
            <w:r>
              <w:rPr>
                <w:rFonts w:hint="eastAsia" w:ascii="仿宋" w:hAnsi="仿宋" w:eastAsia="仿宋" w:cs="仿宋"/>
                <w:color w:val="auto"/>
                <w:sz w:val="24"/>
                <w:szCs w:val="24"/>
              </w:rPr>
              <w:t>人民币3.3万元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第二包：</w:t>
            </w:r>
            <w:r>
              <w:rPr>
                <w:rFonts w:hint="eastAsia" w:ascii="仿宋" w:hAnsi="仿宋" w:eastAsia="仿宋"/>
                <w:color w:val="auto"/>
                <w:sz w:val="24"/>
                <w:szCs w:val="24"/>
              </w:rPr>
              <w:t>人民币0.6万元</w:t>
            </w:r>
            <w:r>
              <w:rPr>
                <w:rFonts w:hint="eastAsia" w:ascii="仿宋" w:hAnsi="仿宋" w:eastAsia="仿宋"/>
                <w:color w:val="auto"/>
                <w:sz w:val="24"/>
                <w:szCs w:val="24"/>
                <w:lang w:eastAsia="zh-CN"/>
              </w:rPr>
              <w:t>，</w:t>
            </w:r>
            <w:r>
              <w:rPr>
                <w:rFonts w:hint="eastAsia" w:ascii="仿宋" w:hAnsi="仿宋" w:eastAsia="仿宋" w:cs="仿宋"/>
                <w:color w:val="auto"/>
                <w:sz w:val="24"/>
                <w:szCs w:val="24"/>
                <w:lang w:val="en-US" w:eastAsia="zh-CN"/>
              </w:rPr>
              <w:t>第三包：</w:t>
            </w:r>
            <w:r>
              <w:rPr>
                <w:rFonts w:hint="eastAsia" w:ascii="仿宋" w:hAnsi="仿宋" w:eastAsia="仿宋"/>
                <w:color w:val="auto"/>
                <w:sz w:val="24"/>
                <w:szCs w:val="24"/>
              </w:rPr>
              <w:t>人民币4.4万元</w:t>
            </w:r>
            <w:r>
              <w:rPr>
                <w:rFonts w:hint="eastAsia" w:ascii="仿宋" w:hAnsi="仿宋" w:eastAsia="仿宋"/>
                <w:color w:val="auto"/>
                <w:sz w:val="24"/>
                <w:szCs w:val="24"/>
                <w:lang w:eastAsia="zh-CN"/>
              </w:rPr>
              <w:t>，</w:t>
            </w:r>
            <w:r>
              <w:rPr>
                <w:rFonts w:hint="eastAsia" w:ascii="仿宋" w:hAnsi="仿宋" w:eastAsia="仿宋" w:cs="仿宋"/>
                <w:color w:val="auto"/>
                <w:sz w:val="24"/>
                <w:szCs w:val="24"/>
                <w:lang w:val="en-US" w:eastAsia="zh-CN"/>
              </w:rPr>
              <w:t>第四包：</w:t>
            </w:r>
            <w:r>
              <w:rPr>
                <w:rFonts w:hint="eastAsia" w:ascii="仿宋" w:hAnsi="仿宋" w:eastAsia="仿宋"/>
                <w:color w:val="auto"/>
                <w:sz w:val="24"/>
                <w:szCs w:val="24"/>
              </w:rPr>
              <w:t>人民币1.0万元</w:t>
            </w:r>
            <w:r>
              <w:rPr>
                <w:rFonts w:hint="eastAsia" w:ascii="仿宋" w:hAnsi="仿宋" w:eastAsia="仿宋"/>
                <w:color w:val="auto"/>
                <w:sz w:val="24"/>
                <w:szCs w:val="24"/>
                <w:lang w:eastAsia="zh-CN"/>
              </w:rPr>
              <w:t>，</w:t>
            </w:r>
            <w:r>
              <w:rPr>
                <w:rFonts w:hint="eastAsia" w:ascii="仿宋" w:hAnsi="仿宋" w:eastAsia="仿宋" w:cs="仿宋"/>
                <w:color w:val="auto"/>
                <w:sz w:val="24"/>
                <w:szCs w:val="24"/>
                <w:lang w:val="en-US" w:eastAsia="zh-CN"/>
              </w:rPr>
              <w:t>第五包：</w:t>
            </w:r>
            <w:r>
              <w:rPr>
                <w:rFonts w:hint="eastAsia" w:ascii="仿宋" w:hAnsi="仿宋" w:eastAsia="仿宋"/>
                <w:color w:val="auto"/>
                <w:sz w:val="24"/>
                <w:szCs w:val="24"/>
              </w:rPr>
              <w:t>人民币2.4万元。</w:t>
            </w:r>
          </w:p>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须以网银转账的形式由供应商的基本账户汇出，于投标文件递交截止时间前交至招标代理机构指定账户（以实际到账时间为准，逾期无效），公示期结束后予以退还。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b/>
                <w:color w:val="auto"/>
                <w:sz w:val="24"/>
                <w:szCs w:val="24"/>
              </w:rPr>
            </w:pPr>
            <w:r>
              <w:rPr>
                <w:rFonts w:hint="eastAsia" w:ascii="仿宋" w:hAnsi="仿宋" w:eastAsia="仿宋" w:cs="仿宋"/>
                <w:color w:val="auto"/>
                <w:sz w:val="24"/>
                <w:szCs w:val="24"/>
              </w:rPr>
              <w:t>6</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bookmarkStart w:id="1" w:name="EBcc65ac7201d245c29c488553475d3e35"/>
            <w:bookmarkEnd w:id="1"/>
            <w:r>
              <w:rPr>
                <w:rFonts w:hint="eastAsia" w:ascii="仿宋" w:hAnsi="仿宋" w:eastAsia="仿宋" w:cs="仿宋"/>
                <w:color w:val="auto"/>
                <w:sz w:val="24"/>
                <w:szCs w:val="24"/>
              </w:rPr>
              <w:t>答疑接受时间：2020年0</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日 18:00（北京时间）前，按照国家相关法律、法规接受供应商疑问或澄清要求（逾期不予受理）。</w:t>
            </w:r>
          </w:p>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联系人：沈庆军</w:t>
            </w:r>
          </w:p>
          <w:p>
            <w:pPr>
              <w:pStyle w:val="25"/>
              <w:spacing w:line="420" w:lineRule="exact"/>
              <w:ind w:firstLine="0" w:firstLineChars="0"/>
              <w:rPr>
                <w:rFonts w:hint="eastAsia" w:ascii="仿宋" w:hAnsi="仿宋" w:eastAsia="仿宋" w:cs="仿宋"/>
                <w:b/>
                <w:bCs/>
                <w:color w:val="auto"/>
                <w:sz w:val="24"/>
                <w:szCs w:val="24"/>
              </w:rPr>
            </w:pPr>
            <w:r>
              <w:rPr>
                <w:rFonts w:hint="eastAsia" w:ascii="仿宋" w:hAnsi="仿宋" w:eastAsia="仿宋" w:cs="仿宋"/>
                <w:color w:val="auto"/>
                <w:sz w:val="24"/>
                <w:szCs w:val="24"/>
              </w:rPr>
              <w:t>联系电话：0991-8852519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9099" w:type="dxa"/>
            <w:tcMar>
              <w:top w:w="57" w:type="dxa"/>
              <w:bottom w:w="57" w:type="dxa"/>
            </w:tcMar>
            <w:vAlign w:val="center"/>
          </w:tcPr>
          <w:p>
            <w:pPr>
              <w:snapToGrid w:val="0"/>
              <w:spacing w:line="288" w:lineRule="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资格要求：</w:t>
            </w:r>
          </w:p>
          <w:p>
            <w:pPr>
              <w:widowControl/>
              <w:shd w:val="clear" w:color="auto" w:fill="FFFFFF"/>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（1）符合《中华人民共和国政府采购法》第二十二条款规定。 </w:t>
            </w:r>
          </w:p>
          <w:p>
            <w:pPr>
              <w:widowControl/>
              <w:shd w:val="clear" w:color="auto" w:fill="FFFFFF"/>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有效的工商营业执照副本原件、税务登记证副本原件、组织机构代码证副本原件或“三证合一”的营业执照副本原件。</w:t>
            </w:r>
          </w:p>
          <w:p>
            <w:pPr>
              <w:widowControl/>
              <w:shd w:val="clear" w:color="auto" w:fill="FFFFFF"/>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（3）具有医疗器械经营许可证；货物生产厂家须具备医疗器械注册证（含登记表）及医疗器械生产许可证。</w:t>
            </w:r>
          </w:p>
          <w:p>
            <w:pPr>
              <w:widowControl/>
              <w:shd w:val="clear" w:color="auto" w:fill="FFFFFF"/>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（4）法定代表人投标需携带法定代表人证明书（原件）及法定代表人身份证（原件），委托代理人投标需携带法定代表人授权委托书（原件）及委托代理人身份证（原件）。</w:t>
            </w:r>
          </w:p>
          <w:p>
            <w:pPr>
              <w:widowControl/>
              <w:shd w:val="clear" w:color="auto" w:fill="FFFFFF"/>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第四包,第五包投标单位除以上资质外还须具备建筑装饰装修工程专业承包（二级及以上）及机电设备安装工程专业承包（三级及以上）资质证书（实行电子化证书的可自行下载的网页版资质证书并加盖企业公章）；项目负责人须具备贰级建造师（建筑工程，机电工程双专业）及以上资质证书（实行电子化证书的可自行下载的网页版资质证书并加盖企业公章）；疆外企业必须具备进疆证。</w:t>
            </w:r>
          </w:p>
          <w:p>
            <w:pPr>
              <w:widowControl/>
              <w:shd w:val="clear" w:color="auto" w:fill="FFFFFF"/>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widowControl/>
              <w:shd w:val="clear" w:color="auto" w:fill="FFFFFF"/>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（7）本项目不接受联合体投标。 </w:t>
            </w:r>
          </w:p>
          <w:p>
            <w:pPr>
              <w:widowControl/>
              <w:shd w:val="clear" w:color="auto" w:fill="FFFFFF"/>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）政府采购严重违法失信行为记录名单中被财政部门禁止参加政府采购活动的供应商（处罚决定规定的时间和地域范围内）。需提供截图证明，信用信息截止时点为开标当日。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投标文件有效期：供应商同意投标书在招标文件规定的投标截止日期届满后立即对供应商产生法律约束力，投标有效期截至开标日后90日历天。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07"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投标报价：供应商应在开标一览表中标明其提供的所有货物及相关工作范围内所有费用的总价。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投标截止时间：2020年0</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日11:00时 （北京时间）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9099" w:type="dxa"/>
            <w:tcMar>
              <w:top w:w="57" w:type="dxa"/>
              <w:bottom w:w="57" w:type="dxa"/>
            </w:tcMar>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仿宋" w:hAnsi="仿宋" w:eastAsia="仿宋" w:cs="仿宋"/>
                <w:color w:val="auto"/>
                <w:sz w:val="24"/>
                <w:szCs w:val="24"/>
                <w:lang w:val="en-US" w:eastAsia="zh-CN"/>
              </w:rPr>
            </w:pPr>
            <w:r>
              <w:rPr>
                <w:rFonts w:hint="eastAsia" w:ascii="仿宋" w:hAnsi="仿宋" w:eastAsia="仿宋"/>
                <w:color w:val="auto"/>
                <w:sz w:val="24"/>
                <w:szCs w:val="24"/>
                <w:highlight w:val="none"/>
              </w:rPr>
              <w:t>投标文件的数目：正本贰份、副本肆份</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纸质版</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。需提供以U盘为介质的电子版投标文件一份。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9099" w:type="dxa"/>
            <w:tcMar>
              <w:top w:w="57" w:type="dxa"/>
              <w:bottom w:w="57" w:type="dxa"/>
            </w:tcMar>
            <w:vAlign w:val="center"/>
          </w:tcPr>
          <w:p>
            <w:pPr>
              <w:pStyle w:val="25"/>
              <w:spacing w:line="420" w:lineRule="exact"/>
              <w:ind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投标文件递交至：</w:t>
            </w:r>
            <w:r>
              <w:rPr>
                <w:rFonts w:hint="eastAsia" w:ascii="仿宋" w:hAnsi="仿宋" w:eastAsia="仿宋" w:cs="仿宋"/>
                <w:color w:val="000000" w:themeColor="text1"/>
                <w:sz w:val="24"/>
                <w:szCs w:val="24"/>
                <w:lang w:val="en-US" w:eastAsia="zh-CN"/>
                <w14:textFill>
                  <w14:solidFill>
                    <w14:schemeClr w14:val="tx1"/>
                  </w14:solidFill>
                </w14:textFill>
              </w:rPr>
              <w:t>线上投标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5"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开标时间：2020年</w:t>
            </w:r>
            <w:r>
              <w:rPr>
                <w:rFonts w:hint="eastAsia" w:ascii="仿宋" w:hAnsi="仿宋" w:eastAsia="仿宋" w:cs="仿宋"/>
                <w:color w:val="auto"/>
                <w:sz w:val="24"/>
                <w:szCs w:val="24"/>
                <w:lang w:val="en-US" w:eastAsia="zh-CN"/>
              </w:rPr>
              <w:t>08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日11：00时 （北京时间），逾期送达的投标文件将被拒收。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9099" w:type="dxa"/>
            <w:tcMar>
              <w:top w:w="57" w:type="dxa"/>
              <w:bottom w:w="57" w:type="dxa"/>
            </w:tcMar>
            <w:vAlign w:val="center"/>
          </w:tcPr>
          <w:p>
            <w:pPr>
              <w:pStyle w:val="25"/>
              <w:spacing w:line="420" w:lineRule="exact"/>
              <w:ind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开标地点：</w:t>
            </w:r>
            <w:r>
              <w:rPr>
                <w:rFonts w:hint="eastAsia" w:ascii="仿宋" w:hAnsi="仿宋" w:eastAsia="仿宋" w:cs="仿宋"/>
                <w:color w:val="000000" w:themeColor="text1"/>
                <w:sz w:val="24"/>
                <w:szCs w:val="24"/>
                <w:lang w:val="en-US" w:eastAsia="zh-CN"/>
                <w14:textFill>
                  <w14:solidFill>
                    <w14:schemeClr w14:val="tx1"/>
                  </w14:solidFill>
                </w14:textFill>
              </w:rPr>
              <w:t>线上开标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数量调整：投标总价的±10%，详见第二章投标须知第31条。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2"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交货期：国产设备：20个工作日。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824" w:type="dxa"/>
            <w:tcMar>
              <w:top w:w="57" w:type="dxa"/>
              <w:bottom w:w="57" w:type="dxa"/>
            </w:tcMar>
            <w:vAlign w:val="center"/>
          </w:tcPr>
          <w:p>
            <w:pPr>
              <w:pStyle w:val="25"/>
              <w:spacing w:line="4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按该项目资金实际到位情况进行相应货款的支付，甲方按国家招标采购法相关要求和所采购货物使用的需求情况决定支付方案，若发生项目资金实际到位数额与预算资金数额不足情况，乙方应配合甲方暂缓货物供给或废除招标结果。</w:t>
            </w:r>
          </w:p>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正常情况下，根据地债资金到位情况，双方协议决定。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质保期：≥3年。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9099" w:type="dxa"/>
            <w:tcMar>
              <w:top w:w="57" w:type="dxa"/>
              <w:bottom w:w="57" w:type="dxa"/>
            </w:tcMar>
            <w:vAlign w:val="center"/>
          </w:tcPr>
          <w:p>
            <w:pPr>
              <w:pStyle w:val="26"/>
              <w:snapToGrid w:val="0"/>
              <w:spacing w:line="288" w:lineRule="auto"/>
              <w:jc w:val="both"/>
              <w:rPr>
                <w:rFonts w:hint="eastAsia" w:ascii="仿宋" w:hAnsi="仿宋" w:eastAsia="仿宋" w:cs="仿宋"/>
                <w:color w:val="auto"/>
                <w:szCs w:val="24"/>
              </w:rPr>
            </w:pPr>
            <w:r>
              <w:rPr>
                <w:rFonts w:hint="eastAsia" w:ascii="仿宋" w:hAnsi="仿宋" w:eastAsia="仿宋" w:cs="仿宋"/>
                <w:b/>
                <w:color w:val="auto"/>
                <w:szCs w:val="24"/>
              </w:rPr>
              <w:t>政府采购强制采购：</w:t>
            </w:r>
            <w:r>
              <w:rPr>
                <w:rFonts w:hint="eastAsia" w:ascii="仿宋" w:hAnsi="仿宋" w:eastAsia="仿宋" w:cs="仿宋"/>
                <w:color w:val="auto"/>
                <w:szCs w:val="24"/>
              </w:rPr>
              <w:t>(1)标记符号的节能产品；(2)其他。</w:t>
            </w:r>
          </w:p>
          <w:p>
            <w:pPr>
              <w:pStyle w:val="26"/>
              <w:snapToGrid w:val="0"/>
              <w:spacing w:line="288" w:lineRule="auto"/>
              <w:jc w:val="both"/>
              <w:rPr>
                <w:rFonts w:hint="eastAsia" w:ascii="仿宋" w:hAnsi="仿宋" w:eastAsia="仿宋" w:cs="仿宋"/>
                <w:color w:val="auto"/>
                <w:szCs w:val="24"/>
              </w:rPr>
            </w:pPr>
            <w:r>
              <w:rPr>
                <w:rFonts w:hint="eastAsia" w:ascii="仿宋" w:hAnsi="仿宋" w:eastAsia="仿宋" w:cs="仿宋"/>
                <w:color w:val="auto"/>
                <w:szCs w:val="24"/>
              </w:rPr>
              <w:t>采购最新一期《节能产品政府采购清单》的产品。</w:t>
            </w:r>
          </w:p>
          <w:p>
            <w:pPr>
              <w:pStyle w:val="26"/>
              <w:snapToGrid w:val="0"/>
              <w:spacing w:line="288" w:lineRule="auto"/>
              <w:rPr>
                <w:rFonts w:hint="eastAsia" w:ascii="仿宋" w:hAnsi="仿宋" w:eastAsia="仿宋" w:cs="仿宋"/>
                <w:color w:val="auto"/>
                <w:szCs w:val="24"/>
              </w:rPr>
            </w:pPr>
            <w:r>
              <w:rPr>
                <w:rFonts w:hint="eastAsia" w:ascii="仿宋" w:hAnsi="仿宋" w:eastAsia="仿宋" w:cs="仿宋"/>
                <w:b/>
                <w:color w:val="auto"/>
                <w:szCs w:val="24"/>
              </w:rPr>
              <w:t>政府采购优先采购：</w:t>
            </w:r>
            <w:r>
              <w:rPr>
                <w:rFonts w:hint="eastAsia" w:ascii="仿宋" w:hAnsi="仿宋" w:eastAsia="仿宋" w:cs="仿宋"/>
                <w:color w:val="auto"/>
                <w:szCs w:val="24"/>
              </w:rPr>
              <w:t>(1)非标记符号的节能产品；(2)环境标志产品；</w:t>
            </w:r>
          </w:p>
          <w:p>
            <w:pPr>
              <w:pStyle w:val="26"/>
              <w:snapToGrid w:val="0"/>
              <w:spacing w:line="288" w:lineRule="auto"/>
              <w:rPr>
                <w:rFonts w:hint="eastAsia" w:ascii="仿宋" w:hAnsi="仿宋" w:eastAsia="仿宋" w:cs="仿宋"/>
                <w:color w:val="auto"/>
                <w:szCs w:val="24"/>
              </w:rPr>
            </w:pPr>
            <w:r>
              <w:rPr>
                <w:rFonts w:hint="eastAsia" w:ascii="仿宋" w:hAnsi="仿宋" w:eastAsia="仿宋" w:cs="仿宋"/>
                <w:color w:val="auto"/>
                <w:szCs w:val="24"/>
              </w:rPr>
              <w:t>采购产品为《节能产品政府采购清单》(最新期)内非标记符号的节能产品及《环境标志产品政府采购清单》(最新期)内的产品：</w:t>
            </w:r>
          </w:p>
          <w:p>
            <w:pPr>
              <w:pStyle w:val="26"/>
              <w:snapToGrid w:val="0"/>
              <w:spacing w:line="288" w:lineRule="auto"/>
              <w:rPr>
                <w:rFonts w:hint="eastAsia" w:ascii="仿宋" w:hAnsi="仿宋" w:eastAsia="仿宋" w:cs="仿宋"/>
                <w:color w:val="auto"/>
                <w:szCs w:val="24"/>
              </w:rPr>
            </w:pPr>
            <w:r>
              <w:rPr>
                <w:rFonts w:hint="eastAsia" w:ascii="仿宋" w:hAnsi="仿宋" w:eastAsia="仿宋" w:cs="仿宋"/>
                <w:color w:val="auto"/>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9099" w:type="dxa"/>
            <w:tcMar>
              <w:top w:w="57" w:type="dxa"/>
              <w:bottom w:w="57" w:type="dxa"/>
            </w:tcMar>
            <w:vAlign w:val="center"/>
          </w:tcPr>
          <w:p>
            <w:pPr>
              <w:pStyle w:val="26"/>
              <w:snapToGrid w:val="0"/>
              <w:spacing w:line="288" w:lineRule="auto"/>
              <w:rPr>
                <w:rFonts w:hint="eastAsia" w:ascii="仿宋" w:hAnsi="仿宋" w:eastAsia="仿宋" w:cs="仿宋"/>
                <w:color w:val="auto"/>
                <w:szCs w:val="24"/>
              </w:rPr>
            </w:pPr>
            <w:r>
              <w:rPr>
                <w:rFonts w:hint="eastAsia" w:ascii="仿宋" w:hAnsi="仿宋" w:eastAsia="仿宋" w:cs="仿宋"/>
                <w:color w:val="auto"/>
                <w:szCs w:val="24"/>
              </w:rPr>
              <w:t>支持中小企业发展：给予小型、微型企业的价格给予6%-10%的扣除，用扣除后的价格参与评审，本项目具体扣除比例为6%。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9099" w:type="dxa"/>
            <w:tcMar>
              <w:top w:w="57" w:type="dxa"/>
              <w:bottom w:w="57" w:type="dxa"/>
            </w:tcMar>
            <w:vAlign w:val="center"/>
          </w:tcPr>
          <w:p>
            <w:pPr>
              <w:pStyle w:val="26"/>
              <w:spacing w:line="420" w:lineRule="exact"/>
              <w:jc w:val="both"/>
              <w:rPr>
                <w:rFonts w:hint="eastAsia" w:ascii="仿宋" w:hAnsi="仿宋" w:eastAsia="仿宋" w:cs="仿宋"/>
                <w:b/>
                <w:color w:val="auto"/>
                <w:szCs w:val="24"/>
              </w:rPr>
            </w:pPr>
            <w:r>
              <w:rPr>
                <w:rFonts w:hint="eastAsia" w:ascii="仿宋" w:hAnsi="仿宋" w:eastAsia="仿宋" w:cs="仿宋"/>
                <w:b/>
                <w:color w:val="auto"/>
                <w:szCs w:val="24"/>
              </w:rPr>
              <w:t>供应商须仔细阅读本招标文件的所有条款。如果在商务、技术等方面有偏离，供应商须在投标文件“商务偏离表”、“技术规格偏离表”中一一列出。另外，供应商应对字体置黑的条款、注有 “投标无效”字样的条款、以及加注“”号的条款引起重视，如不满足此类条款的规定，其后果由供应商自行承担。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6"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9099" w:type="dxa"/>
            <w:tcMar>
              <w:top w:w="57" w:type="dxa"/>
              <w:bottom w:w="57" w:type="dxa"/>
            </w:tcMar>
            <w:vAlign w:val="center"/>
          </w:tcPr>
          <w:p>
            <w:pPr>
              <w:pStyle w:val="26"/>
              <w:spacing w:line="420" w:lineRule="exact"/>
              <w:jc w:val="both"/>
              <w:rPr>
                <w:rFonts w:hint="eastAsia" w:ascii="仿宋" w:hAnsi="仿宋" w:eastAsia="仿宋" w:cs="仿宋"/>
                <w:color w:val="auto"/>
                <w:szCs w:val="24"/>
              </w:rPr>
            </w:pPr>
            <w:r>
              <w:rPr>
                <w:rFonts w:hint="eastAsia" w:ascii="仿宋" w:hAnsi="仿宋" w:eastAsia="仿宋" w:cs="仿宋"/>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7"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9099" w:type="dxa"/>
            <w:tcMar>
              <w:top w:w="57" w:type="dxa"/>
              <w:bottom w:w="57" w:type="dxa"/>
            </w:tcMar>
            <w:vAlign w:val="center"/>
          </w:tcPr>
          <w:p>
            <w:pPr>
              <w:pStyle w:val="26"/>
              <w:spacing w:line="420" w:lineRule="exact"/>
              <w:jc w:val="both"/>
              <w:rPr>
                <w:rFonts w:hint="eastAsia" w:ascii="仿宋" w:hAnsi="仿宋" w:eastAsia="仿宋" w:cs="仿宋"/>
                <w:color w:val="auto"/>
                <w:szCs w:val="24"/>
              </w:rPr>
            </w:pPr>
            <w:r>
              <w:rPr>
                <w:rFonts w:hint="eastAsia" w:ascii="仿宋" w:hAnsi="仿宋" w:eastAsia="仿宋" w:cs="仿宋"/>
                <w:b/>
                <w:bCs w:val="0"/>
                <w:color w:val="auto"/>
                <w:szCs w:val="24"/>
              </w:rPr>
              <w:t>备注：开标时，供应商应在密封的磋商文件之外随身携带法定代表人或被授权代表的身份证原件或法人授权书或法人身份证明书原件、营业执照原件、医疗器械经营（生产）许可证原件，或者针对以上证件开具的公证书原件</w:t>
            </w:r>
            <w:r>
              <w:rPr>
                <w:rFonts w:hint="eastAsia" w:ascii="仿宋" w:hAnsi="仿宋" w:eastAsia="仿宋" w:cs="仿宋"/>
                <w:b/>
                <w:bCs w:val="0"/>
                <w:color w:val="auto"/>
                <w:szCs w:val="24"/>
                <w:lang w:eastAsia="zh-CN"/>
              </w:rPr>
              <w:t>；</w:t>
            </w:r>
            <w:r>
              <w:rPr>
                <w:rFonts w:ascii="仿宋" w:hAnsi="仿宋" w:eastAsia="仿宋"/>
                <w:b/>
                <w:bCs w:val="0"/>
                <w:color w:val="auto"/>
                <w:sz w:val="24"/>
                <w:szCs w:val="24"/>
              </w:rPr>
              <w:t>第四包</w:t>
            </w:r>
            <w:r>
              <w:rPr>
                <w:rFonts w:hint="eastAsia" w:ascii="仿宋" w:hAnsi="仿宋" w:eastAsia="仿宋"/>
                <w:b/>
                <w:bCs w:val="0"/>
                <w:color w:val="auto"/>
                <w:sz w:val="24"/>
                <w:szCs w:val="24"/>
                <w:lang w:eastAsia="zh-CN"/>
              </w:rPr>
              <w:t>，</w:t>
            </w:r>
            <w:r>
              <w:rPr>
                <w:rFonts w:hint="eastAsia" w:ascii="仿宋" w:hAnsi="仿宋" w:eastAsia="仿宋"/>
                <w:b/>
                <w:bCs w:val="0"/>
                <w:color w:val="auto"/>
                <w:sz w:val="24"/>
                <w:szCs w:val="24"/>
                <w:lang w:val="en-US" w:eastAsia="zh-CN"/>
              </w:rPr>
              <w:t>第五包</w:t>
            </w:r>
            <w:r>
              <w:rPr>
                <w:rFonts w:ascii="仿宋" w:hAnsi="仿宋" w:eastAsia="仿宋"/>
                <w:b/>
                <w:bCs w:val="0"/>
                <w:color w:val="auto"/>
                <w:sz w:val="24"/>
                <w:szCs w:val="24"/>
              </w:rPr>
              <w:t>投标单位</w:t>
            </w:r>
            <w:r>
              <w:rPr>
                <w:rFonts w:hint="eastAsia" w:ascii="仿宋" w:hAnsi="仿宋" w:eastAsia="仿宋"/>
                <w:b/>
                <w:bCs w:val="0"/>
                <w:color w:val="auto"/>
                <w:sz w:val="24"/>
                <w:szCs w:val="24"/>
                <w:lang w:val="en-US" w:eastAsia="zh-CN"/>
              </w:rPr>
              <w:t>除以上资质外还</w:t>
            </w:r>
            <w:r>
              <w:rPr>
                <w:rFonts w:ascii="仿宋" w:hAnsi="仿宋" w:eastAsia="仿宋"/>
                <w:b/>
                <w:bCs w:val="0"/>
                <w:color w:val="auto"/>
                <w:sz w:val="24"/>
                <w:szCs w:val="24"/>
              </w:rPr>
              <w:t>须</w:t>
            </w:r>
            <w:r>
              <w:rPr>
                <w:rFonts w:hint="eastAsia" w:ascii="仿宋" w:hAnsi="仿宋" w:eastAsia="仿宋"/>
                <w:b/>
                <w:bCs w:val="0"/>
                <w:color w:val="auto"/>
                <w:sz w:val="24"/>
                <w:szCs w:val="24"/>
                <w:lang w:val="en-US" w:eastAsia="zh-CN"/>
              </w:rPr>
              <w:t>携带</w:t>
            </w:r>
            <w:r>
              <w:rPr>
                <w:rFonts w:ascii="仿宋" w:hAnsi="仿宋" w:eastAsia="仿宋"/>
                <w:b/>
                <w:bCs w:val="0"/>
                <w:color w:val="auto"/>
                <w:sz w:val="24"/>
                <w:szCs w:val="24"/>
              </w:rPr>
              <w:t>建筑装饰装修工程专业承包（二级及以上）及机电设备安装工程专业承包（三级及以上）资质证书</w:t>
            </w:r>
            <w:r>
              <w:rPr>
                <w:rFonts w:hint="eastAsia" w:ascii="仿宋" w:hAnsi="仿宋" w:eastAsia="仿宋"/>
                <w:b/>
                <w:bCs w:val="0"/>
                <w:color w:val="auto"/>
                <w:sz w:val="24"/>
                <w:szCs w:val="24"/>
                <w:lang w:eastAsia="zh-CN"/>
              </w:rPr>
              <w:t>（</w:t>
            </w:r>
            <w:r>
              <w:rPr>
                <w:rFonts w:hint="eastAsia" w:ascii="仿宋" w:hAnsi="仿宋" w:eastAsia="仿宋"/>
                <w:b/>
                <w:bCs w:val="0"/>
                <w:color w:val="auto"/>
                <w:sz w:val="24"/>
                <w:szCs w:val="24"/>
                <w:lang w:val="en-US" w:eastAsia="zh-CN"/>
              </w:rPr>
              <w:t>原件或实行电子化证书的可携带自行下载的网页版资质证书并加盖企业公章</w:t>
            </w:r>
            <w:r>
              <w:rPr>
                <w:rFonts w:hint="eastAsia" w:ascii="仿宋" w:hAnsi="仿宋" w:eastAsia="仿宋"/>
                <w:b/>
                <w:bCs w:val="0"/>
                <w:color w:val="auto"/>
                <w:sz w:val="24"/>
                <w:szCs w:val="24"/>
                <w:lang w:eastAsia="zh-CN"/>
              </w:rPr>
              <w:t>）</w:t>
            </w:r>
            <w:r>
              <w:rPr>
                <w:rFonts w:ascii="仿宋" w:hAnsi="仿宋" w:eastAsia="仿宋"/>
                <w:b/>
                <w:bCs w:val="0"/>
                <w:color w:val="auto"/>
                <w:sz w:val="24"/>
                <w:szCs w:val="24"/>
              </w:rPr>
              <w:t>。须</w:t>
            </w:r>
            <w:r>
              <w:rPr>
                <w:rFonts w:hint="eastAsia" w:ascii="仿宋" w:hAnsi="仿宋" w:eastAsia="仿宋"/>
                <w:b/>
                <w:bCs w:val="0"/>
                <w:color w:val="auto"/>
                <w:sz w:val="24"/>
                <w:szCs w:val="24"/>
                <w:lang w:val="en-US" w:eastAsia="zh-CN"/>
              </w:rPr>
              <w:t>携带</w:t>
            </w:r>
            <w:r>
              <w:rPr>
                <w:rFonts w:ascii="仿宋" w:hAnsi="仿宋" w:eastAsia="仿宋"/>
                <w:b/>
                <w:bCs w:val="0"/>
                <w:color w:val="auto"/>
                <w:sz w:val="24"/>
                <w:szCs w:val="24"/>
              </w:rPr>
              <w:t>项目负责人</w:t>
            </w:r>
            <w:r>
              <w:rPr>
                <w:rFonts w:hint="eastAsia" w:ascii="仿宋" w:hAnsi="仿宋" w:eastAsia="仿宋"/>
                <w:b/>
                <w:bCs w:val="0"/>
                <w:color w:val="auto"/>
                <w:sz w:val="24"/>
                <w:szCs w:val="24"/>
                <w:lang w:val="en-US" w:eastAsia="zh-CN"/>
              </w:rPr>
              <w:t>的</w:t>
            </w:r>
            <w:r>
              <w:rPr>
                <w:rFonts w:ascii="仿宋" w:hAnsi="仿宋" w:eastAsia="仿宋"/>
                <w:b/>
                <w:bCs w:val="0"/>
                <w:color w:val="auto"/>
                <w:sz w:val="24"/>
                <w:szCs w:val="24"/>
              </w:rPr>
              <w:t>贰级建造师（建筑工程，机电工程双专业）及以上资质证书</w:t>
            </w:r>
            <w:r>
              <w:rPr>
                <w:rFonts w:hint="eastAsia" w:ascii="仿宋" w:hAnsi="仿宋" w:eastAsia="仿宋"/>
                <w:b/>
                <w:bCs w:val="0"/>
                <w:color w:val="auto"/>
                <w:sz w:val="24"/>
                <w:szCs w:val="24"/>
                <w:lang w:eastAsia="zh-CN"/>
              </w:rPr>
              <w:t>（</w:t>
            </w:r>
            <w:r>
              <w:rPr>
                <w:rFonts w:hint="eastAsia" w:ascii="仿宋" w:hAnsi="仿宋" w:eastAsia="仿宋"/>
                <w:b/>
                <w:bCs w:val="0"/>
                <w:color w:val="auto"/>
                <w:sz w:val="24"/>
                <w:szCs w:val="24"/>
                <w:lang w:val="en-US" w:eastAsia="zh-CN"/>
              </w:rPr>
              <w:t>原件或实行电子化证书的可携带自行下载的网页版资质证书并加盖企业公章</w:t>
            </w:r>
            <w:r>
              <w:rPr>
                <w:rFonts w:hint="eastAsia" w:ascii="仿宋" w:hAnsi="仿宋" w:eastAsia="仿宋"/>
                <w:b/>
                <w:bCs w:val="0"/>
                <w:color w:val="auto"/>
                <w:sz w:val="24"/>
                <w:szCs w:val="24"/>
                <w:lang w:eastAsia="zh-CN"/>
              </w:rPr>
              <w:t>）</w:t>
            </w:r>
            <w:r>
              <w:rPr>
                <w:rFonts w:ascii="仿宋" w:hAnsi="仿宋" w:eastAsia="仿宋"/>
                <w:b/>
                <w:bCs w:val="0"/>
                <w:color w:val="auto"/>
                <w:sz w:val="24"/>
                <w:szCs w:val="24"/>
              </w:rPr>
              <w:t>，疆外企业必须具备进疆证。</w:t>
            </w:r>
            <w:r>
              <w:rPr>
                <w:rFonts w:hint="eastAsia" w:ascii="仿宋" w:hAnsi="仿宋" w:eastAsia="仿宋" w:cs="仿宋"/>
                <w:b/>
                <w:bCs w:val="0"/>
                <w:color w:val="auto"/>
                <w:szCs w:val="24"/>
              </w:rPr>
              <w:t>以备采购人对其资格进行审查。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9"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注：供应商认为采购文件、采购过程、中标或者成交结果使自己的权益受到损害的，可以在知道或者应知其权益受到损害之日起7个工作日内，以书面形式向采购人、采购代理机构提出质疑。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7"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25</w:t>
            </w:r>
          </w:p>
        </w:tc>
        <w:tc>
          <w:tcPr>
            <w:tcW w:w="9099" w:type="dxa"/>
            <w:tcMar>
              <w:top w:w="57" w:type="dxa"/>
              <w:bottom w:w="57" w:type="dxa"/>
            </w:tcMar>
            <w:vAlign w:val="center"/>
          </w:tcPr>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银行信息：</w:t>
            </w:r>
          </w:p>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账户名称：新疆新之建工程咨询有限公司</w:t>
            </w:r>
          </w:p>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开户行名称：中国银行乌鲁木齐市青年路支行</w:t>
            </w:r>
          </w:p>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账      号：107673584569</w:t>
            </w:r>
          </w:p>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行      号：104881006022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7"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color w:val="auto"/>
                <w:sz w:val="24"/>
                <w:szCs w:val="24"/>
              </w:rPr>
            </w:pPr>
            <w:r>
              <w:rPr>
                <w:rFonts w:hint="eastAsia" w:ascii="仿宋" w:hAnsi="仿宋" w:eastAsia="仿宋"/>
                <w:color w:val="auto"/>
                <w:sz w:val="24"/>
                <w:szCs w:val="24"/>
              </w:rPr>
              <w:t>26</w:t>
            </w:r>
          </w:p>
        </w:tc>
        <w:tc>
          <w:tcPr>
            <w:tcW w:w="9099" w:type="dxa"/>
            <w:tcMar>
              <w:top w:w="57" w:type="dxa"/>
              <w:bottom w:w="57" w:type="dxa"/>
            </w:tcMar>
            <w:vAlign w:val="center"/>
          </w:tcPr>
          <w:p>
            <w:pPr>
              <w:pStyle w:val="25"/>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公证费：500元，由中标单位支付。</w:t>
            </w:r>
          </w:p>
          <w:p>
            <w:pPr>
              <w:pStyle w:val="25"/>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公证单位：新疆维吾尔自治区乌鲁木齐西域公证处</w:t>
            </w:r>
          </w:p>
          <w:p>
            <w:pPr>
              <w:pStyle w:val="25"/>
              <w:spacing w:line="420" w:lineRule="exact"/>
              <w:ind w:firstLine="0" w:firstLineChars="0"/>
              <w:rPr>
                <w:rFonts w:hint="eastAsia" w:ascii="仿宋" w:hAnsi="仿宋" w:eastAsia="仿宋" w:cs="仿宋"/>
                <w:color w:val="auto"/>
                <w:sz w:val="24"/>
                <w:szCs w:val="24"/>
              </w:rPr>
            </w:pPr>
            <w:r>
              <w:rPr>
                <w:rFonts w:hint="eastAsia" w:ascii="仿宋" w:hAnsi="仿宋" w:eastAsia="仿宋"/>
                <w:color w:val="auto"/>
                <w:sz w:val="24"/>
                <w:szCs w:val="24"/>
              </w:rPr>
              <w:t>联系人：张女士联系电话：0991-2358326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7" w:hRule="atLeast"/>
        </w:trPr>
        <w:tc>
          <w:tcPr>
            <w:tcW w:w="824" w:type="dxa"/>
            <w:tcMar>
              <w:top w:w="57" w:type="dxa"/>
              <w:bottom w:w="57" w:type="dxa"/>
            </w:tcMar>
            <w:vAlign w:val="center"/>
          </w:tcPr>
          <w:p>
            <w:pPr>
              <w:spacing w:line="420" w:lineRule="exact"/>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27</w:t>
            </w:r>
          </w:p>
        </w:tc>
        <w:tc>
          <w:tcPr>
            <w:tcW w:w="9099" w:type="dxa"/>
            <w:tcMar>
              <w:top w:w="57" w:type="dxa"/>
              <w:bottom w:w="57" w:type="dxa"/>
            </w:tcMar>
            <w:vAlign w:val="center"/>
          </w:tcPr>
          <w:p>
            <w:pPr>
              <w:pStyle w:val="25"/>
              <w:numPr>
                <w:ilvl w:val="0"/>
                <w:numId w:val="1"/>
              </w:numPr>
              <w:spacing w:line="420" w:lineRule="exact"/>
              <w:ind w:firstLine="0" w:firstLineChars="0"/>
              <w:rPr>
                <w:rFonts w:hint="eastAsia" w:ascii="仿宋" w:hAnsi="仿宋" w:eastAsia="仿宋"/>
                <w:color w:val="auto"/>
                <w:sz w:val="24"/>
                <w:szCs w:val="24"/>
              </w:rPr>
            </w:pPr>
            <w:r>
              <w:rPr>
                <w:rFonts w:hint="eastAsia" w:ascii="仿宋" w:hAnsi="仿宋" w:eastAsia="仿宋"/>
                <w:color w:val="auto"/>
                <w:sz w:val="24"/>
                <w:szCs w:val="24"/>
              </w:rPr>
              <w:t>本项目实行网上投标，采用电子投标文件，若供应商参与投标，自行承担投标一切费用。</w:t>
            </w:r>
          </w:p>
          <w:p>
            <w:pPr>
              <w:pStyle w:val="25"/>
              <w:numPr>
                <w:ilvl w:val="0"/>
                <w:numId w:val="1"/>
              </w:numPr>
              <w:spacing w:line="420" w:lineRule="exact"/>
              <w:ind w:firstLine="0" w:firstLineChars="0"/>
              <w:rPr>
                <w:rFonts w:hint="eastAsia" w:ascii="仿宋" w:hAnsi="仿宋" w:eastAsia="仿宋"/>
                <w:color w:val="auto"/>
                <w:sz w:val="24"/>
                <w:szCs w:val="24"/>
              </w:rPr>
            </w:pPr>
            <w:r>
              <w:rPr>
                <w:rFonts w:hint="eastAsia" w:ascii="仿宋" w:hAnsi="仿宋" w:eastAsia="仿宋"/>
                <w:color w:val="auto"/>
                <w:sz w:val="24"/>
                <w:szCs w:val="24"/>
              </w:rPr>
              <w:t xml:space="preserve">所有投标供应商提交投标文件及投标资格审查资料时，均采用PDF格式压缩包并加密于投标截止前一天即2020年8月26日下午19点前，发送到我公司邮箱：335246997@qq.com（压缩包需详细写明项目编号+项目名称+包号+供应商名称+联系人电话）；为保证投标顺利进行，请各投标企业所留联系电话保持通讯畅通，投标现场提供密码，未加密或未将投标文件转换PDF格式做废标处理；投标文件及投标企业资格审查资料打包成压缩包分别发送（投标企业资格审查资料单独打包，开标现场提供密码），如未按投标文件约定提供资料其后果由投标商自行承担后果。 </w:t>
            </w:r>
          </w:p>
        </w:tc>
      </w:tr>
    </w:tbl>
    <w:p>
      <w:pPr>
        <w:pStyle w:val="18"/>
        <w:widowControl/>
        <w:numPr>
          <w:ilvl w:val="0"/>
          <w:numId w:val="2"/>
        </w:numPr>
        <w:shd w:val="clear" w:color="auto" w:fill="FFFFFF"/>
        <w:snapToGrid w:val="0"/>
        <w:rPr>
          <w:rFonts w:hint="eastAsia" w:ascii="仿宋" w:hAnsi="仿宋" w:eastAsia="仿宋" w:cs="仿宋"/>
          <w:color w:val="auto"/>
          <w:kern w:val="0"/>
          <w:sz w:val="28"/>
          <w:szCs w:val="28"/>
        </w:rPr>
      </w:pPr>
      <w:r>
        <w:rPr>
          <w:rFonts w:hint="eastAsia" w:ascii="仿宋" w:hAnsi="仿宋" w:eastAsia="仿宋" w:cs="仿宋"/>
          <w:color w:val="auto"/>
          <w:sz w:val="31"/>
        </w:rPr>
        <w:br w:type="page"/>
      </w:r>
      <w:bookmarkStart w:id="2" w:name="_Toc5987694"/>
      <w:r>
        <w:rPr>
          <w:rFonts w:hint="eastAsia" w:ascii="仿宋" w:hAnsi="仿宋" w:eastAsia="仿宋" w:cs="仿宋"/>
          <w:color w:val="auto"/>
          <w:sz w:val="36"/>
          <w:szCs w:val="36"/>
        </w:rPr>
        <w:t>招标公告</w:t>
      </w:r>
      <w:bookmarkEnd w:id="2"/>
      <w:bookmarkStart w:id="3" w:name="_Toc5896489"/>
      <w:bookmarkStart w:id="4" w:name="_Toc5987695"/>
      <w:bookmarkStart w:id="5" w:name="_Toc399523005"/>
    </w:p>
    <w:p>
      <w:pPr>
        <w:pStyle w:val="18"/>
        <w:widowControl/>
        <w:shd w:val="clear" w:color="auto" w:fill="FFFFFF"/>
        <w:snapToGrid w:val="0"/>
        <w:ind w:left="0" w:firstLine="0"/>
        <w:jc w:val="left"/>
        <w:rPr>
          <w:rFonts w:hint="eastAsia" w:ascii="仿宋" w:hAnsi="仿宋" w:eastAsia="仿宋" w:cs="仿宋"/>
          <w:color w:val="auto"/>
          <w:kern w:val="0"/>
          <w:sz w:val="28"/>
          <w:szCs w:val="28"/>
        </w:rPr>
      </w:pPr>
    </w:p>
    <w:p>
      <w:pPr>
        <w:pStyle w:val="26"/>
        <w:snapToGrid w:val="0"/>
        <w:spacing w:line="312" w:lineRule="auto"/>
        <w:ind w:firstLine="560"/>
        <w:jc w:val="both"/>
        <w:rPr>
          <w:rFonts w:hint="eastAsia" w:ascii="仿宋" w:hAnsi="仿宋" w:eastAsia="仿宋" w:cs="仿宋"/>
          <w:b/>
          <w:color w:val="auto"/>
          <w:sz w:val="28"/>
          <w:szCs w:val="28"/>
          <w:lang w:eastAsia="zh-CN"/>
        </w:rPr>
      </w:pPr>
      <w:r>
        <w:rPr>
          <w:rFonts w:hint="eastAsia" w:ascii="仿宋" w:hAnsi="仿宋" w:eastAsia="仿宋" w:cs="仿宋"/>
          <w:b/>
          <w:color w:val="auto"/>
          <w:sz w:val="28"/>
        </w:rPr>
        <w:t>一、招标项目编号：</w:t>
      </w:r>
      <w:r>
        <w:rPr>
          <w:rFonts w:hint="eastAsia" w:ascii="仿宋" w:hAnsi="仿宋" w:eastAsia="仿宋" w:cs="仿宋"/>
          <w:color w:val="auto"/>
          <w:sz w:val="28"/>
          <w:szCs w:val="28"/>
          <w:lang w:eastAsia="zh-CN"/>
        </w:rPr>
        <w:t>2041xzjk034</w:t>
      </w:r>
    </w:p>
    <w:p>
      <w:pPr>
        <w:pStyle w:val="26"/>
        <w:snapToGrid w:val="0"/>
        <w:spacing w:line="312" w:lineRule="auto"/>
        <w:ind w:firstLine="560"/>
        <w:jc w:val="both"/>
        <w:rPr>
          <w:rFonts w:hint="eastAsia" w:ascii="仿宋" w:hAnsi="仿宋" w:eastAsia="仿宋" w:cs="仿宋"/>
          <w:b/>
          <w:color w:val="auto"/>
          <w:sz w:val="28"/>
          <w:szCs w:val="28"/>
        </w:rPr>
      </w:pPr>
      <w:r>
        <w:rPr>
          <w:rFonts w:hint="eastAsia" w:ascii="仿宋" w:hAnsi="仿宋" w:eastAsia="仿宋" w:cs="仿宋"/>
          <w:b/>
          <w:color w:val="auto"/>
          <w:sz w:val="28"/>
        </w:rPr>
        <w:t>二、采购组织类型：</w:t>
      </w:r>
      <w:r>
        <w:rPr>
          <w:rFonts w:hint="eastAsia" w:ascii="仿宋" w:hAnsi="仿宋" w:eastAsia="仿宋" w:cs="仿宋"/>
          <w:color w:val="auto"/>
          <w:sz w:val="28"/>
        </w:rPr>
        <w:t>部门集中采购</w:t>
      </w:r>
      <w:r>
        <w:rPr>
          <w:rFonts w:hint="eastAsia" w:ascii="仿宋" w:hAnsi="仿宋" w:eastAsia="仿宋" w:cs="仿宋"/>
          <w:color w:val="auto"/>
          <w:sz w:val="28"/>
          <w:szCs w:val="28"/>
        </w:rPr>
        <w:t>-委托中介机构</w:t>
      </w:r>
    </w:p>
    <w:p>
      <w:pPr>
        <w:pStyle w:val="26"/>
        <w:snapToGrid w:val="0"/>
        <w:spacing w:line="312" w:lineRule="auto"/>
        <w:ind w:firstLine="560"/>
        <w:jc w:val="both"/>
        <w:rPr>
          <w:rFonts w:hint="eastAsia" w:ascii="仿宋" w:hAnsi="仿宋" w:eastAsia="仿宋" w:cs="仿宋"/>
          <w:b/>
          <w:color w:val="auto"/>
          <w:sz w:val="28"/>
          <w:lang w:eastAsia="zh-CN"/>
        </w:rPr>
      </w:pPr>
      <w:r>
        <w:rPr>
          <w:rFonts w:hint="eastAsia" w:ascii="仿宋" w:hAnsi="仿宋" w:eastAsia="仿宋" w:cs="仿宋"/>
          <w:b/>
          <w:color w:val="auto"/>
          <w:sz w:val="28"/>
        </w:rPr>
        <w:t>三、招标项目概况：</w:t>
      </w:r>
      <w:r>
        <w:rPr>
          <w:rFonts w:hint="eastAsia" w:ascii="仿宋" w:hAnsi="仿宋" w:eastAsia="仿宋" w:cs="仿宋"/>
          <w:color w:val="auto"/>
          <w:sz w:val="28"/>
        </w:rPr>
        <w:t>预算586万元</w:t>
      </w:r>
      <w:r>
        <w:rPr>
          <w:rFonts w:hint="eastAsia" w:ascii="仿宋" w:hAnsi="仿宋" w:eastAsia="仿宋" w:cs="仿宋"/>
          <w:color w:val="auto"/>
          <w:sz w:val="28"/>
          <w:lang w:eastAsia="zh-CN"/>
        </w:rPr>
        <w:t>。</w:t>
      </w:r>
    </w:p>
    <w:tbl>
      <w:tblPr>
        <w:tblStyle w:val="20"/>
        <w:tblpPr w:leftFromText="180" w:rightFromText="180" w:vertAnchor="text" w:horzAnchor="margin" w:tblpXSpec="center" w:tblpY="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2950"/>
        <w:gridCol w:w="858"/>
        <w:gridCol w:w="813"/>
        <w:gridCol w:w="223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977" w:type="dxa"/>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标项名称</w:t>
            </w:r>
          </w:p>
        </w:tc>
        <w:tc>
          <w:tcPr>
            <w:tcW w:w="863"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数量</w:t>
            </w:r>
          </w:p>
        </w:tc>
        <w:tc>
          <w:tcPr>
            <w:tcW w:w="81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225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预算总金额（元）</w:t>
            </w:r>
          </w:p>
        </w:tc>
        <w:tc>
          <w:tcPr>
            <w:tcW w:w="1280" w:type="dxa"/>
          </w:tcPr>
          <w:p>
            <w:pPr>
              <w:pStyle w:val="18"/>
              <w:ind w:left="0" w:firstLine="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42" w:type="dxa"/>
            <w:vMerge w:val="restart"/>
            <w:vAlign w:val="center"/>
          </w:tcPr>
          <w:p>
            <w:pPr>
              <w:pStyle w:val="18"/>
              <w:ind w:left="0" w:firstLine="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一包</w:t>
            </w:r>
          </w:p>
        </w:tc>
        <w:tc>
          <w:tcPr>
            <w:tcW w:w="297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全自动血凝仪</w:t>
            </w:r>
          </w:p>
        </w:tc>
        <w:tc>
          <w:tcPr>
            <w:tcW w:w="863"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1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225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300000</w:t>
            </w:r>
          </w:p>
        </w:tc>
        <w:tc>
          <w:tcPr>
            <w:tcW w:w="1280" w:type="dxa"/>
            <w:vMerge w:val="restart"/>
            <w:vAlign w:val="center"/>
          </w:tcPr>
          <w:p>
            <w:pPr>
              <w:pStyle w:val="18"/>
              <w:ind w:left="0" w:firstLine="0"/>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pStyle w:val="18"/>
              <w:ind w:left="0" w:firstLine="0"/>
              <w:rPr>
                <w:rFonts w:hint="eastAsia" w:ascii="仿宋" w:hAnsi="仿宋" w:eastAsia="仿宋" w:cs="仿宋"/>
                <w:b w:val="0"/>
                <w:bCs w:val="0"/>
                <w:color w:val="auto"/>
                <w:kern w:val="0"/>
                <w:sz w:val="24"/>
                <w:szCs w:val="24"/>
              </w:rPr>
            </w:pPr>
          </w:p>
        </w:tc>
        <w:tc>
          <w:tcPr>
            <w:tcW w:w="297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发光仪</w:t>
            </w:r>
          </w:p>
        </w:tc>
        <w:tc>
          <w:tcPr>
            <w:tcW w:w="863"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1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225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910000</w:t>
            </w:r>
          </w:p>
        </w:tc>
        <w:tc>
          <w:tcPr>
            <w:tcW w:w="1280" w:type="dxa"/>
            <w:vMerge w:val="continue"/>
            <w:vAlign w:val="center"/>
          </w:tcPr>
          <w:p>
            <w:pPr>
              <w:pStyle w:val="18"/>
              <w:ind w:left="0" w:firstLine="0"/>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42" w:type="dxa"/>
            <w:vMerge w:val="continue"/>
            <w:vAlign w:val="center"/>
          </w:tcPr>
          <w:p>
            <w:pPr>
              <w:pStyle w:val="18"/>
              <w:ind w:left="0" w:firstLine="0"/>
              <w:rPr>
                <w:rFonts w:hint="eastAsia" w:ascii="仿宋" w:hAnsi="仿宋" w:eastAsia="仿宋" w:cs="仿宋"/>
                <w:b w:val="0"/>
                <w:bCs w:val="0"/>
                <w:color w:val="auto"/>
                <w:kern w:val="0"/>
                <w:sz w:val="24"/>
                <w:szCs w:val="24"/>
              </w:rPr>
            </w:pPr>
          </w:p>
        </w:tc>
        <w:tc>
          <w:tcPr>
            <w:tcW w:w="297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全自动血细胞分析仪</w:t>
            </w:r>
          </w:p>
        </w:tc>
        <w:tc>
          <w:tcPr>
            <w:tcW w:w="863"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1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225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450000</w:t>
            </w:r>
          </w:p>
        </w:tc>
        <w:tc>
          <w:tcPr>
            <w:tcW w:w="1280" w:type="dxa"/>
            <w:vMerge w:val="continue"/>
            <w:vAlign w:val="center"/>
          </w:tcPr>
          <w:p>
            <w:pPr>
              <w:pStyle w:val="18"/>
              <w:ind w:left="0" w:firstLine="0"/>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42" w:type="dxa"/>
            <w:vAlign w:val="center"/>
          </w:tcPr>
          <w:p>
            <w:pPr>
              <w:pStyle w:val="18"/>
              <w:ind w:left="0" w:leftChars="0" w:firstLine="0" w:firstLineChars="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二包</w:t>
            </w:r>
          </w:p>
        </w:tc>
        <w:tc>
          <w:tcPr>
            <w:tcW w:w="297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中耳功能分析系统</w:t>
            </w:r>
          </w:p>
        </w:tc>
        <w:tc>
          <w:tcPr>
            <w:tcW w:w="863"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1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225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300000</w:t>
            </w:r>
          </w:p>
        </w:tc>
        <w:tc>
          <w:tcPr>
            <w:tcW w:w="1280" w:type="dxa"/>
            <w:vAlign w:val="center"/>
          </w:tcPr>
          <w:p>
            <w:pPr>
              <w:pStyle w:val="18"/>
              <w:ind w:left="0" w:firstLine="0"/>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42" w:type="dxa"/>
            <w:vAlign w:val="center"/>
          </w:tcPr>
          <w:p>
            <w:pPr>
              <w:pStyle w:val="18"/>
              <w:ind w:left="0" w:leftChars="0" w:firstLine="0" w:firstLineChars="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三包</w:t>
            </w:r>
          </w:p>
        </w:tc>
        <w:tc>
          <w:tcPr>
            <w:tcW w:w="297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妇幼健康信息平台</w:t>
            </w:r>
          </w:p>
        </w:tc>
        <w:tc>
          <w:tcPr>
            <w:tcW w:w="863"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1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225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2200000</w:t>
            </w:r>
          </w:p>
        </w:tc>
        <w:tc>
          <w:tcPr>
            <w:tcW w:w="1280" w:type="dxa"/>
            <w:vAlign w:val="center"/>
          </w:tcPr>
          <w:p>
            <w:pPr>
              <w:pStyle w:val="18"/>
              <w:ind w:left="0" w:firstLine="0"/>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42" w:type="dxa"/>
            <w:vAlign w:val="center"/>
          </w:tcPr>
          <w:p>
            <w:pPr>
              <w:pStyle w:val="18"/>
              <w:ind w:left="0" w:leftChars="0" w:firstLine="0" w:firstLineChars="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四包</w:t>
            </w:r>
          </w:p>
        </w:tc>
        <w:tc>
          <w:tcPr>
            <w:tcW w:w="297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PCR实验室建设</w:t>
            </w:r>
          </w:p>
        </w:tc>
        <w:tc>
          <w:tcPr>
            <w:tcW w:w="863"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1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w:t>
            </w:r>
          </w:p>
        </w:tc>
        <w:tc>
          <w:tcPr>
            <w:tcW w:w="225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500000</w:t>
            </w:r>
          </w:p>
        </w:tc>
        <w:tc>
          <w:tcPr>
            <w:tcW w:w="1280" w:type="dxa"/>
            <w:vAlign w:val="center"/>
          </w:tcPr>
          <w:p>
            <w:pPr>
              <w:pStyle w:val="18"/>
              <w:ind w:left="0" w:firstLine="0"/>
              <w:rPr>
                <w:rFonts w:hint="eastAsia"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42" w:type="dxa"/>
            <w:vAlign w:val="center"/>
          </w:tcPr>
          <w:p>
            <w:pPr>
              <w:pStyle w:val="18"/>
              <w:ind w:left="0" w:leftChars="0" w:firstLine="0" w:firstLineChars="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五包</w:t>
            </w:r>
          </w:p>
        </w:tc>
        <w:tc>
          <w:tcPr>
            <w:tcW w:w="297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计划生育手术室建设</w:t>
            </w:r>
          </w:p>
        </w:tc>
        <w:tc>
          <w:tcPr>
            <w:tcW w:w="863"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1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w:t>
            </w:r>
          </w:p>
        </w:tc>
        <w:tc>
          <w:tcPr>
            <w:tcW w:w="225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1200000</w:t>
            </w:r>
          </w:p>
        </w:tc>
        <w:tc>
          <w:tcPr>
            <w:tcW w:w="1280" w:type="dxa"/>
            <w:vAlign w:val="center"/>
          </w:tcPr>
          <w:p>
            <w:pPr>
              <w:pStyle w:val="18"/>
              <w:ind w:left="0" w:firstLine="0"/>
              <w:rPr>
                <w:rFonts w:hint="eastAsia" w:ascii="仿宋" w:hAnsi="仿宋" w:eastAsia="仿宋" w:cs="仿宋"/>
                <w:b w:val="0"/>
                <w:bCs w:val="0"/>
                <w:color w:val="auto"/>
                <w:kern w:val="0"/>
                <w:sz w:val="24"/>
                <w:szCs w:val="24"/>
              </w:rPr>
            </w:pPr>
          </w:p>
        </w:tc>
      </w:tr>
    </w:tbl>
    <w:p>
      <w:pPr>
        <w:pStyle w:val="26"/>
        <w:snapToGrid w:val="0"/>
        <w:spacing w:line="312" w:lineRule="auto"/>
        <w:ind w:firstLine="560"/>
        <w:jc w:val="both"/>
        <w:rPr>
          <w:rFonts w:hint="eastAsia" w:ascii="仿宋" w:hAnsi="仿宋" w:eastAsia="仿宋" w:cs="仿宋"/>
          <w:b/>
          <w:color w:val="auto"/>
          <w:sz w:val="28"/>
        </w:rPr>
      </w:pPr>
      <w:r>
        <w:rPr>
          <w:rFonts w:hint="eastAsia" w:ascii="仿宋" w:hAnsi="仿宋" w:eastAsia="仿宋" w:cs="仿宋"/>
          <w:b/>
          <w:color w:val="auto"/>
          <w:sz w:val="28"/>
        </w:rPr>
        <w:t>四、投标供应商资格要求:</w:t>
      </w:r>
    </w:p>
    <w:p>
      <w:pPr>
        <w:widowControl/>
        <w:shd w:val="clear" w:color="auto" w:fill="FFFFFF"/>
        <w:snapToGrid w:val="0"/>
        <w:jc w:val="left"/>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（1）符合《中华人民共和国政府采购法》第二十二条款规定。 </w:t>
      </w:r>
    </w:p>
    <w:p>
      <w:pPr>
        <w:widowControl/>
        <w:shd w:val="clear" w:color="auto" w:fill="FFFFFF"/>
        <w:snapToGrid w:val="0"/>
        <w:jc w:val="left"/>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（2） 有效的工商营业执照副本原件、税务登记证副本原件、组织机构代码证副本原件或“三证合一”的营业执照副本原件。</w:t>
      </w:r>
    </w:p>
    <w:p>
      <w:pPr>
        <w:widowControl/>
        <w:shd w:val="clear" w:color="auto" w:fill="FFFFFF"/>
        <w:snapToGrid w:val="0"/>
        <w:jc w:val="left"/>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（3）具有医疗器械经营许可证；货物生产厂家须具备医疗器械注册证（含登记表）及医疗器械生产许可证。</w:t>
      </w:r>
    </w:p>
    <w:p>
      <w:pPr>
        <w:widowControl/>
        <w:shd w:val="clear" w:color="auto" w:fill="FFFFFF"/>
        <w:snapToGrid w:val="0"/>
        <w:jc w:val="left"/>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（4）法定代表人投标需携带法定代表人证明书（原件）及法定代表人身份证（原件），委托代理人投标需携带法定代表人授权委托书（原件）及委托代理人身份证（原件）。</w:t>
      </w:r>
    </w:p>
    <w:p>
      <w:pPr>
        <w:widowControl/>
        <w:shd w:val="clear" w:color="auto" w:fill="FFFFFF"/>
        <w:snapToGrid w:val="0"/>
        <w:jc w:val="left"/>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5）第四包,第五包投标单位除以上资质外还须具备建筑装饰装修工程专业承包（二级及以上）及机电设备安装工程专业承包（三级及以上）资质证书（实行电子化证书的可自行下载的网页版资质证书并加盖企业公章）；项目负责人须具备贰级建造师（建筑工程，机电工程双专业）及以上资质证书（实行电子化证书的可自行下载的网页版资质证书并加盖企业公章）；疆外企业必须具备进疆证。</w:t>
      </w:r>
    </w:p>
    <w:p>
      <w:pPr>
        <w:widowControl/>
        <w:shd w:val="clear" w:color="auto" w:fill="FFFFFF"/>
        <w:snapToGrid w:val="0"/>
        <w:jc w:val="left"/>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widowControl/>
        <w:shd w:val="clear" w:color="auto" w:fill="FFFFFF"/>
        <w:snapToGrid w:val="0"/>
        <w:jc w:val="left"/>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（7）本项目不接受联合体投标。 </w:t>
      </w:r>
    </w:p>
    <w:p>
      <w:pPr>
        <w:widowControl/>
        <w:shd w:val="clear" w:color="auto" w:fill="FFFFFF"/>
        <w:snapToGrid w:val="0"/>
        <w:spacing w:line="312" w:lineRule="auto"/>
        <w:jc w:val="left"/>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（8）供应商不得为“信用中国”网站（www.creditchina.gov.cn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）政府采购严重违法失信行为记录名单中被财政部门禁止参加政府采购活动的供应商（处罚决定规定的时间和地域范围内）。需提供截图证明，信用信息截止时点为开标当日。 </w:t>
      </w:r>
    </w:p>
    <w:p>
      <w:pPr>
        <w:pStyle w:val="26"/>
        <w:snapToGrid w:val="0"/>
        <w:spacing w:line="312" w:lineRule="auto"/>
        <w:ind w:firstLine="560"/>
        <w:jc w:val="both"/>
        <w:rPr>
          <w:rFonts w:hint="eastAsia" w:ascii="仿宋" w:hAnsi="仿宋" w:eastAsia="仿宋" w:cs="仿宋"/>
          <w:b/>
          <w:color w:val="auto"/>
          <w:sz w:val="28"/>
        </w:rPr>
      </w:pPr>
      <w:r>
        <w:rPr>
          <w:rFonts w:hint="eastAsia" w:ascii="仿宋" w:hAnsi="仿宋" w:eastAsia="仿宋" w:cs="仿宋"/>
          <w:b/>
          <w:color w:val="auto"/>
          <w:sz w:val="28"/>
        </w:rPr>
        <w:t>五、招标文件的报名/发售时间、地址、售价:</w:t>
      </w:r>
    </w:p>
    <w:p>
      <w:pPr>
        <w:pStyle w:val="26"/>
        <w:snapToGrid w:val="0"/>
        <w:spacing w:line="312" w:lineRule="auto"/>
        <w:ind w:firstLine="560"/>
        <w:jc w:val="both"/>
        <w:rPr>
          <w:rFonts w:hint="eastAsia" w:ascii="仿宋" w:hAnsi="仿宋" w:eastAsia="仿宋" w:cs="仿宋"/>
          <w:color w:val="auto"/>
          <w:sz w:val="28"/>
          <w:lang w:eastAsia="zh-CN"/>
        </w:rPr>
      </w:pPr>
      <w:r>
        <w:rPr>
          <w:rFonts w:hint="eastAsia" w:ascii="仿宋" w:hAnsi="仿宋" w:eastAsia="仿宋" w:cs="仿宋"/>
          <w:color w:val="auto"/>
          <w:sz w:val="28"/>
        </w:rPr>
        <w:t>1．报名（发售／获取）时间：2020-0</w:t>
      </w:r>
      <w:r>
        <w:rPr>
          <w:rFonts w:hint="eastAsia" w:ascii="仿宋" w:hAnsi="仿宋" w:eastAsia="仿宋" w:cs="仿宋"/>
          <w:color w:val="auto"/>
          <w:sz w:val="28"/>
          <w:lang w:val="en-US" w:eastAsia="zh-CN"/>
        </w:rPr>
        <w:t>8</w:t>
      </w:r>
      <w:r>
        <w:rPr>
          <w:rFonts w:hint="eastAsia" w:ascii="仿宋" w:hAnsi="仿宋" w:eastAsia="仿宋" w:cs="仿宋"/>
          <w:color w:val="auto"/>
          <w:sz w:val="28"/>
        </w:rPr>
        <w:t>-0</w:t>
      </w:r>
      <w:r>
        <w:rPr>
          <w:rFonts w:hint="eastAsia" w:ascii="仿宋" w:hAnsi="仿宋" w:eastAsia="仿宋" w:cs="仿宋"/>
          <w:color w:val="auto"/>
          <w:sz w:val="28"/>
          <w:lang w:val="en-US" w:eastAsia="zh-CN"/>
        </w:rPr>
        <w:t>6</w:t>
      </w:r>
      <w:r>
        <w:rPr>
          <w:rFonts w:hint="eastAsia" w:ascii="仿宋" w:hAnsi="仿宋" w:eastAsia="仿宋" w:cs="仿宋"/>
          <w:color w:val="auto"/>
          <w:sz w:val="28"/>
        </w:rPr>
        <w:t>至2020-0</w:t>
      </w:r>
      <w:r>
        <w:rPr>
          <w:rFonts w:hint="eastAsia" w:ascii="仿宋" w:hAnsi="仿宋" w:eastAsia="仿宋" w:cs="仿宋"/>
          <w:color w:val="auto"/>
          <w:sz w:val="28"/>
          <w:lang w:val="en-US" w:eastAsia="zh-CN"/>
        </w:rPr>
        <w:t>8</w:t>
      </w:r>
      <w:r>
        <w:rPr>
          <w:rFonts w:hint="eastAsia" w:ascii="仿宋" w:hAnsi="仿宋" w:eastAsia="仿宋" w:cs="仿宋"/>
          <w:color w:val="auto"/>
          <w:sz w:val="28"/>
        </w:rPr>
        <w:t>-1</w:t>
      </w:r>
      <w:r>
        <w:rPr>
          <w:rFonts w:hint="eastAsia" w:ascii="仿宋" w:hAnsi="仿宋" w:eastAsia="仿宋" w:cs="仿宋"/>
          <w:color w:val="auto"/>
          <w:sz w:val="28"/>
          <w:lang w:val="en-US" w:eastAsia="zh-CN"/>
        </w:rPr>
        <w:t>3</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上午：10:30-13:00，下午：15:30-18:30（北京时间）</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2．报名（发售／获取）地址： 供应商登陆政采云平台在线申请获取采购文件（进入“项目采购”应用，在获取采购文件菜单中选择项目，申请获取采购文件） </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3．标书售价(元)：200元/份。</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4．投标人购买标书时应提交的资料</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彩色扫描件</w:t>
      </w:r>
      <w:r>
        <w:rPr>
          <w:rFonts w:hint="eastAsia" w:ascii="仿宋" w:hAnsi="仿宋" w:eastAsia="仿宋" w:cs="仿宋"/>
          <w:color w:val="auto"/>
          <w:sz w:val="28"/>
          <w:lang w:eastAsia="zh-CN"/>
        </w:rPr>
        <w:t>）</w:t>
      </w:r>
      <w:r>
        <w:rPr>
          <w:rFonts w:hint="eastAsia" w:ascii="仿宋" w:hAnsi="仿宋" w:eastAsia="仿宋" w:cs="仿宋"/>
          <w:color w:val="auto"/>
          <w:sz w:val="28"/>
        </w:rPr>
        <w:t>：</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（1）委托人请随身携带法定代表人授权委托书及被授权人的身份证原件、法人请随身携带法定代表人身份证明书及法人身份证原件；</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（2）营业执照（副本）原件；</w:t>
      </w:r>
    </w:p>
    <w:p>
      <w:pPr>
        <w:pStyle w:val="26"/>
        <w:snapToGrid w:val="0"/>
        <w:spacing w:line="312" w:lineRule="auto"/>
        <w:ind w:firstLine="560"/>
        <w:jc w:val="both"/>
        <w:rPr>
          <w:rFonts w:hint="eastAsia" w:ascii="仿宋" w:hAnsi="仿宋" w:eastAsia="仿宋" w:cs="仿宋"/>
          <w:color w:val="auto"/>
          <w:sz w:val="28"/>
          <w:lang w:eastAsia="zh-CN"/>
        </w:rPr>
      </w:pPr>
      <w:r>
        <w:rPr>
          <w:rFonts w:hint="eastAsia" w:ascii="仿宋" w:hAnsi="仿宋" w:eastAsia="仿宋" w:cs="仿宋"/>
          <w:color w:val="auto"/>
          <w:sz w:val="28"/>
        </w:rPr>
        <w:t>（3）第四包</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第五包</w:t>
      </w:r>
      <w:r>
        <w:rPr>
          <w:rFonts w:hint="eastAsia" w:ascii="仿宋" w:hAnsi="仿宋" w:eastAsia="仿宋" w:cs="仿宋"/>
          <w:color w:val="auto"/>
          <w:sz w:val="28"/>
        </w:rPr>
        <w:t>投标单位</w:t>
      </w:r>
      <w:r>
        <w:rPr>
          <w:rFonts w:hint="eastAsia" w:ascii="仿宋" w:hAnsi="仿宋" w:eastAsia="仿宋" w:cs="仿宋"/>
          <w:color w:val="auto"/>
          <w:sz w:val="28"/>
          <w:lang w:val="en-US" w:eastAsia="zh-CN"/>
        </w:rPr>
        <w:t>除以上资质外还</w:t>
      </w:r>
      <w:r>
        <w:rPr>
          <w:rFonts w:hint="eastAsia" w:ascii="仿宋" w:hAnsi="仿宋" w:eastAsia="仿宋" w:cs="仿宋"/>
          <w:color w:val="auto"/>
          <w:sz w:val="28"/>
        </w:rPr>
        <w:t>须</w:t>
      </w:r>
      <w:r>
        <w:rPr>
          <w:rFonts w:hint="eastAsia" w:ascii="仿宋" w:hAnsi="仿宋" w:eastAsia="仿宋" w:cs="仿宋"/>
          <w:color w:val="auto"/>
          <w:sz w:val="28"/>
          <w:lang w:val="en-US" w:eastAsia="zh-CN"/>
        </w:rPr>
        <w:t>携带</w:t>
      </w:r>
      <w:r>
        <w:rPr>
          <w:rFonts w:hint="eastAsia" w:ascii="仿宋" w:hAnsi="仿宋" w:eastAsia="仿宋" w:cs="仿宋"/>
          <w:color w:val="auto"/>
          <w:sz w:val="28"/>
        </w:rPr>
        <w:t>建筑装饰装修工程专业承包（二级及以上）及机电设备安装工程专业承包（三级及以上）资质证书</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原件或实行电子化证书的可携带自行下载的网页版资质证书并加盖企业公章）</w:t>
      </w:r>
      <w:r>
        <w:rPr>
          <w:rFonts w:hint="eastAsia" w:ascii="仿宋" w:hAnsi="仿宋" w:eastAsia="仿宋" w:cs="仿宋"/>
          <w:color w:val="auto"/>
          <w:sz w:val="28"/>
          <w:lang w:eastAsia="zh-CN"/>
        </w:rPr>
        <w:t>；</w:t>
      </w:r>
      <w:r>
        <w:rPr>
          <w:rFonts w:hint="eastAsia" w:ascii="仿宋" w:hAnsi="仿宋" w:eastAsia="仿宋" w:cs="仿宋"/>
          <w:color w:val="auto"/>
          <w:sz w:val="28"/>
        </w:rPr>
        <w:t>须</w:t>
      </w:r>
      <w:r>
        <w:rPr>
          <w:rFonts w:hint="eastAsia" w:ascii="仿宋" w:hAnsi="仿宋" w:eastAsia="仿宋" w:cs="仿宋"/>
          <w:color w:val="auto"/>
          <w:sz w:val="28"/>
          <w:lang w:val="en-US" w:eastAsia="zh-CN"/>
        </w:rPr>
        <w:t>携带</w:t>
      </w:r>
      <w:r>
        <w:rPr>
          <w:rFonts w:hint="eastAsia" w:ascii="仿宋" w:hAnsi="仿宋" w:eastAsia="仿宋" w:cs="仿宋"/>
          <w:color w:val="auto"/>
          <w:sz w:val="28"/>
        </w:rPr>
        <w:t>项目负责人</w:t>
      </w:r>
      <w:r>
        <w:rPr>
          <w:rFonts w:hint="eastAsia" w:ascii="仿宋" w:hAnsi="仿宋" w:eastAsia="仿宋" w:cs="仿宋"/>
          <w:color w:val="auto"/>
          <w:sz w:val="28"/>
          <w:lang w:val="en-US" w:eastAsia="zh-CN"/>
        </w:rPr>
        <w:t>的</w:t>
      </w:r>
      <w:r>
        <w:rPr>
          <w:rFonts w:hint="eastAsia" w:ascii="仿宋" w:hAnsi="仿宋" w:eastAsia="仿宋" w:cs="仿宋"/>
          <w:color w:val="auto"/>
          <w:sz w:val="28"/>
        </w:rPr>
        <w:t>贰级建造师（建筑工程，机电工程双专业）及以上资质证书</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原件或实行电子化证书的可携带自行下载的网页版资质证书并加盖企业公章</w:t>
      </w:r>
      <w:r>
        <w:rPr>
          <w:rFonts w:hint="eastAsia" w:ascii="仿宋" w:hAnsi="仿宋" w:eastAsia="仿宋" w:cs="仿宋"/>
          <w:color w:val="auto"/>
          <w:sz w:val="28"/>
          <w:lang w:eastAsia="zh-CN"/>
        </w:rPr>
        <w:t>）；</w:t>
      </w:r>
      <w:r>
        <w:rPr>
          <w:rFonts w:hint="eastAsia" w:ascii="仿宋" w:hAnsi="仿宋" w:eastAsia="仿宋" w:cs="仿宋"/>
          <w:color w:val="auto"/>
          <w:sz w:val="28"/>
        </w:rPr>
        <w:t>疆外企业必须具备进疆证</w:t>
      </w:r>
      <w:r>
        <w:rPr>
          <w:rFonts w:hint="eastAsia" w:ascii="仿宋" w:hAnsi="仿宋" w:eastAsia="仿宋" w:cs="仿宋"/>
          <w:color w:val="auto"/>
          <w:sz w:val="28"/>
          <w:lang w:eastAsia="zh-CN"/>
        </w:rPr>
        <w:t>；</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（4）网页截图证明；</w:t>
      </w:r>
    </w:p>
    <w:p>
      <w:pPr>
        <w:pStyle w:val="26"/>
        <w:snapToGrid w:val="0"/>
        <w:spacing w:line="312" w:lineRule="auto"/>
        <w:ind w:firstLine="560"/>
        <w:jc w:val="both"/>
        <w:rPr>
          <w:rFonts w:hint="eastAsia" w:ascii="仿宋" w:hAnsi="仿宋" w:eastAsia="仿宋" w:cs="仿宋"/>
          <w:color w:val="auto"/>
          <w:sz w:val="28"/>
          <w:lang w:eastAsia="zh-CN"/>
        </w:rPr>
      </w:pP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5</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提供标书费用汇款凭证。</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b/>
          <w:color w:val="auto"/>
          <w:sz w:val="28"/>
        </w:rPr>
        <w:t>六、投标截止时间：</w:t>
      </w:r>
      <w:r>
        <w:rPr>
          <w:rFonts w:hint="eastAsia" w:ascii="仿宋" w:hAnsi="仿宋" w:eastAsia="仿宋" w:cs="仿宋"/>
          <w:color w:val="auto"/>
          <w:sz w:val="28"/>
          <w:lang w:eastAsia="zh-CN"/>
        </w:rPr>
        <w:t>2020-08-27</w:t>
      </w:r>
      <w:r>
        <w:rPr>
          <w:rFonts w:hint="eastAsia" w:ascii="仿宋" w:hAnsi="仿宋" w:eastAsia="仿宋" w:cs="仿宋"/>
          <w:color w:val="auto"/>
          <w:sz w:val="28"/>
        </w:rPr>
        <w:t xml:space="preserve">  11:00:00（北京时间）</w:t>
      </w:r>
    </w:p>
    <w:p>
      <w:pPr>
        <w:widowControl/>
        <w:shd w:val="clear" w:color="auto" w:fill="FFFFFF"/>
        <w:snapToGrid w:val="0"/>
        <w:spacing w:line="312" w:lineRule="auto"/>
        <w:ind w:firstLine="562" w:firstLineChars="200"/>
        <w:jc w:val="left"/>
        <w:rPr>
          <w:rFonts w:hint="default" w:ascii="仿宋" w:hAnsi="仿宋" w:eastAsia="仿宋" w:cs="仿宋"/>
          <w:b/>
          <w:color w:val="auto"/>
          <w:sz w:val="28"/>
          <w:lang w:val="en-US" w:eastAsia="zh-CN"/>
        </w:rPr>
      </w:pPr>
      <w:r>
        <w:rPr>
          <w:rFonts w:hint="eastAsia" w:ascii="仿宋" w:hAnsi="仿宋" w:eastAsia="仿宋" w:cs="仿宋"/>
          <w:b/>
          <w:color w:val="auto"/>
          <w:sz w:val="28"/>
        </w:rPr>
        <w:t>七、投标地址：</w:t>
      </w:r>
      <w:r>
        <w:rPr>
          <w:rFonts w:hint="eastAsia" w:ascii="仿宋" w:hAnsi="仿宋" w:eastAsia="仿宋" w:cs="仿宋"/>
          <w:b w:val="0"/>
          <w:bCs/>
          <w:color w:val="auto"/>
          <w:sz w:val="28"/>
          <w:lang w:val="en-US" w:eastAsia="zh-CN"/>
        </w:rPr>
        <w:t>线上投标</w:t>
      </w:r>
    </w:p>
    <w:p>
      <w:pPr>
        <w:widowControl/>
        <w:shd w:val="clear" w:color="auto" w:fill="FFFFFF"/>
        <w:snapToGrid w:val="0"/>
        <w:spacing w:line="312" w:lineRule="auto"/>
        <w:ind w:firstLine="562" w:firstLineChars="200"/>
        <w:jc w:val="left"/>
        <w:rPr>
          <w:rFonts w:hint="eastAsia" w:ascii="仿宋" w:hAnsi="仿宋" w:eastAsia="仿宋" w:cs="仿宋"/>
          <w:color w:val="auto"/>
          <w:sz w:val="28"/>
        </w:rPr>
      </w:pPr>
      <w:r>
        <w:rPr>
          <w:rFonts w:hint="eastAsia" w:ascii="仿宋" w:hAnsi="仿宋" w:eastAsia="仿宋" w:cs="仿宋"/>
          <w:b/>
          <w:color w:val="auto"/>
          <w:sz w:val="28"/>
        </w:rPr>
        <w:t>八、开标时间：</w:t>
      </w:r>
      <w:r>
        <w:rPr>
          <w:rFonts w:hint="eastAsia" w:ascii="仿宋" w:hAnsi="仿宋" w:eastAsia="仿宋" w:cs="仿宋"/>
          <w:color w:val="auto"/>
          <w:sz w:val="28"/>
          <w:lang w:eastAsia="zh-CN"/>
        </w:rPr>
        <w:t>2020-08-27</w:t>
      </w:r>
      <w:r>
        <w:rPr>
          <w:rFonts w:hint="eastAsia" w:ascii="仿宋" w:hAnsi="仿宋" w:eastAsia="仿宋" w:cs="仿宋"/>
          <w:color w:val="auto"/>
          <w:sz w:val="28"/>
        </w:rPr>
        <w:t xml:space="preserve">  11:00:00（北京时间）</w:t>
      </w:r>
    </w:p>
    <w:p>
      <w:pPr>
        <w:widowControl/>
        <w:shd w:val="clear" w:color="auto" w:fill="FFFFFF"/>
        <w:snapToGrid w:val="0"/>
        <w:spacing w:line="312" w:lineRule="auto"/>
        <w:ind w:firstLine="562" w:firstLineChars="200"/>
        <w:jc w:val="left"/>
        <w:rPr>
          <w:rFonts w:hint="eastAsia" w:ascii="仿宋" w:hAnsi="仿宋" w:eastAsia="仿宋" w:cs="仿宋"/>
          <w:b/>
          <w:color w:val="auto"/>
          <w:sz w:val="28"/>
          <w:lang w:eastAsia="zh-CN"/>
        </w:rPr>
      </w:pPr>
      <w:r>
        <w:rPr>
          <w:rFonts w:hint="eastAsia" w:ascii="仿宋" w:hAnsi="仿宋" w:eastAsia="仿宋" w:cs="仿宋"/>
          <w:b/>
          <w:color w:val="auto"/>
          <w:sz w:val="28"/>
        </w:rPr>
        <w:t>九、开标地址：</w:t>
      </w:r>
      <w:r>
        <w:rPr>
          <w:rFonts w:hint="eastAsia" w:ascii="仿宋" w:hAnsi="仿宋" w:eastAsia="仿宋" w:cs="仿宋"/>
          <w:b w:val="0"/>
          <w:bCs/>
          <w:color w:val="auto"/>
          <w:sz w:val="28"/>
          <w:lang w:val="en-US" w:eastAsia="zh-CN"/>
        </w:rPr>
        <w:t>线上开标</w:t>
      </w:r>
    </w:p>
    <w:p>
      <w:pPr>
        <w:widowControl/>
        <w:shd w:val="clear" w:color="auto" w:fill="FFFFFF"/>
        <w:snapToGrid w:val="0"/>
        <w:spacing w:line="312" w:lineRule="auto"/>
        <w:ind w:firstLine="562" w:firstLineChars="200"/>
        <w:jc w:val="left"/>
        <w:rPr>
          <w:rFonts w:hint="eastAsia" w:ascii="仿宋" w:hAnsi="仿宋" w:eastAsia="仿宋" w:cs="仿宋"/>
          <w:b/>
          <w:color w:val="auto"/>
          <w:sz w:val="28"/>
        </w:rPr>
      </w:pPr>
      <w:r>
        <w:rPr>
          <w:rFonts w:hint="eastAsia" w:ascii="仿宋" w:hAnsi="仿宋" w:eastAsia="仿宋" w:cs="仿宋"/>
          <w:b/>
          <w:color w:val="auto"/>
          <w:sz w:val="28"/>
        </w:rPr>
        <w:t>十、投标保证金：</w:t>
      </w:r>
    </w:p>
    <w:tbl>
      <w:tblPr>
        <w:tblStyle w:val="20"/>
        <w:tblW w:w="5414" w:type="pct"/>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5"/>
        <w:gridCol w:w="1319"/>
        <w:gridCol w:w="2055"/>
        <w:gridCol w:w="1985"/>
        <w:gridCol w:w="1093"/>
        <w:gridCol w:w="137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06"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标项序号</w:t>
            </w:r>
          </w:p>
        </w:tc>
        <w:tc>
          <w:tcPr>
            <w:tcW w:w="642"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标项名称</w:t>
            </w:r>
          </w:p>
        </w:tc>
        <w:tc>
          <w:tcPr>
            <w:tcW w:w="1001"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投标保证金金额（元）</w:t>
            </w:r>
          </w:p>
        </w:tc>
        <w:tc>
          <w:tcPr>
            <w:tcW w:w="966"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开户银行</w:t>
            </w:r>
          </w:p>
        </w:tc>
        <w:tc>
          <w:tcPr>
            <w:tcW w:w="532"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行号</w:t>
            </w:r>
          </w:p>
        </w:tc>
        <w:tc>
          <w:tcPr>
            <w:tcW w:w="671"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交付方式</w:t>
            </w:r>
          </w:p>
        </w:tc>
        <w:tc>
          <w:tcPr>
            <w:tcW w:w="778"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406" w:type="pct"/>
            <w:tcMar>
              <w:top w:w="84" w:type="dxa"/>
              <w:left w:w="167" w:type="dxa"/>
              <w:bottom w:w="84" w:type="dxa"/>
              <w:right w:w="167" w:type="dxa"/>
            </w:tcMar>
            <w:vAlign w:val="center"/>
          </w:tcPr>
          <w:p>
            <w:pPr>
              <w:pStyle w:val="18"/>
              <w:keepNext w:val="0"/>
              <w:keepLines w:val="0"/>
              <w:pageBreakBefore w:val="0"/>
              <w:kinsoku/>
              <w:wordWrap/>
              <w:overflowPunct/>
              <w:topLinePunct w:val="0"/>
              <w:bidi w:val="0"/>
              <w:spacing w:line="280" w:lineRule="exact"/>
              <w:ind w:left="0" w:firstLine="0"/>
              <w:textAlignment w:val="auto"/>
              <w:rPr>
                <w:rFonts w:hint="eastAsia" w:ascii="仿宋" w:hAnsi="仿宋" w:eastAsia="仿宋" w:cs="仿宋"/>
                <w:color w:val="auto"/>
                <w:kern w:val="0"/>
                <w:sz w:val="24"/>
                <w:szCs w:val="24"/>
              </w:rPr>
            </w:pPr>
            <w:r>
              <w:rPr>
                <w:rFonts w:hint="eastAsia" w:ascii="仿宋" w:hAnsi="仿宋" w:eastAsia="仿宋" w:cs="仿宋"/>
                <w:b w:val="0"/>
                <w:bCs w:val="0"/>
                <w:color w:val="auto"/>
                <w:kern w:val="0"/>
                <w:sz w:val="24"/>
                <w:szCs w:val="24"/>
              </w:rPr>
              <w:t>一包</w:t>
            </w:r>
          </w:p>
        </w:tc>
        <w:tc>
          <w:tcPr>
            <w:tcW w:w="642" w:type="pct"/>
            <w:tcMar>
              <w:top w:w="84" w:type="dxa"/>
              <w:left w:w="167" w:type="dxa"/>
              <w:bottom w:w="84" w:type="dxa"/>
              <w:right w:w="167" w:type="dxa"/>
            </w:tcMar>
            <w:vAlign w:val="center"/>
          </w:tcPr>
          <w:p>
            <w:pPr>
              <w:keepNext w:val="0"/>
              <w:keepLines w:val="0"/>
              <w:pageBreakBefore w:val="0"/>
              <w:widowControl/>
              <w:kinsoku/>
              <w:wordWrap/>
              <w:overflowPunct/>
              <w:topLinePunct w:val="0"/>
              <w:bidi w:val="0"/>
              <w:spacing w:line="28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医疗设备一批</w:t>
            </w:r>
          </w:p>
        </w:tc>
        <w:tc>
          <w:tcPr>
            <w:tcW w:w="1001"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33</w:t>
            </w:r>
            <w:r>
              <w:rPr>
                <w:rFonts w:hint="eastAsia" w:ascii="仿宋" w:hAnsi="仿宋" w:eastAsia="仿宋" w:cs="仿宋"/>
                <w:color w:val="auto"/>
                <w:szCs w:val="24"/>
                <w:lang w:val="en-US" w:eastAsia="zh-CN"/>
              </w:rPr>
              <w:t>0</w:t>
            </w:r>
            <w:r>
              <w:rPr>
                <w:rFonts w:hint="eastAsia" w:ascii="仿宋" w:hAnsi="仿宋" w:eastAsia="仿宋" w:cs="仿宋"/>
                <w:color w:val="auto"/>
                <w:szCs w:val="24"/>
              </w:rPr>
              <w:t>00</w:t>
            </w:r>
          </w:p>
        </w:tc>
        <w:tc>
          <w:tcPr>
            <w:tcW w:w="966"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中国银行乌鲁木齐市青年路支行</w:t>
            </w:r>
          </w:p>
        </w:tc>
        <w:tc>
          <w:tcPr>
            <w:tcW w:w="532"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107673584569</w:t>
            </w:r>
          </w:p>
        </w:tc>
        <w:tc>
          <w:tcPr>
            <w:tcW w:w="671"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网银、电汇</w:t>
            </w:r>
          </w:p>
        </w:tc>
        <w:tc>
          <w:tcPr>
            <w:tcW w:w="778"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lang w:val="en-US" w:eastAsia="zh-CN"/>
              </w:rPr>
            </w:pPr>
            <w:r>
              <w:rPr>
                <w:rFonts w:hint="eastAsia" w:ascii="仿宋" w:hAnsi="仿宋" w:eastAsia="仿宋" w:cs="仿宋"/>
                <w:color w:val="auto"/>
                <w:kern w:val="0"/>
                <w:sz w:val="24"/>
                <w:szCs w:val="24"/>
              </w:rPr>
              <w:t>请备注项目简称</w:t>
            </w:r>
            <w:r>
              <w:rPr>
                <w:rFonts w:hint="eastAsia" w:ascii="仿宋" w:hAnsi="仿宋" w:eastAsia="仿宋" w:cs="仿宋"/>
                <w:color w:val="auto"/>
                <w:kern w:val="0"/>
                <w:sz w:val="24"/>
                <w:szCs w:val="24"/>
                <w:lang w:val="en-US" w:eastAsia="zh-CN"/>
              </w:rPr>
              <w:t>及包号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6" w:type="pct"/>
            <w:tcMar>
              <w:top w:w="84" w:type="dxa"/>
              <w:left w:w="167" w:type="dxa"/>
              <w:bottom w:w="84" w:type="dxa"/>
              <w:right w:w="167" w:type="dxa"/>
            </w:tcMar>
            <w:vAlign w:val="center"/>
          </w:tcPr>
          <w:p>
            <w:pPr>
              <w:pStyle w:val="18"/>
              <w:keepNext w:val="0"/>
              <w:keepLines w:val="0"/>
              <w:pageBreakBefore w:val="0"/>
              <w:kinsoku/>
              <w:wordWrap/>
              <w:overflowPunct/>
              <w:topLinePunct w:val="0"/>
              <w:bidi w:val="0"/>
              <w:spacing w:line="280" w:lineRule="exact"/>
              <w:ind w:left="0" w:leftChars="0" w:firstLine="0" w:firstLineChars="0"/>
              <w:textAlignment w:val="auto"/>
              <w:rPr>
                <w:rFonts w:hint="eastAsia" w:ascii="仿宋" w:hAnsi="仿宋" w:eastAsia="仿宋" w:cs="仿宋"/>
                <w:color w:val="auto"/>
                <w:kern w:val="0"/>
                <w:sz w:val="24"/>
                <w:szCs w:val="24"/>
              </w:rPr>
            </w:pPr>
            <w:r>
              <w:rPr>
                <w:rFonts w:hint="eastAsia" w:ascii="仿宋" w:hAnsi="仿宋" w:eastAsia="仿宋" w:cs="仿宋"/>
                <w:b w:val="0"/>
                <w:bCs w:val="0"/>
                <w:color w:val="auto"/>
                <w:kern w:val="0"/>
                <w:sz w:val="24"/>
                <w:szCs w:val="24"/>
              </w:rPr>
              <w:t>二包</w:t>
            </w:r>
          </w:p>
        </w:tc>
        <w:tc>
          <w:tcPr>
            <w:tcW w:w="642" w:type="pct"/>
            <w:tcMar>
              <w:top w:w="84" w:type="dxa"/>
              <w:left w:w="167" w:type="dxa"/>
              <w:bottom w:w="84" w:type="dxa"/>
              <w:right w:w="167" w:type="dxa"/>
            </w:tcMar>
            <w:vAlign w:val="center"/>
          </w:tcPr>
          <w:p>
            <w:pPr>
              <w:keepNext w:val="0"/>
              <w:keepLines w:val="0"/>
              <w:pageBreakBefore w:val="0"/>
              <w:widowControl/>
              <w:kinsoku/>
              <w:wordWrap/>
              <w:overflowPunct/>
              <w:topLinePunct w:val="0"/>
              <w:bidi w:val="0"/>
              <w:spacing w:line="28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中耳功能分析系统</w:t>
            </w:r>
          </w:p>
        </w:tc>
        <w:tc>
          <w:tcPr>
            <w:tcW w:w="1001"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6000</w:t>
            </w:r>
          </w:p>
        </w:tc>
        <w:tc>
          <w:tcPr>
            <w:tcW w:w="966"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中国银行乌鲁木齐市青年路支行</w:t>
            </w:r>
          </w:p>
        </w:tc>
        <w:tc>
          <w:tcPr>
            <w:tcW w:w="532"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107673584569</w:t>
            </w:r>
          </w:p>
        </w:tc>
        <w:tc>
          <w:tcPr>
            <w:tcW w:w="671"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仿宋"/>
                <w:color w:val="auto"/>
                <w:szCs w:val="24"/>
              </w:rPr>
              <w:t>网银、电汇</w:t>
            </w:r>
          </w:p>
        </w:tc>
        <w:tc>
          <w:tcPr>
            <w:tcW w:w="778" w:type="pct"/>
            <w:tcMar>
              <w:top w:w="84" w:type="dxa"/>
              <w:left w:w="167" w:type="dxa"/>
              <w:bottom w:w="84" w:type="dxa"/>
              <w:right w:w="167" w:type="dxa"/>
            </w:tcMar>
            <w:vAlign w:val="center"/>
          </w:tcPr>
          <w:p>
            <w:pPr>
              <w:pStyle w:val="26"/>
              <w:keepNext w:val="0"/>
              <w:keepLines w:val="0"/>
              <w:pageBreakBefore w:val="0"/>
              <w:kinsoku/>
              <w:wordWrap/>
              <w:overflowPunct/>
              <w:topLinePunct w:val="0"/>
              <w:bidi w:val="0"/>
              <w:snapToGrid w:val="0"/>
              <w:spacing w:line="280" w:lineRule="exact"/>
              <w:jc w:val="center"/>
              <w:textAlignment w:val="auto"/>
              <w:rPr>
                <w:rFonts w:hint="eastAsia" w:ascii="仿宋" w:hAnsi="仿宋" w:eastAsia="仿宋" w:cs="仿宋"/>
                <w:color w:val="auto"/>
                <w:szCs w:val="24"/>
              </w:rPr>
            </w:pPr>
            <w:r>
              <w:rPr>
                <w:rFonts w:hint="eastAsia" w:ascii="仿宋" w:hAnsi="仿宋" w:eastAsia="仿宋" w:cs="宋体"/>
                <w:color w:val="auto"/>
                <w:kern w:val="0"/>
                <w:sz w:val="24"/>
                <w:szCs w:val="24"/>
              </w:rPr>
              <w:t>请备注项目简称</w:t>
            </w:r>
            <w:r>
              <w:rPr>
                <w:rFonts w:hint="eastAsia" w:ascii="仿宋" w:hAnsi="仿宋" w:eastAsia="仿宋" w:cs="宋体"/>
                <w:color w:val="auto"/>
                <w:kern w:val="0"/>
                <w:sz w:val="24"/>
                <w:szCs w:val="24"/>
                <w:lang w:val="en-US" w:eastAsia="zh-CN"/>
              </w:rPr>
              <w:t>及包号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8" w:type="dxa"/>
            <w:tcMar>
              <w:top w:w="84" w:type="dxa"/>
              <w:left w:w="167" w:type="dxa"/>
              <w:bottom w:w="84" w:type="dxa"/>
              <w:right w:w="167" w:type="dxa"/>
            </w:tcMar>
            <w:vAlign w:val="center"/>
          </w:tcPr>
          <w:p>
            <w:pPr>
              <w:pStyle w:val="18"/>
              <w:ind w:left="0" w:leftChars="0" w:firstLine="0" w:firstLineChars="0"/>
              <w:rPr>
                <w:rFonts w:hint="eastAsia" w:ascii="仿宋" w:hAnsi="仿宋" w:eastAsia="仿宋" w:cs="仿宋"/>
                <w:color w:val="auto"/>
                <w:kern w:val="0"/>
                <w:sz w:val="24"/>
                <w:szCs w:val="24"/>
              </w:rPr>
            </w:pPr>
            <w:r>
              <w:rPr>
                <w:rFonts w:hint="eastAsia" w:ascii="仿宋" w:hAnsi="仿宋" w:eastAsia="仿宋" w:cs="仿宋"/>
                <w:b w:val="0"/>
                <w:bCs w:val="0"/>
                <w:color w:val="auto"/>
                <w:kern w:val="0"/>
                <w:sz w:val="24"/>
                <w:szCs w:val="24"/>
              </w:rPr>
              <w:t>三包</w:t>
            </w:r>
          </w:p>
        </w:tc>
        <w:tc>
          <w:tcPr>
            <w:tcW w:w="1388" w:type="dxa"/>
            <w:tcMar>
              <w:top w:w="84" w:type="dxa"/>
              <w:left w:w="167" w:type="dxa"/>
              <w:bottom w:w="84" w:type="dxa"/>
              <w:right w:w="167" w:type="dxa"/>
            </w:tcMar>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妇幼健康信息平台</w:t>
            </w:r>
          </w:p>
        </w:tc>
        <w:tc>
          <w:tcPr>
            <w:tcW w:w="2162"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44000</w:t>
            </w:r>
          </w:p>
        </w:tc>
        <w:tc>
          <w:tcPr>
            <w:tcW w:w="2088"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中国银行乌鲁木齐市青年路支行</w:t>
            </w:r>
          </w:p>
        </w:tc>
        <w:tc>
          <w:tcPr>
            <w:tcW w:w="1150"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107673584569</w:t>
            </w:r>
          </w:p>
        </w:tc>
        <w:tc>
          <w:tcPr>
            <w:tcW w:w="1450"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网银、电汇</w:t>
            </w:r>
          </w:p>
        </w:tc>
        <w:tc>
          <w:tcPr>
            <w:tcW w:w="1682"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宋体"/>
                <w:color w:val="auto"/>
                <w:kern w:val="0"/>
                <w:sz w:val="24"/>
                <w:szCs w:val="24"/>
              </w:rPr>
              <w:t>请备注项目简称</w:t>
            </w:r>
            <w:r>
              <w:rPr>
                <w:rFonts w:hint="eastAsia" w:ascii="仿宋" w:hAnsi="仿宋" w:eastAsia="仿宋" w:cs="宋体"/>
                <w:color w:val="auto"/>
                <w:kern w:val="0"/>
                <w:sz w:val="24"/>
                <w:szCs w:val="24"/>
                <w:lang w:val="en-US" w:eastAsia="zh-CN"/>
              </w:rPr>
              <w:t>及包号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8" w:type="dxa"/>
            <w:tcMar>
              <w:top w:w="84" w:type="dxa"/>
              <w:left w:w="167" w:type="dxa"/>
              <w:bottom w:w="84" w:type="dxa"/>
              <w:right w:w="167" w:type="dxa"/>
            </w:tcMar>
            <w:vAlign w:val="center"/>
          </w:tcPr>
          <w:p>
            <w:pPr>
              <w:pStyle w:val="18"/>
              <w:ind w:left="0" w:leftChars="0" w:firstLine="0" w:firstLineChars="0"/>
              <w:rPr>
                <w:rFonts w:hint="eastAsia" w:ascii="仿宋" w:hAnsi="仿宋" w:eastAsia="仿宋" w:cs="仿宋"/>
                <w:color w:val="auto"/>
                <w:kern w:val="0"/>
                <w:sz w:val="24"/>
                <w:szCs w:val="24"/>
              </w:rPr>
            </w:pPr>
            <w:r>
              <w:rPr>
                <w:rFonts w:hint="eastAsia" w:ascii="仿宋" w:hAnsi="仿宋" w:eastAsia="仿宋" w:cs="仿宋"/>
                <w:b w:val="0"/>
                <w:bCs w:val="0"/>
                <w:color w:val="auto"/>
                <w:kern w:val="0"/>
                <w:sz w:val="24"/>
                <w:szCs w:val="24"/>
              </w:rPr>
              <w:t>四包</w:t>
            </w:r>
          </w:p>
        </w:tc>
        <w:tc>
          <w:tcPr>
            <w:tcW w:w="1388" w:type="dxa"/>
            <w:tcMar>
              <w:top w:w="84" w:type="dxa"/>
              <w:left w:w="167" w:type="dxa"/>
              <w:bottom w:w="84" w:type="dxa"/>
              <w:right w:w="167" w:type="dxa"/>
            </w:tcMar>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PCR实验室建设</w:t>
            </w:r>
          </w:p>
        </w:tc>
        <w:tc>
          <w:tcPr>
            <w:tcW w:w="2162"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10000</w:t>
            </w:r>
          </w:p>
        </w:tc>
        <w:tc>
          <w:tcPr>
            <w:tcW w:w="2088"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中国银行乌鲁木齐市青年路支行</w:t>
            </w:r>
          </w:p>
        </w:tc>
        <w:tc>
          <w:tcPr>
            <w:tcW w:w="1150"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107673584569</w:t>
            </w:r>
          </w:p>
        </w:tc>
        <w:tc>
          <w:tcPr>
            <w:tcW w:w="1450"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网银、电汇</w:t>
            </w:r>
          </w:p>
        </w:tc>
        <w:tc>
          <w:tcPr>
            <w:tcW w:w="1682"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宋体"/>
                <w:color w:val="auto"/>
                <w:kern w:val="0"/>
                <w:sz w:val="24"/>
                <w:szCs w:val="24"/>
              </w:rPr>
              <w:t>请备注项目简称</w:t>
            </w:r>
            <w:r>
              <w:rPr>
                <w:rFonts w:hint="eastAsia" w:ascii="仿宋" w:hAnsi="仿宋" w:eastAsia="仿宋" w:cs="宋体"/>
                <w:color w:val="auto"/>
                <w:kern w:val="0"/>
                <w:sz w:val="24"/>
                <w:szCs w:val="24"/>
                <w:lang w:val="en-US" w:eastAsia="zh-CN"/>
              </w:rPr>
              <w:t>及包号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8" w:type="dxa"/>
            <w:tcMar>
              <w:top w:w="84" w:type="dxa"/>
              <w:left w:w="167" w:type="dxa"/>
              <w:bottom w:w="84" w:type="dxa"/>
              <w:right w:w="167" w:type="dxa"/>
            </w:tcMar>
            <w:vAlign w:val="center"/>
          </w:tcPr>
          <w:p>
            <w:pPr>
              <w:pStyle w:val="18"/>
              <w:ind w:left="0" w:leftChars="0" w:firstLine="0" w:firstLineChars="0"/>
              <w:rPr>
                <w:rFonts w:hint="eastAsia" w:ascii="仿宋" w:hAnsi="仿宋" w:eastAsia="仿宋" w:cs="仿宋"/>
                <w:color w:val="auto"/>
                <w:kern w:val="0"/>
                <w:sz w:val="24"/>
                <w:szCs w:val="24"/>
              </w:rPr>
            </w:pPr>
            <w:r>
              <w:rPr>
                <w:rFonts w:hint="eastAsia" w:ascii="仿宋" w:hAnsi="仿宋" w:eastAsia="仿宋" w:cs="仿宋"/>
                <w:b w:val="0"/>
                <w:bCs w:val="0"/>
                <w:color w:val="auto"/>
                <w:kern w:val="0"/>
                <w:sz w:val="24"/>
                <w:szCs w:val="24"/>
              </w:rPr>
              <w:t>五包</w:t>
            </w:r>
          </w:p>
        </w:tc>
        <w:tc>
          <w:tcPr>
            <w:tcW w:w="1388" w:type="dxa"/>
            <w:tcMar>
              <w:top w:w="84" w:type="dxa"/>
              <w:left w:w="167" w:type="dxa"/>
              <w:bottom w:w="84" w:type="dxa"/>
              <w:right w:w="167" w:type="dxa"/>
            </w:tcMar>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计划生育手术室建设</w:t>
            </w:r>
          </w:p>
        </w:tc>
        <w:tc>
          <w:tcPr>
            <w:tcW w:w="2162"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24000</w:t>
            </w:r>
          </w:p>
        </w:tc>
        <w:tc>
          <w:tcPr>
            <w:tcW w:w="2088"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中国银行乌鲁木齐市青年路支行</w:t>
            </w:r>
          </w:p>
        </w:tc>
        <w:tc>
          <w:tcPr>
            <w:tcW w:w="1150"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107673584569</w:t>
            </w:r>
          </w:p>
        </w:tc>
        <w:tc>
          <w:tcPr>
            <w:tcW w:w="1450"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仿宋"/>
                <w:color w:val="auto"/>
                <w:szCs w:val="24"/>
              </w:rPr>
              <w:t>网银、电汇</w:t>
            </w:r>
          </w:p>
        </w:tc>
        <w:tc>
          <w:tcPr>
            <w:tcW w:w="1682" w:type="dxa"/>
            <w:tcMar>
              <w:top w:w="84" w:type="dxa"/>
              <w:left w:w="167" w:type="dxa"/>
              <w:bottom w:w="84" w:type="dxa"/>
              <w:right w:w="167" w:type="dxa"/>
            </w:tcMar>
            <w:vAlign w:val="center"/>
          </w:tcPr>
          <w:p>
            <w:pPr>
              <w:pStyle w:val="26"/>
              <w:snapToGrid w:val="0"/>
              <w:jc w:val="center"/>
              <w:rPr>
                <w:rFonts w:hint="eastAsia" w:ascii="仿宋" w:hAnsi="仿宋" w:eastAsia="仿宋" w:cs="仿宋"/>
                <w:color w:val="auto"/>
                <w:szCs w:val="24"/>
              </w:rPr>
            </w:pPr>
            <w:r>
              <w:rPr>
                <w:rFonts w:hint="eastAsia" w:ascii="仿宋" w:hAnsi="仿宋" w:eastAsia="仿宋" w:cs="宋体"/>
                <w:color w:val="auto"/>
                <w:kern w:val="0"/>
                <w:sz w:val="24"/>
                <w:szCs w:val="24"/>
              </w:rPr>
              <w:t>请备注项目简称</w:t>
            </w:r>
            <w:r>
              <w:rPr>
                <w:rFonts w:hint="eastAsia" w:ascii="仿宋" w:hAnsi="仿宋" w:eastAsia="仿宋" w:cs="宋体"/>
                <w:color w:val="auto"/>
                <w:kern w:val="0"/>
                <w:sz w:val="24"/>
                <w:szCs w:val="24"/>
                <w:lang w:val="en-US" w:eastAsia="zh-CN"/>
              </w:rPr>
              <w:t>及包号</w:t>
            </w:r>
          </w:p>
        </w:tc>
      </w:tr>
    </w:tbl>
    <w:p>
      <w:pPr>
        <w:pStyle w:val="26"/>
        <w:snapToGrid w:val="0"/>
        <w:spacing w:line="312" w:lineRule="auto"/>
        <w:ind w:firstLine="560"/>
        <w:jc w:val="both"/>
        <w:rPr>
          <w:rFonts w:hint="eastAsia" w:ascii="仿宋" w:hAnsi="仿宋" w:eastAsia="仿宋" w:cs="仿宋"/>
          <w:b/>
          <w:color w:val="auto"/>
          <w:sz w:val="28"/>
        </w:rPr>
      </w:pPr>
      <w:r>
        <w:rPr>
          <w:rFonts w:hint="eastAsia" w:ascii="仿宋" w:hAnsi="仿宋" w:eastAsia="仿宋" w:cs="仿宋"/>
          <w:b/>
          <w:color w:val="auto"/>
          <w:sz w:val="28"/>
        </w:rPr>
        <w:t>十一、采购项目需要落实的政府采购政策</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1、所采购产品需符合国家节能环保要求。结合本项目具体情况，根据财政部的相关规定符合政府采购促进中小企业发展政策的供应商为小、微型企业，产品有环境标志认证证书或节能标志认证证书的依据规定给予评审优惠。(详见招标文件) 。</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2、监狱企业及残疾人福利性单位视同小型、微型企业，享受预留份额、评审中价格扣除等政府采购促进中小企业发展的政府采购政策。(详见招标文件)。</w:t>
      </w:r>
    </w:p>
    <w:p>
      <w:pPr>
        <w:pStyle w:val="26"/>
        <w:snapToGrid w:val="0"/>
        <w:spacing w:line="312" w:lineRule="auto"/>
        <w:ind w:firstLine="560"/>
        <w:jc w:val="both"/>
        <w:rPr>
          <w:rFonts w:hint="eastAsia" w:ascii="仿宋" w:hAnsi="仿宋" w:eastAsia="仿宋" w:cs="仿宋"/>
          <w:b/>
          <w:color w:val="auto"/>
          <w:sz w:val="28"/>
        </w:rPr>
      </w:pPr>
      <w:r>
        <w:rPr>
          <w:rFonts w:hint="eastAsia" w:ascii="仿宋" w:hAnsi="仿宋" w:eastAsia="仿宋" w:cs="仿宋"/>
          <w:b/>
          <w:color w:val="auto"/>
          <w:sz w:val="28"/>
        </w:rPr>
        <w:t>十二、联系方式：</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b/>
          <w:color w:val="auto"/>
          <w:sz w:val="28"/>
        </w:rPr>
        <w:t>1、采购代理机构名称：</w:t>
      </w:r>
      <w:r>
        <w:rPr>
          <w:rFonts w:hint="eastAsia" w:ascii="仿宋" w:hAnsi="仿宋" w:eastAsia="仿宋" w:cs="仿宋"/>
          <w:color w:val="auto"/>
          <w:sz w:val="28"/>
        </w:rPr>
        <w:t>新疆新之建工程咨询有限公司</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b/>
          <w:color w:val="auto"/>
          <w:sz w:val="28"/>
        </w:rPr>
        <w:t>联系人：</w:t>
      </w:r>
      <w:r>
        <w:rPr>
          <w:rFonts w:hint="eastAsia" w:ascii="仿宋" w:hAnsi="仿宋" w:eastAsia="仿宋" w:cs="仿宋"/>
          <w:bCs/>
          <w:color w:val="auto"/>
          <w:sz w:val="28"/>
        </w:rPr>
        <w:t>沈庆军</w:t>
      </w:r>
    </w:p>
    <w:p>
      <w:pPr>
        <w:pStyle w:val="26"/>
        <w:snapToGrid w:val="0"/>
        <w:spacing w:line="312" w:lineRule="auto"/>
        <w:ind w:firstLine="560"/>
        <w:jc w:val="both"/>
        <w:rPr>
          <w:rFonts w:hint="default" w:ascii="仿宋" w:hAnsi="仿宋" w:eastAsia="仿宋" w:cs="仿宋"/>
          <w:color w:val="auto"/>
          <w:sz w:val="28"/>
          <w:lang w:val="en-US" w:eastAsia="zh-CN"/>
        </w:rPr>
      </w:pPr>
      <w:r>
        <w:rPr>
          <w:rFonts w:hint="eastAsia" w:ascii="仿宋" w:hAnsi="仿宋" w:eastAsia="仿宋" w:cs="仿宋"/>
          <w:b/>
          <w:color w:val="auto"/>
          <w:sz w:val="28"/>
        </w:rPr>
        <w:t>联系电话：</w:t>
      </w:r>
      <w:r>
        <w:rPr>
          <w:rFonts w:hint="eastAsia" w:ascii="仿宋" w:hAnsi="仿宋" w:eastAsia="仿宋" w:cs="仿宋"/>
          <w:color w:val="auto"/>
          <w:sz w:val="28"/>
          <w:lang w:val="en-US" w:eastAsia="zh-CN"/>
        </w:rPr>
        <w:t>13579838462</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b/>
          <w:color w:val="auto"/>
          <w:sz w:val="28"/>
        </w:rPr>
        <w:t>地址：</w:t>
      </w:r>
      <w:r>
        <w:rPr>
          <w:rFonts w:hint="eastAsia" w:ascii="仿宋" w:hAnsi="仿宋" w:eastAsia="仿宋" w:cs="仿宋"/>
          <w:color w:val="auto"/>
          <w:sz w:val="28"/>
        </w:rPr>
        <w:t>新疆乌鲁木齐市沙依巴克区公园北街162号文苑综合楼七楼</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b/>
          <w:color w:val="auto"/>
          <w:sz w:val="28"/>
        </w:rPr>
        <w:t>2、采购人名称：</w:t>
      </w:r>
      <w:r>
        <w:rPr>
          <w:rFonts w:hint="eastAsia" w:ascii="仿宋" w:hAnsi="仿宋" w:eastAsia="仿宋"/>
          <w:color w:val="auto"/>
          <w:sz w:val="28"/>
          <w:szCs w:val="28"/>
          <w:lang w:eastAsia="zh-CN"/>
        </w:rPr>
        <w:t>昌吉市卫生健康委员会</w:t>
      </w:r>
    </w:p>
    <w:p>
      <w:pPr>
        <w:pStyle w:val="26"/>
        <w:snapToGrid w:val="0"/>
        <w:spacing w:line="312" w:lineRule="auto"/>
        <w:ind w:firstLine="560"/>
        <w:jc w:val="both"/>
        <w:rPr>
          <w:rFonts w:hint="eastAsia" w:ascii="仿宋" w:hAnsi="仿宋" w:eastAsia="仿宋" w:cs="仿宋"/>
          <w:bCs/>
          <w:color w:val="auto"/>
          <w:sz w:val="28"/>
          <w:szCs w:val="28"/>
        </w:rPr>
      </w:pPr>
      <w:r>
        <w:rPr>
          <w:rFonts w:hint="eastAsia" w:ascii="仿宋" w:hAnsi="仿宋" w:eastAsia="仿宋" w:cs="仿宋"/>
          <w:b/>
          <w:color w:val="auto"/>
          <w:sz w:val="28"/>
        </w:rPr>
        <w:t>联系人：</w:t>
      </w:r>
      <w:r>
        <w:rPr>
          <w:rFonts w:hint="eastAsia" w:ascii="仿宋" w:hAnsi="仿宋" w:eastAsia="仿宋" w:cs="仿宋"/>
          <w:bCs/>
          <w:color w:val="auto"/>
          <w:sz w:val="28"/>
          <w:szCs w:val="28"/>
        </w:rPr>
        <w:t>张元庆</w:t>
      </w:r>
    </w:p>
    <w:p>
      <w:pPr>
        <w:pStyle w:val="26"/>
        <w:snapToGrid w:val="0"/>
        <w:spacing w:line="312" w:lineRule="auto"/>
        <w:ind w:firstLine="560"/>
        <w:jc w:val="both"/>
        <w:rPr>
          <w:rFonts w:hint="eastAsia" w:ascii="仿宋" w:hAnsi="仿宋" w:eastAsia="仿宋" w:cs="仿宋"/>
          <w:color w:val="auto"/>
          <w:sz w:val="28"/>
          <w:szCs w:val="28"/>
        </w:rPr>
      </w:pPr>
      <w:r>
        <w:rPr>
          <w:rFonts w:hint="eastAsia" w:ascii="仿宋" w:hAnsi="仿宋" w:eastAsia="仿宋" w:cs="仿宋"/>
          <w:b/>
          <w:color w:val="auto"/>
          <w:sz w:val="28"/>
        </w:rPr>
        <w:t>联系电话：</w:t>
      </w:r>
      <w:r>
        <w:rPr>
          <w:rFonts w:hint="eastAsia" w:ascii="仿宋" w:hAnsi="仿宋" w:eastAsia="仿宋" w:cs="仿宋"/>
          <w:bCs/>
          <w:color w:val="auto"/>
          <w:sz w:val="28"/>
          <w:szCs w:val="28"/>
        </w:rPr>
        <w:t>15999089135</w:t>
      </w:r>
    </w:p>
    <w:p>
      <w:pPr>
        <w:pStyle w:val="2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b/>
          <w:color w:val="auto"/>
          <w:sz w:val="28"/>
        </w:rPr>
        <w:t>地址：</w:t>
      </w:r>
      <w:r>
        <w:rPr>
          <w:rFonts w:hint="eastAsia" w:ascii="仿宋" w:hAnsi="仿宋" w:eastAsia="仿宋" w:cs="仿宋"/>
          <w:color w:val="auto"/>
          <w:sz w:val="28"/>
        </w:rPr>
        <w:t>新疆昌吉市宁边西路438号</w:t>
      </w:r>
    </w:p>
    <w:p>
      <w:pPr>
        <w:pStyle w:val="26"/>
        <w:snapToGrid w:val="0"/>
        <w:spacing w:line="312" w:lineRule="auto"/>
        <w:ind w:firstLine="560"/>
        <w:rPr>
          <w:rFonts w:hint="eastAsia" w:ascii="仿宋" w:hAnsi="仿宋" w:eastAsia="仿宋" w:cs="仿宋"/>
          <w:b/>
          <w:color w:val="auto"/>
          <w:sz w:val="28"/>
        </w:rPr>
      </w:pPr>
      <w:r>
        <w:rPr>
          <w:rFonts w:hint="eastAsia" w:ascii="仿宋" w:hAnsi="仿宋" w:eastAsia="仿宋" w:cs="仿宋"/>
          <w:b/>
          <w:color w:val="auto"/>
          <w:sz w:val="28"/>
        </w:rPr>
        <w:t>3、同级政府采购监督管理部门名称：</w:t>
      </w:r>
      <w:r>
        <w:rPr>
          <w:rFonts w:hint="eastAsia" w:ascii="仿宋" w:hAnsi="仿宋" w:eastAsia="仿宋" w:cs="仿宋"/>
          <w:color w:val="auto"/>
          <w:sz w:val="28"/>
        </w:rPr>
        <w:t xml:space="preserve">昌吉市财政局采购办 </w:t>
      </w:r>
    </w:p>
    <w:p>
      <w:pPr>
        <w:pStyle w:val="26"/>
        <w:snapToGrid w:val="0"/>
        <w:spacing w:line="312" w:lineRule="auto"/>
        <w:ind w:firstLine="560"/>
        <w:rPr>
          <w:rFonts w:hint="eastAsia" w:ascii="仿宋" w:hAnsi="仿宋" w:eastAsia="仿宋" w:cs="仿宋"/>
          <w:b/>
          <w:color w:val="auto"/>
          <w:sz w:val="28"/>
        </w:rPr>
      </w:pPr>
      <w:r>
        <w:rPr>
          <w:rFonts w:hint="eastAsia" w:ascii="仿宋" w:hAnsi="仿宋" w:eastAsia="仿宋" w:cs="仿宋"/>
          <w:b/>
          <w:color w:val="auto"/>
          <w:sz w:val="28"/>
        </w:rPr>
        <w:t>联系人：</w:t>
      </w:r>
      <w:r>
        <w:rPr>
          <w:rFonts w:hint="eastAsia" w:ascii="仿宋" w:hAnsi="仿宋" w:eastAsia="仿宋" w:cs="仿宋"/>
          <w:color w:val="auto"/>
          <w:sz w:val="28"/>
        </w:rPr>
        <w:t xml:space="preserve">郭万刚 </w:t>
      </w:r>
    </w:p>
    <w:p>
      <w:pPr>
        <w:pStyle w:val="26"/>
        <w:snapToGrid w:val="0"/>
        <w:spacing w:line="312" w:lineRule="auto"/>
        <w:ind w:firstLine="560"/>
        <w:jc w:val="both"/>
        <w:rPr>
          <w:rFonts w:hint="eastAsia" w:ascii="仿宋" w:hAnsi="仿宋" w:eastAsia="仿宋" w:cs="仿宋"/>
          <w:color w:val="auto"/>
        </w:rPr>
      </w:pPr>
      <w:r>
        <w:rPr>
          <w:rFonts w:hint="eastAsia" w:ascii="仿宋" w:hAnsi="仿宋" w:eastAsia="仿宋" w:cs="仿宋"/>
          <w:b/>
          <w:color w:val="auto"/>
          <w:sz w:val="28"/>
        </w:rPr>
        <w:t>监督投诉电话：</w:t>
      </w:r>
      <w:r>
        <w:rPr>
          <w:rFonts w:hint="eastAsia" w:ascii="仿宋" w:hAnsi="仿宋" w:eastAsia="仿宋" w:cs="仿宋"/>
          <w:color w:val="auto"/>
          <w:sz w:val="28"/>
        </w:rPr>
        <w:t>0994-2528509</w:t>
      </w:r>
    </w:p>
    <w:p>
      <w:pPr>
        <w:rPr>
          <w:rFonts w:hint="eastAsia" w:ascii="仿宋" w:hAnsi="仿宋" w:eastAsia="仿宋" w:cs="仿宋"/>
          <w:b/>
          <w:bCs/>
          <w:color w:val="auto"/>
          <w:sz w:val="36"/>
        </w:rPr>
      </w:pPr>
      <w:r>
        <w:rPr>
          <w:rFonts w:hint="eastAsia" w:ascii="仿宋" w:hAnsi="仿宋" w:eastAsia="仿宋" w:cs="仿宋"/>
          <w:color w:val="auto"/>
          <w:szCs w:val="24"/>
        </w:rPr>
        <w:br w:type="page"/>
      </w:r>
    </w:p>
    <w:p>
      <w:pPr>
        <w:pStyle w:val="26"/>
        <w:snapToGrid w:val="0"/>
        <w:spacing w:line="312" w:lineRule="auto"/>
        <w:ind w:firstLine="560"/>
        <w:jc w:val="center"/>
        <w:rPr>
          <w:rFonts w:hint="eastAsia" w:ascii="仿宋" w:hAnsi="仿宋" w:eastAsia="仿宋" w:cs="仿宋"/>
          <w:b/>
          <w:bCs/>
          <w:color w:val="auto"/>
          <w:sz w:val="36"/>
        </w:rPr>
      </w:pPr>
      <w:r>
        <w:rPr>
          <w:rFonts w:hint="eastAsia" w:ascii="仿宋" w:hAnsi="仿宋" w:eastAsia="仿宋" w:cs="仿宋"/>
          <w:b/>
          <w:bCs/>
          <w:color w:val="auto"/>
          <w:sz w:val="36"/>
        </w:rPr>
        <w:t>第二章  投 标 须 知</w:t>
      </w:r>
      <w:bookmarkEnd w:id="3"/>
      <w:bookmarkEnd w:id="4"/>
    </w:p>
    <w:p>
      <w:pPr>
        <w:pStyle w:val="27"/>
        <w:spacing w:beforeLines="0" w:afterLines="0" w:line="520" w:lineRule="exact"/>
        <w:rPr>
          <w:rFonts w:hint="eastAsia" w:ascii="仿宋" w:hAnsi="仿宋" w:eastAsia="仿宋" w:cs="仿宋"/>
          <w:color w:val="auto"/>
          <w:kern w:val="0"/>
          <w:sz w:val="28"/>
          <w:szCs w:val="24"/>
        </w:rPr>
      </w:pPr>
      <w:r>
        <w:rPr>
          <w:rFonts w:hint="eastAsia" w:ascii="仿宋" w:hAnsi="仿宋" w:eastAsia="仿宋" w:cs="仿宋"/>
          <w:color w:val="auto"/>
          <w:kern w:val="0"/>
          <w:sz w:val="28"/>
          <w:szCs w:val="24"/>
        </w:rPr>
        <w:t>一、总 则</w:t>
      </w:r>
    </w:p>
    <w:p>
      <w:pPr>
        <w:pStyle w:val="26"/>
        <w:spacing w:line="540" w:lineRule="exact"/>
        <w:ind w:firstLine="562"/>
        <w:jc w:val="both"/>
        <w:rPr>
          <w:rFonts w:hint="eastAsia" w:ascii="仿宋" w:hAnsi="仿宋" w:eastAsia="仿宋" w:cs="仿宋"/>
          <w:b/>
          <w:color w:val="auto"/>
          <w:sz w:val="28"/>
        </w:rPr>
      </w:pPr>
      <w:r>
        <w:rPr>
          <w:rFonts w:hint="eastAsia" w:ascii="仿宋" w:hAnsi="仿宋" w:eastAsia="仿宋" w:cs="仿宋"/>
          <w:b/>
          <w:color w:val="auto"/>
          <w:sz w:val="28"/>
        </w:rPr>
        <w:t>1. 合格的供应商</w:t>
      </w:r>
    </w:p>
    <w:p>
      <w:pPr>
        <w:pStyle w:val="26"/>
        <w:spacing w:line="540" w:lineRule="exact"/>
        <w:ind w:firstLine="562"/>
        <w:jc w:val="both"/>
        <w:rPr>
          <w:rFonts w:hint="eastAsia" w:ascii="仿宋" w:hAnsi="仿宋" w:eastAsia="仿宋" w:cs="仿宋"/>
          <w:b/>
          <w:color w:val="auto"/>
          <w:sz w:val="28"/>
        </w:rPr>
      </w:pPr>
      <w:r>
        <w:rPr>
          <w:rFonts w:hint="eastAsia" w:ascii="仿宋" w:hAnsi="仿宋" w:eastAsia="仿宋" w:cs="仿宋"/>
          <w:b/>
          <w:color w:val="auto"/>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pPr>
        <w:pStyle w:val="26"/>
        <w:spacing w:line="540" w:lineRule="exact"/>
        <w:ind w:firstLine="562"/>
        <w:rPr>
          <w:rFonts w:hint="eastAsia" w:ascii="仿宋" w:hAnsi="仿宋" w:eastAsia="仿宋" w:cs="仿宋"/>
          <w:b/>
          <w:color w:val="auto"/>
          <w:sz w:val="28"/>
        </w:rPr>
      </w:pPr>
      <w:r>
        <w:rPr>
          <w:rFonts w:hint="eastAsia" w:ascii="仿宋" w:hAnsi="仿宋" w:eastAsia="仿宋" w:cs="仿宋"/>
          <w:b/>
          <w:color w:val="auto"/>
          <w:sz w:val="28"/>
        </w:rPr>
        <w:t>1.2 凡参加投标的制造商必须具有国际或国内相应的招标货物制造资质等级，信誉可靠，且应具有履行本招标文件规定的有关义务的能力。</w:t>
      </w:r>
    </w:p>
    <w:p>
      <w:pPr>
        <w:pStyle w:val="26"/>
        <w:spacing w:line="540" w:lineRule="exact"/>
        <w:ind w:firstLine="562"/>
        <w:jc w:val="both"/>
        <w:rPr>
          <w:rFonts w:hint="eastAsia" w:ascii="仿宋" w:hAnsi="仿宋" w:eastAsia="仿宋" w:cs="仿宋"/>
          <w:b/>
          <w:color w:val="auto"/>
          <w:sz w:val="28"/>
        </w:rPr>
      </w:pPr>
      <w:r>
        <w:rPr>
          <w:rFonts w:hint="eastAsia" w:ascii="仿宋" w:hAnsi="仿宋" w:eastAsia="仿宋" w:cs="仿宋"/>
          <w:b/>
          <w:color w:val="auto"/>
          <w:sz w:val="28"/>
        </w:rPr>
        <w:t>1.3 供应商在本次招标活动中，必须遵循《中华人民共和国政府采购法》及其实施条例（658号令）、《政府采购货物和服务招标投标管理办法》（财政部87号令）、《财政部关于加强政府采购货物和服务项目价格评审管理的通知》财库（2007）2号文的规定。</w:t>
      </w:r>
    </w:p>
    <w:p>
      <w:pPr>
        <w:pStyle w:val="26"/>
        <w:spacing w:line="540" w:lineRule="exact"/>
        <w:ind w:firstLine="562"/>
        <w:jc w:val="both"/>
        <w:rPr>
          <w:rFonts w:hint="eastAsia" w:ascii="仿宋" w:hAnsi="仿宋" w:eastAsia="仿宋" w:cs="仿宋"/>
          <w:b/>
          <w:color w:val="auto"/>
          <w:sz w:val="28"/>
        </w:rPr>
      </w:pPr>
      <w:r>
        <w:rPr>
          <w:rFonts w:hint="eastAsia" w:ascii="仿宋" w:hAnsi="仿宋" w:eastAsia="仿宋" w:cs="仿宋"/>
          <w:b/>
          <w:color w:val="auto"/>
          <w:sz w:val="28"/>
        </w:rPr>
        <w:t>1.4 本项目不接受联合体投标。</w:t>
      </w:r>
    </w:p>
    <w:p>
      <w:pPr>
        <w:pStyle w:val="26"/>
        <w:spacing w:line="540" w:lineRule="exact"/>
        <w:ind w:firstLine="562"/>
        <w:jc w:val="both"/>
        <w:rPr>
          <w:rFonts w:hint="eastAsia" w:ascii="仿宋" w:hAnsi="仿宋" w:eastAsia="仿宋" w:cs="仿宋"/>
          <w:b/>
          <w:color w:val="auto"/>
          <w:sz w:val="28"/>
        </w:rPr>
      </w:pPr>
      <w:r>
        <w:rPr>
          <w:rFonts w:hint="eastAsia" w:ascii="仿宋" w:hAnsi="仿宋" w:eastAsia="仿宋" w:cs="仿宋"/>
          <w:b/>
          <w:color w:val="auto"/>
          <w:sz w:val="28"/>
        </w:rPr>
        <w:t>1.5 不符合1.1、1.2、1.3、1.4条款规定的供应商，其投标将被拒绝。</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 定义</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2.1“采购代理机构”系指新疆新之建工程咨询有限公司</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2.2“供应商”系指向采购代理机构提交投标文件的货物制造商、经销商。</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2.3“货物”系指卖方按合同要求，须向买方提供的设计文件、货物、机械、材料、备品、手册及其他技术资料和材料。</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2.4“服务”系指按合同规定卖方须承担的运输、装卸、安装调试、技术协助、培训和交付使用后质保期内应履行的义务及售后服务等其他类似的义务。</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2.5“卖方”系指提供合同货物和服务的经济实体。本次招标指有关中标人。</w:t>
      </w:r>
    </w:p>
    <w:p>
      <w:pPr>
        <w:pStyle w:val="26"/>
        <w:spacing w:line="540" w:lineRule="exact"/>
        <w:ind w:firstLine="561"/>
        <w:jc w:val="both"/>
        <w:rPr>
          <w:rFonts w:hint="eastAsia" w:ascii="仿宋" w:hAnsi="仿宋" w:eastAsia="仿宋" w:cs="仿宋"/>
          <w:color w:val="auto"/>
          <w:sz w:val="28"/>
        </w:rPr>
      </w:pPr>
      <w:r>
        <w:rPr>
          <w:rFonts w:hint="eastAsia" w:ascii="仿宋" w:hAnsi="仿宋" w:eastAsia="仿宋" w:cs="仿宋"/>
          <w:color w:val="auto"/>
          <w:sz w:val="28"/>
        </w:rPr>
        <w:t>2.6“买方”系指购买货物和服务的单位，即为本次招标的采购人。</w:t>
      </w:r>
    </w:p>
    <w:p>
      <w:pPr>
        <w:pStyle w:val="26"/>
        <w:spacing w:line="540" w:lineRule="exact"/>
        <w:ind w:firstLine="561"/>
        <w:jc w:val="both"/>
        <w:rPr>
          <w:rFonts w:hint="eastAsia" w:ascii="仿宋" w:hAnsi="仿宋" w:eastAsia="仿宋" w:cs="仿宋"/>
          <w:color w:val="auto"/>
          <w:sz w:val="28"/>
        </w:rPr>
      </w:pPr>
      <w:r>
        <w:rPr>
          <w:rFonts w:hint="eastAsia" w:ascii="仿宋" w:hAnsi="仿宋" w:eastAsia="仿宋" w:cs="仿宋"/>
          <w:color w:val="auto"/>
          <w:sz w:val="28"/>
        </w:rPr>
        <w:t xml:space="preserve">2.7“节能产品”或者“环保产品”是指财政部发布的《节能产品政府采购清单》或者《环境标志产品政府采购清单》的产品。 </w:t>
      </w:r>
    </w:p>
    <w:p>
      <w:pPr>
        <w:pStyle w:val="26"/>
        <w:spacing w:line="540" w:lineRule="exact"/>
        <w:ind w:firstLine="561"/>
        <w:rPr>
          <w:rFonts w:hint="eastAsia" w:ascii="仿宋" w:hAnsi="仿宋" w:eastAsia="仿宋" w:cs="仿宋"/>
          <w:color w:val="auto"/>
          <w:sz w:val="28"/>
        </w:rPr>
      </w:pPr>
      <w:r>
        <w:rPr>
          <w:rFonts w:hint="eastAsia" w:ascii="仿宋" w:hAnsi="仿宋" w:eastAsia="仿宋" w:cs="仿宋"/>
          <w:color w:val="auto"/>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pPr>
        <w:pStyle w:val="26"/>
        <w:spacing w:line="540" w:lineRule="exact"/>
        <w:ind w:firstLine="561"/>
        <w:rPr>
          <w:rFonts w:hint="eastAsia" w:ascii="仿宋" w:hAnsi="仿宋" w:eastAsia="仿宋" w:cs="仿宋"/>
          <w:color w:val="auto"/>
          <w:sz w:val="28"/>
        </w:rPr>
      </w:pPr>
      <w:r>
        <w:rPr>
          <w:rFonts w:hint="eastAsia" w:ascii="仿宋" w:hAnsi="仿宋" w:eastAsia="仿宋" w:cs="仿宋"/>
          <w:color w:val="auto"/>
          <w:sz w:val="28"/>
        </w:rPr>
        <w:t>3. 其他要求</w:t>
      </w:r>
    </w:p>
    <w:p>
      <w:pPr>
        <w:pStyle w:val="26"/>
        <w:spacing w:line="540" w:lineRule="exact"/>
        <w:ind w:firstLine="561"/>
        <w:rPr>
          <w:rFonts w:hint="eastAsia" w:ascii="仿宋" w:hAnsi="仿宋" w:eastAsia="仿宋" w:cs="仿宋"/>
          <w:color w:val="auto"/>
          <w:sz w:val="28"/>
        </w:rPr>
      </w:pPr>
      <w:r>
        <w:rPr>
          <w:rFonts w:hint="eastAsia" w:ascii="仿宋" w:hAnsi="仿宋" w:eastAsia="仿宋" w:cs="仿宋"/>
          <w:color w:val="auto"/>
          <w:sz w:val="28"/>
        </w:rPr>
        <w:t>3.1 供应商应自行承担所有与本次招标投标有关的费用，而不论投标的结果如何。</w:t>
      </w:r>
    </w:p>
    <w:p>
      <w:pPr>
        <w:pStyle w:val="26"/>
        <w:spacing w:line="540" w:lineRule="exact"/>
        <w:ind w:firstLine="561"/>
        <w:rPr>
          <w:rFonts w:hint="eastAsia" w:ascii="仿宋" w:hAnsi="仿宋" w:eastAsia="仿宋" w:cs="仿宋"/>
          <w:color w:val="auto"/>
          <w:sz w:val="28"/>
        </w:rPr>
      </w:pPr>
      <w:r>
        <w:rPr>
          <w:rFonts w:hint="eastAsia" w:ascii="仿宋" w:hAnsi="仿宋" w:eastAsia="仿宋" w:cs="仿宋"/>
          <w:color w:val="auto"/>
          <w:sz w:val="28"/>
        </w:rPr>
        <w:t>3.2 政府采购政策支持</w:t>
      </w:r>
    </w:p>
    <w:p>
      <w:pPr>
        <w:pStyle w:val="26"/>
        <w:spacing w:line="540" w:lineRule="exact"/>
        <w:ind w:firstLine="561"/>
        <w:rPr>
          <w:rFonts w:hint="eastAsia" w:ascii="仿宋" w:hAnsi="仿宋" w:eastAsia="仿宋" w:cs="仿宋"/>
          <w:color w:val="auto"/>
          <w:sz w:val="28"/>
        </w:rPr>
      </w:pPr>
      <w:r>
        <w:rPr>
          <w:rFonts w:hint="eastAsia" w:ascii="仿宋" w:hAnsi="仿宋" w:eastAsia="仿宋" w:cs="仿宋"/>
          <w:color w:val="auto"/>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pPr>
        <w:pStyle w:val="26"/>
        <w:spacing w:line="540" w:lineRule="exact"/>
        <w:ind w:firstLine="561"/>
        <w:rPr>
          <w:rFonts w:hint="eastAsia" w:ascii="仿宋" w:hAnsi="仿宋" w:eastAsia="仿宋" w:cs="仿宋"/>
          <w:color w:val="auto"/>
          <w:sz w:val="28"/>
        </w:rPr>
      </w:pPr>
      <w:r>
        <w:rPr>
          <w:rFonts w:hint="eastAsia" w:ascii="仿宋" w:hAnsi="仿宋" w:eastAsia="仿宋" w:cs="仿宋"/>
          <w:color w:val="auto"/>
          <w:sz w:val="28"/>
        </w:rPr>
        <w:t>3.2.2 同一项目中部分产品属于优先采购政策的，评审时只对该部分产品的报价实行价格优惠。</w:t>
      </w:r>
    </w:p>
    <w:p>
      <w:pPr>
        <w:pStyle w:val="26"/>
        <w:spacing w:line="540" w:lineRule="exact"/>
        <w:ind w:firstLine="561"/>
        <w:rPr>
          <w:rFonts w:hint="eastAsia" w:ascii="仿宋" w:hAnsi="仿宋" w:eastAsia="仿宋" w:cs="仿宋"/>
          <w:color w:val="auto"/>
          <w:sz w:val="28"/>
        </w:rPr>
      </w:pPr>
      <w:r>
        <w:rPr>
          <w:rFonts w:hint="eastAsia" w:ascii="仿宋" w:hAnsi="仿宋" w:eastAsia="仿宋" w:cs="仿宋"/>
          <w:color w:val="auto"/>
          <w:sz w:val="28"/>
        </w:rPr>
        <w:t>3.2.3 为推进政府采购诚信体系建设，供应商在签署相关承诺，提供相关信息前，应认真阅读财政部门相关政策规定。</w:t>
      </w:r>
    </w:p>
    <w:p>
      <w:pPr>
        <w:pStyle w:val="27"/>
        <w:spacing w:beforeLines="0" w:afterLines="0" w:line="520" w:lineRule="exact"/>
        <w:rPr>
          <w:rFonts w:hint="eastAsia" w:ascii="仿宋" w:hAnsi="仿宋" w:eastAsia="仿宋" w:cs="仿宋"/>
          <w:color w:val="auto"/>
          <w:kern w:val="0"/>
          <w:sz w:val="28"/>
          <w:szCs w:val="24"/>
        </w:rPr>
      </w:pPr>
      <w:r>
        <w:rPr>
          <w:rFonts w:hint="eastAsia" w:ascii="仿宋" w:hAnsi="仿宋" w:eastAsia="仿宋" w:cs="仿宋"/>
          <w:color w:val="auto"/>
          <w:kern w:val="0"/>
          <w:sz w:val="28"/>
          <w:szCs w:val="24"/>
        </w:rPr>
        <w:t>二、 招 标 文 件</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4. 招标文件</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4.1 招标文件用以阐明所需货物和服务、招标投标程序和合同条款。包括：</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投标须知前附表</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第一章  招标公告</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第二章  投标须知</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第三章  招标内容及技术要求</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第四章  合同主要条款</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附件：（投标书格式）</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附件一 投标书</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附件二 法定代表人资格证明书（格式）/法定代表人授权委托书（格式）</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附件三 供应商关于投标文件的声明函</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附件四 供应商诚信投标承诺书</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附件五 供应商反商业贿赂承诺书</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附件六 开标一览表</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附件七 投标产品名称、数量、规格分项报价表</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附件八 技术规格偏离表</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附件九 商务条款偏离表</w:t>
      </w:r>
    </w:p>
    <w:p>
      <w:pPr>
        <w:pStyle w:val="26"/>
        <w:spacing w:line="540" w:lineRule="exact"/>
        <w:ind w:firstLine="560"/>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附件十 第四包工程量清单</w:t>
      </w:r>
    </w:p>
    <w:p>
      <w:pPr>
        <w:pStyle w:val="26"/>
        <w:spacing w:line="540" w:lineRule="exact"/>
        <w:ind w:firstLine="560"/>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附件十一 第五包工程量清单</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附件十</w:t>
      </w:r>
      <w:r>
        <w:rPr>
          <w:rFonts w:hint="eastAsia" w:ascii="仿宋" w:hAnsi="仿宋" w:eastAsia="仿宋" w:cs="仿宋"/>
          <w:color w:val="auto"/>
          <w:sz w:val="28"/>
          <w:lang w:val="en-US" w:eastAsia="zh-CN"/>
        </w:rPr>
        <w:t>二</w:t>
      </w:r>
      <w:r>
        <w:rPr>
          <w:rFonts w:hint="eastAsia" w:ascii="仿宋" w:hAnsi="仿宋" w:eastAsia="仿宋" w:cs="仿宋"/>
          <w:color w:val="auto"/>
          <w:sz w:val="28"/>
        </w:rPr>
        <w:t xml:space="preserve"> 投标产品近三年相同产品销售业绩表</w:t>
      </w:r>
    </w:p>
    <w:p>
      <w:pPr>
        <w:pStyle w:val="26"/>
        <w:spacing w:line="540" w:lineRule="exact"/>
        <w:ind w:firstLine="560"/>
        <w:rPr>
          <w:rFonts w:hint="eastAsia" w:ascii="仿宋" w:hAnsi="仿宋" w:eastAsia="仿宋" w:cs="仿宋"/>
          <w:color w:val="auto"/>
          <w:sz w:val="28"/>
        </w:rPr>
      </w:pP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4.2  供应商应认真阅读招标文件中所有的事项、格式、条款和规范等要求。如果没有按照招标文件要求提交全部资料或者投标文件没有对招标文件做出实质性响应，其投标将被拒绝。</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5. 招标文件的澄清和修改</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pPr>
        <w:pStyle w:val="27"/>
        <w:spacing w:beforeLines="0" w:afterLines="0" w:line="520" w:lineRule="exact"/>
        <w:rPr>
          <w:rFonts w:hint="eastAsia" w:ascii="仿宋" w:hAnsi="仿宋" w:eastAsia="仿宋" w:cs="仿宋"/>
          <w:color w:val="auto"/>
          <w:kern w:val="0"/>
          <w:sz w:val="28"/>
          <w:szCs w:val="24"/>
        </w:rPr>
      </w:pPr>
      <w:r>
        <w:rPr>
          <w:rFonts w:hint="eastAsia" w:ascii="仿宋" w:hAnsi="仿宋" w:eastAsia="仿宋" w:cs="仿宋"/>
          <w:color w:val="auto"/>
          <w:kern w:val="0"/>
          <w:sz w:val="28"/>
          <w:szCs w:val="24"/>
        </w:rPr>
        <w:t>三、投标文件的编制</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6. 投标文件的编写</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6.1 供应商应仔细阅读招标文件，了解招标文件的要求，并在充分理解招标文件提出的货物技术规范、服务和商务条款后的基础上制作投标文件。</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7. 投标的语言及计量单位</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7.1 供应商的投标文件以及供应商与采购代理机构就有关招标活动的所有来往函电均应使用中文。如果投标文件或与投标有关的其它文件、信件及来往函电以其它语言书写的，供应商应将其译成中文。</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7.2 投标文件中所使用的计量单位除招标文件中有特殊规定外，一律使用法定计量单位。</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8. 投标文件构成</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8.1.1 资格证明文件(以下文件必须在有效期内)</w:t>
      </w:r>
    </w:p>
    <w:p>
      <w:pPr>
        <w:pStyle w:val="26"/>
        <w:spacing w:line="540" w:lineRule="exact"/>
        <w:ind w:firstLine="551" w:firstLineChars="196"/>
        <w:jc w:val="both"/>
        <w:rPr>
          <w:rFonts w:hint="eastAsia" w:ascii="仿宋" w:hAnsi="仿宋" w:eastAsia="仿宋" w:cs="仿宋"/>
          <w:b/>
          <w:color w:val="auto"/>
          <w:sz w:val="28"/>
        </w:rPr>
      </w:pPr>
      <w:r>
        <w:rPr>
          <w:rFonts w:hint="eastAsia" w:ascii="仿宋" w:hAnsi="仿宋" w:eastAsia="仿宋" w:cs="仿宋"/>
          <w:b/>
          <w:color w:val="auto"/>
          <w:sz w:val="28"/>
        </w:rPr>
        <w:t>（1) 企业营业执照（复印件加盖公章，</w:t>
      </w:r>
      <w:r>
        <w:rPr>
          <w:rFonts w:hint="eastAsia" w:ascii="仿宋" w:hAnsi="仿宋" w:eastAsia="仿宋" w:cs="仿宋"/>
          <w:b/>
          <w:color w:val="auto"/>
          <w:sz w:val="28"/>
          <w:szCs w:val="28"/>
        </w:rPr>
        <w:t>原件或者针对复印件开具的公证书原件开标时携带备查</w:t>
      </w:r>
      <w:r>
        <w:rPr>
          <w:rFonts w:hint="eastAsia" w:ascii="仿宋" w:hAnsi="仿宋" w:eastAsia="仿宋" w:cs="仿宋"/>
          <w:b/>
          <w:color w:val="auto"/>
          <w:sz w:val="28"/>
        </w:rPr>
        <w:t>)。</w:t>
      </w:r>
    </w:p>
    <w:p>
      <w:pPr>
        <w:pStyle w:val="26"/>
        <w:spacing w:line="520" w:lineRule="exact"/>
        <w:ind w:firstLine="562"/>
        <w:jc w:val="both"/>
        <w:rPr>
          <w:rFonts w:hint="eastAsia" w:ascii="仿宋" w:hAnsi="仿宋" w:eastAsia="仿宋" w:cs="仿宋"/>
          <w:b/>
          <w:color w:val="auto"/>
          <w:sz w:val="28"/>
        </w:rPr>
      </w:pPr>
      <w:r>
        <w:rPr>
          <w:rFonts w:hint="eastAsia" w:ascii="仿宋" w:hAnsi="仿宋" w:eastAsia="仿宋" w:cs="仿宋"/>
          <w:b/>
          <w:color w:val="auto"/>
          <w:sz w:val="28"/>
        </w:rPr>
        <w:t>(2)医疗器械经营（生产）许可证（复印件加盖公章，原件或者针对复印件开具的公证书原件开标时携带备查)。</w:t>
      </w:r>
    </w:p>
    <w:p>
      <w:pPr>
        <w:pStyle w:val="26"/>
        <w:spacing w:line="540" w:lineRule="exact"/>
        <w:ind w:firstLine="551" w:firstLineChars="196"/>
        <w:jc w:val="both"/>
        <w:rPr>
          <w:rFonts w:hint="eastAsia" w:ascii="仿宋" w:hAnsi="仿宋" w:eastAsia="仿宋" w:cs="仿宋"/>
          <w:b/>
          <w:bCs/>
          <w:color w:val="auto"/>
          <w:sz w:val="28"/>
        </w:rPr>
      </w:pPr>
      <w:r>
        <w:rPr>
          <w:rFonts w:hint="eastAsia" w:ascii="仿宋" w:hAnsi="仿宋" w:eastAsia="仿宋" w:cs="仿宋"/>
          <w:b/>
          <w:color w:val="auto"/>
          <w:sz w:val="28"/>
        </w:rPr>
        <w:t>(3)投标代表的授权委托书(原件装订在正本，复印件装订在副本中)及被授权人身份证复印件</w:t>
      </w:r>
      <w:r>
        <w:rPr>
          <w:rFonts w:hint="eastAsia" w:ascii="仿宋" w:hAnsi="仿宋" w:eastAsia="仿宋" w:cs="仿宋"/>
          <w:b/>
          <w:bCs/>
          <w:color w:val="auto"/>
          <w:sz w:val="28"/>
        </w:rPr>
        <w:t>（身份证原件开标时携带备查）</w:t>
      </w:r>
      <w:r>
        <w:rPr>
          <w:rFonts w:hint="eastAsia" w:ascii="仿宋" w:hAnsi="仿宋" w:eastAsia="仿宋" w:cs="仿宋"/>
          <w:b/>
          <w:color w:val="auto"/>
          <w:sz w:val="28"/>
        </w:rPr>
        <w:t>。</w:t>
      </w:r>
      <w:r>
        <w:rPr>
          <w:rFonts w:hint="eastAsia" w:ascii="仿宋" w:hAnsi="仿宋" w:eastAsia="仿宋" w:cs="仿宋"/>
          <w:b/>
          <w:bCs/>
          <w:color w:val="auto"/>
          <w:sz w:val="28"/>
        </w:rPr>
        <w:t>授权委托书应由</w:t>
      </w:r>
      <w:r>
        <w:rPr>
          <w:rFonts w:hint="eastAsia" w:ascii="仿宋" w:hAnsi="仿宋" w:eastAsia="仿宋" w:cs="仿宋"/>
          <w:b/>
          <w:bCs/>
          <w:color w:val="auto"/>
          <w:sz w:val="28"/>
          <w:szCs w:val="28"/>
          <w:em w:val="dot"/>
        </w:rPr>
        <w:t>法定代表签名</w:t>
      </w:r>
      <w:r>
        <w:rPr>
          <w:rFonts w:hint="eastAsia" w:ascii="仿宋" w:hAnsi="仿宋" w:eastAsia="仿宋" w:cs="仿宋"/>
          <w:b/>
          <w:bCs/>
          <w:color w:val="auto"/>
          <w:sz w:val="28"/>
        </w:rPr>
        <w:t>并加盖企业公章，</w:t>
      </w:r>
      <w:r>
        <w:rPr>
          <w:rFonts w:hint="eastAsia" w:ascii="仿宋" w:hAnsi="仿宋" w:eastAsia="仿宋" w:cs="仿宋"/>
          <w:b/>
          <w:bCs/>
          <w:color w:val="auto"/>
          <w:sz w:val="28"/>
          <w:szCs w:val="28"/>
          <w:em w:val="dot"/>
        </w:rPr>
        <w:t>私章无效</w:t>
      </w:r>
      <w:r>
        <w:rPr>
          <w:rFonts w:hint="eastAsia" w:ascii="仿宋" w:hAnsi="仿宋" w:eastAsia="仿宋" w:cs="仿宋"/>
          <w:b/>
          <w:bCs/>
          <w:color w:val="auto"/>
          <w:sz w:val="28"/>
        </w:rPr>
        <w:t>。</w:t>
      </w:r>
    </w:p>
    <w:p>
      <w:pPr>
        <w:pStyle w:val="26"/>
        <w:spacing w:line="540" w:lineRule="exact"/>
        <w:ind w:firstLine="562" w:firstLineChars="200"/>
        <w:jc w:val="both"/>
        <w:rPr>
          <w:rFonts w:hint="eastAsia" w:ascii="仿宋" w:hAnsi="仿宋" w:eastAsia="仿宋" w:cs="仿宋"/>
          <w:b/>
          <w:bCs/>
          <w:color w:val="auto"/>
          <w:sz w:val="28"/>
          <w:lang w:eastAsia="zh-CN"/>
        </w:rPr>
      </w:pPr>
      <w:r>
        <w:rPr>
          <w:rFonts w:hint="eastAsia" w:ascii="仿宋" w:hAnsi="仿宋" w:eastAsia="仿宋" w:cs="仿宋"/>
          <w:b/>
          <w:color w:val="auto"/>
          <w:sz w:val="28"/>
        </w:rPr>
        <w:t>(4)</w:t>
      </w:r>
      <w:r>
        <w:rPr>
          <w:rFonts w:hint="eastAsia" w:ascii="仿宋" w:hAnsi="仿宋" w:eastAsia="仿宋" w:cs="仿宋"/>
          <w:b/>
          <w:bCs/>
          <w:color w:val="auto"/>
          <w:sz w:val="28"/>
          <w:lang w:eastAsia="zh-CN"/>
        </w:rPr>
        <w:t>第四包</w:t>
      </w:r>
      <w:r>
        <w:rPr>
          <w:rFonts w:hint="eastAsia" w:ascii="仿宋" w:hAnsi="仿宋" w:eastAsia="仿宋" w:cs="仿宋"/>
          <w:b/>
          <w:bCs/>
          <w:color w:val="auto"/>
          <w:sz w:val="28"/>
          <w:lang w:val="en-US" w:eastAsia="zh-CN"/>
        </w:rPr>
        <w:t>,第五包</w:t>
      </w:r>
      <w:r>
        <w:rPr>
          <w:rFonts w:hint="eastAsia" w:ascii="仿宋" w:hAnsi="仿宋" w:eastAsia="仿宋" w:cs="仿宋"/>
          <w:b/>
          <w:bCs/>
          <w:color w:val="auto"/>
          <w:sz w:val="28"/>
          <w:lang w:eastAsia="zh-CN"/>
        </w:rPr>
        <w:t>投标单位</w:t>
      </w:r>
      <w:r>
        <w:rPr>
          <w:rFonts w:hint="eastAsia" w:ascii="仿宋" w:hAnsi="仿宋" w:eastAsia="仿宋" w:cs="仿宋"/>
          <w:b/>
          <w:bCs/>
          <w:color w:val="auto"/>
          <w:sz w:val="28"/>
          <w:lang w:val="en-US" w:eastAsia="zh-CN"/>
        </w:rPr>
        <w:t>除以上资质外还</w:t>
      </w:r>
      <w:r>
        <w:rPr>
          <w:rFonts w:hint="eastAsia" w:ascii="仿宋" w:hAnsi="仿宋" w:eastAsia="仿宋" w:cs="仿宋"/>
          <w:b/>
          <w:bCs/>
          <w:color w:val="auto"/>
          <w:sz w:val="28"/>
          <w:lang w:eastAsia="zh-CN"/>
        </w:rPr>
        <w:t>须具备建筑装饰装修工程专业承包（二级及以上）及机电设备安装工程专业承包（三级及以上）资质证书（</w:t>
      </w:r>
      <w:r>
        <w:rPr>
          <w:rFonts w:hint="eastAsia" w:ascii="仿宋" w:hAnsi="仿宋" w:eastAsia="仿宋" w:cs="仿宋"/>
          <w:b/>
          <w:bCs/>
          <w:color w:val="auto"/>
          <w:sz w:val="28"/>
          <w:lang w:val="en-US" w:eastAsia="zh-CN"/>
        </w:rPr>
        <w:t>实行电子化证书的可自行下载的网页版资质证书并加盖企业公章</w:t>
      </w:r>
      <w:r>
        <w:rPr>
          <w:rFonts w:hint="eastAsia" w:ascii="仿宋" w:hAnsi="仿宋" w:eastAsia="仿宋" w:cs="仿宋"/>
          <w:b/>
          <w:bCs/>
          <w:color w:val="auto"/>
          <w:sz w:val="28"/>
          <w:lang w:eastAsia="zh-CN"/>
        </w:rPr>
        <w:t>）；项目负责人须具备贰级建造师（建筑工程，机电工程双专业）及以上资质证书（</w:t>
      </w:r>
      <w:r>
        <w:rPr>
          <w:rFonts w:hint="eastAsia" w:ascii="仿宋" w:hAnsi="仿宋" w:eastAsia="仿宋" w:cs="仿宋"/>
          <w:b/>
          <w:bCs/>
          <w:color w:val="auto"/>
          <w:sz w:val="28"/>
          <w:lang w:val="en-US" w:eastAsia="zh-CN"/>
        </w:rPr>
        <w:t>实行电子化证书的可自行下载的网页版资质证书并加盖企业公章</w:t>
      </w:r>
      <w:r>
        <w:rPr>
          <w:rFonts w:hint="eastAsia" w:ascii="仿宋" w:hAnsi="仿宋" w:eastAsia="仿宋" w:cs="仿宋"/>
          <w:b/>
          <w:bCs/>
          <w:color w:val="auto"/>
          <w:sz w:val="28"/>
          <w:lang w:eastAsia="zh-CN"/>
        </w:rPr>
        <w:t>）；疆外企业必须具备进疆证。（</w:t>
      </w:r>
      <w:r>
        <w:rPr>
          <w:rFonts w:hint="eastAsia" w:ascii="仿宋" w:hAnsi="仿宋" w:eastAsia="仿宋" w:cs="仿宋"/>
          <w:b/>
          <w:color w:val="auto"/>
          <w:sz w:val="28"/>
        </w:rPr>
        <w:t>原件装订在正本，复印件装订在副本中</w:t>
      </w:r>
      <w:r>
        <w:rPr>
          <w:rFonts w:hint="eastAsia" w:ascii="仿宋" w:hAnsi="仿宋" w:eastAsia="仿宋" w:cs="仿宋"/>
          <w:b/>
          <w:bCs/>
          <w:color w:val="auto"/>
          <w:sz w:val="28"/>
          <w:lang w:eastAsia="zh-CN"/>
        </w:rPr>
        <w:t>）</w:t>
      </w:r>
    </w:p>
    <w:p>
      <w:pPr>
        <w:pStyle w:val="26"/>
        <w:spacing w:line="520" w:lineRule="exact"/>
        <w:ind w:firstLine="562"/>
        <w:jc w:val="both"/>
        <w:rPr>
          <w:rFonts w:hint="eastAsia" w:ascii="仿宋" w:hAnsi="仿宋" w:eastAsia="仿宋" w:cs="仿宋"/>
          <w:b/>
          <w:bCs/>
          <w:color w:val="auto"/>
          <w:sz w:val="28"/>
        </w:rPr>
      </w:pPr>
      <w:r>
        <w:rPr>
          <w:rFonts w:hint="eastAsia" w:ascii="仿宋" w:hAnsi="仿宋" w:eastAsia="仿宋" w:cs="仿宋"/>
          <w:b/>
          <w:bCs/>
          <w:color w:val="auto"/>
          <w:sz w:val="28"/>
        </w:rPr>
        <w:t>(5)</w:t>
      </w:r>
      <w:r>
        <w:rPr>
          <w:rFonts w:hint="eastAsia" w:ascii="仿宋" w:hAnsi="仿宋" w:eastAsia="仿宋" w:cs="仿宋"/>
          <w:b/>
          <w:color w:val="auto"/>
          <w:sz w:val="28"/>
        </w:rPr>
        <w:t>投标保证金（被采购代理机构认可的缴纳凭证）</w:t>
      </w:r>
      <w:r>
        <w:rPr>
          <w:rFonts w:hint="eastAsia" w:ascii="仿宋" w:hAnsi="仿宋" w:eastAsia="仿宋" w:cs="仿宋"/>
          <w:b/>
          <w:bCs/>
          <w:color w:val="auto"/>
          <w:sz w:val="28"/>
        </w:rPr>
        <w:t>。</w:t>
      </w:r>
    </w:p>
    <w:p>
      <w:pPr>
        <w:pStyle w:val="26"/>
        <w:spacing w:line="520" w:lineRule="exact"/>
        <w:ind w:firstLine="562"/>
        <w:jc w:val="both"/>
        <w:rPr>
          <w:rFonts w:hint="eastAsia" w:ascii="仿宋" w:hAnsi="仿宋" w:eastAsia="仿宋" w:cs="仿宋"/>
          <w:b/>
          <w:bCs/>
          <w:color w:val="auto"/>
          <w:sz w:val="28"/>
        </w:rPr>
      </w:pPr>
      <w:r>
        <w:rPr>
          <w:rFonts w:hint="eastAsia" w:ascii="仿宋" w:hAnsi="仿宋" w:eastAsia="仿宋" w:cs="仿宋"/>
          <w:b/>
          <w:bCs/>
          <w:color w:val="auto"/>
          <w:sz w:val="28"/>
        </w:rPr>
        <w:t>(</w:t>
      </w:r>
      <w:r>
        <w:rPr>
          <w:rFonts w:hint="eastAsia" w:ascii="仿宋" w:hAnsi="仿宋" w:eastAsia="仿宋" w:cs="仿宋"/>
          <w:b/>
          <w:bCs/>
          <w:color w:val="auto"/>
          <w:sz w:val="28"/>
          <w:lang w:val="en-US" w:eastAsia="zh-CN"/>
        </w:rPr>
        <w:t>6</w:t>
      </w:r>
      <w:r>
        <w:rPr>
          <w:rFonts w:hint="eastAsia" w:ascii="仿宋" w:hAnsi="仿宋" w:eastAsia="仿宋" w:cs="仿宋"/>
          <w:b/>
          <w:bCs/>
          <w:color w:val="auto"/>
          <w:sz w:val="28"/>
        </w:rPr>
        <w:t>)信用信息截图（需提供信用中国”网站（www.creditchina.gov.cn ）失信被执行人和重大税收违法案件当事人名单查询结果和中国政府采购网（www.ccgp.gov.cn ）政府采购严重违法失信行为记录查询结果，原件需彩印装订在正本中）。</w:t>
      </w:r>
    </w:p>
    <w:p>
      <w:pPr>
        <w:pStyle w:val="25"/>
        <w:spacing w:line="520" w:lineRule="exact"/>
        <w:ind w:firstLine="560"/>
        <w:rPr>
          <w:rFonts w:hint="eastAsia" w:ascii="仿宋" w:hAnsi="仿宋" w:eastAsia="仿宋" w:cs="仿宋"/>
          <w:bCs/>
          <w:color w:val="auto"/>
        </w:rPr>
      </w:pPr>
      <w:r>
        <w:rPr>
          <w:rFonts w:hint="eastAsia" w:ascii="仿宋" w:hAnsi="仿宋" w:eastAsia="仿宋" w:cs="仿宋"/>
          <w:bCs/>
          <w:color w:val="auto"/>
        </w:rPr>
        <w:t>(</w:t>
      </w:r>
      <w:r>
        <w:rPr>
          <w:rFonts w:hint="eastAsia" w:ascii="仿宋" w:hAnsi="仿宋" w:eastAsia="仿宋" w:cs="仿宋"/>
          <w:bCs/>
          <w:color w:val="auto"/>
          <w:lang w:val="en-US" w:eastAsia="zh-CN"/>
        </w:rPr>
        <w:t>7</w:t>
      </w:r>
      <w:r>
        <w:rPr>
          <w:rFonts w:hint="eastAsia" w:ascii="仿宋" w:hAnsi="仿宋" w:eastAsia="仿宋" w:cs="仿宋"/>
          <w:bCs/>
          <w:color w:val="auto"/>
        </w:rPr>
        <w:t>)参加政府采购活动近三年内在经营活动中没有重大违法记录的书面声明。</w:t>
      </w:r>
    </w:p>
    <w:p>
      <w:pPr>
        <w:pStyle w:val="26"/>
        <w:spacing w:line="520" w:lineRule="exact"/>
        <w:ind w:firstLine="562"/>
        <w:jc w:val="both"/>
        <w:rPr>
          <w:rFonts w:hint="eastAsia" w:ascii="仿宋" w:hAnsi="仿宋" w:eastAsia="仿宋" w:cs="仿宋"/>
          <w:color w:val="auto"/>
          <w:sz w:val="28"/>
        </w:rPr>
      </w:pPr>
      <w:r>
        <w:rPr>
          <w:rFonts w:hint="eastAsia" w:ascii="仿宋" w:hAnsi="仿宋" w:eastAsia="仿宋" w:cs="仿宋"/>
          <w:bCs/>
          <w:color w:val="auto"/>
          <w:sz w:val="28"/>
          <w:szCs w:val="21"/>
        </w:rPr>
        <w:t>(</w:t>
      </w:r>
      <w:r>
        <w:rPr>
          <w:rFonts w:hint="eastAsia" w:ascii="仿宋" w:hAnsi="仿宋" w:eastAsia="仿宋" w:cs="仿宋"/>
          <w:bCs/>
          <w:color w:val="auto"/>
          <w:sz w:val="28"/>
          <w:szCs w:val="21"/>
          <w:lang w:val="en-US" w:eastAsia="zh-CN"/>
        </w:rPr>
        <w:t>8</w:t>
      </w:r>
      <w:r>
        <w:rPr>
          <w:rFonts w:hint="eastAsia" w:ascii="仿宋" w:hAnsi="仿宋" w:eastAsia="仿宋" w:cs="仿宋"/>
          <w:bCs/>
          <w:color w:val="auto"/>
          <w:sz w:val="28"/>
          <w:szCs w:val="21"/>
        </w:rPr>
        <w:t>)</w:t>
      </w:r>
      <w:r>
        <w:rPr>
          <w:rFonts w:hint="eastAsia" w:ascii="仿宋" w:hAnsi="仿宋" w:eastAsia="仿宋" w:cs="仿宋"/>
          <w:b/>
          <w:color w:val="auto"/>
          <w:sz w:val="28"/>
          <w:szCs w:val="21"/>
        </w:rPr>
        <w:t xml:space="preserve"> </w:t>
      </w:r>
      <w:r>
        <w:rPr>
          <w:rFonts w:hint="eastAsia" w:ascii="仿宋" w:hAnsi="仿宋" w:eastAsia="仿宋" w:cs="仿宋"/>
          <w:color w:val="auto"/>
          <w:sz w:val="28"/>
        </w:rPr>
        <w:t>供应商认为有必要提供的声明及文件资料。</w:t>
      </w:r>
    </w:p>
    <w:p>
      <w:pPr>
        <w:pStyle w:val="26"/>
        <w:spacing w:line="540" w:lineRule="exact"/>
        <w:ind w:firstLine="562"/>
        <w:jc w:val="both"/>
        <w:rPr>
          <w:rFonts w:hint="eastAsia" w:ascii="仿宋" w:hAnsi="仿宋" w:eastAsia="仿宋" w:cs="仿宋"/>
          <w:b/>
          <w:color w:val="auto"/>
          <w:sz w:val="28"/>
        </w:rPr>
      </w:pPr>
      <w:r>
        <w:rPr>
          <w:rFonts w:hint="eastAsia" w:ascii="仿宋" w:hAnsi="仿宋" w:eastAsia="仿宋" w:cs="仿宋"/>
          <w:color w:val="auto"/>
          <w:sz w:val="28"/>
        </w:rPr>
        <w:t>8.1.2 商务投标书</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b/>
          <w:color w:val="auto"/>
          <w:sz w:val="28"/>
        </w:rPr>
        <w:t>(1) 投标书</w:t>
      </w:r>
    </w:p>
    <w:p>
      <w:pPr>
        <w:pStyle w:val="26"/>
        <w:spacing w:line="540" w:lineRule="exact"/>
        <w:ind w:firstLine="562"/>
        <w:jc w:val="both"/>
        <w:rPr>
          <w:rFonts w:hint="eastAsia" w:ascii="仿宋" w:hAnsi="仿宋" w:eastAsia="仿宋" w:cs="仿宋"/>
          <w:b/>
          <w:color w:val="auto"/>
          <w:sz w:val="28"/>
        </w:rPr>
      </w:pPr>
      <w:r>
        <w:rPr>
          <w:rFonts w:hint="eastAsia" w:ascii="仿宋" w:hAnsi="仿宋" w:eastAsia="仿宋" w:cs="仿宋"/>
          <w:b/>
          <w:color w:val="auto"/>
          <w:sz w:val="28"/>
        </w:rPr>
        <w:t>(2) 开标一览表</w:t>
      </w:r>
    </w:p>
    <w:p>
      <w:pPr>
        <w:pStyle w:val="26"/>
        <w:spacing w:line="540" w:lineRule="exact"/>
        <w:ind w:firstLine="565" w:firstLineChars="201"/>
        <w:jc w:val="both"/>
        <w:rPr>
          <w:rFonts w:hint="eastAsia" w:ascii="仿宋" w:hAnsi="仿宋" w:eastAsia="仿宋" w:cs="仿宋"/>
          <w:b/>
          <w:color w:val="auto"/>
          <w:sz w:val="28"/>
        </w:rPr>
      </w:pPr>
      <w:r>
        <w:rPr>
          <w:rFonts w:hint="eastAsia" w:ascii="仿宋" w:hAnsi="仿宋" w:eastAsia="仿宋" w:cs="仿宋"/>
          <w:b/>
          <w:color w:val="auto"/>
          <w:sz w:val="28"/>
        </w:rPr>
        <w:t>(3) 投标货物名称、数量、规格及报价明细表</w:t>
      </w:r>
    </w:p>
    <w:p>
      <w:pPr>
        <w:pStyle w:val="26"/>
        <w:spacing w:line="540" w:lineRule="exact"/>
        <w:ind w:firstLine="551" w:firstLineChars="196"/>
        <w:jc w:val="both"/>
        <w:rPr>
          <w:rFonts w:hint="eastAsia" w:ascii="仿宋" w:hAnsi="仿宋" w:eastAsia="仿宋" w:cs="仿宋"/>
          <w:b/>
          <w:color w:val="auto"/>
          <w:sz w:val="28"/>
        </w:rPr>
      </w:pPr>
      <w:r>
        <w:rPr>
          <w:rFonts w:hint="eastAsia" w:ascii="仿宋" w:hAnsi="仿宋" w:eastAsia="仿宋" w:cs="仿宋"/>
          <w:b/>
          <w:color w:val="auto"/>
          <w:sz w:val="28"/>
        </w:rPr>
        <w:t>(4) 商务条款偏离表</w:t>
      </w:r>
    </w:p>
    <w:p>
      <w:pPr>
        <w:pStyle w:val="26"/>
        <w:spacing w:line="540" w:lineRule="exact"/>
        <w:ind w:firstLine="548" w:firstLineChars="196"/>
        <w:jc w:val="both"/>
        <w:rPr>
          <w:rFonts w:hint="eastAsia" w:ascii="仿宋" w:hAnsi="仿宋" w:eastAsia="仿宋" w:cs="仿宋"/>
          <w:color w:val="auto"/>
          <w:sz w:val="28"/>
        </w:rPr>
      </w:pPr>
      <w:r>
        <w:rPr>
          <w:rFonts w:hint="eastAsia" w:ascii="仿宋" w:hAnsi="仿宋" w:eastAsia="仿宋" w:cs="仿宋"/>
          <w:color w:val="auto"/>
          <w:sz w:val="28"/>
        </w:rPr>
        <w:t>(5) 投标产品近三年相同产品销售业绩（须提供加盖企业公章的合同或者中标通知书复印件）</w:t>
      </w:r>
    </w:p>
    <w:p>
      <w:pPr>
        <w:pStyle w:val="26"/>
        <w:spacing w:line="540" w:lineRule="exact"/>
        <w:ind w:firstLine="551" w:firstLineChars="196"/>
        <w:jc w:val="both"/>
        <w:rPr>
          <w:rFonts w:hint="eastAsia" w:ascii="仿宋" w:hAnsi="仿宋" w:eastAsia="仿宋" w:cs="仿宋"/>
          <w:b/>
          <w:color w:val="auto"/>
          <w:sz w:val="28"/>
        </w:rPr>
      </w:pPr>
      <w:r>
        <w:rPr>
          <w:rFonts w:hint="eastAsia" w:ascii="仿宋" w:hAnsi="仿宋" w:eastAsia="仿宋" w:cs="仿宋"/>
          <w:b/>
          <w:color w:val="auto"/>
          <w:sz w:val="28"/>
        </w:rPr>
        <w:t>(6) 售后服务承诺书及培训计划</w:t>
      </w:r>
    </w:p>
    <w:p>
      <w:pPr>
        <w:pStyle w:val="25"/>
        <w:spacing w:line="520" w:lineRule="exact"/>
        <w:ind w:firstLine="560"/>
        <w:rPr>
          <w:rFonts w:hint="eastAsia" w:ascii="仿宋" w:hAnsi="仿宋" w:eastAsia="仿宋" w:cs="仿宋"/>
          <w:color w:val="auto"/>
        </w:rPr>
      </w:pPr>
      <w:r>
        <w:rPr>
          <w:rFonts w:hint="eastAsia" w:ascii="仿宋" w:hAnsi="仿宋" w:eastAsia="仿宋" w:cs="仿宋"/>
          <w:bCs/>
          <w:color w:val="auto"/>
        </w:rPr>
        <w:t>(7) 若为进口产品（含主要配件），须提供</w:t>
      </w:r>
      <w:r>
        <w:rPr>
          <w:rFonts w:hint="eastAsia" w:ascii="仿宋" w:hAnsi="仿宋" w:eastAsia="仿宋" w:cs="仿宋"/>
          <w:color w:val="auto"/>
          <w:szCs w:val="21"/>
        </w:rPr>
        <w:t>报关单和检验检疫证；</w:t>
      </w:r>
      <w:r>
        <w:rPr>
          <w:rFonts w:hint="eastAsia" w:ascii="仿宋" w:hAnsi="仿宋" w:eastAsia="仿宋" w:cs="仿宋"/>
          <w:bCs/>
          <w:color w:val="auto"/>
        </w:rPr>
        <w:t>所需的进口机电证（如需要），报关、商检、计量等相关事宜，由供应商负责办理，费用由供应商承担。</w:t>
      </w:r>
    </w:p>
    <w:p>
      <w:pPr>
        <w:pStyle w:val="25"/>
        <w:ind w:firstLine="560"/>
        <w:rPr>
          <w:rFonts w:hint="eastAsia" w:ascii="仿宋" w:hAnsi="仿宋" w:eastAsia="仿宋" w:cs="仿宋"/>
          <w:color w:val="auto"/>
        </w:rPr>
      </w:pPr>
      <w:r>
        <w:rPr>
          <w:rFonts w:hint="eastAsia" w:ascii="仿宋" w:hAnsi="仿宋" w:eastAsia="仿宋" w:cs="仿宋"/>
          <w:color w:val="auto"/>
        </w:rPr>
        <w:t>(8) 供应商认为有必要提供的声明及文件资料。</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8.1.3 技术投标书</w:t>
      </w:r>
    </w:p>
    <w:p>
      <w:pPr>
        <w:pStyle w:val="26"/>
        <w:spacing w:line="520" w:lineRule="exact"/>
        <w:ind w:firstLine="420" w:firstLineChars="150"/>
        <w:jc w:val="both"/>
        <w:rPr>
          <w:rFonts w:hint="eastAsia" w:ascii="仿宋" w:hAnsi="仿宋" w:eastAsia="仿宋" w:cs="仿宋"/>
          <w:color w:val="auto"/>
          <w:sz w:val="28"/>
        </w:rPr>
      </w:pPr>
      <w:r>
        <w:rPr>
          <w:rFonts w:hint="eastAsia" w:ascii="仿宋" w:hAnsi="仿宋" w:eastAsia="仿宋" w:cs="仿宋"/>
          <w:color w:val="auto"/>
          <w:sz w:val="28"/>
        </w:rPr>
        <w:t>(1) 产品的详细技术参数说明：</w:t>
      </w:r>
    </w:p>
    <w:p>
      <w:pPr>
        <w:pStyle w:val="26"/>
        <w:snapToGrid w:val="0"/>
        <w:spacing w:line="52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供应商所投产品必须提供国家权威部门出具的完整</w:t>
      </w:r>
      <w:r>
        <w:rPr>
          <w:rFonts w:hint="eastAsia" w:ascii="仿宋" w:hAnsi="仿宋" w:eastAsia="仿宋" w:cs="仿宋"/>
          <w:color w:val="auto"/>
          <w:sz w:val="28"/>
          <w:szCs w:val="28"/>
          <w:lang w:val="en-US" w:eastAsia="zh-CN"/>
        </w:rPr>
        <w:t>技术</w:t>
      </w:r>
      <w:r>
        <w:rPr>
          <w:rFonts w:hint="eastAsia" w:ascii="仿宋" w:hAnsi="仿宋" w:eastAsia="仿宋" w:cs="仿宋"/>
          <w:color w:val="auto"/>
          <w:sz w:val="28"/>
          <w:szCs w:val="28"/>
        </w:rPr>
        <w:t>检验报告作为其技术指标的支持资料（国家无需检测的设备可以不提供检验报告）。对未提供技术支持资料及不全的视为未提供。参数与其提供的技术支持资料不一致的，均视为偏离。</w:t>
      </w:r>
    </w:p>
    <w:p>
      <w:pPr>
        <w:pStyle w:val="26"/>
        <w:snapToGrid w:val="0"/>
        <w:spacing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 xml:space="preserve"> (2) 技术规格偏离表（供应商须对第三章所有技术参数条款逐条列明是否响应，如有偏离，须一一列明）。</w:t>
      </w:r>
    </w:p>
    <w:p>
      <w:pPr>
        <w:pStyle w:val="26"/>
        <w:snapToGrid w:val="0"/>
        <w:spacing w:line="52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(3) 备品备件及专用工具清单。</w:t>
      </w:r>
    </w:p>
    <w:p>
      <w:pPr>
        <w:pStyle w:val="26"/>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(4) 产品样册、说明书、图纸技术资料及产品质量获奖荣誉证书复印件。</w:t>
      </w:r>
    </w:p>
    <w:p>
      <w:pPr>
        <w:pStyle w:val="26"/>
        <w:snapToGrid w:val="0"/>
        <w:spacing w:line="52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(5) 供应商认为有必要提供的声明及完整文件或支持资料。</w:t>
      </w:r>
    </w:p>
    <w:p>
      <w:pPr>
        <w:pStyle w:val="26"/>
        <w:snapToGrid w:val="0"/>
        <w:spacing w:line="540" w:lineRule="exact"/>
        <w:ind w:firstLine="562" w:firstLineChars="200"/>
        <w:jc w:val="both"/>
        <w:rPr>
          <w:rFonts w:hint="eastAsia" w:ascii="仿宋" w:hAnsi="仿宋" w:eastAsia="仿宋" w:cs="仿宋"/>
          <w:b/>
          <w:color w:val="auto"/>
          <w:sz w:val="28"/>
        </w:rPr>
      </w:pPr>
      <w:r>
        <w:rPr>
          <w:rFonts w:hint="eastAsia" w:ascii="仿宋" w:hAnsi="仿宋" w:eastAsia="仿宋" w:cs="仿宋"/>
          <w:b/>
          <w:color w:val="auto"/>
          <w:sz w:val="28"/>
        </w:rPr>
        <w:t>8.2 第8.1.1条中第(1)(2)(3)(4)(5)(</w:t>
      </w:r>
      <w:r>
        <w:rPr>
          <w:rFonts w:hint="eastAsia" w:ascii="仿宋" w:hAnsi="仿宋" w:eastAsia="仿宋" w:cs="仿宋"/>
          <w:b/>
          <w:color w:val="auto"/>
          <w:sz w:val="28"/>
          <w:lang w:val="en-US" w:eastAsia="zh-CN"/>
        </w:rPr>
        <w:t>6</w:t>
      </w:r>
      <w:r>
        <w:rPr>
          <w:rFonts w:hint="eastAsia" w:ascii="仿宋" w:hAnsi="仿宋" w:eastAsia="仿宋" w:cs="仿宋"/>
          <w:b/>
          <w:color w:val="auto"/>
          <w:sz w:val="28"/>
        </w:rPr>
        <w:t>)项、第8.1.2条中第(1)(2)(3)(4)(6)项、第8.1.3条中第(2)项为必备项，供应商在投标文件中必须提供有关材料，如果缺项，或不符合要求，将导致投标无效。</w:t>
      </w:r>
    </w:p>
    <w:p>
      <w:pPr>
        <w:pStyle w:val="26"/>
        <w:snapToGrid w:val="0"/>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9. 投标书格式</w:t>
      </w:r>
    </w:p>
    <w:p>
      <w:pPr>
        <w:pStyle w:val="26"/>
        <w:snapToGrid w:val="0"/>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9.1 供应商应按招标文件提供的格式完整地填写所提供的货物、服务、数量及价格。</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10. 投标报价</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10.1 供应商应按招标文件所附的《开标一览表》和《投标产品名称、数量、规格及报价明细表》中的项目，标明拟提供货物和服务的单价和总价。如单价和总价不符，以单价累计为准。</w:t>
      </w:r>
    </w:p>
    <w:p>
      <w:pPr>
        <w:pStyle w:val="26"/>
        <w:spacing w:line="540" w:lineRule="exact"/>
        <w:ind w:firstLine="567"/>
        <w:jc w:val="both"/>
        <w:rPr>
          <w:rFonts w:hint="eastAsia" w:ascii="仿宋" w:hAnsi="仿宋" w:eastAsia="仿宋" w:cs="仿宋"/>
          <w:b/>
          <w:color w:val="auto"/>
          <w:sz w:val="28"/>
        </w:rPr>
      </w:pPr>
      <w:r>
        <w:rPr>
          <w:rFonts w:hint="eastAsia" w:ascii="仿宋" w:hAnsi="仿宋" w:eastAsia="仿宋" w:cs="仿宋"/>
          <w:b/>
          <w:color w:val="auto"/>
          <w:sz w:val="28"/>
        </w:rPr>
        <w:t>10.2 本标针对每种货物只接受一个报价，不接受备选方案，但不拒绝优惠声明，优惠声明需在《开标一览表》备注中填写。</w:t>
      </w:r>
    </w:p>
    <w:p>
      <w:pPr>
        <w:pStyle w:val="26"/>
        <w:spacing w:line="540" w:lineRule="exact"/>
        <w:ind w:firstLine="562"/>
        <w:rPr>
          <w:rFonts w:hint="eastAsia" w:ascii="仿宋" w:hAnsi="仿宋" w:eastAsia="仿宋" w:cs="仿宋"/>
          <w:color w:val="auto"/>
          <w:sz w:val="28"/>
        </w:rPr>
      </w:pPr>
      <w:r>
        <w:rPr>
          <w:rFonts w:hint="eastAsia" w:ascii="仿宋" w:hAnsi="仿宋" w:eastAsia="仿宋" w:cs="仿宋"/>
          <w:color w:val="auto"/>
          <w:sz w:val="28"/>
        </w:rPr>
        <w:t>10.3 供应商应按招标文件的要求对有关设计、货物及其配套服务的全部内容进行报价。投标报价应包括：</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10.3.1 外购、外协、配套件、原材料及功能设计生产制造、检验、油漆、包装、保险、利税、管理、备品备件、专用工具、运杂、安装调试、人员培训等费用。</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10.3.2 招标文件中特别要求的零、备件费用。</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10.3.3 分项报价明细表中特别要求的安装、调试、运输及培训费用。</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10.3.4 所需的进口机电证（如需要），报关、商检、计量等相关事宜，由供应商负责办理，费用由供应商承担。</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11. 投标货币</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11.1 本次投标货币为人民币。</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12. 证明供应商合格和资格的文件</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12.1 按照第8条规定，供应商应提交证明其有资格参加投标和一旦其投标被接受则有能力履行合同的文件，并作为其投标文件的一部分。</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12.2 供应商应填写并提交招标文件所要求的资格证明类文件。</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13. 证明货物的合格性和符合招标文件规定的文件</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13.1 按照第8条规定，供应商应提交招标文件要求的货物及其服务的合格性及符合招标文件规定的证明文件。证明文件可以是手册、图纸和资料，并作为投标文件的一部分。</w:t>
      </w:r>
    </w:p>
    <w:p>
      <w:pPr>
        <w:pStyle w:val="26"/>
        <w:spacing w:line="540" w:lineRule="exact"/>
        <w:ind w:firstLine="560"/>
        <w:rPr>
          <w:rFonts w:hint="eastAsia" w:ascii="仿宋" w:hAnsi="仿宋" w:eastAsia="仿宋" w:cs="仿宋"/>
          <w:b/>
          <w:color w:val="auto"/>
          <w:sz w:val="28"/>
        </w:rPr>
      </w:pPr>
      <w:r>
        <w:rPr>
          <w:rFonts w:hint="eastAsia" w:ascii="仿宋" w:hAnsi="仿宋" w:eastAsia="仿宋" w:cs="仿宋"/>
          <w:color w:val="auto"/>
          <w:sz w:val="28"/>
        </w:rPr>
        <w:t>13.2 供应商应逐条阅读招标文件要求的技术规格及商务条款要求，指出自己提供的货物和服务是否对招标文件做出响应，</w:t>
      </w:r>
      <w:r>
        <w:rPr>
          <w:rFonts w:hint="eastAsia" w:ascii="仿宋" w:hAnsi="仿宋" w:eastAsia="仿宋" w:cs="仿宋"/>
          <w:b/>
          <w:color w:val="auto"/>
          <w:sz w:val="28"/>
        </w:rPr>
        <w:t>并将不能响应之处在招标文件所附的“技术偏离表”和“商务（合同条款）偏离表”中一一列出。</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13.3 证明货物的合格性和符合招标文件规定的文件应包括下列内容：</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13.3.1 投标货物的试(检)验报告、鉴定证书（复印件）；</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13.3.2 执行的制造、验收标准；</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13.3.3 荣获产品质量、生产管理等方面的荣誉证书（复印件）；</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13.3.4 有关的产品样册、手册、图纸和资料；</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13.3.5 供应商认为有必要提供的其它证明文件；</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14. 投标文件的有效期</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14.1 投标文件从实际开标之日起</w:t>
      </w:r>
      <w:r>
        <w:rPr>
          <w:rFonts w:hint="eastAsia" w:ascii="仿宋" w:hAnsi="仿宋" w:eastAsia="仿宋" w:cs="仿宋"/>
          <w:color w:val="auto"/>
          <w:sz w:val="28"/>
          <w:u w:val="single"/>
        </w:rPr>
        <w:t xml:space="preserve"> 90 </w:t>
      </w:r>
      <w:r>
        <w:rPr>
          <w:rFonts w:hint="eastAsia" w:ascii="仿宋" w:hAnsi="仿宋" w:eastAsia="仿宋" w:cs="仿宋"/>
          <w:color w:val="auto"/>
          <w:sz w:val="28"/>
        </w:rPr>
        <w:t>天内有效。</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14.2 在特殊情况下，在原投标有效期届满之前，采购代理机构可与投标单位协商延长投标文件的有效期，并经投标方确认。</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15. 投标文件的书写要求、签署及份数。</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15.1 投标文件正本须用不褪色的墨水笔书写或打印。</w:t>
      </w:r>
    </w:p>
    <w:p>
      <w:pPr>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15.2 投标文件的书写应清楚工整，修改处应由供应商授权代表签字或盖章。</w:t>
      </w:r>
    </w:p>
    <w:p>
      <w:pPr>
        <w:pStyle w:val="26"/>
        <w:spacing w:line="540" w:lineRule="exact"/>
        <w:ind w:firstLine="562" w:firstLineChars="200"/>
        <w:jc w:val="both"/>
        <w:rPr>
          <w:rFonts w:hint="eastAsia" w:ascii="仿宋" w:hAnsi="仿宋" w:eastAsia="仿宋" w:cs="仿宋"/>
          <w:b/>
          <w:color w:val="auto"/>
          <w:sz w:val="28"/>
        </w:rPr>
      </w:pPr>
      <w:r>
        <w:rPr>
          <w:rFonts w:hint="eastAsia" w:ascii="仿宋" w:hAnsi="仿宋" w:eastAsia="仿宋" w:cs="仿宋"/>
          <w:b/>
          <w:color w:val="auto"/>
          <w:sz w:val="28"/>
        </w:rPr>
        <w:t>15.3 未实质性对应响应招标文件、或者关键字迹潦草、关键内容表达不清、或者未按要求填写或可能导致非唯一理解的投标文件将不能通过符合性检查，按重大偏离处理。</w:t>
      </w:r>
    </w:p>
    <w:p>
      <w:pPr>
        <w:pStyle w:val="26"/>
        <w:spacing w:line="540" w:lineRule="exact"/>
        <w:ind w:firstLine="562" w:firstLineChars="200"/>
        <w:jc w:val="both"/>
        <w:rPr>
          <w:rFonts w:hint="eastAsia" w:ascii="仿宋" w:hAnsi="仿宋" w:eastAsia="仿宋" w:cs="仿宋"/>
          <w:b/>
          <w:color w:val="auto"/>
          <w:sz w:val="28"/>
        </w:rPr>
      </w:pPr>
      <w:r>
        <w:rPr>
          <w:rFonts w:hint="eastAsia" w:ascii="仿宋" w:hAnsi="仿宋" w:eastAsia="仿宋" w:cs="仿宋"/>
          <w:b/>
          <w:color w:val="auto"/>
          <w:sz w:val="28"/>
        </w:rPr>
        <w:t>15.4 投标文件应由企业法人或法人授权代表在所有规定签章处逐一签署及加盖单位的公章。</w:t>
      </w:r>
    </w:p>
    <w:p>
      <w:pPr>
        <w:pStyle w:val="26"/>
        <w:spacing w:line="540" w:lineRule="exact"/>
        <w:ind w:firstLine="560" w:firstLineChars="200"/>
        <w:jc w:val="both"/>
        <w:rPr>
          <w:rFonts w:hint="eastAsia" w:ascii="仿宋" w:hAnsi="仿宋" w:eastAsia="仿宋" w:cs="仿宋"/>
          <w:b/>
          <w:color w:val="auto"/>
          <w:sz w:val="28"/>
        </w:rPr>
      </w:pPr>
      <w:r>
        <w:rPr>
          <w:rFonts w:hint="eastAsia" w:ascii="仿宋" w:hAnsi="仿宋" w:eastAsia="仿宋" w:cs="仿宋"/>
          <w:color w:val="auto"/>
          <w:sz w:val="28"/>
        </w:rPr>
        <w:t>15.5 投标文件的份数：详见《投标须知前附表》。供应商应在投标文件封面左上角注明“正本”、“副本”字样，一旦正本和副本不符，以正本为准，参考资料不限量</w:t>
      </w:r>
      <w:r>
        <w:rPr>
          <w:rFonts w:hint="eastAsia" w:ascii="仿宋" w:hAnsi="仿宋" w:eastAsia="仿宋" w:cs="仿宋"/>
          <w:color w:val="auto"/>
          <w:sz w:val="28"/>
          <w:szCs w:val="28"/>
        </w:rPr>
        <w:t>。</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15.6 供应商可根据投标货物的具体需要自行编制其它文件一式</w:t>
      </w:r>
      <w:r>
        <w:rPr>
          <w:rFonts w:hint="eastAsia" w:ascii="仿宋" w:hAnsi="仿宋" w:eastAsia="仿宋" w:cs="仿宋"/>
          <w:b/>
          <w:color w:val="auto"/>
          <w:sz w:val="28"/>
        </w:rPr>
        <w:t>5</w:t>
      </w:r>
      <w:r>
        <w:rPr>
          <w:rFonts w:hint="eastAsia" w:ascii="仿宋" w:hAnsi="仿宋" w:eastAsia="仿宋" w:cs="仿宋"/>
          <w:color w:val="auto"/>
          <w:sz w:val="28"/>
        </w:rPr>
        <w:t>份纳入投标书中。</w:t>
      </w:r>
    </w:p>
    <w:p>
      <w:pPr>
        <w:pStyle w:val="26"/>
        <w:spacing w:line="540" w:lineRule="exact"/>
        <w:ind w:firstLine="562" w:firstLineChars="200"/>
        <w:jc w:val="both"/>
        <w:rPr>
          <w:rFonts w:hint="eastAsia" w:ascii="仿宋" w:hAnsi="仿宋" w:eastAsia="仿宋" w:cs="仿宋"/>
          <w:b/>
          <w:color w:val="auto"/>
          <w:sz w:val="28"/>
        </w:rPr>
      </w:pPr>
      <w:r>
        <w:rPr>
          <w:rFonts w:hint="eastAsia" w:ascii="仿宋" w:hAnsi="仿宋" w:eastAsia="仿宋" w:cs="仿宋"/>
          <w:b/>
          <w:color w:val="auto"/>
          <w:sz w:val="28"/>
        </w:rPr>
        <w:t>15.7 投标文件的装订必须采用胶粘本，不允许任何活页形式装订（非胶粘方式装订的投标书一律视同活页装订），活页方式装订视为投标无效。</w:t>
      </w:r>
    </w:p>
    <w:p>
      <w:pPr>
        <w:pStyle w:val="26"/>
        <w:spacing w:line="540" w:lineRule="exact"/>
        <w:ind w:firstLine="562" w:firstLineChars="200"/>
        <w:jc w:val="both"/>
        <w:rPr>
          <w:rFonts w:hint="eastAsia" w:ascii="仿宋" w:hAnsi="仿宋" w:eastAsia="仿宋" w:cs="仿宋"/>
          <w:b/>
          <w:color w:val="auto"/>
          <w:sz w:val="28"/>
        </w:rPr>
      </w:pPr>
      <w:r>
        <w:rPr>
          <w:rFonts w:hint="eastAsia" w:ascii="仿宋" w:hAnsi="仿宋" w:eastAsia="仿宋" w:cs="仿宋"/>
          <w:b/>
          <w:color w:val="auto"/>
          <w:sz w:val="28"/>
        </w:rPr>
        <w:t>15.8 如果虚假应标将会导致废标，并将虚假应标投标公司及生产厂家上报政府采购部门并列入黑名单。</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16. 投标保证金</w:t>
      </w:r>
    </w:p>
    <w:p>
      <w:pPr>
        <w:pStyle w:val="25"/>
        <w:spacing w:line="540" w:lineRule="exact"/>
        <w:ind w:firstLine="560"/>
        <w:rPr>
          <w:rFonts w:hint="eastAsia" w:ascii="仿宋" w:hAnsi="仿宋" w:eastAsia="仿宋" w:cs="仿宋"/>
          <w:b/>
          <w:bCs/>
          <w:color w:val="auto"/>
        </w:rPr>
      </w:pPr>
      <w:r>
        <w:rPr>
          <w:rFonts w:hint="eastAsia" w:ascii="仿宋" w:hAnsi="仿宋" w:eastAsia="仿宋" w:cs="仿宋"/>
          <w:b/>
          <w:bCs/>
          <w:color w:val="auto"/>
        </w:rPr>
        <w:t>16.1投标保证金金额：</w:t>
      </w:r>
      <w:r>
        <w:rPr>
          <w:rFonts w:hint="eastAsia" w:ascii="仿宋" w:hAnsi="仿宋" w:eastAsia="仿宋" w:cs="仿宋"/>
          <w:b/>
          <w:bCs/>
          <w:color w:val="auto"/>
          <w:lang w:val="en-US" w:eastAsia="zh-CN"/>
        </w:rPr>
        <w:t>第一包：</w:t>
      </w:r>
      <w:r>
        <w:rPr>
          <w:rFonts w:hint="eastAsia" w:ascii="仿宋" w:hAnsi="仿宋" w:eastAsia="仿宋" w:cs="仿宋"/>
          <w:b/>
          <w:bCs/>
          <w:color w:val="auto"/>
        </w:rPr>
        <w:t>人民币3.3万元</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第二包：</w:t>
      </w:r>
      <w:r>
        <w:rPr>
          <w:rFonts w:hint="eastAsia" w:ascii="仿宋" w:hAnsi="仿宋" w:eastAsia="仿宋" w:cs="仿宋"/>
          <w:b/>
          <w:bCs/>
          <w:color w:val="auto"/>
        </w:rPr>
        <w:t>人民币0.6万元</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第三包：</w:t>
      </w:r>
      <w:r>
        <w:rPr>
          <w:rFonts w:hint="eastAsia" w:ascii="仿宋" w:hAnsi="仿宋" w:eastAsia="仿宋" w:cs="仿宋"/>
          <w:b/>
          <w:bCs/>
          <w:color w:val="auto"/>
        </w:rPr>
        <w:t>人民币4.4万元</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第四包：</w:t>
      </w:r>
      <w:r>
        <w:rPr>
          <w:rFonts w:hint="eastAsia" w:ascii="仿宋" w:hAnsi="仿宋" w:eastAsia="仿宋" w:cs="仿宋"/>
          <w:b/>
          <w:bCs/>
          <w:color w:val="auto"/>
        </w:rPr>
        <w:t>人民币1.0万元</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第五包：</w:t>
      </w:r>
      <w:r>
        <w:rPr>
          <w:rFonts w:hint="eastAsia" w:ascii="仿宋" w:hAnsi="仿宋" w:eastAsia="仿宋" w:cs="仿宋"/>
          <w:b/>
          <w:bCs/>
          <w:color w:val="auto"/>
        </w:rPr>
        <w:t>人民币2.4万元。须以网银转账的形式由供应商的基本账户汇出，于投标文件递交截止时间前交至招标代理机构指定账户（以实际到账时间为准，逾期无效），公示期结束后予以退还。</w:t>
      </w:r>
    </w:p>
    <w:p>
      <w:pPr>
        <w:pStyle w:val="25"/>
        <w:spacing w:line="540" w:lineRule="exact"/>
        <w:ind w:firstLine="560"/>
        <w:rPr>
          <w:rFonts w:hint="eastAsia" w:ascii="仿宋" w:hAnsi="仿宋" w:eastAsia="仿宋" w:cs="仿宋"/>
          <w:color w:val="auto"/>
        </w:rPr>
      </w:pPr>
      <w:r>
        <w:rPr>
          <w:rFonts w:hint="eastAsia" w:ascii="仿宋" w:hAnsi="仿宋" w:eastAsia="仿宋" w:cs="仿宋"/>
          <w:color w:val="auto"/>
        </w:rPr>
        <w:t>16.2 投标保证金用于保护本次招标免受供应商的违规、违约行为而引起的风险。</w:t>
      </w:r>
    </w:p>
    <w:p>
      <w:pPr>
        <w:pStyle w:val="26"/>
        <w:snapToGrid w:val="0"/>
        <w:spacing w:line="520" w:lineRule="exact"/>
        <w:ind w:firstLine="567"/>
        <w:jc w:val="both"/>
        <w:rPr>
          <w:rFonts w:hint="eastAsia" w:ascii="仿宋" w:hAnsi="仿宋" w:eastAsia="仿宋" w:cs="仿宋"/>
          <w:b/>
          <w:color w:val="auto"/>
          <w:sz w:val="28"/>
        </w:rPr>
      </w:pPr>
      <w:r>
        <w:rPr>
          <w:rFonts w:hint="eastAsia" w:ascii="仿宋" w:hAnsi="仿宋" w:eastAsia="仿宋" w:cs="仿宋"/>
          <w:color w:val="auto"/>
          <w:sz w:val="28"/>
        </w:rPr>
        <w:t>16.3 投标保证金应用人民币，由投标人按第一章《招标书》中明确的银行、账号，按16.1条要求的数额办理，于投标时交招标代理机构。</w:t>
      </w:r>
      <w:r>
        <w:rPr>
          <w:rFonts w:hint="eastAsia" w:ascii="仿宋" w:hAnsi="仿宋" w:eastAsia="仿宋" w:cs="仿宋"/>
          <w:b/>
          <w:color w:val="auto"/>
          <w:sz w:val="28"/>
        </w:rPr>
        <w:t>未按要求提交投标保证金的，其投标无效。</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16.4 投标保证金的退还</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在该项目评标公示期满后，新疆新之建工程咨询有限公司收到由供应商提供的以下资料后五个工作日内退还：</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1）打印并加盖供应商公章的账户信息：</w:t>
      </w:r>
      <w:r>
        <w:rPr>
          <w:rFonts w:hint="eastAsia" w:ascii="仿宋" w:hAnsi="仿宋" w:eastAsia="仿宋" w:cs="仿宋"/>
          <w:b/>
          <w:color w:val="auto"/>
          <w:sz w:val="28"/>
        </w:rPr>
        <w:t>行名、行号、户名、账号；</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2）加盖投标人财务公章的第二联复写收据原件，收据中需写明项目名称及项目编号。</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3）金额各公司根据实际情况填写。</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注：请各投标供应商，将以上资料随开标一览表递交至开标现场，如未中标，将按照法定规定期限予以退还。</w:t>
      </w:r>
    </w:p>
    <w:p>
      <w:pPr>
        <w:pStyle w:val="26"/>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16.5 发生以下情况投标保证金可能被没收：</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16.5.1 如果供应商在投标有效期内撤销投标；</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16.5.2 如果供应商串通投标的；</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16.5.3 如果中标人未能做到：</w:t>
      </w:r>
    </w:p>
    <w:p>
      <w:pPr>
        <w:pStyle w:val="25"/>
        <w:spacing w:line="540" w:lineRule="exact"/>
        <w:ind w:firstLine="560"/>
        <w:rPr>
          <w:rFonts w:hint="eastAsia" w:ascii="仿宋" w:hAnsi="仿宋" w:eastAsia="仿宋" w:cs="仿宋"/>
          <w:color w:val="auto"/>
        </w:rPr>
      </w:pPr>
      <w:r>
        <w:rPr>
          <w:rFonts w:hint="eastAsia" w:ascii="仿宋" w:hAnsi="仿宋" w:eastAsia="仿宋" w:cs="仿宋"/>
          <w:color w:val="auto"/>
        </w:rPr>
        <w:t>a. 按29条规定签定合同；</w:t>
      </w:r>
    </w:p>
    <w:p>
      <w:pPr>
        <w:pStyle w:val="25"/>
        <w:spacing w:line="540" w:lineRule="exact"/>
        <w:ind w:firstLine="560"/>
        <w:rPr>
          <w:rFonts w:hint="eastAsia" w:ascii="仿宋" w:hAnsi="仿宋" w:eastAsia="仿宋" w:cs="仿宋"/>
          <w:color w:val="auto"/>
        </w:rPr>
      </w:pPr>
      <w:r>
        <w:rPr>
          <w:rFonts w:hint="eastAsia" w:ascii="仿宋" w:hAnsi="仿宋" w:eastAsia="仿宋" w:cs="仿宋"/>
          <w:color w:val="auto"/>
        </w:rPr>
        <w:t>b. 第32条有关缴纳中标服务费的规定；</w:t>
      </w:r>
    </w:p>
    <w:p>
      <w:pPr>
        <w:pStyle w:val="25"/>
        <w:spacing w:line="540" w:lineRule="exact"/>
        <w:ind w:firstLine="560"/>
        <w:rPr>
          <w:rFonts w:hint="eastAsia" w:ascii="仿宋" w:hAnsi="仿宋" w:eastAsia="仿宋" w:cs="仿宋"/>
          <w:color w:val="auto"/>
        </w:rPr>
      </w:pPr>
      <w:r>
        <w:rPr>
          <w:rFonts w:hint="eastAsia" w:ascii="仿宋" w:hAnsi="仿宋" w:eastAsia="仿宋" w:cs="仿宋"/>
          <w:color w:val="auto"/>
        </w:rPr>
        <w:t>c. 按招标文件要求提交合同履约保证金的。</w:t>
      </w:r>
    </w:p>
    <w:p>
      <w:pPr>
        <w:pStyle w:val="27"/>
        <w:spacing w:beforeLines="0" w:afterLines="0" w:line="520" w:lineRule="exact"/>
        <w:rPr>
          <w:rFonts w:hint="eastAsia" w:ascii="仿宋" w:hAnsi="仿宋" w:eastAsia="仿宋" w:cs="仿宋"/>
          <w:color w:val="auto"/>
          <w:kern w:val="0"/>
          <w:sz w:val="28"/>
          <w:szCs w:val="24"/>
        </w:rPr>
      </w:pPr>
      <w:r>
        <w:rPr>
          <w:rFonts w:hint="eastAsia" w:ascii="仿宋" w:hAnsi="仿宋" w:eastAsia="仿宋" w:cs="仿宋"/>
          <w:color w:val="auto"/>
          <w:kern w:val="0"/>
          <w:sz w:val="28"/>
          <w:szCs w:val="24"/>
        </w:rPr>
        <w:t>四、投标文件的递交</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17. 投标文件的密封与标记</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17.1 供应商应将投标文件正本和副本</w:t>
      </w:r>
      <w:r>
        <w:rPr>
          <w:rFonts w:hint="eastAsia" w:ascii="仿宋" w:hAnsi="仿宋" w:eastAsia="仿宋" w:cs="仿宋"/>
          <w:b/>
          <w:color w:val="auto"/>
          <w:sz w:val="28"/>
        </w:rPr>
        <w:t>分别装入信袋内</w:t>
      </w:r>
      <w:r>
        <w:rPr>
          <w:rFonts w:hint="eastAsia" w:ascii="仿宋" w:hAnsi="仿宋" w:eastAsia="仿宋" w:cs="仿宋"/>
          <w:color w:val="auto"/>
          <w:sz w:val="28"/>
        </w:rPr>
        <w:t>加以密封，分别在信袋上标“正本”或“副本”，并在密封处加盖公章（或合同专用章）。</w:t>
      </w:r>
    </w:p>
    <w:p>
      <w:pPr>
        <w:pStyle w:val="26"/>
        <w:spacing w:line="520" w:lineRule="exact"/>
        <w:ind w:firstLine="562"/>
        <w:jc w:val="both"/>
        <w:rPr>
          <w:rFonts w:hint="eastAsia" w:ascii="仿宋" w:hAnsi="仿宋" w:eastAsia="仿宋" w:cs="仿宋"/>
          <w:b/>
          <w:color w:val="auto"/>
          <w:sz w:val="28"/>
        </w:rPr>
      </w:pPr>
      <w:r>
        <w:rPr>
          <w:rFonts w:hint="eastAsia" w:ascii="仿宋" w:hAnsi="仿宋" w:eastAsia="仿宋" w:cs="仿宋"/>
          <w:b/>
          <w:color w:val="auto"/>
          <w:sz w:val="28"/>
        </w:rPr>
        <w:t>17.2 供应商应将填好的开标一览表</w:t>
      </w:r>
      <w:r>
        <w:rPr>
          <w:rFonts w:hint="eastAsia" w:ascii="仿宋" w:hAnsi="仿宋" w:eastAsia="仿宋" w:cs="仿宋"/>
          <w:b/>
          <w:color w:val="auto"/>
          <w:sz w:val="28"/>
          <w:lang w:val="en-US" w:eastAsia="zh-CN"/>
        </w:rPr>
        <w:t>及电子版投标文件分别</w:t>
      </w:r>
      <w:r>
        <w:rPr>
          <w:rFonts w:hint="eastAsia" w:ascii="仿宋" w:hAnsi="仿宋" w:eastAsia="仿宋" w:cs="仿宋"/>
          <w:b/>
          <w:color w:val="auto"/>
          <w:sz w:val="28"/>
        </w:rPr>
        <w:t>单独</w:t>
      </w:r>
      <w:r>
        <w:rPr>
          <w:rFonts w:hint="eastAsia" w:ascii="仿宋" w:hAnsi="仿宋" w:eastAsia="仿宋" w:cs="仿宋"/>
          <w:b/>
          <w:bCs/>
          <w:color w:val="auto"/>
          <w:sz w:val="28"/>
        </w:rPr>
        <w:t>密封一份在信袋内，在密封处加盖公章（或合同专用章），在信袋上注明“开标一览表”</w:t>
      </w:r>
      <w:r>
        <w:rPr>
          <w:rFonts w:hint="eastAsia" w:ascii="仿宋" w:hAnsi="仿宋" w:eastAsia="仿宋" w:cs="仿宋"/>
          <w:b/>
          <w:bCs/>
          <w:color w:val="auto"/>
          <w:sz w:val="28"/>
          <w:lang w:val="en-US" w:eastAsia="zh-CN"/>
        </w:rPr>
        <w:t>及“</w:t>
      </w:r>
      <w:r>
        <w:rPr>
          <w:rFonts w:hint="eastAsia" w:ascii="仿宋" w:hAnsi="仿宋" w:eastAsia="仿宋" w:cs="仿宋"/>
          <w:b/>
          <w:color w:val="auto"/>
          <w:sz w:val="28"/>
          <w:lang w:val="en-US" w:eastAsia="zh-CN"/>
        </w:rPr>
        <w:t>电子版投标文件</w:t>
      </w:r>
      <w:r>
        <w:rPr>
          <w:rFonts w:hint="eastAsia" w:ascii="仿宋" w:hAnsi="仿宋" w:eastAsia="仿宋" w:cs="仿宋"/>
          <w:b/>
          <w:bCs/>
          <w:color w:val="auto"/>
          <w:sz w:val="28"/>
          <w:lang w:val="en-US" w:eastAsia="zh-CN"/>
        </w:rPr>
        <w:t>”</w:t>
      </w:r>
      <w:r>
        <w:rPr>
          <w:rFonts w:hint="eastAsia" w:ascii="仿宋" w:hAnsi="仿宋" w:eastAsia="仿宋" w:cs="仿宋"/>
          <w:b/>
          <w:bCs/>
          <w:color w:val="auto"/>
          <w:sz w:val="28"/>
        </w:rPr>
        <w:t>字样，作为投标文件的一部分</w:t>
      </w:r>
      <w:r>
        <w:rPr>
          <w:rFonts w:hint="eastAsia" w:ascii="仿宋" w:hAnsi="仿宋" w:eastAsia="仿宋" w:cs="仿宋"/>
          <w:b/>
          <w:color w:val="auto"/>
          <w:sz w:val="28"/>
        </w:rPr>
        <w:t>。</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17.3 所有投标文件信袋封口处均应加贴封条，封条上应写明：</w:t>
      </w:r>
    </w:p>
    <w:p>
      <w:pPr>
        <w:pStyle w:val="26"/>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⑴采购代理机构单位：新疆新之建工程咨询有限公司</w:t>
      </w:r>
    </w:p>
    <w:p>
      <w:pPr>
        <w:pStyle w:val="26"/>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 xml:space="preserve">⑵项目名称： </w:t>
      </w:r>
    </w:p>
    <w:p>
      <w:pPr>
        <w:pStyle w:val="26"/>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⑶招标编号：</w:t>
      </w:r>
    </w:p>
    <w:p>
      <w:pPr>
        <w:pStyle w:val="26"/>
        <w:tabs>
          <w:tab w:val="center" w:pos="5099"/>
        </w:tabs>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⑷投标企业名称和地址：</w:t>
      </w:r>
    </w:p>
    <w:p>
      <w:pPr>
        <w:pStyle w:val="26"/>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⑸注明“开标前不准启封”，“正本”，“副本”，“开标一览表”，“电子版投标文件”。</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17.4 未按本须知要求密封、标记和投递的投标文件，采购代理机构不对其后果负责。</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18. 投标文件递交的截止日期</w:t>
      </w:r>
    </w:p>
    <w:p>
      <w:pPr>
        <w:pStyle w:val="26"/>
        <w:spacing w:line="540" w:lineRule="exact"/>
        <w:ind w:firstLine="560" w:firstLineChars="200"/>
        <w:jc w:val="both"/>
        <w:rPr>
          <w:rFonts w:hint="eastAsia" w:ascii="仿宋" w:hAnsi="仿宋" w:eastAsia="仿宋" w:cs="仿宋"/>
          <w:color w:val="auto"/>
          <w:sz w:val="28"/>
          <w:u w:val="single"/>
        </w:rPr>
      </w:pPr>
      <w:r>
        <w:rPr>
          <w:rFonts w:hint="eastAsia" w:ascii="仿宋" w:hAnsi="仿宋" w:eastAsia="仿宋" w:cs="仿宋"/>
          <w:color w:val="auto"/>
          <w:sz w:val="28"/>
        </w:rPr>
        <w:t>18.1 供应商必须在《投标须知前附表》中规定的时间之前将投标文件送达到规定的地点。</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18.2 超过招标文件规定的投标截止时间送达的投标文件将不予接受。</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19. 投标文件的修改、撤回和撤销</w:t>
      </w:r>
    </w:p>
    <w:p>
      <w:pPr>
        <w:pStyle w:val="28"/>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19.1 供应商对其投标文件进行的修改或撤回应以书面形式并在招标文件规定的投标截止时间前送达或邮寄到采购代理机构手中。</w:t>
      </w:r>
    </w:p>
    <w:p>
      <w:pPr>
        <w:pStyle w:val="28"/>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19.2 供应商对投标文件的修改或撤回应按第17和18条规定进行准备、密封、标注和递交。</w:t>
      </w:r>
    </w:p>
    <w:p>
      <w:pPr>
        <w:pStyle w:val="28"/>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19.3 投标截止时间以后，不允许对投标文件进行修改。</w:t>
      </w:r>
    </w:p>
    <w:p>
      <w:pPr>
        <w:pStyle w:val="28"/>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19.4 供应商不得在投标截止时间起至投标文件有效期满前撤销投标文件，否则其投标保证金将被没收。</w:t>
      </w:r>
    </w:p>
    <w:p>
      <w:pPr>
        <w:pStyle w:val="28"/>
        <w:spacing w:line="540" w:lineRule="exact"/>
        <w:ind w:firstLine="560"/>
        <w:jc w:val="both"/>
        <w:rPr>
          <w:rFonts w:hint="eastAsia" w:ascii="仿宋" w:hAnsi="仿宋" w:eastAsia="仿宋" w:cs="仿宋"/>
          <w:b/>
          <w:color w:val="auto"/>
          <w:sz w:val="28"/>
        </w:rPr>
      </w:pPr>
      <w:r>
        <w:rPr>
          <w:rFonts w:hint="eastAsia" w:ascii="仿宋" w:hAnsi="仿宋" w:eastAsia="仿宋" w:cs="仿宋"/>
          <w:b/>
          <w:color w:val="auto"/>
          <w:sz w:val="28"/>
        </w:rPr>
        <w:t>20.</w:t>
      </w:r>
      <w:r>
        <w:rPr>
          <w:rFonts w:hint="eastAsia" w:ascii="仿宋" w:hAnsi="仿宋" w:eastAsia="仿宋" w:cs="仿宋"/>
          <w:b/>
          <w:color w:val="auto"/>
          <w:sz w:val="23"/>
          <w:szCs w:val="23"/>
        </w:rPr>
        <w:t xml:space="preserve"> </w:t>
      </w:r>
      <w:r>
        <w:rPr>
          <w:rFonts w:hint="eastAsia" w:ascii="仿宋" w:hAnsi="仿宋" w:eastAsia="仿宋" w:cs="仿宋"/>
          <w:b/>
          <w:color w:val="auto"/>
          <w:sz w:val="28"/>
        </w:rPr>
        <w:t>有下列情形之一的，视为供应商串通投标，其投标无效：</w:t>
      </w:r>
    </w:p>
    <w:p>
      <w:pPr>
        <w:pStyle w:val="28"/>
        <w:spacing w:line="540" w:lineRule="exact"/>
        <w:ind w:firstLine="560"/>
        <w:jc w:val="both"/>
        <w:rPr>
          <w:rFonts w:hint="eastAsia" w:ascii="仿宋" w:hAnsi="仿宋" w:eastAsia="仿宋" w:cs="仿宋"/>
          <w:b/>
          <w:color w:val="auto"/>
          <w:sz w:val="28"/>
        </w:rPr>
      </w:pPr>
      <w:r>
        <w:rPr>
          <w:rFonts w:hint="eastAsia" w:ascii="仿宋" w:hAnsi="仿宋" w:eastAsia="仿宋" w:cs="仿宋"/>
          <w:b/>
          <w:color w:val="auto"/>
          <w:sz w:val="28"/>
        </w:rPr>
        <w:t>⑴ 不同供应商的投标文件由同一单位或者个人编制;</w:t>
      </w:r>
    </w:p>
    <w:p>
      <w:pPr>
        <w:pStyle w:val="28"/>
        <w:spacing w:line="540" w:lineRule="exact"/>
        <w:ind w:firstLine="560"/>
        <w:jc w:val="both"/>
        <w:rPr>
          <w:rFonts w:hint="eastAsia" w:ascii="仿宋" w:hAnsi="仿宋" w:eastAsia="仿宋" w:cs="仿宋"/>
          <w:b/>
          <w:color w:val="auto"/>
          <w:sz w:val="28"/>
        </w:rPr>
      </w:pPr>
      <w:r>
        <w:rPr>
          <w:rFonts w:hint="eastAsia" w:ascii="仿宋" w:hAnsi="仿宋" w:eastAsia="仿宋" w:cs="仿宋"/>
          <w:b/>
          <w:color w:val="auto"/>
          <w:sz w:val="28"/>
        </w:rPr>
        <w:t>⑵ 不同供应商委托同一单位或者个人办理投标事宜;</w:t>
      </w:r>
    </w:p>
    <w:p>
      <w:pPr>
        <w:pStyle w:val="28"/>
        <w:spacing w:line="540" w:lineRule="exact"/>
        <w:ind w:firstLine="560"/>
        <w:jc w:val="both"/>
        <w:rPr>
          <w:rFonts w:hint="eastAsia" w:ascii="仿宋" w:hAnsi="仿宋" w:eastAsia="仿宋" w:cs="仿宋"/>
          <w:b/>
          <w:color w:val="auto"/>
          <w:sz w:val="28"/>
        </w:rPr>
      </w:pPr>
      <w:r>
        <w:rPr>
          <w:rFonts w:hint="eastAsia" w:ascii="仿宋" w:hAnsi="仿宋" w:eastAsia="仿宋" w:cs="仿宋"/>
          <w:b/>
          <w:color w:val="auto"/>
          <w:sz w:val="28"/>
        </w:rPr>
        <w:t>⑶ 不同供应商的投标文件载明的项目管理成员或者联系人员为同一人;</w:t>
      </w:r>
    </w:p>
    <w:p>
      <w:pPr>
        <w:pStyle w:val="28"/>
        <w:spacing w:line="540" w:lineRule="exact"/>
        <w:ind w:firstLine="560"/>
        <w:jc w:val="both"/>
        <w:rPr>
          <w:rFonts w:hint="eastAsia" w:ascii="仿宋" w:hAnsi="仿宋" w:eastAsia="仿宋" w:cs="仿宋"/>
          <w:b/>
          <w:color w:val="auto"/>
          <w:sz w:val="28"/>
        </w:rPr>
      </w:pPr>
      <w:r>
        <w:rPr>
          <w:rFonts w:hint="eastAsia" w:ascii="仿宋" w:hAnsi="仿宋" w:eastAsia="仿宋" w:cs="仿宋"/>
          <w:b/>
          <w:color w:val="auto"/>
          <w:sz w:val="28"/>
        </w:rPr>
        <w:t>⑷ 不同供应商的投标文件异常一致或者投标报价呈规律性差异;</w:t>
      </w:r>
    </w:p>
    <w:p>
      <w:pPr>
        <w:pStyle w:val="28"/>
        <w:spacing w:line="540" w:lineRule="exact"/>
        <w:ind w:firstLine="560"/>
        <w:jc w:val="both"/>
        <w:rPr>
          <w:rFonts w:hint="eastAsia" w:ascii="仿宋" w:hAnsi="仿宋" w:eastAsia="仿宋" w:cs="仿宋"/>
          <w:b/>
          <w:color w:val="auto"/>
          <w:sz w:val="28"/>
        </w:rPr>
      </w:pPr>
      <w:r>
        <w:rPr>
          <w:rFonts w:hint="eastAsia" w:ascii="仿宋" w:hAnsi="仿宋" w:eastAsia="仿宋" w:cs="仿宋"/>
          <w:b/>
          <w:color w:val="auto"/>
          <w:sz w:val="28"/>
        </w:rPr>
        <w:t>⑸ 不同供应商的投标文件相互混装;</w:t>
      </w:r>
    </w:p>
    <w:p>
      <w:pPr>
        <w:pStyle w:val="28"/>
        <w:spacing w:line="540" w:lineRule="exact"/>
        <w:ind w:firstLine="560"/>
        <w:jc w:val="both"/>
        <w:rPr>
          <w:rFonts w:hint="eastAsia" w:ascii="仿宋" w:hAnsi="仿宋" w:eastAsia="仿宋" w:cs="仿宋"/>
          <w:b/>
          <w:color w:val="auto"/>
          <w:sz w:val="23"/>
          <w:szCs w:val="23"/>
        </w:rPr>
      </w:pPr>
      <w:r>
        <w:rPr>
          <w:rFonts w:hint="eastAsia" w:ascii="仿宋" w:hAnsi="仿宋" w:eastAsia="仿宋" w:cs="仿宋"/>
          <w:b/>
          <w:color w:val="auto"/>
          <w:sz w:val="28"/>
        </w:rPr>
        <w:t>⑹ 不同供应商的投标保证金从同一单位或者个人的账户转出</w:t>
      </w:r>
      <w:r>
        <w:rPr>
          <w:rFonts w:hint="eastAsia" w:ascii="仿宋" w:hAnsi="仿宋" w:eastAsia="仿宋" w:cs="仿宋"/>
          <w:b/>
          <w:color w:val="auto"/>
          <w:sz w:val="23"/>
          <w:szCs w:val="23"/>
        </w:rPr>
        <w:t>。</w:t>
      </w:r>
    </w:p>
    <w:p>
      <w:pPr>
        <w:pStyle w:val="27"/>
        <w:spacing w:beforeLines="0" w:afterLines="0" w:line="520" w:lineRule="exact"/>
        <w:rPr>
          <w:rFonts w:hint="eastAsia" w:ascii="仿宋" w:hAnsi="仿宋" w:eastAsia="仿宋" w:cs="仿宋"/>
          <w:color w:val="auto"/>
          <w:kern w:val="0"/>
          <w:sz w:val="28"/>
          <w:szCs w:val="24"/>
        </w:rPr>
      </w:pPr>
      <w:r>
        <w:rPr>
          <w:rFonts w:hint="eastAsia" w:ascii="仿宋" w:hAnsi="仿宋" w:eastAsia="仿宋" w:cs="仿宋"/>
          <w:color w:val="auto"/>
          <w:kern w:val="0"/>
          <w:sz w:val="28"/>
          <w:szCs w:val="24"/>
        </w:rPr>
        <w:t>五、开标</w:t>
      </w:r>
    </w:p>
    <w:p>
      <w:pPr>
        <w:pStyle w:val="28"/>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21. 开标</w:t>
      </w:r>
    </w:p>
    <w:p>
      <w:pPr>
        <w:pStyle w:val="26"/>
        <w:spacing w:line="540" w:lineRule="exact"/>
        <w:ind w:left="1" w:firstLine="562" w:firstLineChars="201"/>
        <w:jc w:val="both"/>
        <w:rPr>
          <w:rFonts w:hint="eastAsia" w:ascii="仿宋" w:hAnsi="仿宋" w:eastAsia="仿宋" w:cs="仿宋"/>
          <w:color w:val="auto"/>
          <w:sz w:val="28"/>
          <w:u w:val="single"/>
        </w:rPr>
      </w:pPr>
      <w:r>
        <w:rPr>
          <w:rFonts w:hint="eastAsia" w:ascii="仿宋" w:hAnsi="仿宋" w:eastAsia="仿宋" w:cs="仿宋"/>
          <w:color w:val="auto"/>
          <w:sz w:val="28"/>
        </w:rPr>
        <w:t>21.1 除非采购代理机构另外书面通知，本项目将按本招标文件《投标须知前附表》中规定的时间和地点开标。</w:t>
      </w:r>
    </w:p>
    <w:p>
      <w:pPr>
        <w:pStyle w:val="26"/>
        <w:spacing w:line="540" w:lineRule="exact"/>
        <w:ind w:firstLine="560"/>
        <w:jc w:val="both"/>
        <w:rPr>
          <w:rFonts w:hint="eastAsia" w:ascii="仿宋" w:hAnsi="仿宋" w:eastAsia="仿宋" w:cs="仿宋"/>
          <w:bCs/>
          <w:color w:val="auto"/>
          <w:sz w:val="28"/>
          <w:szCs w:val="28"/>
        </w:rPr>
      </w:pPr>
      <w:r>
        <w:rPr>
          <w:rFonts w:hint="eastAsia" w:ascii="仿宋" w:hAnsi="仿宋" w:eastAsia="仿宋" w:cs="仿宋"/>
          <w:color w:val="auto"/>
          <w:sz w:val="28"/>
        </w:rPr>
        <w:t xml:space="preserve">21.2 </w:t>
      </w:r>
      <w:r>
        <w:rPr>
          <w:rFonts w:hint="eastAsia" w:ascii="仿宋" w:hAnsi="仿宋" w:eastAsia="仿宋" w:cs="仿宋"/>
          <w:bCs/>
          <w:color w:val="auto"/>
          <w:sz w:val="28"/>
          <w:szCs w:val="28"/>
        </w:rPr>
        <w:t>开标时，供应商须在密封的磋商文件之外</w:t>
      </w:r>
      <w:r>
        <w:rPr>
          <w:rFonts w:hint="eastAsia" w:ascii="仿宋" w:hAnsi="仿宋" w:eastAsia="仿宋" w:cs="仿宋"/>
          <w:bCs/>
          <w:color w:val="auto"/>
          <w:sz w:val="28"/>
          <w:szCs w:val="28"/>
          <w:em w:val="dot"/>
        </w:rPr>
        <w:t>随身携带</w:t>
      </w:r>
      <w:r>
        <w:rPr>
          <w:rFonts w:hint="eastAsia" w:ascii="仿宋" w:hAnsi="仿宋" w:eastAsia="仿宋" w:cs="仿宋"/>
          <w:bCs/>
          <w:color w:val="auto"/>
          <w:sz w:val="28"/>
          <w:szCs w:val="28"/>
        </w:rPr>
        <w:t>法定代表人或被授权代表的身份证原件或法人授权书或法人身份证明书原件、营业执照原件、医疗器械经营（生产）许可证原件，或者针对以上证件开具的公证书原件，以备开标结束后，采购人对其资格进行审查。</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21.3 开标时唱《开标一览表》的内容，供应商名称、数量和投标价格等在唱标时一并唱出。</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21.4 唱标完毕后，如果供应商对所唱《开标一览表》内容有异议，应当场立即提出。经现场公证人员及监标人员确认，认为有必要重新唱标的，由唱标员重新唱标。</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21.5 所有唱标均记录在案，并经各供应商代表、公证人员和监标人员签字，作为各供应商投标文件的组成部分。</w:t>
      </w:r>
    </w:p>
    <w:p>
      <w:pPr>
        <w:pStyle w:val="27"/>
        <w:spacing w:beforeLines="0" w:afterLines="0" w:line="520" w:lineRule="exact"/>
        <w:rPr>
          <w:rFonts w:hint="eastAsia" w:ascii="仿宋" w:hAnsi="仿宋" w:eastAsia="仿宋" w:cs="仿宋"/>
          <w:color w:val="auto"/>
          <w:kern w:val="0"/>
          <w:sz w:val="28"/>
          <w:szCs w:val="24"/>
        </w:rPr>
      </w:pPr>
      <w:r>
        <w:rPr>
          <w:rFonts w:hint="eastAsia" w:ascii="仿宋" w:hAnsi="仿宋" w:eastAsia="仿宋" w:cs="仿宋"/>
          <w:color w:val="auto"/>
          <w:kern w:val="0"/>
          <w:sz w:val="28"/>
          <w:szCs w:val="24"/>
        </w:rPr>
        <w:t>六、资格审查</w:t>
      </w:r>
    </w:p>
    <w:p>
      <w:pPr>
        <w:pStyle w:val="26"/>
        <w:spacing w:line="540" w:lineRule="exact"/>
        <w:ind w:firstLine="561"/>
        <w:rPr>
          <w:rFonts w:hint="eastAsia" w:ascii="仿宋" w:hAnsi="仿宋" w:eastAsia="仿宋" w:cs="仿宋"/>
          <w:color w:val="auto"/>
          <w:sz w:val="28"/>
        </w:rPr>
      </w:pPr>
      <w:r>
        <w:rPr>
          <w:rFonts w:hint="eastAsia" w:ascii="仿宋" w:hAnsi="仿宋" w:eastAsia="仿宋" w:cs="仿宋"/>
          <w:color w:val="auto"/>
          <w:sz w:val="28"/>
        </w:rPr>
        <w:t>22. 资格审查</w:t>
      </w:r>
    </w:p>
    <w:p>
      <w:pPr>
        <w:pStyle w:val="26"/>
        <w:spacing w:line="540" w:lineRule="exact"/>
        <w:ind w:firstLine="561"/>
        <w:rPr>
          <w:rFonts w:hint="eastAsia" w:ascii="仿宋" w:hAnsi="仿宋" w:eastAsia="仿宋" w:cs="仿宋"/>
          <w:b/>
          <w:color w:val="auto"/>
          <w:sz w:val="28"/>
        </w:rPr>
      </w:pPr>
      <w:r>
        <w:rPr>
          <w:rFonts w:hint="eastAsia" w:ascii="仿宋" w:hAnsi="仿宋" w:eastAsia="仿宋" w:cs="仿宋"/>
          <w:b/>
          <w:color w:val="auto"/>
          <w:sz w:val="28"/>
        </w:rPr>
        <w:t>22.1 开标结束后，采购人按照本章第8.1.1条中第1-</w:t>
      </w:r>
      <w:r>
        <w:rPr>
          <w:rFonts w:hint="eastAsia" w:ascii="仿宋" w:hAnsi="仿宋" w:eastAsia="仿宋" w:cs="仿宋"/>
          <w:b/>
          <w:color w:val="auto"/>
          <w:sz w:val="28"/>
          <w:lang w:val="en-US" w:eastAsia="zh-CN"/>
        </w:rPr>
        <w:t>6</w:t>
      </w:r>
      <w:r>
        <w:rPr>
          <w:rFonts w:hint="eastAsia" w:ascii="仿宋" w:hAnsi="仿宋" w:eastAsia="仿宋" w:cs="仿宋"/>
          <w:b/>
          <w:color w:val="auto"/>
          <w:sz w:val="28"/>
        </w:rPr>
        <w:t>项规定的内容对各供应商的投标文件进行资格审查。资格审查不合格的，其投标无效。</w:t>
      </w:r>
    </w:p>
    <w:p>
      <w:pPr>
        <w:pStyle w:val="26"/>
        <w:spacing w:line="540" w:lineRule="exact"/>
        <w:ind w:firstLine="561"/>
        <w:rPr>
          <w:rFonts w:hint="eastAsia" w:ascii="仿宋" w:hAnsi="仿宋" w:eastAsia="仿宋" w:cs="仿宋"/>
          <w:b/>
          <w:color w:val="auto"/>
          <w:sz w:val="28"/>
        </w:rPr>
      </w:pPr>
      <w:r>
        <w:rPr>
          <w:rFonts w:hint="eastAsia" w:ascii="仿宋" w:hAnsi="仿宋" w:eastAsia="仿宋" w:cs="仿宋"/>
          <w:color w:val="auto"/>
          <w:sz w:val="28"/>
        </w:rPr>
        <w:t>22.2 合格供应商不足三家的，不进行评标。</w:t>
      </w:r>
    </w:p>
    <w:p>
      <w:pPr>
        <w:pStyle w:val="27"/>
        <w:spacing w:beforeLines="0" w:afterLines="0" w:line="520" w:lineRule="exact"/>
        <w:rPr>
          <w:rFonts w:hint="eastAsia" w:ascii="仿宋" w:hAnsi="仿宋" w:eastAsia="仿宋" w:cs="仿宋"/>
          <w:color w:val="auto"/>
          <w:kern w:val="0"/>
          <w:sz w:val="28"/>
          <w:szCs w:val="24"/>
        </w:rPr>
      </w:pPr>
      <w:r>
        <w:rPr>
          <w:rFonts w:hint="eastAsia" w:ascii="仿宋" w:hAnsi="仿宋" w:eastAsia="仿宋" w:cs="仿宋"/>
          <w:color w:val="auto"/>
          <w:kern w:val="0"/>
          <w:sz w:val="28"/>
          <w:szCs w:val="24"/>
        </w:rPr>
        <w:t>七、评标和定标</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23. 评标原则</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23.1 本项目的评标遵循公平、公正、科学、择优的原则。</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23.2 评标委员会将严格按照《中华人民共和国政府采购法》及其实施条例（658号令）、《政府采购货物和服务招标投标管理办法》（财政部87号令）、《财政部关于加强政府采购货物和服务项目价格评审管理的通知》财库（2007）2号文等相关法律法规的规定依法评标，维护招标投标各方当事人的合法权益。</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23.3 不徇私情，不明招暗定。</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23.4 资格审查合格的供应商，均有同等机会参加竞争。</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23.5 评标人员不得私自泄露评标内容，不得进行旨在影响评标结果公正、公平的任何活动。</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24. 评标方法</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24.1 采购代理机构将根据有关法律法规的规定组建本次招标的评标委员会。评标委员会成员由本行业相关技术、经济等方面的专家组成。其中，技术、经济等方面的专家不少于成员总人数的三分之二。</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24.2 评标的依据为招标文件和投标文件。根据相关法律法规的规定，评标委员会不以任何外部证据作为其评标的依据或标准。</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24.3 评标过程将严格保密。开标后直到授予中标人合同止，凡是属于审查、澄清、评价和比较的有关评标资料以及授标建议等均不得向供应商或其他无关的人员透露。</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24.4 在评标的整个过程中，供应商所进行的旨在影响评标结果的活动，可能导致其投标被拒绝，或者被取消中标资格。</w:t>
      </w:r>
    </w:p>
    <w:p>
      <w:pPr>
        <w:pStyle w:val="26"/>
        <w:spacing w:line="540" w:lineRule="exact"/>
        <w:ind w:firstLine="562"/>
        <w:jc w:val="both"/>
        <w:rPr>
          <w:rFonts w:hint="eastAsia" w:ascii="仿宋" w:hAnsi="仿宋" w:eastAsia="仿宋" w:cs="仿宋"/>
          <w:b/>
          <w:color w:val="auto"/>
          <w:sz w:val="28"/>
        </w:rPr>
      </w:pPr>
      <w:r>
        <w:rPr>
          <w:rFonts w:hint="eastAsia" w:ascii="仿宋" w:hAnsi="仿宋" w:eastAsia="仿宋" w:cs="仿宋"/>
          <w:b/>
          <w:color w:val="auto"/>
          <w:sz w:val="28"/>
        </w:rPr>
        <w:t>24.5 本次招标采用综合评分法进行评标。评标分符合性审查和详细评审两个阶段。</w:t>
      </w:r>
    </w:p>
    <w:p>
      <w:pPr>
        <w:pStyle w:val="26"/>
        <w:spacing w:line="540" w:lineRule="exact"/>
        <w:ind w:firstLine="562"/>
        <w:jc w:val="both"/>
        <w:rPr>
          <w:rFonts w:hint="eastAsia" w:ascii="仿宋" w:hAnsi="仿宋" w:eastAsia="仿宋" w:cs="仿宋"/>
          <w:b/>
          <w:color w:val="auto"/>
          <w:sz w:val="28"/>
        </w:rPr>
      </w:pPr>
      <w:r>
        <w:rPr>
          <w:rFonts w:hint="eastAsia" w:ascii="仿宋" w:hAnsi="仿宋" w:eastAsia="仿宋" w:cs="仿宋"/>
          <w:b/>
          <w:color w:val="auto"/>
          <w:sz w:val="28"/>
        </w:rPr>
        <w:t>24.5.1 只有通过符合性审查的投标文件才可进入详细评审阶段。</w:t>
      </w:r>
    </w:p>
    <w:p>
      <w:pPr>
        <w:pStyle w:val="26"/>
        <w:spacing w:line="540" w:lineRule="exact"/>
        <w:ind w:firstLine="562"/>
        <w:jc w:val="both"/>
        <w:rPr>
          <w:rFonts w:hint="eastAsia" w:ascii="仿宋" w:hAnsi="仿宋" w:eastAsia="仿宋" w:cs="仿宋"/>
          <w:color w:val="auto"/>
          <w:sz w:val="28"/>
        </w:rPr>
      </w:pPr>
      <w:r>
        <w:rPr>
          <w:rFonts w:hint="eastAsia" w:ascii="仿宋" w:hAnsi="仿宋" w:eastAsia="仿宋" w:cs="仿宋"/>
          <w:b/>
          <w:color w:val="auto"/>
          <w:sz w:val="28"/>
        </w:rPr>
        <w:t>24.5.2 详细评审分为商务评审（含投标报价得分计算）和技术评审两个部分。</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24.6 符合性审查</w:t>
      </w:r>
    </w:p>
    <w:p>
      <w:pPr>
        <w:pStyle w:val="26"/>
        <w:spacing w:line="540" w:lineRule="exact"/>
        <w:ind w:firstLine="560"/>
        <w:jc w:val="both"/>
        <w:rPr>
          <w:rFonts w:hint="eastAsia" w:ascii="仿宋" w:hAnsi="仿宋" w:eastAsia="仿宋" w:cs="仿宋"/>
          <w:b/>
          <w:color w:val="auto"/>
          <w:sz w:val="28"/>
        </w:rPr>
      </w:pPr>
      <w:r>
        <w:rPr>
          <w:rFonts w:hint="eastAsia" w:ascii="仿宋" w:hAnsi="仿宋" w:eastAsia="仿宋" w:cs="仿宋"/>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rPr>
        <w:t>与招标文件有重大偏离的投标文件将被拒绝，投标无效。具体评审内容系指：</w:t>
      </w:r>
    </w:p>
    <w:p>
      <w:pPr>
        <w:pStyle w:val="17"/>
        <w:spacing w:before="0" w:beforeAutospacing="0" w:after="0" w:afterAutospacing="0"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24.6.1 投标文件组成不完整，主要内容未能按招标文件规定的内容、格式填写、装订；</w:t>
      </w:r>
    </w:p>
    <w:p>
      <w:pPr>
        <w:pStyle w:val="17"/>
        <w:spacing w:before="0" w:beforeAutospacing="0" w:after="0" w:afterAutospacing="0"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24.6.2 投标文件的有效期不满足招标文件的规定；</w:t>
      </w:r>
    </w:p>
    <w:p>
      <w:pPr>
        <w:pStyle w:val="17"/>
        <w:spacing w:before="0" w:beforeAutospacing="0" w:after="0" w:afterAutospacing="0"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24.6.3 投标代表授权书未能由法定代表人签署</w:t>
      </w:r>
      <w:r>
        <w:rPr>
          <w:rFonts w:hint="eastAsia" w:ascii="仿宋" w:hAnsi="仿宋" w:eastAsia="仿宋" w:cs="仿宋"/>
          <w:b/>
          <w:color w:val="auto"/>
          <w:sz w:val="28"/>
          <w:lang w:val="zh-CN"/>
        </w:rPr>
        <w:t>并加盖公章</w:t>
      </w:r>
      <w:r>
        <w:rPr>
          <w:rFonts w:hint="eastAsia" w:ascii="仿宋" w:hAnsi="仿宋" w:eastAsia="仿宋" w:cs="仿宋"/>
          <w:b/>
          <w:color w:val="auto"/>
          <w:sz w:val="28"/>
        </w:rPr>
        <w:t>；</w:t>
      </w:r>
    </w:p>
    <w:p>
      <w:pPr>
        <w:pStyle w:val="26"/>
        <w:spacing w:line="540" w:lineRule="exact"/>
        <w:ind w:firstLine="562" w:firstLineChars="200"/>
        <w:jc w:val="both"/>
        <w:rPr>
          <w:rFonts w:hint="eastAsia" w:ascii="仿宋" w:hAnsi="仿宋" w:eastAsia="仿宋" w:cs="仿宋"/>
          <w:b/>
          <w:color w:val="auto"/>
          <w:sz w:val="28"/>
        </w:rPr>
      </w:pPr>
      <w:r>
        <w:rPr>
          <w:rFonts w:hint="eastAsia" w:ascii="仿宋" w:hAnsi="仿宋" w:eastAsia="仿宋" w:cs="仿宋"/>
          <w:b/>
          <w:color w:val="auto"/>
          <w:sz w:val="28"/>
        </w:rPr>
        <w:t>24.6.4 投标文件没有按照规定在应由企业法人或法人授权代表在所有规定签章处逐一签署及加盖单位公章的；</w:t>
      </w:r>
    </w:p>
    <w:p>
      <w:pPr>
        <w:pStyle w:val="17"/>
        <w:spacing w:before="0" w:beforeAutospacing="0" w:after="0" w:afterAutospacing="0"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24.6.5 投标文件针对同一种货物出现了两个或两个以上的报价；</w:t>
      </w:r>
    </w:p>
    <w:p>
      <w:pPr>
        <w:pStyle w:val="17"/>
        <w:spacing w:before="0" w:beforeAutospacing="0" w:after="0" w:afterAutospacing="0"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24.6.6 明显不符合招标文件关于对招标货物技术规格和标准的要求；</w:t>
      </w:r>
    </w:p>
    <w:p>
      <w:pPr>
        <w:pStyle w:val="17"/>
        <w:spacing w:before="0" w:beforeAutospacing="0" w:after="0" w:afterAutospacing="0"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24.6.7 投标文件载明的招标项目交货期限超过招标文件规定的期限；</w:t>
      </w:r>
    </w:p>
    <w:p>
      <w:pPr>
        <w:pStyle w:val="17"/>
        <w:spacing w:before="0" w:beforeAutospacing="0" w:after="0" w:afterAutospacing="0"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24.6.8 投标文件载明的供货范围、货物包装方式、检验标准和方法等不符合招标文件的要求；</w:t>
      </w:r>
    </w:p>
    <w:p>
      <w:pPr>
        <w:pStyle w:val="17"/>
        <w:spacing w:before="0" w:beforeAutospacing="0" w:after="0" w:afterAutospacing="0"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24.6.9 供应商的报价超过预算价或最高限价；</w:t>
      </w:r>
    </w:p>
    <w:p>
      <w:pPr>
        <w:pStyle w:val="17"/>
        <w:spacing w:before="0" w:beforeAutospacing="0" w:after="0" w:afterAutospacing="0"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24.6.10 投标文件含有采购人不能接受的附加条件；</w:t>
      </w:r>
    </w:p>
    <w:p>
      <w:pPr>
        <w:pStyle w:val="25"/>
        <w:spacing w:line="540" w:lineRule="exact"/>
        <w:ind w:firstLine="560"/>
        <w:rPr>
          <w:rFonts w:hint="eastAsia" w:ascii="仿宋" w:hAnsi="仿宋" w:eastAsia="仿宋"/>
          <w:b/>
          <w:color w:val="auto"/>
          <w:sz w:val="28"/>
        </w:rPr>
      </w:pPr>
      <w:r>
        <w:rPr>
          <w:rFonts w:hint="eastAsia" w:ascii="仿宋" w:hAnsi="仿宋" w:eastAsia="仿宋"/>
          <w:b/>
          <w:color w:val="auto"/>
          <w:sz w:val="28"/>
        </w:rPr>
        <w:t>24.6.11 没有实质性响应招标文件（商务条款）规定的；</w:t>
      </w:r>
    </w:p>
    <w:p>
      <w:pPr>
        <w:pStyle w:val="25"/>
        <w:spacing w:line="540" w:lineRule="exact"/>
        <w:ind w:firstLine="560"/>
        <w:rPr>
          <w:rFonts w:hint="eastAsia" w:ascii="仿宋" w:hAnsi="仿宋" w:eastAsia="仿宋"/>
          <w:b/>
          <w:color w:val="auto"/>
          <w:sz w:val="28"/>
        </w:rPr>
      </w:pPr>
      <w:r>
        <w:rPr>
          <w:rFonts w:hint="eastAsia" w:ascii="仿宋" w:hAnsi="仿宋" w:eastAsia="仿宋"/>
          <w:b/>
          <w:color w:val="auto"/>
          <w:sz w:val="28"/>
        </w:rPr>
        <w:t>24.6.12不符合法律、法规和招标文件中规定的其他实质性要求。</w:t>
      </w:r>
    </w:p>
    <w:p>
      <w:pPr>
        <w:pStyle w:val="25"/>
        <w:spacing w:line="540" w:lineRule="exact"/>
        <w:ind w:firstLine="560"/>
        <w:rPr>
          <w:rFonts w:hint="eastAsia" w:ascii="仿宋" w:hAnsi="仿宋" w:eastAsia="仿宋" w:cs="仿宋"/>
          <w:color w:val="auto"/>
        </w:rPr>
      </w:pPr>
      <w:r>
        <w:rPr>
          <w:rFonts w:hint="eastAsia" w:ascii="仿宋" w:hAnsi="仿宋" w:eastAsia="仿宋" w:cs="仿宋"/>
          <w:color w:val="auto"/>
        </w:rPr>
        <w:t>24.7 对通过符合性审查的投标文件，评标委员会将对其进行算术性修正。算术性修正是指对投标文件报价出现前后不一致的进行校核，并对其算术上和运算上的差错给予修正。修正的原则如下：</w:t>
      </w:r>
    </w:p>
    <w:p>
      <w:pPr>
        <w:pStyle w:val="17"/>
        <w:spacing w:before="0" w:beforeAutospacing="0" w:after="0" w:afterAutospacing="0"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24.7.1 投标文件中开标一览表内容与投标文件中相应内容不一致的，以开标一览表为准；</w:t>
      </w:r>
    </w:p>
    <w:p>
      <w:pPr>
        <w:pStyle w:val="17"/>
        <w:spacing w:before="0" w:beforeAutospacing="0" w:after="0" w:afterAutospacing="0"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24.7.2 投标文件的大写金额和小写金额不一致的，以大写金额为准；</w:t>
      </w:r>
    </w:p>
    <w:p>
      <w:pPr>
        <w:pStyle w:val="17"/>
        <w:spacing w:before="0" w:beforeAutospacing="0" w:after="0" w:afterAutospacing="0"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24.7.3 单价金额小数点或者百分比有明显错位的，以开标一览表的总价为准，并修改单价；</w:t>
      </w:r>
    </w:p>
    <w:p>
      <w:pPr>
        <w:pStyle w:val="17"/>
        <w:spacing w:before="0" w:beforeAutospacing="0" w:after="0" w:afterAutospacing="0"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24.7.4 总价金额与按单价汇总金额不一致的，以单价金额计算结果为准。</w:t>
      </w:r>
    </w:p>
    <w:p>
      <w:pPr>
        <w:pStyle w:val="17"/>
        <w:spacing w:before="0" w:beforeAutospacing="0" w:after="0" w:afterAutospacing="0"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24.7.5 同时出现两种以上不一致的，按照上述规定的顺序修正。</w:t>
      </w:r>
      <w:r>
        <w:rPr>
          <w:rFonts w:hint="eastAsia" w:ascii="仿宋" w:hAnsi="仿宋" w:eastAsia="仿宋" w:cs="仿宋"/>
          <w:b/>
          <w:color w:val="auto"/>
          <w:sz w:val="28"/>
        </w:rPr>
        <w:t>修正后的报价须供应商确认，如果供应商拒绝确认，其投标无效。</w:t>
      </w:r>
    </w:p>
    <w:p>
      <w:pPr>
        <w:pStyle w:val="17"/>
        <w:spacing w:before="0" w:beforeAutospacing="0" w:after="0" w:afterAutospacing="0"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24.7.6 对不同文字文本投标文件的解释发生异议的，以中文文本为准。</w:t>
      </w:r>
    </w:p>
    <w:p>
      <w:pPr>
        <w:pStyle w:val="17"/>
        <w:spacing w:before="0" w:beforeAutospacing="0" w:after="0" w:afterAutospacing="0"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24.7.7 评标委员会将拒绝被定为实质上非响应性的投标，供应商不能通过修正或撤销不符之处而使其投标成为响应性投标。</w:t>
      </w:r>
    </w:p>
    <w:p>
      <w:pPr>
        <w:pStyle w:val="17"/>
        <w:spacing w:before="0" w:beforeAutospacing="0" w:after="0" w:afterAutospacing="0" w:line="540" w:lineRule="exact"/>
        <w:ind w:firstLine="560" w:firstLineChars="200"/>
        <w:rPr>
          <w:rFonts w:hint="eastAsia" w:ascii="仿宋" w:hAnsi="仿宋" w:eastAsia="仿宋" w:cs="仿宋"/>
          <w:b/>
          <w:color w:val="auto"/>
          <w:sz w:val="28"/>
        </w:rPr>
      </w:pPr>
      <w:r>
        <w:rPr>
          <w:rFonts w:hint="eastAsia" w:ascii="仿宋" w:hAnsi="仿宋" w:eastAsia="仿宋" w:cs="仿宋"/>
          <w:color w:val="auto"/>
          <w:sz w:val="28"/>
        </w:rPr>
        <w:t>24.7.8 评标委员会将允许投标中有微小的不正规、不一致或不规则，而该微小之处不构成重大偏离。</w:t>
      </w:r>
    </w:p>
    <w:p>
      <w:pPr>
        <w:pStyle w:val="29"/>
        <w:spacing w:line="540" w:lineRule="exact"/>
        <w:ind w:firstLine="560"/>
        <w:jc w:val="both"/>
        <w:rPr>
          <w:rFonts w:hint="eastAsia" w:ascii="仿宋" w:hAnsi="仿宋" w:eastAsia="仿宋" w:cs="仿宋"/>
          <w:b w:val="0"/>
          <w:color w:val="auto"/>
          <w:kern w:val="0"/>
          <w:sz w:val="28"/>
        </w:rPr>
      </w:pPr>
      <w:r>
        <w:rPr>
          <w:rFonts w:hint="eastAsia" w:ascii="仿宋" w:hAnsi="仿宋" w:eastAsia="仿宋" w:cs="仿宋"/>
          <w:b w:val="0"/>
          <w:color w:val="auto"/>
          <w:kern w:val="0"/>
          <w:sz w:val="28"/>
        </w:rPr>
        <w:t>24.8 详细评审</w:t>
      </w:r>
    </w:p>
    <w:p>
      <w:pPr>
        <w:pStyle w:val="29"/>
        <w:spacing w:line="540" w:lineRule="exact"/>
        <w:ind w:firstLine="560"/>
        <w:jc w:val="both"/>
        <w:rPr>
          <w:rFonts w:hint="eastAsia" w:ascii="仿宋" w:hAnsi="仿宋" w:eastAsia="仿宋" w:cs="仿宋"/>
          <w:b w:val="0"/>
          <w:color w:val="auto"/>
          <w:kern w:val="0"/>
          <w:sz w:val="28"/>
        </w:rPr>
      </w:pPr>
      <w:r>
        <w:rPr>
          <w:rFonts w:hint="eastAsia" w:ascii="仿宋" w:hAnsi="仿宋" w:eastAsia="仿宋" w:cs="仿宋"/>
          <w:b w:val="0"/>
          <w:color w:val="auto"/>
          <w:kern w:val="0"/>
          <w:sz w:val="28"/>
        </w:rPr>
        <w:t>24.8.1 评标委员会对符合性审查合格的投标文件进行商务和技术评审，综合比较与评价。以投标文件能最大限度地满足招标文件中规定的各项评价标准为依据，独立地对各投标文件进行评审和打分。</w:t>
      </w:r>
    </w:p>
    <w:p>
      <w:pPr>
        <w:pStyle w:val="29"/>
        <w:spacing w:line="540" w:lineRule="exact"/>
        <w:ind w:firstLine="562"/>
        <w:jc w:val="left"/>
        <w:rPr>
          <w:rFonts w:hint="eastAsia" w:ascii="仿宋" w:hAnsi="仿宋" w:eastAsia="仿宋" w:cs="仿宋"/>
          <w:color w:val="auto"/>
          <w:sz w:val="28"/>
        </w:rPr>
      </w:pPr>
      <w:r>
        <w:rPr>
          <w:rFonts w:hint="eastAsia" w:ascii="仿宋" w:hAnsi="仿宋" w:eastAsia="仿宋" w:cs="仿宋"/>
          <w:color w:val="auto"/>
          <w:sz w:val="28"/>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pPr>
        <w:pStyle w:val="29"/>
        <w:spacing w:line="540" w:lineRule="exact"/>
        <w:ind w:firstLine="562"/>
        <w:jc w:val="both"/>
        <w:rPr>
          <w:rFonts w:hint="eastAsia" w:ascii="仿宋" w:hAnsi="仿宋" w:eastAsia="仿宋" w:cs="仿宋"/>
          <w:color w:val="auto"/>
          <w:sz w:val="28"/>
        </w:rPr>
      </w:pPr>
      <w:r>
        <w:rPr>
          <w:rFonts w:hint="eastAsia" w:ascii="仿宋" w:hAnsi="仿宋" w:eastAsia="仿宋" w:cs="仿宋"/>
          <w:color w:val="auto"/>
          <w:sz w:val="28"/>
          <w:lang w:val="en-US" w:eastAsia="zh-CN"/>
        </w:rPr>
        <w:t>第一包、第二包</w:t>
      </w:r>
      <w:r>
        <w:rPr>
          <w:rFonts w:hint="eastAsia" w:ascii="仿宋" w:hAnsi="仿宋" w:eastAsia="仿宋" w:cs="仿宋"/>
          <w:color w:val="auto"/>
          <w:sz w:val="28"/>
        </w:rPr>
        <w:t>具体分值见下表：</w:t>
      </w:r>
    </w:p>
    <w:p>
      <w:pPr>
        <w:pStyle w:val="29"/>
        <w:numPr>
          <w:ilvl w:val="0"/>
          <w:numId w:val="3"/>
        </w:numPr>
        <w:spacing w:after="156" w:afterLines="50" w:line="540" w:lineRule="exact"/>
        <w:ind w:firstLine="560" w:firstLineChars="0"/>
        <w:jc w:val="left"/>
        <w:rPr>
          <w:rFonts w:hint="eastAsia" w:ascii="仿宋" w:hAnsi="仿宋" w:eastAsia="仿宋" w:cs="仿宋"/>
          <w:b w:val="0"/>
          <w:color w:val="auto"/>
          <w:sz w:val="28"/>
        </w:rPr>
      </w:pPr>
      <w:r>
        <w:rPr>
          <w:rFonts w:hint="eastAsia" w:ascii="仿宋" w:hAnsi="仿宋" w:eastAsia="仿宋" w:cs="仿宋"/>
          <w:b w:val="0"/>
          <w:color w:val="auto"/>
          <w:sz w:val="28"/>
        </w:rPr>
        <w:t>商务部分（</w:t>
      </w:r>
      <w:r>
        <w:rPr>
          <w:rFonts w:hint="eastAsia" w:ascii="仿宋" w:hAnsi="仿宋" w:eastAsia="仿宋" w:cs="仿宋"/>
          <w:b w:val="0"/>
          <w:color w:val="auto"/>
          <w:sz w:val="24"/>
          <w:szCs w:val="24"/>
        </w:rPr>
        <w:t>40分</w:t>
      </w:r>
      <w:r>
        <w:rPr>
          <w:rFonts w:hint="eastAsia" w:ascii="仿宋" w:hAnsi="仿宋" w:eastAsia="仿宋" w:cs="仿宋"/>
          <w:b w:val="0"/>
          <w:color w:val="auto"/>
          <w:sz w:val="28"/>
        </w:rPr>
        <w:t>）</w:t>
      </w:r>
    </w:p>
    <w:tbl>
      <w:tblPr>
        <w:tblStyle w:val="20"/>
        <w:tblW w:w="9398"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08"/>
        <w:gridCol w:w="1071"/>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trPr>
        <w:tc>
          <w:tcPr>
            <w:tcW w:w="2405" w:type="dxa"/>
            <w:gridSpan w:val="2"/>
            <w:vAlign w:val="center"/>
          </w:tcPr>
          <w:p>
            <w:pPr>
              <w:pStyle w:val="3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评审项目</w:t>
            </w:r>
          </w:p>
        </w:tc>
        <w:tc>
          <w:tcPr>
            <w:tcW w:w="1071" w:type="dxa"/>
            <w:vAlign w:val="center"/>
          </w:tcPr>
          <w:p>
            <w:pPr>
              <w:pStyle w:val="3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分值</w:t>
            </w:r>
          </w:p>
        </w:tc>
        <w:tc>
          <w:tcPr>
            <w:tcW w:w="5922" w:type="dxa"/>
            <w:vAlign w:val="center"/>
          </w:tcPr>
          <w:p>
            <w:pPr>
              <w:pStyle w:val="3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405" w:type="dxa"/>
            <w:gridSpan w:val="2"/>
            <w:vAlign w:val="center"/>
          </w:tcPr>
          <w:p>
            <w:pPr>
              <w:pStyle w:val="3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价格</w:t>
            </w:r>
          </w:p>
        </w:tc>
        <w:tc>
          <w:tcPr>
            <w:tcW w:w="1071" w:type="dxa"/>
            <w:vAlign w:val="center"/>
          </w:tcPr>
          <w:p>
            <w:pPr>
              <w:pStyle w:val="3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30分</w:t>
            </w:r>
          </w:p>
        </w:tc>
        <w:tc>
          <w:tcPr>
            <w:tcW w:w="5922" w:type="dxa"/>
            <w:vAlign w:val="center"/>
          </w:tcPr>
          <w:p>
            <w:pPr>
              <w:widowControl/>
              <w:spacing w:line="36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797" w:type="dxa"/>
            <w:vMerge w:val="restart"/>
            <w:vAlign w:val="center"/>
          </w:tcPr>
          <w:p>
            <w:pPr>
              <w:pStyle w:val="30"/>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商务条件</w:t>
            </w:r>
          </w:p>
        </w:tc>
        <w:tc>
          <w:tcPr>
            <w:tcW w:w="1608" w:type="dxa"/>
            <w:vAlign w:val="center"/>
          </w:tcPr>
          <w:p>
            <w:pPr>
              <w:pStyle w:val="30"/>
              <w:spacing w:line="42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付款方式</w:t>
            </w:r>
          </w:p>
        </w:tc>
        <w:tc>
          <w:tcPr>
            <w:tcW w:w="1071" w:type="dxa"/>
            <w:vAlign w:val="center"/>
          </w:tcPr>
          <w:p>
            <w:pPr>
              <w:pStyle w:val="30"/>
              <w:spacing w:line="42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1分</w:t>
            </w:r>
          </w:p>
        </w:tc>
        <w:tc>
          <w:tcPr>
            <w:tcW w:w="5922" w:type="dxa"/>
            <w:vAlign w:val="center"/>
          </w:tcPr>
          <w:p>
            <w:pPr>
              <w:widowControl/>
              <w:spacing w:line="36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97" w:type="dxa"/>
            <w:vMerge w:val="continue"/>
            <w:vAlign w:val="center"/>
          </w:tcPr>
          <w:p>
            <w:pPr>
              <w:pStyle w:val="30"/>
              <w:spacing w:line="360" w:lineRule="exact"/>
              <w:ind w:firstLine="480"/>
              <w:rPr>
                <w:rFonts w:hint="eastAsia" w:ascii="仿宋" w:hAnsi="仿宋" w:eastAsia="仿宋" w:cs="仿宋"/>
                <w:bCs/>
                <w:color w:val="auto"/>
                <w:sz w:val="24"/>
                <w:szCs w:val="24"/>
              </w:rPr>
            </w:pPr>
          </w:p>
        </w:tc>
        <w:tc>
          <w:tcPr>
            <w:tcW w:w="1608" w:type="dxa"/>
            <w:vAlign w:val="center"/>
          </w:tcPr>
          <w:p>
            <w:pPr>
              <w:pStyle w:val="30"/>
              <w:spacing w:line="42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交货期</w:t>
            </w:r>
          </w:p>
        </w:tc>
        <w:tc>
          <w:tcPr>
            <w:tcW w:w="1071" w:type="dxa"/>
            <w:vAlign w:val="center"/>
          </w:tcPr>
          <w:p>
            <w:pPr>
              <w:pStyle w:val="30"/>
              <w:spacing w:line="42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1分</w:t>
            </w:r>
          </w:p>
        </w:tc>
        <w:tc>
          <w:tcPr>
            <w:tcW w:w="5922" w:type="dxa"/>
            <w:vAlign w:val="center"/>
          </w:tcPr>
          <w:p>
            <w:pPr>
              <w:widowControl/>
              <w:spacing w:line="36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797" w:type="dxa"/>
            <w:vMerge w:val="continue"/>
            <w:vAlign w:val="center"/>
          </w:tcPr>
          <w:p>
            <w:pPr>
              <w:pStyle w:val="30"/>
              <w:spacing w:line="360" w:lineRule="exact"/>
              <w:ind w:firstLine="480"/>
              <w:rPr>
                <w:rFonts w:hint="eastAsia" w:ascii="仿宋" w:hAnsi="仿宋" w:eastAsia="仿宋" w:cs="仿宋"/>
                <w:bCs/>
                <w:color w:val="auto"/>
                <w:sz w:val="24"/>
                <w:szCs w:val="24"/>
              </w:rPr>
            </w:pPr>
          </w:p>
        </w:tc>
        <w:tc>
          <w:tcPr>
            <w:tcW w:w="1608" w:type="dxa"/>
            <w:vAlign w:val="center"/>
          </w:tcPr>
          <w:p>
            <w:pPr>
              <w:pStyle w:val="30"/>
              <w:spacing w:line="4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业绩</w:t>
            </w:r>
          </w:p>
        </w:tc>
        <w:tc>
          <w:tcPr>
            <w:tcW w:w="1071" w:type="dxa"/>
            <w:vAlign w:val="center"/>
          </w:tcPr>
          <w:p>
            <w:pPr>
              <w:pStyle w:val="30"/>
              <w:spacing w:line="4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8分</w:t>
            </w:r>
          </w:p>
        </w:tc>
        <w:tc>
          <w:tcPr>
            <w:tcW w:w="5922" w:type="dxa"/>
            <w:vAlign w:val="center"/>
          </w:tcPr>
          <w:p>
            <w:pPr>
              <w:widowControl/>
              <w:spacing w:line="36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每提供1份业绩得1分，满分8分。以投标人提供的业绩证明资料如合同或者中标通知书复印件为准，未提供证明资料或无效的，不计分。</w:t>
            </w:r>
          </w:p>
        </w:tc>
      </w:tr>
    </w:tbl>
    <w:p>
      <w:pPr>
        <w:pStyle w:val="29"/>
        <w:spacing w:before="156" w:beforeLines="50" w:after="156" w:afterLines="50" w:line="460" w:lineRule="exact"/>
        <w:ind w:firstLine="560"/>
        <w:jc w:val="left"/>
        <w:rPr>
          <w:rFonts w:hint="eastAsia" w:ascii="仿宋" w:hAnsi="仿宋" w:eastAsia="仿宋" w:cs="仿宋"/>
          <w:color w:val="auto"/>
          <w:sz w:val="28"/>
        </w:rPr>
      </w:pPr>
      <w:r>
        <w:rPr>
          <w:rFonts w:hint="eastAsia" w:ascii="仿宋" w:hAnsi="仿宋" w:eastAsia="仿宋" w:cs="仿宋"/>
          <w:b w:val="0"/>
          <w:color w:val="auto"/>
          <w:sz w:val="28"/>
        </w:rPr>
        <w:t>B、技术部分（</w:t>
      </w:r>
      <w:r>
        <w:rPr>
          <w:rFonts w:hint="eastAsia" w:ascii="仿宋" w:hAnsi="仿宋" w:eastAsia="仿宋" w:cs="仿宋"/>
          <w:b w:val="0"/>
          <w:color w:val="auto"/>
          <w:sz w:val="24"/>
          <w:szCs w:val="24"/>
        </w:rPr>
        <w:t>60分</w:t>
      </w:r>
      <w:r>
        <w:rPr>
          <w:rFonts w:hint="eastAsia" w:ascii="仿宋" w:hAnsi="仿宋" w:eastAsia="仿宋" w:cs="仿宋"/>
          <w:b w:val="0"/>
          <w:color w:val="auto"/>
          <w:sz w:val="28"/>
        </w:rPr>
        <w:t>）</w:t>
      </w:r>
    </w:p>
    <w:tbl>
      <w:tblPr>
        <w:tblStyle w:val="20"/>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962"/>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2631" w:type="dxa"/>
            <w:vAlign w:val="center"/>
          </w:tcPr>
          <w:p>
            <w:pPr>
              <w:pStyle w:val="3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评审项目</w:t>
            </w:r>
          </w:p>
        </w:tc>
        <w:tc>
          <w:tcPr>
            <w:tcW w:w="962" w:type="dxa"/>
            <w:vAlign w:val="center"/>
          </w:tcPr>
          <w:p>
            <w:pPr>
              <w:pStyle w:val="3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分值</w:t>
            </w:r>
          </w:p>
        </w:tc>
        <w:tc>
          <w:tcPr>
            <w:tcW w:w="5919" w:type="dxa"/>
            <w:vAlign w:val="center"/>
          </w:tcPr>
          <w:p>
            <w:pPr>
              <w:pStyle w:val="3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pStyle w:val="3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技术参数响应</w:t>
            </w:r>
          </w:p>
        </w:tc>
        <w:tc>
          <w:tcPr>
            <w:tcW w:w="962" w:type="dxa"/>
            <w:vAlign w:val="center"/>
          </w:tcPr>
          <w:p>
            <w:pPr>
              <w:pStyle w:val="3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30分</w:t>
            </w:r>
          </w:p>
        </w:tc>
        <w:tc>
          <w:tcPr>
            <w:tcW w:w="5919" w:type="dxa"/>
            <w:vAlign w:val="center"/>
          </w:tcPr>
          <w:p>
            <w:pPr>
              <w:widowControl/>
              <w:spacing w:line="36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技术参数满足招标文件要求的得30分；技术条款每偏离一条扣除2分，最低得0分，最高得30分。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pStyle w:val="3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技术支持资料</w:t>
            </w:r>
          </w:p>
        </w:tc>
        <w:tc>
          <w:tcPr>
            <w:tcW w:w="962" w:type="dxa"/>
            <w:vAlign w:val="center"/>
          </w:tcPr>
          <w:p>
            <w:pPr>
              <w:pStyle w:val="3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10分</w:t>
            </w:r>
          </w:p>
        </w:tc>
        <w:tc>
          <w:tcPr>
            <w:tcW w:w="5919" w:type="dxa"/>
            <w:vAlign w:val="center"/>
          </w:tcPr>
          <w:p>
            <w:pPr>
              <w:widowControl/>
              <w:spacing w:line="36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有技术支持资料的得10分，无技术支持资料的不得分。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Align w:val="center"/>
          </w:tcPr>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授权文件</w:t>
            </w:r>
          </w:p>
        </w:tc>
        <w:tc>
          <w:tcPr>
            <w:tcW w:w="962" w:type="dxa"/>
          </w:tcPr>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6分</w:t>
            </w:r>
          </w:p>
        </w:tc>
        <w:tc>
          <w:tcPr>
            <w:tcW w:w="5919" w:type="dxa"/>
          </w:tcPr>
          <w:p>
            <w:pPr>
              <w:widowControl/>
              <w:spacing w:line="36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有针对本项目的唯一授权文件得6分，没有的不得分。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投标产品配置情况</w:t>
            </w:r>
          </w:p>
        </w:tc>
        <w:tc>
          <w:tcPr>
            <w:tcW w:w="962" w:type="dxa"/>
          </w:tcPr>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6分</w:t>
            </w:r>
          </w:p>
        </w:tc>
        <w:tc>
          <w:tcPr>
            <w:tcW w:w="5919" w:type="dxa"/>
          </w:tcPr>
          <w:p>
            <w:pPr>
              <w:widowControl/>
              <w:spacing w:line="36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投标产品最匹配技术参数的得6分，一般的得1-2分，差的得0分。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tcPr>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投标产品、设备的可靠性、稳定性</w:t>
            </w:r>
          </w:p>
        </w:tc>
        <w:tc>
          <w:tcPr>
            <w:tcW w:w="962" w:type="dxa"/>
          </w:tcPr>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6分</w:t>
            </w:r>
          </w:p>
        </w:tc>
        <w:tc>
          <w:tcPr>
            <w:tcW w:w="5919" w:type="dxa"/>
          </w:tcPr>
          <w:p>
            <w:pPr>
              <w:widowControl/>
              <w:spacing w:line="36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设备可靠性、稳定性最匹配技术参数的投标产品得6分，一般的得1-2分，差的得0分。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631" w:type="dxa"/>
            <w:vAlign w:val="center"/>
          </w:tcPr>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售后服务</w:t>
            </w:r>
          </w:p>
        </w:tc>
        <w:tc>
          <w:tcPr>
            <w:tcW w:w="962" w:type="dxa"/>
            <w:vAlign w:val="center"/>
          </w:tcPr>
          <w:p>
            <w:pPr>
              <w:widowControl/>
              <w:spacing w:line="3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2分</w:t>
            </w:r>
          </w:p>
        </w:tc>
        <w:tc>
          <w:tcPr>
            <w:tcW w:w="5919" w:type="dxa"/>
            <w:vAlign w:val="center"/>
          </w:tcPr>
          <w:p>
            <w:pPr>
              <w:widowControl/>
              <w:spacing w:line="36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生产厂家须有在中国设立经工商注册的售后服务机构，在投标文件中提供营业执照复印件并加盖投标企业公章的得2分，未提供的不得分。</w:t>
            </w:r>
          </w:p>
        </w:tc>
      </w:tr>
    </w:tbl>
    <w:p>
      <w:pPr>
        <w:pStyle w:val="29"/>
        <w:spacing w:line="540" w:lineRule="exact"/>
        <w:ind w:firstLine="562"/>
        <w:jc w:val="both"/>
        <w:rPr>
          <w:rFonts w:ascii="仿宋" w:hAnsi="仿宋" w:eastAsia="仿宋"/>
          <w:color w:val="auto"/>
          <w:sz w:val="28"/>
        </w:rPr>
      </w:pPr>
      <w:r>
        <w:rPr>
          <w:rFonts w:hint="eastAsia" w:ascii="仿宋" w:hAnsi="仿宋" w:eastAsia="仿宋"/>
          <w:color w:val="auto"/>
          <w:sz w:val="28"/>
          <w:lang w:val="en-US" w:eastAsia="zh-CN"/>
        </w:rPr>
        <w:t>第三包</w:t>
      </w:r>
      <w:r>
        <w:rPr>
          <w:rFonts w:hint="eastAsia" w:ascii="仿宋" w:hAnsi="仿宋" w:eastAsia="仿宋"/>
          <w:color w:val="auto"/>
          <w:sz w:val="28"/>
        </w:rPr>
        <w:t>具体分值见下表：</w:t>
      </w:r>
    </w:p>
    <w:p>
      <w:pPr>
        <w:pStyle w:val="29"/>
        <w:numPr>
          <w:ilvl w:val="0"/>
          <w:numId w:val="0"/>
        </w:numPr>
        <w:spacing w:after="156" w:afterLines="50" w:line="540" w:lineRule="exact"/>
        <w:ind w:firstLine="560" w:firstLineChars="200"/>
        <w:jc w:val="left"/>
        <w:rPr>
          <w:rFonts w:ascii="仿宋" w:hAnsi="仿宋" w:eastAsia="仿宋"/>
          <w:b w:val="0"/>
          <w:color w:val="auto"/>
          <w:sz w:val="28"/>
        </w:rPr>
      </w:pPr>
      <w:r>
        <w:rPr>
          <w:rFonts w:hint="eastAsia" w:ascii="仿宋" w:hAnsi="仿宋" w:eastAsia="仿宋"/>
          <w:b w:val="0"/>
          <w:color w:val="auto"/>
          <w:sz w:val="28"/>
          <w:lang w:val="en-US" w:eastAsia="zh-CN"/>
        </w:rPr>
        <w:t>A、</w:t>
      </w:r>
      <w:r>
        <w:rPr>
          <w:rFonts w:hint="eastAsia" w:ascii="仿宋" w:hAnsi="仿宋" w:eastAsia="仿宋"/>
          <w:b w:val="0"/>
          <w:color w:val="auto"/>
          <w:sz w:val="28"/>
        </w:rPr>
        <w:t>商务部分（</w:t>
      </w:r>
      <w:r>
        <w:rPr>
          <w:rFonts w:hint="eastAsia" w:ascii="仿宋" w:hAnsi="仿宋" w:eastAsia="仿宋"/>
          <w:b w:val="0"/>
          <w:color w:val="auto"/>
          <w:sz w:val="24"/>
          <w:szCs w:val="24"/>
        </w:rPr>
        <w:t>40分</w:t>
      </w:r>
      <w:r>
        <w:rPr>
          <w:rFonts w:hint="eastAsia" w:ascii="仿宋" w:hAnsi="仿宋" w:eastAsia="仿宋"/>
          <w:b w:val="0"/>
          <w:color w:val="auto"/>
          <w:sz w:val="28"/>
        </w:rPr>
        <w:t>）</w:t>
      </w:r>
    </w:p>
    <w:tbl>
      <w:tblPr>
        <w:tblStyle w:val="20"/>
        <w:tblW w:w="9017"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18"/>
        <w:gridCol w:w="1417"/>
        <w:gridCol w:w="844"/>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blHeader/>
        </w:trPr>
        <w:tc>
          <w:tcPr>
            <w:tcW w:w="2632" w:type="dxa"/>
            <w:gridSpan w:val="3"/>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评审项目</w:t>
            </w:r>
          </w:p>
        </w:tc>
        <w:tc>
          <w:tcPr>
            <w:tcW w:w="844" w:type="dxa"/>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分值</w:t>
            </w:r>
          </w:p>
        </w:tc>
        <w:tc>
          <w:tcPr>
            <w:tcW w:w="5541" w:type="dxa"/>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632" w:type="dxa"/>
            <w:gridSpan w:val="3"/>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价格</w:t>
            </w:r>
          </w:p>
        </w:tc>
        <w:tc>
          <w:tcPr>
            <w:tcW w:w="844" w:type="dxa"/>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30分</w:t>
            </w:r>
          </w:p>
        </w:tc>
        <w:tc>
          <w:tcPr>
            <w:tcW w:w="5541"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restart"/>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商务条件</w:t>
            </w:r>
          </w:p>
        </w:tc>
        <w:tc>
          <w:tcPr>
            <w:tcW w:w="1835" w:type="dxa"/>
            <w:gridSpan w:val="2"/>
            <w:vAlign w:val="center"/>
          </w:tcPr>
          <w:p>
            <w:pPr>
              <w:pStyle w:val="30"/>
              <w:spacing w:line="420" w:lineRule="exact"/>
              <w:rPr>
                <w:rFonts w:ascii="仿宋" w:hAnsi="仿宋" w:eastAsia="仿宋"/>
                <w:bCs/>
                <w:color w:val="auto"/>
                <w:sz w:val="24"/>
                <w:szCs w:val="24"/>
              </w:rPr>
            </w:pPr>
            <w:r>
              <w:rPr>
                <w:rFonts w:hint="eastAsia" w:ascii="仿宋" w:hAnsi="仿宋" w:eastAsia="仿宋"/>
                <w:bCs/>
                <w:color w:val="auto"/>
                <w:sz w:val="24"/>
                <w:szCs w:val="24"/>
              </w:rPr>
              <w:t>付款方式</w:t>
            </w:r>
          </w:p>
        </w:tc>
        <w:tc>
          <w:tcPr>
            <w:tcW w:w="844" w:type="dxa"/>
            <w:vAlign w:val="center"/>
          </w:tcPr>
          <w:p>
            <w:pPr>
              <w:pStyle w:val="30"/>
              <w:spacing w:line="420" w:lineRule="exact"/>
              <w:rPr>
                <w:rFonts w:ascii="仿宋" w:hAnsi="仿宋" w:eastAsia="仿宋"/>
                <w:bCs/>
                <w:color w:val="auto"/>
                <w:sz w:val="24"/>
                <w:szCs w:val="24"/>
              </w:rPr>
            </w:pPr>
            <w:r>
              <w:rPr>
                <w:rFonts w:hint="eastAsia" w:ascii="仿宋" w:hAnsi="仿宋" w:eastAsia="仿宋"/>
                <w:bCs/>
                <w:color w:val="auto"/>
                <w:sz w:val="24"/>
                <w:szCs w:val="24"/>
              </w:rPr>
              <w:t>1分</w:t>
            </w:r>
          </w:p>
        </w:tc>
        <w:tc>
          <w:tcPr>
            <w:tcW w:w="5541"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97" w:type="dxa"/>
            <w:vMerge w:val="continue"/>
            <w:vAlign w:val="center"/>
          </w:tcPr>
          <w:p>
            <w:pPr>
              <w:pStyle w:val="30"/>
              <w:spacing w:line="360" w:lineRule="exact"/>
              <w:ind w:firstLine="480"/>
              <w:rPr>
                <w:rFonts w:ascii="仿宋" w:hAnsi="仿宋" w:eastAsia="仿宋"/>
                <w:bCs/>
                <w:color w:val="auto"/>
                <w:sz w:val="24"/>
                <w:szCs w:val="24"/>
              </w:rPr>
            </w:pPr>
          </w:p>
        </w:tc>
        <w:tc>
          <w:tcPr>
            <w:tcW w:w="1835" w:type="dxa"/>
            <w:gridSpan w:val="2"/>
            <w:vAlign w:val="center"/>
          </w:tcPr>
          <w:p>
            <w:pPr>
              <w:pStyle w:val="30"/>
              <w:spacing w:line="420" w:lineRule="exact"/>
              <w:rPr>
                <w:rFonts w:ascii="仿宋" w:hAnsi="仿宋" w:eastAsia="仿宋"/>
                <w:bCs/>
                <w:color w:val="auto"/>
                <w:sz w:val="24"/>
                <w:szCs w:val="24"/>
              </w:rPr>
            </w:pPr>
            <w:r>
              <w:rPr>
                <w:rFonts w:hint="eastAsia" w:ascii="仿宋" w:hAnsi="仿宋" w:eastAsia="仿宋"/>
                <w:bCs/>
                <w:color w:val="auto"/>
                <w:sz w:val="24"/>
                <w:szCs w:val="24"/>
              </w:rPr>
              <w:t>交货期</w:t>
            </w:r>
          </w:p>
        </w:tc>
        <w:tc>
          <w:tcPr>
            <w:tcW w:w="844" w:type="dxa"/>
            <w:vAlign w:val="center"/>
          </w:tcPr>
          <w:p>
            <w:pPr>
              <w:pStyle w:val="30"/>
              <w:spacing w:line="420" w:lineRule="exact"/>
              <w:rPr>
                <w:rFonts w:ascii="仿宋" w:hAnsi="仿宋" w:eastAsia="仿宋"/>
                <w:bCs/>
                <w:color w:val="auto"/>
                <w:sz w:val="24"/>
                <w:szCs w:val="24"/>
              </w:rPr>
            </w:pPr>
            <w:r>
              <w:rPr>
                <w:rFonts w:hint="eastAsia" w:ascii="仿宋" w:hAnsi="仿宋" w:eastAsia="仿宋"/>
                <w:bCs/>
                <w:color w:val="auto"/>
                <w:sz w:val="24"/>
                <w:szCs w:val="24"/>
              </w:rPr>
              <w:t>1分</w:t>
            </w:r>
          </w:p>
        </w:tc>
        <w:tc>
          <w:tcPr>
            <w:tcW w:w="5541"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797" w:type="dxa"/>
            <w:vMerge w:val="continue"/>
            <w:vAlign w:val="center"/>
          </w:tcPr>
          <w:p>
            <w:pPr>
              <w:pStyle w:val="30"/>
              <w:spacing w:line="360" w:lineRule="exact"/>
              <w:ind w:firstLine="480"/>
              <w:rPr>
                <w:rFonts w:ascii="仿宋" w:hAnsi="仿宋" w:eastAsia="仿宋"/>
                <w:bCs/>
                <w:color w:val="auto"/>
                <w:sz w:val="24"/>
                <w:szCs w:val="24"/>
              </w:rPr>
            </w:pPr>
          </w:p>
        </w:tc>
        <w:tc>
          <w:tcPr>
            <w:tcW w:w="418" w:type="dxa"/>
            <w:vMerge w:val="restart"/>
            <w:vAlign w:val="center"/>
          </w:tcPr>
          <w:p>
            <w:pPr>
              <w:pStyle w:val="30"/>
              <w:spacing w:line="460" w:lineRule="exact"/>
              <w:rPr>
                <w:rFonts w:ascii="仿宋" w:hAnsi="仿宋" w:eastAsia="仿宋"/>
                <w:bCs/>
                <w:color w:val="auto"/>
                <w:sz w:val="24"/>
                <w:szCs w:val="24"/>
              </w:rPr>
            </w:pPr>
            <w:r>
              <w:rPr>
                <w:rFonts w:hint="eastAsia" w:ascii="仿宋" w:hAnsi="仿宋" w:eastAsia="仿宋"/>
                <w:bCs/>
                <w:color w:val="auto"/>
                <w:sz w:val="24"/>
                <w:szCs w:val="24"/>
              </w:rPr>
              <w:t>业绩</w:t>
            </w:r>
          </w:p>
        </w:tc>
        <w:tc>
          <w:tcPr>
            <w:tcW w:w="1417" w:type="dxa"/>
            <w:vAlign w:val="center"/>
          </w:tcPr>
          <w:p>
            <w:pPr>
              <w:pStyle w:val="30"/>
              <w:spacing w:line="420" w:lineRule="exact"/>
              <w:rPr>
                <w:rFonts w:hint="eastAsia" w:ascii="仿宋" w:hAnsi="仿宋" w:eastAsia="仿宋"/>
                <w:bCs/>
                <w:color w:val="auto"/>
                <w:sz w:val="24"/>
                <w:szCs w:val="24"/>
              </w:rPr>
            </w:pPr>
            <w:r>
              <w:rPr>
                <w:rFonts w:hint="eastAsia" w:ascii="仿宋" w:hAnsi="仿宋" w:eastAsia="仿宋"/>
                <w:bCs/>
                <w:color w:val="auto"/>
                <w:sz w:val="24"/>
                <w:szCs w:val="24"/>
              </w:rPr>
              <w:t>支撑互联互通能力</w:t>
            </w:r>
          </w:p>
        </w:tc>
        <w:tc>
          <w:tcPr>
            <w:tcW w:w="844" w:type="dxa"/>
            <w:vAlign w:val="center"/>
          </w:tcPr>
          <w:p>
            <w:pPr>
              <w:pStyle w:val="30"/>
              <w:spacing w:line="420" w:lineRule="exact"/>
              <w:rPr>
                <w:rFonts w:hint="eastAsia" w:ascii="仿宋" w:hAnsi="仿宋" w:eastAsia="仿宋"/>
                <w:bCs/>
                <w:color w:val="auto"/>
                <w:sz w:val="24"/>
                <w:szCs w:val="24"/>
              </w:rPr>
            </w:pPr>
            <w:r>
              <w:rPr>
                <w:rFonts w:hint="eastAsia" w:ascii="仿宋" w:hAnsi="仿宋" w:eastAsia="仿宋"/>
                <w:bCs/>
                <w:color w:val="auto"/>
                <w:sz w:val="24"/>
                <w:szCs w:val="24"/>
              </w:rPr>
              <w:t>4分</w:t>
            </w:r>
            <w:r>
              <w:rPr>
                <w:rFonts w:ascii="仿宋" w:hAnsi="仿宋" w:eastAsia="仿宋"/>
                <w:bCs/>
                <w:color w:val="auto"/>
                <w:sz w:val="24"/>
                <w:szCs w:val="24"/>
              </w:rPr>
              <w:t xml:space="preserve"> </w:t>
            </w:r>
          </w:p>
        </w:tc>
        <w:tc>
          <w:tcPr>
            <w:tcW w:w="5541" w:type="dxa"/>
          </w:tcPr>
          <w:p>
            <w:pPr>
              <w:pStyle w:val="30"/>
              <w:spacing w:line="420" w:lineRule="exact"/>
              <w:jc w:val="left"/>
              <w:rPr>
                <w:rFonts w:ascii="仿宋" w:hAnsi="仿宋" w:eastAsia="仿宋"/>
                <w:bCs/>
                <w:color w:val="auto"/>
                <w:sz w:val="24"/>
                <w:szCs w:val="24"/>
              </w:rPr>
            </w:pPr>
            <w:r>
              <w:rPr>
                <w:rFonts w:hint="eastAsia" w:ascii="仿宋" w:hAnsi="仿宋" w:eastAsia="仿宋"/>
                <w:bCs/>
                <w:color w:val="auto"/>
                <w:sz w:val="24"/>
                <w:szCs w:val="24"/>
              </w:rPr>
              <w:t>近三年投标人所投产品原厂商为医院用户已实施项目中，具有通过互联互通5级案例的得</w:t>
            </w:r>
            <w:r>
              <w:rPr>
                <w:rFonts w:ascii="仿宋" w:hAnsi="仿宋" w:eastAsia="仿宋"/>
                <w:bCs/>
                <w:color w:val="auto"/>
                <w:sz w:val="24"/>
                <w:szCs w:val="24"/>
              </w:rPr>
              <w:t>4</w:t>
            </w:r>
            <w:r>
              <w:rPr>
                <w:rFonts w:hint="eastAsia" w:ascii="仿宋" w:hAnsi="仿宋" w:eastAsia="仿宋"/>
                <w:bCs/>
                <w:color w:val="auto"/>
                <w:sz w:val="24"/>
                <w:szCs w:val="24"/>
              </w:rPr>
              <w:t>分，否则不得分。提供上述案例的合同首尾签字页及关键页，须体现评审内容，若合同无法体现评审信息的，可提供用户证明。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797" w:type="dxa"/>
            <w:vMerge w:val="continue"/>
            <w:vAlign w:val="center"/>
          </w:tcPr>
          <w:p>
            <w:pPr>
              <w:pStyle w:val="30"/>
              <w:spacing w:line="360" w:lineRule="exact"/>
              <w:ind w:firstLine="480"/>
              <w:rPr>
                <w:rFonts w:ascii="仿宋" w:hAnsi="仿宋" w:eastAsia="仿宋"/>
                <w:bCs/>
                <w:color w:val="auto"/>
                <w:sz w:val="24"/>
                <w:szCs w:val="24"/>
              </w:rPr>
            </w:pPr>
          </w:p>
        </w:tc>
        <w:tc>
          <w:tcPr>
            <w:tcW w:w="418" w:type="dxa"/>
            <w:vMerge w:val="continue"/>
            <w:vAlign w:val="center"/>
          </w:tcPr>
          <w:p>
            <w:pPr>
              <w:pStyle w:val="30"/>
              <w:spacing w:line="460" w:lineRule="exact"/>
              <w:rPr>
                <w:rFonts w:hint="eastAsia" w:ascii="仿宋" w:hAnsi="仿宋" w:eastAsia="仿宋"/>
                <w:bCs/>
                <w:color w:val="auto"/>
                <w:sz w:val="24"/>
                <w:szCs w:val="24"/>
              </w:rPr>
            </w:pPr>
          </w:p>
        </w:tc>
        <w:tc>
          <w:tcPr>
            <w:tcW w:w="1417" w:type="dxa"/>
            <w:vAlign w:val="center"/>
          </w:tcPr>
          <w:p>
            <w:pPr>
              <w:pStyle w:val="30"/>
              <w:spacing w:line="420" w:lineRule="exact"/>
              <w:rPr>
                <w:rFonts w:hint="eastAsia" w:ascii="仿宋" w:hAnsi="仿宋" w:eastAsia="仿宋"/>
                <w:bCs/>
                <w:color w:val="auto"/>
                <w:sz w:val="24"/>
                <w:szCs w:val="24"/>
              </w:rPr>
            </w:pPr>
            <w:r>
              <w:rPr>
                <w:rFonts w:hint="eastAsia" w:ascii="仿宋" w:hAnsi="仿宋" w:eastAsia="仿宋"/>
                <w:bCs/>
                <w:color w:val="auto"/>
                <w:sz w:val="24"/>
                <w:szCs w:val="24"/>
              </w:rPr>
              <w:t>支撑电子病历功能应用水平高级别能力</w:t>
            </w:r>
          </w:p>
        </w:tc>
        <w:tc>
          <w:tcPr>
            <w:tcW w:w="844" w:type="dxa"/>
            <w:vAlign w:val="center"/>
          </w:tcPr>
          <w:p>
            <w:pPr>
              <w:pStyle w:val="30"/>
              <w:spacing w:line="420" w:lineRule="exact"/>
              <w:rPr>
                <w:rFonts w:hint="eastAsia" w:ascii="仿宋" w:hAnsi="仿宋" w:eastAsia="仿宋"/>
                <w:bCs/>
                <w:color w:val="auto"/>
                <w:sz w:val="24"/>
                <w:szCs w:val="24"/>
              </w:rPr>
            </w:pPr>
            <w:r>
              <w:rPr>
                <w:rFonts w:ascii="仿宋" w:hAnsi="仿宋" w:eastAsia="仿宋"/>
                <w:bCs/>
                <w:color w:val="auto"/>
                <w:sz w:val="24"/>
                <w:szCs w:val="24"/>
              </w:rPr>
              <w:t>4</w:t>
            </w:r>
            <w:r>
              <w:rPr>
                <w:rFonts w:hint="eastAsia" w:ascii="仿宋" w:hAnsi="仿宋" w:eastAsia="仿宋"/>
                <w:bCs/>
                <w:color w:val="auto"/>
                <w:sz w:val="24"/>
                <w:szCs w:val="24"/>
              </w:rPr>
              <w:t>分</w:t>
            </w:r>
          </w:p>
        </w:tc>
        <w:tc>
          <w:tcPr>
            <w:tcW w:w="5541" w:type="dxa"/>
          </w:tcPr>
          <w:p>
            <w:pPr>
              <w:pStyle w:val="30"/>
              <w:spacing w:line="420" w:lineRule="exact"/>
              <w:jc w:val="left"/>
              <w:rPr>
                <w:rFonts w:ascii="仿宋" w:hAnsi="仿宋" w:eastAsia="仿宋"/>
                <w:bCs/>
                <w:color w:val="auto"/>
                <w:sz w:val="24"/>
                <w:szCs w:val="24"/>
              </w:rPr>
            </w:pPr>
            <w:r>
              <w:rPr>
                <w:rFonts w:hint="eastAsia" w:ascii="仿宋" w:hAnsi="仿宋" w:eastAsia="仿宋"/>
                <w:bCs/>
                <w:color w:val="auto"/>
                <w:sz w:val="24"/>
                <w:szCs w:val="24"/>
              </w:rPr>
              <w:t>近三年投标人所投产品原厂商为医院用户已实施项目中，具有通过电子病历功能应用水平评价6级及以上的案例的得</w:t>
            </w:r>
            <w:r>
              <w:rPr>
                <w:rFonts w:ascii="仿宋" w:hAnsi="仿宋" w:eastAsia="仿宋"/>
                <w:bCs/>
                <w:color w:val="auto"/>
                <w:sz w:val="24"/>
                <w:szCs w:val="24"/>
              </w:rPr>
              <w:t>4</w:t>
            </w:r>
            <w:r>
              <w:rPr>
                <w:rFonts w:hint="eastAsia" w:ascii="仿宋" w:hAnsi="仿宋" w:eastAsia="仿宋"/>
                <w:bCs/>
                <w:color w:val="auto"/>
                <w:sz w:val="24"/>
                <w:szCs w:val="24"/>
              </w:rPr>
              <w:t>分，否则不得分。提供上述案例的合同首尾签字页及关键页，须体现评审内容，若合同无法体现评审信息的，可提供用户证明。</w:t>
            </w:r>
          </w:p>
        </w:tc>
      </w:tr>
    </w:tbl>
    <w:p>
      <w:pPr>
        <w:pStyle w:val="29"/>
        <w:spacing w:before="156" w:beforeLines="50" w:after="156" w:afterLines="50" w:line="460" w:lineRule="exact"/>
        <w:ind w:firstLine="560"/>
        <w:jc w:val="left"/>
        <w:rPr>
          <w:rFonts w:ascii="仿宋" w:hAnsi="仿宋" w:eastAsia="仿宋"/>
          <w:color w:val="auto"/>
          <w:sz w:val="28"/>
        </w:rPr>
      </w:pPr>
      <w:r>
        <w:rPr>
          <w:rFonts w:hint="eastAsia" w:ascii="仿宋" w:hAnsi="仿宋" w:eastAsia="仿宋"/>
          <w:b w:val="0"/>
          <w:color w:val="auto"/>
          <w:sz w:val="28"/>
        </w:rPr>
        <w:t>B、技术部分（</w:t>
      </w:r>
      <w:r>
        <w:rPr>
          <w:rFonts w:hint="eastAsia" w:ascii="仿宋" w:hAnsi="仿宋" w:eastAsia="仿宋"/>
          <w:b w:val="0"/>
          <w:color w:val="auto"/>
          <w:sz w:val="24"/>
          <w:szCs w:val="24"/>
        </w:rPr>
        <w:t>60分</w:t>
      </w:r>
      <w:r>
        <w:rPr>
          <w:rFonts w:hint="eastAsia" w:ascii="仿宋" w:hAnsi="仿宋" w:eastAsia="仿宋"/>
          <w:b w:val="0"/>
          <w:color w:val="auto"/>
          <w:sz w:val="28"/>
        </w:rPr>
        <w:t>）</w:t>
      </w:r>
    </w:p>
    <w:tbl>
      <w:tblPr>
        <w:tblStyle w:val="20"/>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962"/>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2631" w:type="dxa"/>
            <w:vAlign w:val="center"/>
          </w:tcPr>
          <w:p>
            <w:pPr>
              <w:pStyle w:val="30"/>
              <w:snapToGrid w:val="0"/>
              <w:rPr>
                <w:rFonts w:ascii="仿宋" w:hAnsi="仿宋" w:eastAsia="仿宋"/>
                <w:bCs/>
                <w:color w:val="auto"/>
                <w:sz w:val="24"/>
                <w:szCs w:val="24"/>
              </w:rPr>
            </w:pPr>
            <w:r>
              <w:rPr>
                <w:rFonts w:hint="eastAsia" w:ascii="仿宋" w:hAnsi="仿宋" w:eastAsia="仿宋"/>
                <w:bCs/>
                <w:color w:val="auto"/>
                <w:sz w:val="24"/>
                <w:szCs w:val="24"/>
              </w:rPr>
              <w:t>评审项目</w:t>
            </w:r>
          </w:p>
        </w:tc>
        <w:tc>
          <w:tcPr>
            <w:tcW w:w="962" w:type="dxa"/>
            <w:vAlign w:val="center"/>
          </w:tcPr>
          <w:p>
            <w:pPr>
              <w:pStyle w:val="30"/>
              <w:snapToGrid w:val="0"/>
              <w:rPr>
                <w:rFonts w:ascii="仿宋" w:hAnsi="仿宋" w:eastAsia="仿宋"/>
                <w:bCs/>
                <w:color w:val="auto"/>
                <w:sz w:val="24"/>
                <w:szCs w:val="24"/>
              </w:rPr>
            </w:pPr>
            <w:r>
              <w:rPr>
                <w:rFonts w:hint="eastAsia" w:ascii="仿宋" w:hAnsi="仿宋" w:eastAsia="仿宋"/>
                <w:bCs/>
                <w:color w:val="auto"/>
                <w:sz w:val="24"/>
                <w:szCs w:val="24"/>
              </w:rPr>
              <w:t>分值</w:t>
            </w:r>
          </w:p>
        </w:tc>
        <w:tc>
          <w:tcPr>
            <w:tcW w:w="5636" w:type="dxa"/>
            <w:vAlign w:val="center"/>
          </w:tcPr>
          <w:p>
            <w:pPr>
              <w:pStyle w:val="30"/>
              <w:snapToGrid w:val="0"/>
              <w:rPr>
                <w:rFonts w:ascii="仿宋" w:hAnsi="仿宋" w:eastAsia="仿宋"/>
                <w:bCs/>
                <w:color w:val="auto"/>
                <w:sz w:val="24"/>
                <w:szCs w:val="24"/>
              </w:rPr>
            </w:pPr>
            <w:r>
              <w:rPr>
                <w:rFonts w:hint="eastAsia" w:ascii="仿宋" w:hAnsi="仿宋" w:eastAsia="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pStyle w:val="30"/>
              <w:snapToGrid w:val="0"/>
              <w:rPr>
                <w:rFonts w:ascii="仿宋" w:hAnsi="仿宋" w:eastAsia="仿宋"/>
                <w:bCs/>
                <w:color w:val="auto"/>
                <w:sz w:val="24"/>
                <w:szCs w:val="24"/>
              </w:rPr>
            </w:pPr>
            <w:r>
              <w:rPr>
                <w:rFonts w:hint="eastAsia" w:ascii="仿宋" w:hAnsi="仿宋" w:eastAsia="仿宋"/>
                <w:bCs/>
                <w:color w:val="auto"/>
                <w:sz w:val="24"/>
                <w:szCs w:val="24"/>
              </w:rPr>
              <w:t>技术参数响应</w:t>
            </w:r>
          </w:p>
        </w:tc>
        <w:tc>
          <w:tcPr>
            <w:tcW w:w="962" w:type="dxa"/>
            <w:vAlign w:val="center"/>
          </w:tcPr>
          <w:p>
            <w:pPr>
              <w:pStyle w:val="30"/>
              <w:snapToGrid w:val="0"/>
              <w:rPr>
                <w:rFonts w:ascii="仿宋" w:hAnsi="仿宋" w:eastAsia="仿宋"/>
                <w:bCs/>
                <w:color w:val="auto"/>
                <w:sz w:val="24"/>
                <w:szCs w:val="24"/>
              </w:rPr>
            </w:pPr>
            <w:r>
              <w:rPr>
                <w:rFonts w:ascii="仿宋" w:hAnsi="仿宋" w:eastAsia="仿宋"/>
                <w:bCs/>
                <w:color w:val="auto"/>
                <w:sz w:val="24"/>
                <w:szCs w:val="24"/>
              </w:rPr>
              <w:t>2</w:t>
            </w:r>
            <w:r>
              <w:rPr>
                <w:rFonts w:hint="eastAsia" w:ascii="仿宋" w:hAnsi="仿宋" w:eastAsia="仿宋"/>
                <w:bCs/>
                <w:color w:val="auto"/>
                <w:sz w:val="24"/>
                <w:szCs w:val="24"/>
              </w:rPr>
              <w:t>0分</w:t>
            </w:r>
          </w:p>
        </w:tc>
        <w:tc>
          <w:tcPr>
            <w:tcW w:w="5636"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核心设备技术参数满足招标文件要求的得</w:t>
            </w:r>
            <w:r>
              <w:rPr>
                <w:rFonts w:ascii="仿宋" w:hAnsi="仿宋" w:eastAsia="仿宋" w:cs="宋体"/>
                <w:bCs/>
                <w:color w:val="auto"/>
                <w:kern w:val="0"/>
                <w:sz w:val="24"/>
                <w:szCs w:val="24"/>
              </w:rPr>
              <w:t>20</w:t>
            </w:r>
            <w:r>
              <w:rPr>
                <w:rFonts w:hint="eastAsia" w:ascii="仿宋" w:hAnsi="仿宋" w:eastAsia="仿宋" w:cs="宋体"/>
                <w:bCs/>
                <w:color w:val="auto"/>
                <w:kern w:val="0"/>
                <w:sz w:val="24"/>
                <w:szCs w:val="24"/>
              </w:rPr>
              <w:t>分；技术条款每偏离一条扣除2分，最低得0分，最高得</w:t>
            </w:r>
            <w:r>
              <w:rPr>
                <w:rFonts w:hint="eastAsia" w:ascii="仿宋" w:hAnsi="仿宋" w:eastAsia="仿宋" w:cs="宋体"/>
                <w:bCs/>
                <w:color w:val="auto"/>
                <w:kern w:val="0"/>
                <w:sz w:val="24"/>
                <w:szCs w:val="24"/>
                <w:lang w:val="en-US" w:eastAsia="zh-CN"/>
              </w:rPr>
              <w:t>20</w:t>
            </w:r>
            <w:r>
              <w:rPr>
                <w:rFonts w:hint="eastAsia" w:ascii="仿宋" w:hAnsi="仿宋" w:eastAsia="仿宋" w:cs="宋体"/>
                <w:bCs/>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631" w:type="dxa"/>
            <w:vMerge w:val="restart"/>
            <w:vAlign w:val="center"/>
          </w:tcPr>
          <w:p>
            <w:pPr>
              <w:pStyle w:val="30"/>
              <w:snapToGrid w:val="0"/>
              <w:rPr>
                <w:rFonts w:ascii="仿宋" w:hAnsi="仿宋" w:eastAsia="仿宋"/>
                <w:bCs/>
                <w:color w:val="auto"/>
                <w:sz w:val="24"/>
                <w:szCs w:val="24"/>
              </w:rPr>
            </w:pPr>
            <w:r>
              <w:rPr>
                <w:rFonts w:hint="eastAsia" w:ascii="仿宋" w:hAnsi="仿宋" w:eastAsia="仿宋"/>
                <w:bCs/>
                <w:color w:val="auto"/>
                <w:sz w:val="24"/>
                <w:szCs w:val="24"/>
              </w:rPr>
              <w:t>技术实施情况</w:t>
            </w:r>
          </w:p>
        </w:tc>
        <w:tc>
          <w:tcPr>
            <w:tcW w:w="962" w:type="dxa"/>
            <w:vMerge w:val="restart"/>
            <w:vAlign w:val="center"/>
          </w:tcPr>
          <w:p>
            <w:pPr>
              <w:widowControl/>
              <w:jc w:val="center"/>
              <w:textAlignment w:val="top"/>
              <w:rPr>
                <w:rFonts w:cs="宋体"/>
                <w:color w:val="auto"/>
                <w:kern w:val="0"/>
                <w:sz w:val="22"/>
                <w:szCs w:val="22"/>
                <w:lang w:bidi="ar"/>
              </w:rPr>
            </w:pPr>
            <w:r>
              <w:rPr>
                <w:rFonts w:hint="eastAsia" w:cs="宋体"/>
                <w:color w:val="auto"/>
                <w:kern w:val="0"/>
                <w:sz w:val="22"/>
                <w:szCs w:val="22"/>
                <w:lang w:bidi="ar"/>
              </w:rPr>
              <w:t>6</w:t>
            </w:r>
            <w:r>
              <w:rPr>
                <w:rFonts w:hint="eastAsia" w:ascii="仿宋" w:hAnsi="仿宋" w:eastAsia="仿宋"/>
                <w:bCs/>
                <w:color w:val="auto"/>
                <w:sz w:val="24"/>
                <w:szCs w:val="24"/>
              </w:rPr>
              <w:t>分</w:t>
            </w: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妇幼保健计生HIS中心系统信息系统功能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1、可以实现一卡通管理功能，建立“一张卡+预交金”就诊模式，满足2分，不满足得0分。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2、医生工作站可以实现医师处理诊断、处方、检查、检验、治疗处置、手术、护理、卫生材料以及会诊、转科、出院等信息。满足2分，不满足得0分。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3、护士工作站处理医生下达的长期和临时医嘱，对医嘱执行情况进行管理，可实现对医嘱执行的详细查看。同时协助护士完成护理及病区床位管理等日常工作。满足2分，不满足得0分。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restart"/>
            <w:vAlign w:val="center"/>
          </w:tcPr>
          <w:p>
            <w:pPr>
              <w:widowControl/>
              <w:spacing w:line="360" w:lineRule="exact"/>
              <w:jc w:val="center"/>
              <w:rPr>
                <w:rFonts w:ascii="仿宋" w:hAnsi="仿宋" w:eastAsia="仿宋" w:cs="宋体"/>
                <w:color w:val="auto"/>
                <w:kern w:val="0"/>
                <w:sz w:val="24"/>
                <w:szCs w:val="24"/>
              </w:rPr>
            </w:pPr>
            <w:r>
              <w:rPr>
                <w:rFonts w:ascii="仿宋" w:hAnsi="仿宋" w:eastAsia="仿宋" w:cs="宋体"/>
                <w:color w:val="auto"/>
                <w:kern w:val="0"/>
                <w:sz w:val="24"/>
                <w:szCs w:val="24"/>
              </w:rPr>
              <w:t>6</w:t>
            </w:r>
            <w:r>
              <w:rPr>
                <w:rFonts w:hint="eastAsia" w:ascii="仿宋" w:hAnsi="仿宋" w:eastAsia="仿宋"/>
                <w:bCs/>
                <w:color w:val="auto"/>
                <w:sz w:val="24"/>
                <w:szCs w:val="24"/>
              </w:rPr>
              <w:t>分</w:t>
            </w: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1、提供结构化点选与自由文本录入的功能，科室医生根据病种调出结构化模板，元素种类有单选元素、多选元素、有无选元素、录入提示元素、格式化元素及固定文本元素等；功能都满足得</w:t>
            </w:r>
            <w:r>
              <w:rPr>
                <w:rFonts w:ascii="仿宋" w:hAnsi="仿宋" w:eastAsia="仿宋" w:cs="宋体"/>
                <w:bCs/>
                <w:color w:val="auto"/>
                <w:kern w:val="0"/>
                <w:sz w:val="24"/>
                <w:szCs w:val="24"/>
              </w:rPr>
              <w:t>2</w:t>
            </w:r>
            <w:r>
              <w:rPr>
                <w:rFonts w:hint="eastAsia" w:ascii="仿宋" w:hAnsi="仿宋" w:eastAsia="仿宋" w:cs="宋体"/>
                <w:bCs/>
                <w:color w:val="auto"/>
                <w:kern w:val="0"/>
                <w:sz w:val="24"/>
                <w:szCs w:val="24"/>
              </w:rPr>
              <w:t>分，缺少一项不满足，得0分。提供程序截图，没有提供截图，不得分。；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2、提供部分病历内容自动校验功能，在病历文书书写时，当录入不符合信息系统自动弹出窗体提醒，校验项目分别为：必选项目、数值型错误信息（如体温）、与性别不符合信息；功能都满足得2分，缺少一项不满足，得0分。提供程序截图，没有提供截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3、提供医疗文书常用的特殊符号集写回病历文书的功能，如：℃，℉，‰，㎡，mmol等；功能都满足得</w:t>
            </w:r>
            <w:r>
              <w:rPr>
                <w:rFonts w:ascii="仿宋" w:hAnsi="仿宋" w:eastAsia="仿宋" w:cs="宋体"/>
                <w:bCs/>
                <w:color w:val="auto"/>
                <w:kern w:val="0"/>
                <w:sz w:val="24"/>
                <w:szCs w:val="24"/>
              </w:rPr>
              <w:t>1</w:t>
            </w:r>
            <w:r>
              <w:rPr>
                <w:rFonts w:hint="eastAsia" w:ascii="仿宋" w:hAnsi="仿宋" w:eastAsia="仿宋" w:cs="宋体"/>
                <w:bCs/>
                <w:color w:val="auto"/>
                <w:kern w:val="0"/>
                <w:sz w:val="24"/>
                <w:szCs w:val="24"/>
              </w:rPr>
              <w:t>分，缺少一项不满足，得0分。提供程序截图，没有提供截图，不得分。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4、提供病历自动排版功能。功能都满足得</w:t>
            </w:r>
            <w:r>
              <w:rPr>
                <w:rFonts w:ascii="仿宋" w:hAnsi="仿宋" w:eastAsia="仿宋" w:cs="宋体"/>
                <w:bCs/>
                <w:color w:val="auto"/>
                <w:kern w:val="0"/>
                <w:sz w:val="24"/>
                <w:szCs w:val="24"/>
              </w:rPr>
              <w:t>1</w:t>
            </w:r>
            <w:r>
              <w:rPr>
                <w:rFonts w:hint="eastAsia" w:ascii="仿宋" w:hAnsi="仿宋" w:eastAsia="仿宋" w:cs="宋体"/>
                <w:bCs/>
                <w:color w:val="auto"/>
                <w:kern w:val="0"/>
                <w:sz w:val="24"/>
                <w:szCs w:val="24"/>
              </w:rPr>
              <w:t>分。提供程序截图，没有提供截图，不得分。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restart"/>
            <w:vAlign w:val="center"/>
          </w:tcPr>
          <w:p>
            <w:pPr>
              <w:widowControl/>
              <w:spacing w:line="36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6</w:t>
            </w:r>
            <w:r>
              <w:rPr>
                <w:rFonts w:hint="eastAsia" w:ascii="仿宋" w:hAnsi="仿宋" w:eastAsia="仿宋"/>
                <w:bCs/>
                <w:color w:val="auto"/>
                <w:sz w:val="24"/>
                <w:szCs w:val="24"/>
              </w:rPr>
              <w:t>分</w:t>
            </w: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扩展业务支持——医院信息系统是一个集成多功能以及日常运营管理的系统，需在此之上有效整合医院业务应用，以支持不同系统之间的数据整合。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1、危急值管理，提供危机值管理，支持“危急值”定期维护与更新。功能都满足得</w:t>
            </w:r>
            <w:r>
              <w:rPr>
                <w:rFonts w:ascii="仿宋" w:hAnsi="仿宋" w:eastAsia="仿宋" w:cs="宋体"/>
                <w:bCs/>
                <w:color w:val="auto"/>
                <w:kern w:val="0"/>
                <w:sz w:val="24"/>
                <w:szCs w:val="24"/>
              </w:rPr>
              <w:t>2</w:t>
            </w:r>
            <w:r>
              <w:rPr>
                <w:rFonts w:hint="eastAsia" w:ascii="仿宋" w:hAnsi="仿宋" w:eastAsia="仿宋" w:cs="宋体"/>
                <w:bCs/>
                <w:color w:val="auto"/>
                <w:kern w:val="0"/>
                <w:sz w:val="24"/>
                <w:szCs w:val="24"/>
              </w:rPr>
              <w:t>分，缺少一项不满足，得0分。提供程序截图，没有提供截图，不得分。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2、传染病上报，提供传染病上报功能、并实现传染病审核。功能都满足得</w:t>
            </w:r>
            <w:r>
              <w:rPr>
                <w:rFonts w:ascii="仿宋" w:hAnsi="仿宋" w:eastAsia="仿宋" w:cs="宋体"/>
                <w:bCs/>
                <w:color w:val="auto"/>
                <w:kern w:val="0"/>
                <w:sz w:val="24"/>
                <w:szCs w:val="24"/>
              </w:rPr>
              <w:t>2</w:t>
            </w:r>
            <w:r>
              <w:rPr>
                <w:rFonts w:hint="eastAsia" w:ascii="仿宋" w:hAnsi="仿宋" w:eastAsia="仿宋" w:cs="宋体"/>
                <w:bCs/>
                <w:color w:val="auto"/>
                <w:kern w:val="0"/>
                <w:sz w:val="24"/>
                <w:szCs w:val="24"/>
              </w:rPr>
              <w:t>分，缺少一项不满足，得0分。提供程序截图，没有提供截图，不得分。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3、不良事件上报，支持不良事件情况填写，支持不良事件类别选择，支持主管部门处置意见填写并审核，功能都满足得</w:t>
            </w:r>
            <w:r>
              <w:rPr>
                <w:rFonts w:ascii="仿宋" w:hAnsi="仿宋" w:eastAsia="仿宋" w:cs="宋体"/>
                <w:bCs/>
                <w:color w:val="auto"/>
                <w:kern w:val="0"/>
                <w:sz w:val="24"/>
                <w:szCs w:val="24"/>
              </w:rPr>
              <w:t>2</w:t>
            </w:r>
            <w:r>
              <w:rPr>
                <w:rFonts w:hint="eastAsia" w:ascii="仿宋" w:hAnsi="仿宋" w:eastAsia="仿宋" w:cs="宋体"/>
                <w:bCs/>
                <w:color w:val="auto"/>
                <w:kern w:val="0"/>
                <w:sz w:val="24"/>
                <w:szCs w:val="24"/>
              </w:rPr>
              <w:t>分，缺少一项不满足，得0分。提供程序截图，没有提供截图，不得分。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其它系统功能要求--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restart"/>
            <w:vAlign w:val="center"/>
          </w:tcPr>
          <w:p>
            <w:pPr>
              <w:widowControl/>
              <w:spacing w:line="36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r>
              <w:rPr>
                <w:rFonts w:hint="eastAsia" w:ascii="仿宋" w:hAnsi="仿宋" w:eastAsia="仿宋"/>
                <w:bCs/>
                <w:color w:val="auto"/>
                <w:sz w:val="24"/>
                <w:szCs w:val="24"/>
              </w:rPr>
              <w:t>分</w:t>
            </w: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1、门诊电子病历系统，提供门诊病历模板，门诊病历编辑器集成嵌入到HIS门诊医生工作站，提供门诊病历集中打印功能。功能都满足得1分，缺少一项不满足，得0分。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2、检验系统，系统支持打印条码工作模式，提供试剂管理功能，能够满足检验科工作需要求，具有样本采集，样本核收，报告发布，报告审核功能。功能都满足得1分，缺少一项不满足，得0分。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Merge w:val="continue"/>
            <w:vAlign w:val="center"/>
          </w:tcPr>
          <w:p>
            <w:pPr>
              <w:widowControl/>
              <w:spacing w:line="360" w:lineRule="exact"/>
              <w:jc w:val="center"/>
              <w:rPr>
                <w:rFonts w:ascii="仿宋" w:hAnsi="仿宋" w:eastAsia="仿宋" w:cs="宋体"/>
                <w:color w:val="auto"/>
                <w:kern w:val="0"/>
                <w:sz w:val="24"/>
                <w:szCs w:val="24"/>
              </w:rPr>
            </w:pPr>
          </w:p>
        </w:tc>
        <w:tc>
          <w:tcPr>
            <w:tcW w:w="962" w:type="dxa"/>
            <w:vMerge w:val="continue"/>
          </w:tcPr>
          <w:p>
            <w:pPr>
              <w:widowControl/>
              <w:spacing w:line="360" w:lineRule="exact"/>
              <w:jc w:val="center"/>
              <w:rPr>
                <w:rFonts w:ascii="仿宋" w:hAnsi="仿宋" w:eastAsia="仿宋" w:cs="宋体"/>
                <w:color w:val="auto"/>
                <w:kern w:val="0"/>
                <w:sz w:val="24"/>
                <w:szCs w:val="24"/>
              </w:rPr>
            </w:pPr>
          </w:p>
        </w:tc>
        <w:tc>
          <w:tcPr>
            <w:tcW w:w="5636" w:type="dxa"/>
          </w:tcPr>
          <w:p>
            <w:pPr>
              <w:widowControl/>
              <w:spacing w:line="360" w:lineRule="exact"/>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3、OA办公自动化，提供医院信息门户，个人办公平台，流程管理，信息传递，公文管理，行政后勤等功能，功能都满足得1分，缺少一项不满足，得0分。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widowControl/>
              <w:spacing w:line="360" w:lineRule="exact"/>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产品演示</w:t>
            </w:r>
          </w:p>
        </w:tc>
        <w:tc>
          <w:tcPr>
            <w:tcW w:w="962" w:type="dxa"/>
            <w:vAlign w:val="center"/>
          </w:tcPr>
          <w:p>
            <w:pPr>
              <w:widowControl/>
              <w:spacing w:line="360" w:lineRule="exact"/>
              <w:jc w:val="center"/>
              <w:rPr>
                <w:rFonts w:ascii="仿宋" w:hAnsi="仿宋" w:eastAsia="仿宋" w:cs="宋体"/>
                <w:bCs/>
                <w:color w:val="auto"/>
                <w:kern w:val="0"/>
                <w:sz w:val="24"/>
                <w:szCs w:val="24"/>
              </w:rPr>
            </w:pPr>
            <w:r>
              <w:rPr>
                <w:rFonts w:hint="eastAsia" w:ascii="仿宋" w:hAnsi="仿宋" w:eastAsia="仿宋" w:cs="宋体"/>
                <w:bCs/>
                <w:color w:val="auto"/>
                <w:kern w:val="0"/>
                <w:sz w:val="24"/>
                <w:szCs w:val="24"/>
              </w:rPr>
              <w:t>15</w:t>
            </w:r>
            <w:r>
              <w:rPr>
                <w:rFonts w:hint="eastAsia" w:ascii="仿宋" w:hAnsi="仿宋" w:eastAsia="仿宋"/>
                <w:bCs/>
                <w:color w:val="auto"/>
                <w:sz w:val="24"/>
                <w:szCs w:val="24"/>
              </w:rPr>
              <w:t>分</w:t>
            </w:r>
          </w:p>
        </w:tc>
        <w:tc>
          <w:tcPr>
            <w:tcW w:w="5636" w:type="dxa"/>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妇幼保健计生HIS中心系统信息系统和电子病历系统进行演示，使用方便使用效果好的，</w:t>
            </w:r>
          </w:p>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对比优：得10-15分；良：得5-10分；中：得0-5分，差：得0分。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Merge w:val="restart"/>
            <w:vAlign w:val="center"/>
          </w:tcPr>
          <w:p>
            <w:pPr>
              <w:widowControl/>
              <w:spacing w:line="360" w:lineRule="exact"/>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整体方案</w:t>
            </w:r>
          </w:p>
        </w:tc>
        <w:tc>
          <w:tcPr>
            <w:tcW w:w="962" w:type="dxa"/>
            <w:vMerge w:val="restart"/>
            <w:vAlign w:val="center"/>
          </w:tcPr>
          <w:p>
            <w:pPr>
              <w:widowControl/>
              <w:spacing w:line="36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w:t>
            </w:r>
            <w:r>
              <w:rPr>
                <w:rFonts w:hint="eastAsia" w:ascii="仿宋" w:hAnsi="仿宋" w:eastAsia="仿宋"/>
                <w:bCs/>
                <w:color w:val="auto"/>
                <w:sz w:val="24"/>
                <w:szCs w:val="24"/>
              </w:rPr>
              <w:t>分</w:t>
            </w:r>
          </w:p>
        </w:tc>
        <w:tc>
          <w:tcPr>
            <w:tcW w:w="5636" w:type="dxa"/>
          </w:tcPr>
          <w:p>
            <w:pPr>
              <w:widowControl/>
              <w:spacing w:line="360" w:lineRule="exact"/>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投标人对项目的理解全面准确，编制的整体服务方案完整、合理，完全符合采购需求得2分；整体服务方案较合理、符合采购需求得1分；无不得分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631" w:type="dxa"/>
            <w:vMerge w:val="continue"/>
            <w:vAlign w:val="center"/>
          </w:tcPr>
          <w:p>
            <w:pPr>
              <w:widowControl/>
              <w:spacing w:line="360" w:lineRule="exact"/>
              <w:jc w:val="left"/>
              <w:rPr>
                <w:rFonts w:hint="eastAsia" w:ascii="仿宋" w:hAnsi="仿宋" w:eastAsia="仿宋" w:cs="宋体"/>
                <w:color w:val="auto"/>
                <w:kern w:val="0"/>
                <w:sz w:val="24"/>
                <w:szCs w:val="24"/>
              </w:rPr>
            </w:pPr>
          </w:p>
        </w:tc>
        <w:tc>
          <w:tcPr>
            <w:tcW w:w="962" w:type="dxa"/>
            <w:vMerge w:val="continue"/>
            <w:vAlign w:val="center"/>
          </w:tcPr>
          <w:p>
            <w:pPr>
              <w:widowControl/>
              <w:spacing w:line="360" w:lineRule="exact"/>
              <w:jc w:val="left"/>
              <w:rPr>
                <w:rFonts w:hint="eastAsia" w:ascii="仿宋" w:hAnsi="仿宋" w:eastAsia="仿宋" w:cs="宋体"/>
                <w:color w:val="auto"/>
                <w:kern w:val="0"/>
                <w:sz w:val="24"/>
                <w:szCs w:val="24"/>
              </w:rPr>
            </w:pPr>
          </w:p>
        </w:tc>
        <w:tc>
          <w:tcPr>
            <w:tcW w:w="5636" w:type="dxa"/>
          </w:tcPr>
          <w:p>
            <w:pPr>
              <w:spacing w:line="360" w:lineRule="exact"/>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在项目实施过程中，有项目组织，项目进度，项目规划，项目验收等严格过程管理，在投标文档中体现；项目实施质量要有保证措施及突发事件预案，措施预案合理完整。以上完整提供得2分，不完整不得分</w:t>
            </w:r>
          </w:p>
        </w:tc>
      </w:tr>
    </w:tbl>
    <w:p>
      <w:pPr>
        <w:pStyle w:val="29"/>
        <w:spacing w:line="540" w:lineRule="exact"/>
        <w:ind w:firstLine="562"/>
        <w:jc w:val="both"/>
        <w:rPr>
          <w:rFonts w:ascii="仿宋" w:hAnsi="仿宋" w:eastAsia="仿宋"/>
          <w:color w:val="auto"/>
          <w:sz w:val="28"/>
        </w:rPr>
      </w:pPr>
      <w:r>
        <w:rPr>
          <w:rFonts w:hint="eastAsia" w:ascii="仿宋" w:hAnsi="仿宋" w:eastAsia="仿宋" w:cs="仿宋"/>
          <w:color w:val="auto"/>
          <w:sz w:val="28"/>
          <w:lang w:val="en-US" w:eastAsia="zh-CN"/>
        </w:rPr>
        <w:t>第四包、第五包</w:t>
      </w:r>
      <w:r>
        <w:rPr>
          <w:rFonts w:hint="eastAsia" w:ascii="仿宋" w:hAnsi="仿宋" w:eastAsia="仿宋"/>
          <w:color w:val="auto"/>
          <w:sz w:val="28"/>
        </w:rPr>
        <w:t>具体分值见下表：</w:t>
      </w:r>
    </w:p>
    <w:p>
      <w:pPr>
        <w:pStyle w:val="29"/>
        <w:numPr>
          <w:ilvl w:val="0"/>
          <w:numId w:val="0"/>
        </w:numPr>
        <w:spacing w:after="156" w:afterLines="50" w:line="540" w:lineRule="exact"/>
        <w:ind w:firstLine="560" w:firstLineChars="200"/>
        <w:jc w:val="left"/>
        <w:rPr>
          <w:rFonts w:ascii="仿宋" w:hAnsi="仿宋" w:eastAsia="仿宋"/>
          <w:b w:val="0"/>
          <w:color w:val="auto"/>
          <w:sz w:val="28"/>
        </w:rPr>
      </w:pPr>
      <w:r>
        <w:rPr>
          <w:rFonts w:hint="eastAsia" w:ascii="仿宋" w:hAnsi="仿宋" w:eastAsia="仿宋"/>
          <w:b w:val="0"/>
          <w:color w:val="auto"/>
          <w:sz w:val="28"/>
          <w:lang w:val="en-US" w:eastAsia="zh-CN"/>
        </w:rPr>
        <w:t>A、</w:t>
      </w:r>
      <w:r>
        <w:rPr>
          <w:rFonts w:hint="eastAsia" w:ascii="仿宋" w:hAnsi="仿宋" w:eastAsia="仿宋"/>
          <w:b w:val="0"/>
          <w:color w:val="auto"/>
          <w:sz w:val="28"/>
        </w:rPr>
        <w:t>商务部分（</w:t>
      </w:r>
      <w:r>
        <w:rPr>
          <w:rFonts w:hint="eastAsia" w:ascii="仿宋" w:hAnsi="仿宋" w:eastAsia="仿宋"/>
          <w:b w:val="0"/>
          <w:color w:val="auto"/>
          <w:sz w:val="24"/>
          <w:szCs w:val="24"/>
        </w:rPr>
        <w:t>40分</w:t>
      </w:r>
      <w:r>
        <w:rPr>
          <w:rFonts w:hint="eastAsia" w:ascii="仿宋" w:hAnsi="仿宋" w:eastAsia="仿宋"/>
          <w:b w:val="0"/>
          <w:color w:val="auto"/>
          <w:sz w:val="28"/>
        </w:rPr>
        <w:t>）</w:t>
      </w:r>
    </w:p>
    <w:tbl>
      <w:tblPr>
        <w:tblStyle w:val="20"/>
        <w:tblW w:w="9017"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08"/>
        <w:gridCol w:w="1071"/>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blHeader/>
        </w:trPr>
        <w:tc>
          <w:tcPr>
            <w:tcW w:w="2405" w:type="dxa"/>
            <w:gridSpan w:val="2"/>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评审项目</w:t>
            </w:r>
          </w:p>
        </w:tc>
        <w:tc>
          <w:tcPr>
            <w:tcW w:w="1071" w:type="dxa"/>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分值</w:t>
            </w:r>
          </w:p>
        </w:tc>
        <w:tc>
          <w:tcPr>
            <w:tcW w:w="5541" w:type="dxa"/>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405" w:type="dxa"/>
            <w:gridSpan w:val="2"/>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价格</w:t>
            </w:r>
          </w:p>
        </w:tc>
        <w:tc>
          <w:tcPr>
            <w:tcW w:w="1071" w:type="dxa"/>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30分</w:t>
            </w:r>
          </w:p>
        </w:tc>
        <w:tc>
          <w:tcPr>
            <w:tcW w:w="5541"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restart"/>
            <w:vAlign w:val="center"/>
          </w:tcPr>
          <w:p>
            <w:pPr>
              <w:pStyle w:val="30"/>
              <w:spacing w:line="360" w:lineRule="exact"/>
              <w:rPr>
                <w:rFonts w:ascii="仿宋" w:hAnsi="仿宋" w:eastAsia="仿宋"/>
                <w:bCs/>
                <w:color w:val="auto"/>
                <w:sz w:val="24"/>
                <w:szCs w:val="24"/>
              </w:rPr>
            </w:pPr>
            <w:r>
              <w:rPr>
                <w:rFonts w:hint="eastAsia" w:ascii="仿宋" w:hAnsi="仿宋" w:eastAsia="仿宋"/>
                <w:bCs/>
                <w:color w:val="auto"/>
                <w:sz w:val="24"/>
                <w:szCs w:val="24"/>
              </w:rPr>
              <w:t>商务条件</w:t>
            </w:r>
          </w:p>
        </w:tc>
        <w:tc>
          <w:tcPr>
            <w:tcW w:w="1608" w:type="dxa"/>
            <w:vAlign w:val="center"/>
          </w:tcPr>
          <w:p>
            <w:pPr>
              <w:pStyle w:val="30"/>
              <w:spacing w:line="420" w:lineRule="exact"/>
              <w:rPr>
                <w:rFonts w:ascii="仿宋" w:hAnsi="仿宋" w:eastAsia="仿宋"/>
                <w:bCs/>
                <w:color w:val="auto"/>
                <w:sz w:val="24"/>
                <w:szCs w:val="24"/>
              </w:rPr>
            </w:pPr>
            <w:r>
              <w:rPr>
                <w:rFonts w:hint="eastAsia" w:ascii="仿宋" w:hAnsi="仿宋" w:eastAsia="仿宋"/>
                <w:bCs/>
                <w:color w:val="auto"/>
                <w:sz w:val="24"/>
                <w:szCs w:val="24"/>
              </w:rPr>
              <w:t>付款方式</w:t>
            </w:r>
          </w:p>
        </w:tc>
        <w:tc>
          <w:tcPr>
            <w:tcW w:w="1071" w:type="dxa"/>
            <w:vAlign w:val="center"/>
          </w:tcPr>
          <w:p>
            <w:pPr>
              <w:pStyle w:val="30"/>
              <w:spacing w:line="420" w:lineRule="exact"/>
              <w:rPr>
                <w:rFonts w:ascii="仿宋" w:hAnsi="仿宋" w:eastAsia="仿宋"/>
                <w:bCs/>
                <w:color w:val="auto"/>
                <w:sz w:val="24"/>
                <w:szCs w:val="24"/>
              </w:rPr>
            </w:pPr>
            <w:r>
              <w:rPr>
                <w:rFonts w:hint="eastAsia" w:ascii="仿宋" w:hAnsi="仿宋" w:eastAsia="仿宋"/>
                <w:bCs/>
                <w:color w:val="auto"/>
                <w:sz w:val="24"/>
                <w:szCs w:val="24"/>
              </w:rPr>
              <w:t>1分</w:t>
            </w:r>
          </w:p>
        </w:tc>
        <w:tc>
          <w:tcPr>
            <w:tcW w:w="5541"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8" w:hRule="atLeast"/>
        </w:trPr>
        <w:tc>
          <w:tcPr>
            <w:tcW w:w="797" w:type="dxa"/>
            <w:vMerge w:val="continue"/>
            <w:vAlign w:val="center"/>
          </w:tcPr>
          <w:p>
            <w:pPr>
              <w:pStyle w:val="30"/>
              <w:spacing w:line="360" w:lineRule="exact"/>
              <w:ind w:firstLine="480"/>
              <w:rPr>
                <w:rFonts w:ascii="仿宋" w:hAnsi="仿宋" w:eastAsia="仿宋"/>
                <w:bCs/>
                <w:color w:val="auto"/>
                <w:sz w:val="24"/>
                <w:szCs w:val="24"/>
              </w:rPr>
            </w:pPr>
          </w:p>
        </w:tc>
        <w:tc>
          <w:tcPr>
            <w:tcW w:w="1608" w:type="dxa"/>
            <w:vAlign w:val="center"/>
          </w:tcPr>
          <w:p>
            <w:pPr>
              <w:pStyle w:val="30"/>
              <w:spacing w:line="420" w:lineRule="exact"/>
              <w:rPr>
                <w:rFonts w:ascii="仿宋" w:hAnsi="仿宋" w:eastAsia="仿宋"/>
                <w:bCs/>
                <w:color w:val="auto"/>
                <w:sz w:val="24"/>
                <w:szCs w:val="24"/>
              </w:rPr>
            </w:pPr>
            <w:r>
              <w:rPr>
                <w:rFonts w:hint="eastAsia" w:ascii="仿宋" w:hAnsi="仿宋" w:eastAsia="仿宋"/>
                <w:bCs/>
                <w:color w:val="auto"/>
                <w:sz w:val="24"/>
                <w:szCs w:val="24"/>
              </w:rPr>
              <w:t>交货期</w:t>
            </w:r>
          </w:p>
        </w:tc>
        <w:tc>
          <w:tcPr>
            <w:tcW w:w="1071" w:type="dxa"/>
            <w:vAlign w:val="center"/>
          </w:tcPr>
          <w:p>
            <w:pPr>
              <w:pStyle w:val="30"/>
              <w:spacing w:line="420" w:lineRule="exact"/>
              <w:rPr>
                <w:rFonts w:ascii="仿宋" w:hAnsi="仿宋" w:eastAsia="仿宋"/>
                <w:bCs/>
                <w:color w:val="auto"/>
                <w:sz w:val="24"/>
                <w:szCs w:val="24"/>
              </w:rPr>
            </w:pPr>
            <w:r>
              <w:rPr>
                <w:rFonts w:hint="eastAsia" w:ascii="仿宋" w:hAnsi="仿宋" w:eastAsia="仿宋"/>
                <w:bCs/>
                <w:color w:val="auto"/>
                <w:sz w:val="24"/>
                <w:szCs w:val="24"/>
              </w:rPr>
              <w:t>1分</w:t>
            </w:r>
          </w:p>
        </w:tc>
        <w:tc>
          <w:tcPr>
            <w:tcW w:w="5541"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797" w:type="dxa"/>
            <w:vMerge w:val="continue"/>
            <w:vAlign w:val="center"/>
          </w:tcPr>
          <w:p>
            <w:pPr>
              <w:pStyle w:val="30"/>
              <w:spacing w:line="360" w:lineRule="exact"/>
              <w:ind w:firstLine="480"/>
              <w:rPr>
                <w:rFonts w:ascii="仿宋" w:hAnsi="仿宋" w:eastAsia="仿宋"/>
                <w:bCs/>
                <w:color w:val="auto"/>
                <w:sz w:val="24"/>
                <w:szCs w:val="24"/>
              </w:rPr>
            </w:pPr>
          </w:p>
        </w:tc>
        <w:tc>
          <w:tcPr>
            <w:tcW w:w="1608" w:type="dxa"/>
            <w:vAlign w:val="center"/>
          </w:tcPr>
          <w:p>
            <w:pPr>
              <w:pStyle w:val="30"/>
              <w:spacing w:line="460" w:lineRule="exact"/>
              <w:rPr>
                <w:rFonts w:ascii="仿宋" w:hAnsi="仿宋" w:eastAsia="仿宋"/>
                <w:bCs/>
                <w:color w:val="auto"/>
                <w:sz w:val="24"/>
                <w:szCs w:val="24"/>
              </w:rPr>
            </w:pPr>
            <w:r>
              <w:rPr>
                <w:rFonts w:hint="eastAsia" w:ascii="仿宋" w:hAnsi="仿宋" w:eastAsia="仿宋"/>
                <w:bCs/>
                <w:color w:val="auto"/>
                <w:sz w:val="24"/>
                <w:szCs w:val="24"/>
              </w:rPr>
              <w:t>业绩</w:t>
            </w:r>
          </w:p>
        </w:tc>
        <w:tc>
          <w:tcPr>
            <w:tcW w:w="1071" w:type="dxa"/>
            <w:vAlign w:val="center"/>
          </w:tcPr>
          <w:p>
            <w:pPr>
              <w:pStyle w:val="30"/>
              <w:spacing w:line="460" w:lineRule="exact"/>
              <w:rPr>
                <w:rFonts w:ascii="仿宋" w:hAnsi="仿宋" w:eastAsia="仿宋"/>
                <w:bCs/>
                <w:color w:val="auto"/>
                <w:sz w:val="24"/>
                <w:szCs w:val="24"/>
              </w:rPr>
            </w:pPr>
            <w:r>
              <w:rPr>
                <w:rFonts w:hint="eastAsia" w:ascii="仿宋" w:hAnsi="仿宋" w:eastAsia="仿宋"/>
                <w:bCs/>
                <w:color w:val="auto"/>
                <w:sz w:val="24"/>
                <w:szCs w:val="24"/>
              </w:rPr>
              <w:t>8分</w:t>
            </w:r>
          </w:p>
        </w:tc>
        <w:tc>
          <w:tcPr>
            <w:tcW w:w="5541"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核心设备每提供1份业绩得</w:t>
            </w:r>
            <w:r>
              <w:rPr>
                <w:rFonts w:ascii="仿宋" w:hAnsi="仿宋" w:eastAsia="仿宋" w:cs="宋体"/>
                <w:bCs/>
                <w:color w:val="auto"/>
                <w:kern w:val="0"/>
                <w:sz w:val="24"/>
                <w:szCs w:val="24"/>
              </w:rPr>
              <w:t>1</w:t>
            </w:r>
            <w:r>
              <w:rPr>
                <w:rFonts w:hint="eastAsia" w:ascii="仿宋" w:hAnsi="仿宋" w:eastAsia="仿宋" w:cs="宋体"/>
                <w:bCs/>
                <w:color w:val="auto"/>
                <w:kern w:val="0"/>
                <w:sz w:val="24"/>
                <w:szCs w:val="24"/>
              </w:rPr>
              <w:t>分，满分8分。以投标人提供的业绩证明资料如合同或者中标通知书复印件为准，未提供证明资料或无效的，不计分。</w:t>
            </w:r>
          </w:p>
        </w:tc>
      </w:tr>
    </w:tbl>
    <w:p>
      <w:pPr>
        <w:pStyle w:val="29"/>
        <w:spacing w:before="156" w:beforeLines="50" w:after="156" w:afterLines="50" w:line="460" w:lineRule="exact"/>
        <w:ind w:firstLine="560"/>
        <w:jc w:val="left"/>
        <w:rPr>
          <w:rFonts w:ascii="仿宋" w:hAnsi="仿宋" w:eastAsia="仿宋"/>
          <w:color w:val="auto"/>
          <w:sz w:val="28"/>
        </w:rPr>
      </w:pPr>
      <w:r>
        <w:rPr>
          <w:rFonts w:hint="eastAsia" w:ascii="仿宋" w:hAnsi="仿宋" w:eastAsia="仿宋"/>
          <w:b w:val="0"/>
          <w:color w:val="auto"/>
          <w:sz w:val="28"/>
        </w:rPr>
        <w:t>B、技术部分（</w:t>
      </w:r>
      <w:r>
        <w:rPr>
          <w:rFonts w:hint="eastAsia" w:ascii="仿宋" w:hAnsi="仿宋" w:eastAsia="仿宋"/>
          <w:b w:val="0"/>
          <w:color w:val="auto"/>
          <w:sz w:val="24"/>
          <w:szCs w:val="24"/>
        </w:rPr>
        <w:t>60分</w:t>
      </w:r>
      <w:r>
        <w:rPr>
          <w:rFonts w:hint="eastAsia" w:ascii="仿宋" w:hAnsi="仿宋" w:eastAsia="仿宋"/>
          <w:b w:val="0"/>
          <w:color w:val="auto"/>
          <w:sz w:val="28"/>
        </w:rPr>
        <w:t>）</w:t>
      </w:r>
    </w:p>
    <w:tbl>
      <w:tblPr>
        <w:tblStyle w:val="20"/>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962"/>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2631" w:type="dxa"/>
            <w:vAlign w:val="center"/>
          </w:tcPr>
          <w:p>
            <w:pPr>
              <w:pStyle w:val="30"/>
              <w:snapToGrid w:val="0"/>
              <w:rPr>
                <w:rFonts w:ascii="仿宋" w:hAnsi="仿宋" w:eastAsia="仿宋"/>
                <w:bCs/>
                <w:color w:val="auto"/>
                <w:sz w:val="24"/>
                <w:szCs w:val="24"/>
              </w:rPr>
            </w:pPr>
            <w:r>
              <w:rPr>
                <w:rFonts w:hint="eastAsia" w:ascii="仿宋" w:hAnsi="仿宋" w:eastAsia="仿宋"/>
                <w:bCs/>
                <w:color w:val="auto"/>
                <w:sz w:val="24"/>
                <w:szCs w:val="24"/>
              </w:rPr>
              <w:t>评审项目</w:t>
            </w:r>
          </w:p>
        </w:tc>
        <w:tc>
          <w:tcPr>
            <w:tcW w:w="962" w:type="dxa"/>
            <w:vAlign w:val="center"/>
          </w:tcPr>
          <w:p>
            <w:pPr>
              <w:pStyle w:val="30"/>
              <w:snapToGrid w:val="0"/>
              <w:rPr>
                <w:rFonts w:ascii="仿宋" w:hAnsi="仿宋" w:eastAsia="仿宋"/>
                <w:bCs/>
                <w:color w:val="auto"/>
                <w:sz w:val="24"/>
                <w:szCs w:val="24"/>
              </w:rPr>
            </w:pPr>
            <w:r>
              <w:rPr>
                <w:rFonts w:hint="eastAsia" w:ascii="仿宋" w:hAnsi="仿宋" w:eastAsia="仿宋"/>
                <w:bCs/>
                <w:color w:val="auto"/>
                <w:sz w:val="24"/>
                <w:szCs w:val="24"/>
              </w:rPr>
              <w:t>分值</w:t>
            </w:r>
          </w:p>
        </w:tc>
        <w:tc>
          <w:tcPr>
            <w:tcW w:w="5636" w:type="dxa"/>
            <w:vAlign w:val="center"/>
          </w:tcPr>
          <w:p>
            <w:pPr>
              <w:pStyle w:val="30"/>
              <w:snapToGrid w:val="0"/>
              <w:rPr>
                <w:rFonts w:ascii="仿宋" w:hAnsi="仿宋" w:eastAsia="仿宋"/>
                <w:bCs/>
                <w:color w:val="auto"/>
                <w:sz w:val="24"/>
                <w:szCs w:val="24"/>
              </w:rPr>
            </w:pPr>
            <w:r>
              <w:rPr>
                <w:rFonts w:hint="eastAsia" w:ascii="仿宋" w:hAnsi="仿宋" w:eastAsia="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技术参数响应</w:t>
            </w:r>
          </w:p>
        </w:tc>
        <w:tc>
          <w:tcPr>
            <w:tcW w:w="962"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30分</w:t>
            </w:r>
          </w:p>
        </w:tc>
        <w:tc>
          <w:tcPr>
            <w:tcW w:w="5636" w:type="dxa"/>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核心设备技术参数满足招标文件要求得</w:t>
            </w:r>
            <w:r>
              <w:rPr>
                <w:rFonts w:ascii="仿宋" w:hAnsi="仿宋" w:eastAsia="仿宋" w:cs="宋体"/>
                <w:color w:val="auto"/>
                <w:kern w:val="0"/>
                <w:sz w:val="24"/>
                <w:szCs w:val="24"/>
              </w:rPr>
              <w:t>30</w:t>
            </w:r>
            <w:r>
              <w:rPr>
                <w:rFonts w:hint="eastAsia" w:ascii="仿宋" w:hAnsi="仿宋" w:eastAsia="仿宋" w:cs="宋体"/>
                <w:color w:val="auto"/>
                <w:kern w:val="0"/>
                <w:sz w:val="24"/>
                <w:szCs w:val="24"/>
              </w:rPr>
              <w:t>分；技术条款每偏离一条扣除2分，最低得0分，最高得3</w:t>
            </w:r>
            <w:r>
              <w:rPr>
                <w:rFonts w:ascii="仿宋" w:hAnsi="仿宋" w:eastAsia="仿宋" w:cs="宋体"/>
                <w:color w:val="auto"/>
                <w:kern w:val="0"/>
                <w:sz w:val="24"/>
                <w:szCs w:val="24"/>
              </w:rPr>
              <w:t>0</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技术支持资料</w:t>
            </w:r>
          </w:p>
        </w:tc>
        <w:tc>
          <w:tcPr>
            <w:tcW w:w="962"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10分</w:t>
            </w:r>
          </w:p>
        </w:tc>
        <w:tc>
          <w:tcPr>
            <w:tcW w:w="5636" w:type="dxa"/>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核心设备有技术支持资料的得10分，缺一项扣1分，扣完为止。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授权文件</w:t>
            </w:r>
          </w:p>
        </w:tc>
        <w:tc>
          <w:tcPr>
            <w:tcW w:w="962"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6</w:t>
            </w:r>
            <w:r>
              <w:rPr>
                <w:rFonts w:hint="eastAsia" w:ascii="仿宋" w:hAnsi="仿宋" w:eastAsia="仿宋" w:cs="宋体"/>
                <w:color w:val="auto"/>
                <w:kern w:val="0"/>
                <w:sz w:val="24"/>
                <w:szCs w:val="24"/>
              </w:rPr>
              <w:t>分</w:t>
            </w:r>
          </w:p>
        </w:tc>
        <w:tc>
          <w:tcPr>
            <w:tcW w:w="5636" w:type="dxa"/>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核心设备有厂家授权文件、售后服务承诺函的得</w:t>
            </w:r>
            <w:r>
              <w:rPr>
                <w:rFonts w:ascii="仿宋" w:hAnsi="仿宋" w:eastAsia="仿宋" w:cs="宋体"/>
                <w:color w:val="auto"/>
                <w:kern w:val="0"/>
                <w:sz w:val="24"/>
                <w:szCs w:val="24"/>
              </w:rPr>
              <w:t>6</w:t>
            </w:r>
            <w:r>
              <w:rPr>
                <w:rFonts w:hint="eastAsia" w:ascii="仿宋" w:hAnsi="仿宋" w:eastAsia="仿宋" w:cs="宋体"/>
                <w:color w:val="auto"/>
                <w:kern w:val="0"/>
                <w:sz w:val="24"/>
                <w:szCs w:val="24"/>
              </w:rPr>
              <w:t>分，缺一项厂家授权扣1分，扣完为止，售后服务承诺函没有的扣2分。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项目管理机构人员结构与劳动力安排计划措施</w:t>
            </w:r>
          </w:p>
        </w:tc>
        <w:tc>
          <w:tcPr>
            <w:tcW w:w="962"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7</w:t>
            </w:r>
            <w:r>
              <w:rPr>
                <w:rFonts w:hint="eastAsia" w:ascii="仿宋" w:hAnsi="仿宋" w:eastAsia="仿宋" w:cs="宋体"/>
                <w:color w:val="auto"/>
                <w:kern w:val="0"/>
                <w:sz w:val="24"/>
                <w:szCs w:val="24"/>
              </w:rPr>
              <w:t>分</w:t>
            </w:r>
          </w:p>
        </w:tc>
        <w:tc>
          <w:tcPr>
            <w:tcW w:w="5636" w:type="dxa"/>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根据投标人配备的项目管理机构人员结构与劳动力安排计划，措施评议并打分。</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项目管理机构人员配备及劳动力安排计划完整，且方案可行的得</w:t>
            </w:r>
            <w:r>
              <w:rPr>
                <w:rFonts w:ascii="仿宋" w:hAnsi="仿宋" w:eastAsia="仿宋" w:cs="宋体"/>
                <w:color w:val="auto"/>
                <w:kern w:val="0"/>
                <w:sz w:val="24"/>
                <w:szCs w:val="24"/>
              </w:rPr>
              <w:t>7</w:t>
            </w:r>
            <w:r>
              <w:rPr>
                <w:rFonts w:hint="eastAsia" w:ascii="仿宋" w:hAnsi="仿宋" w:eastAsia="仿宋" w:cs="宋体"/>
                <w:color w:val="auto"/>
                <w:kern w:val="0"/>
                <w:sz w:val="24"/>
                <w:szCs w:val="24"/>
              </w:rPr>
              <w:t>分。</w:t>
            </w:r>
          </w:p>
          <w:p>
            <w:pPr>
              <w:widowControl/>
              <w:rPr>
                <w:rFonts w:ascii="仿宋" w:hAnsi="仿宋" w:eastAsia="仿宋" w:cs="宋体"/>
                <w:color w:val="auto"/>
                <w:kern w:val="0"/>
                <w:sz w:val="24"/>
                <w:szCs w:val="24"/>
              </w:rPr>
            </w:pPr>
            <w:r>
              <w:rPr>
                <w:rFonts w:hint="eastAsia" w:ascii="仿宋" w:hAnsi="仿宋" w:eastAsia="仿宋" w:cs="宋体"/>
                <w:color w:val="auto"/>
                <w:kern w:val="0"/>
                <w:sz w:val="24"/>
                <w:szCs w:val="24"/>
              </w:rPr>
              <w:t>项目管理机构人员配备及劳动力安排计划较完整，且方案一般的得</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项目管理机构人员配备及劳动力安排计划方案，可行性差的得0分。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装修装饰材料的质量档次、性能、先进性、稳定性和耐用性</w:t>
            </w:r>
          </w:p>
        </w:tc>
        <w:tc>
          <w:tcPr>
            <w:tcW w:w="962"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4</w:t>
            </w:r>
            <w:r>
              <w:rPr>
                <w:rFonts w:hint="eastAsia" w:ascii="仿宋" w:hAnsi="仿宋" w:eastAsia="仿宋" w:cs="宋体"/>
                <w:color w:val="auto"/>
                <w:kern w:val="0"/>
                <w:sz w:val="24"/>
                <w:szCs w:val="24"/>
              </w:rPr>
              <w:t>分</w:t>
            </w:r>
          </w:p>
        </w:tc>
        <w:tc>
          <w:tcPr>
            <w:tcW w:w="5636" w:type="dxa"/>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装饰、装修材料的质量档次、性能、先进性、稳定性和耐用性，确保建成后医疗环境的绿色、环保、品质最匹配医院要求的得</w:t>
            </w:r>
            <w:r>
              <w:rPr>
                <w:rFonts w:ascii="仿宋" w:hAnsi="仿宋" w:eastAsia="仿宋" w:cs="宋体"/>
                <w:color w:val="auto"/>
                <w:kern w:val="0"/>
                <w:sz w:val="24"/>
                <w:szCs w:val="24"/>
              </w:rPr>
              <w:t>4</w:t>
            </w:r>
            <w:r>
              <w:rPr>
                <w:rFonts w:hint="eastAsia" w:ascii="仿宋" w:hAnsi="仿宋" w:eastAsia="仿宋" w:cs="宋体"/>
                <w:color w:val="auto"/>
                <w:kern w:val="0"/>
                <w:sz w:val="24"/>
                <w:szCs w:val="24"/>
              </w:rPr>
              <w:t>分，一般的得1-</w:t>
            </w:r>
            <w:r>
              <w:rPr>
                <w:rFonts w:ascii="仿宋" w:hAnsi="仿宋" w:eastAsia="仿宋" w:cs="宋体"/>
                <w:color w:val="auto"/>
                <w:kern w:val="0"/>
                <w:sz w:val="24"/>
                <w:szCs w:val="24"/>
              </w:rPr>
              <w:t>2</w:t>
            </w:r>
            <w:r>
              <w:rPr>
                <w:rFonts w:hint="eastAsia" w:ascii="仿宋" w:hAnsi="仿宋" w:eastAsia="仿宋" w:cs="宋体"/>
                <w:color w:val="auto"/>
                <w:kern w:val="0"/>
                <w:sz w:val="24"/>
                <w:szCs w:val="24"/>
              </w:rPr>
              <w:t>分，差的得0分。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631" w:type="dxa"/>
            <w:vAlign w:val="center"/>
          </w:tcPr>
          <w:p>
            <w:pPr>
              <w:widowControl/>
              <w:spacing w:line="360" w:lineRule="exact"/>
              <w:jc w:val="center"/>
              <w:rPr>
                <w:rFonts w:ascii="仿宋" w:hAnsi="仿宋" w:eastAsia="仿宋" w:cs="宋体"/>
                <w:color w:val="auto"/>
                <w:kern w:val="0"/>
                <w:sz w:val="24"/>
                <w:szCs w:val="24"/>
              </w:rPr>
            </w:pPr>
            <w:bookmarkStart w:id="211" w:name="_GoBack" w:colFirst="0" w:colLast="2"/>
            <w:r>
              <w:rPr>
                <w:rFonts w:hint="eastAsia" w:ascii="仿宋" w:hAnsi="仿宋" w:eastAsia="仿宋" w:cs="宋体"/>
                <w:color w:val="auto"/>
                <w:kern w:val="0"/>
                <w:sz w:val="24"/>
                <w:szCs w:val="24"/>
              </w:rPr>
              <w:t>项目实施与验收方案</w:t>
            </w:r>
          </w:p>
        </w:tc>
        <w:tc>
          <w:tcPr>
            <w:tcW w:w="962" w:type="dxa"/>
            <w:vAlign w:val="center"/>
          </w:tcPr>
          <w:p>
            <w:pPr>
              <w:widowControl/>
              <w:spacing w:line="360" w:lineRule="exact"/>
              <w:jc w:val="center"/>
              <w:rPr>
                <w:rFonts w:ascii="仿宋" w:hAnsi="仿宋" w:eastAsia="仿宋" w:cs="宋体"/>
                <w:color w:val="auto"/>
                <w:kern w:val="0"/>
                <w:sz w:val="24"/>
                <w:szCs w:val="24"/>
              </w:rPr>
            </w:pPr>
            <w:r>
              <w:rPr>
                <w:rFonts w:ascii="仿宋" w:hAnsi="仿宋" w:eastAsia="仿宋" w:cs="宋体"/>
                <w:color w:val="auto"/>
                <w:kern w:val="0"/>
                <w:sz w:val="24"/>
                <w:szCs w:val="24"/>
              </w:rPr>
              <w:t>3</w:t>
            </w:r>
            <w:r>
              <w:rPr>
                <w:rFonts w:hint="eastAsia" w:ascii="仿宋" w:hAnsi="仿宋" w:eastAsia="仿宋" w:cs="宋体"/>
                <w:color w:val="auto"/>
                <w:kern w:val="0"/>
                <w:sz w:val="24"/>
                <w:szCs w:val="24"/>
              </w:rPr>
              <w:t>分</w:t>
            </w:r>
          </w:p>
        </w:tc>
        <w:tc>
          <w:tcPr>
            <w:tcW w:w="5636" w:type="dxa"/>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项目实施与验收方案完整，且方案优化合理有利于招标方的得</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分。</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项目实施与验收方案一般的得1分。</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项目实施与验收方案差的得0分。</w:t>
            </w:r>
          </w:p>
        </w:tc>
      </w:tr>
      <w:bookmarkEnd w:id="211"/>
    </w:tbl>
    <w:p>
      <w:pPr>
        <w:adjustRightInd w:val="0"/>
        <w:snapToGrid w:val="0"/>
        <w:spacing w:line="540" w:lineRule="exact"/>
        <w:ind w:firstLine="560" w:firstLineChars="200"/>
        <w:rPr>
          <w:rFonts w:hint="eastAsia" w:ascii="仿宋" w:hAnsi="仿宋" w:eastAsia="仿宋" w:cs="仿宋"/>
          <w:color w:val="auto"/>
          <w:sz w:val="28"/>
        </w:rPr>
      </w:pP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报价得分=(评标基准价／评标价格)×30%×100</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评标价格=供应商的投标报价（经算数性修正的）-政府采购政策优惠价格扣除。</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本项目将对小型和微型企业产品的价格给予6%的扣除，用扣除后的价格参与评审打分。</w:t>
      </w:r>
    </w:p>
    <w:p>
      <w:pPr>
        <w:adjustRightInd w:val="0"/>
        <w:snapToGrid w:val="0"/>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-6%）+供应商报价中不属于小型和微型企业产品的价格部分；否则，其评标价=投标报价。</w:t>
      </w:r>
    </w:p>
    <w:p>
      <w:pPr>
        <w:adjustRightInd w:val="0"/>
        <w:snapToGrid w:val="0"/>
        <w:spacing w:line="54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rPr>
        <w:t>24.8.2.2  在价格评审中，</w:t>
      </w:r>
      <w:r>
        <w:rPr>
          <w:rFonts w:hint="eastAsia" w:ascii="仿宋" w:hAnsi="仿宋" w:eastAsia="仿宋" w:cs="仿宋"/>
          <w:b/>
          <w:color w:val="auto"/>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6"/>
        <w:spacing w:line="540" w:lineRule="exact"/>
        <w:ind w:firstLine="560"/>
        <w:jc w:val="both"/>
        <w:rPr>
          <w:rFonts w:hint="eastAsia" w:ascii="仿宋" w:hAnsi="仿宋" w:eastAsia="仿宋" w:cs="仿宋"/>
          <w:color w:val="auto"/>
          <w:sz w:val="28"/>
        </w:rPr>
      </w:pPr>
      <w:r>
        <w:rPr>
          <w:rFonts w:hint="eastAsia" w:ascii="仿宋" w:hAnsi="仿宋" w:eastAsia="仿宋" w:cs="仿宋"/>
          <w:color w:val="auto"/>
          <w:sz w:val="28"/>
        </w:rPr>
        <w:t xml:space="preserve">24.8.2.3 </w:t>
      </w:r>
      <w:r>
        <w:rPr>
          <w:rFonts w:hint="eastAsia" w:ascii="仿宋" w:hAnsi="仿宋" w:eastAsia="仿宋" w:cs="仿宋"/>
          <w:color w:val="auto"/>
          <w:sz w:val="36"/>
        </w:rPr>
        <w:t xml:space="preserve"> </w:t>
      </w:r>
      <w:r>
        <w:rPr>
          <w:rFonts w:hint="eastAsia" w:ascii="仿宋" w:hAnsi="仿宋" w:eastAsia="仿宋" w:cs="仿宋"/>
          <w:color w:val="auto"/>
          <w:sz w:val="28"/>
        </w:rPr>
        <w:t>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cs="仿宋"/>
          <w:bCs/>
          <w:color w:val="auto"/>
          <w:sz w:val="28"/>
        </w:rPr>
        <w:t>投标产品近三年相同产品销售业绩</w:t>
      </w:r>
      <w:r>
        <w:rPr>
          <w:rFonts w:hint="eastAsia" w:ascii="仿宋" w:hAnsi="仿宋" w:eastAsia="仿宋" w:cs="仿宋"/>
          <w:color w:val="auto"/>
          <w:sz w:val="28"/>
        </w:rPr>
        <w:t>，以确定供应商类似项目的供货经验及组织管理能力等。</w:t>
      </w:r>
    </w:p>
    <w:p>
      <w:pPr>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涉及政府采购政策优惠的，按投标须知前附表规定调整供应商的技术、价格得分或总得分。</w:t>
      </w:r>
    </w:p>
    <w:p>
      <w:pPr>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涉及多处获得政府采购政策优惠的，涉及调整得分的，按规定调整得分；涉及调整价格的，按规定调整价格。</w:t>
      </w:r>
    </w:p>
    <w:p>
      <w:pPr>
        <w:spacing w:line="52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24.8.2.4  节能、环境标志产品评审优惠内容及加分幅度：</w:t>
      </w:r>
    </w:p>
    <w:p>
      <w:pPr>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adjustRightInd w:val="0"/>
        <w:snapToGrid w:val="0"/>
        <w:spacing w:line="52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价格项加分：</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1、（节能清单部分产品的价格/投标报价）×3%×价格项满分值</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2、（环境清单部分产品的价格/投标报价）×3%×价格项满分值</w:t>
      </w:r>
    </w:p>
    <w:p>
      <w:pPr>
        <w:adjustRightInd w:val="0"/>
        <w:snapToGrid w:val="0"/>
        <w:spacing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技术项加分：</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1、（节能清单部分产品的价格/投标报价）×3%×技术项满分值</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2、（环境清单部分产品的价格/投标报价）×3%×技术项满分值</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注：1、供应商须提供23期《节能产品政府采购清单》关于投标产品当前页的打印件；</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2、供应商提供21期《环境标志产品政府采购清单》关于投标产品当前页的打印件；</w:t>
      </w:r>
    </w:p>
    <w:p>
      <w:pPr>
        <w:adjustRightInd w:val="0"/>
        <w:snapToGrid w:val="0"/>
        <w:spacing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24.8.2.5属于中小企业评审优惠内容及价格扣除幅度：</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根据中华人民共和国财政部、中华人民共和国工业和信息化部《政府采购促进中小企业发展暂行办法》（财库[2011]181号）文件的规定，属于中小企业评审优惠内容及幅度如下：</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（一）中小企业（含中型、小型、微型企业）应当同时符合以下条件：</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①符合中小企业划分标准（按《关于印发中小企业划型标准规定的通知》（工信部联企业〔2011〕300号）执行）；</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②提供本企业制造的货物、承担的项目或者服务，或者提供其他中小企业制造的货物。本项所称货物不包括使用大型企业注册商标的货物；</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③小型、微型企业提供中型企业制造的货物的，视同为中型企业。</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（二）价格扣除办法：</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 1 \* GB3 </w:instrText>
      </w:r>
      <w:r>
        <w:rPr>
          <w:rFonts w:hint="eastAsia" w:ascii="仿宋" w:hAnsi="仿宋" w:eastAsia="仿宋" w:cs="仿宋"/>
          <w:color w:val="auto"/>
          <w:sz w:val="28"/>
        </w:rPr>
        <w:fldChar w:fldCharType="separate"/>
      </w:r>
      <w:r>
        <w:rPr>
          <w:rFonts w:hint="eastAsia" w:ascii="仿宋" w:hAnsi="仿宋" w:eastAsia="仿宋" w:cs="仿宋"/>
          <w:color w:val="auto"/>
          <w:sz w:val="28"/>
        </w:rPr>
        <w:t>①</w:t>
      </w:r>
      <w:r>
        <w:rPr>
          <w:rFonts w:hint="eastAsia" w:ascii="仿宋" w:hAnsi="仿宋" w:eastAsia="仿宋" w:cs="仿宋"/>
          <w:color w:val="auto"/>
          <w:sz w:val="28"/>
        </w:rPr>
        <w:fldChar w:fldCharType="end"/>
      </w:r>
      <w:r>
        <w:rPr>
          <w:rFonts w:hint="eastAsia" w:ascii="仿宋" w:hAnsi="仿宋" w:eastAsia="仿宋" w:cs="仿宋"/>
          <w:color w:val="auto"/>
          <w:sz w:val="28"/>
        </w:rPr>
        <w:t>对于非专门面向中小企业的项目，对小型和微型企业（或联合体各方均为小型、微型企业的）产品的价格给予6%的扣除，用扣除后的价格参与价格分的评审。</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（三）小型和微型企业适用价格扣除办法时应提供的相关资料：</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 1 \* GB3 </w:instrText>
      </w:r>
      <w:r>
        <w:rPr>
          <w:rFonts w:hint="eastAsia" w:ascii="仿宋" w:hAnsi="仿宋" w:eastAsia="仿宋" w:cs="仿宋"/>
          <w:color w:val="auto"/>
          <w:sz w:val="28"/>
        </w:rPr>
        <w:fldChar w:fldCharType="separate"/>
      </w:r>
      <w:r>
        <w:rPr>
          <w:rFonts w:hint="eastAsia" w:ascii="仿宋" w:hAnsi="仿宋" w:eastAsia="仿宋" w:cs="仿宋"/>
          <w:color w:val="auto"/>
          <w:sz w:val="28"/>
        </w:rPr>
        <w:t>①</w:t>
      </w:r>
      <w:r>
        <w:rPr>
          <w:rFonts w:hint="eastAsia" w:ascii="仿宋" w:hAnsi="仿宋" w:eastAsia="仿宋" w:cs="仿宋"/>
          <w:color w:val="auto"/>
          <w:sz w:val="28"/>
        </w:rPr>
        <w:fldChar w:fldCharType="end"/>
      </w:r>
      <w:r>
        <w:rPr>
          <w:rFonts w:hint="eastAsia" w:ascii="仿宋" w:hAnsi="仿宋" w:eastAsia="仿宋" w:cs="仿宋"/>
          <w:color w:val="auto"/>
          <w:sz w:val="28"/>
        </w:rPr>
        <w:t>、《中小企业声明函》。</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②、供应商应提供所投标产品生产厂家的属地主管部门出具的证明函；</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③、供应商应同时提供以上二个材料，否则将不给予价格扣除。</w:t>
      </w:r>
    </w:p>
    <w:p>
      <w:pPr>
        <w:adjustRightInd w:val="0"/>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④、供应商需在投标文件报价部分中“投标分项报价表”中逐项注明所投产品的生产厂家具体名称并备注是否属于小型、微型企业。</w:t>
      </w:r>
    </w:p>
    <w:p>
      <w:pPr>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若所投标产品为进口产品的，不适用《政府采购促进中小企业发展暂行办法》。</w:t>
      </w:r>
    </w:p>
    <w:p>
      <w:pPr>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根据中华人民共和国财政部、中华人民共和国民政部、中国残疾人联合会《关于促进残疾人就业政府采购政策的通知》（财库[2017]141号）文件的规定：残疾人福利性单位视同小型、微型企业。</w:t>
      </w:r>
    </w:p>
    <w:p>
      <w:pPr>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spacing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pPr>
        <w:spacing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24.8.4  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24.8.5  最低报价不作为评标的唯一依据。采购人不承诺将合同授予报价最低的供应商。</w:t>
      </w:r>
    </w:p>
    <w:p>
      <w:pPr>
        <w:spacing w:line="54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rPr>
        <w:t>24.8.6  经评标委员会评议，认为投标报价过高、均超出采购人预算或最高限价的项目，可以不确立中标人，重新组织招标。</w:t>
      </w:r>
    </w:p>
    <w:p>
      <w:pPr>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25. 投标文件的澄清</w:t>
      </w:r>
    </w:p>
    <w:p>
      <w:pPr>
        <w:autoSpaceDE w:val="0"/>
        <w:autoSpaceDN w:val="0"/>
        <w:adjustRightIn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25.1 评标委员会在评标过程中有权随时请供应商就投标文件中含混之处加以澄清或答疑。</w:t>
      </w:r>
    </w:p>
    <w:p>
      <w:pPr>
        <w:autoSpaceDE w:val="0"/>
        <w:autoSpaceDN w:val="0"/>
        <w:adjustRightIn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25.2  供应商对要求澄清的问题应以书面形式明确答复，并应有法人授权代表的签署。</w:t>
      </w:r>
    </w:p>
    <w:p>
      <w:pPr>
        <w:autoSpaceDE w:val="0"/>
        <w:autoSpaceDN w:val="0"/>
        <w:adjustRightIn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25.3  供应商的澄清文件是投标文件的组成部分，并取代投标文件中被澄清的部分。</w:t>
      </w:r>
    </w:p>
    <w:p>
      <w:pPr>
        <w:autoSpaceDE w:val="0"/>
        <w:autoSpaceDN w:val="0"/>
        <w:adjustRightIn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25.4  投标文件的澄清不得改变投标的实质内容。</w:t>
      </w:r>
    </w:p>
    <w:p>
      <w:pPr>
        <w:autoSpaceDE w:val="0"/>
        <w:autoSpaceDN w:val="0"/>
        <w:adjustRightIn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26．中标人的确定</w:t>
      </w:r>
    </w:p>
    <w:p>
      <w:pPr>
        <w:autoSpaceDE w:val="0"/>
        <w:autoSpaceDN w:val="0"/>
        <w:adjustRightIn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26.1  评标委员会按照招标文件的评标办法负责向采购人推荐一家或一至三家供应商为中标候选人。</w:t>
      </w:r>
    </w:p>
    <w:p>
      <w:pPr>
        <w:autoSpaceDE w:val="0"/>
        <w:autoSpaceDN w:val="0"/>
        <w:adjustRightInd w:val="0"/>
        <w:spacing w:line="540" w:lineRule="exact"/>
        <w:ind w:firstLine="562" w:firstLineChars="200"/>
        <w:rPr>
          <w:rFonts w:hint="eastAsia" w:ascii="仿宋" w:hAnsi="仿宋" w:eastAsia="仿宋" w:cs="仿宋"/>
          <w:b/>
          <w:color w:val="auto"/>
          <w:kern w:val="0"/>
          <w:sz w:val="28"/>
        </w:rPr>
      </w:pPr>
      <w:r>
        <w:rPr>
          <w:rFonts w:hint="eastAsia" w:ascii="仿宋" w:hAnsi="仿宋" w:eastAsia="仿宋" w:cs="仿宋"/>
          <w:b/>
          <w:color w:val="auto"/>
          <w:kern w:val="0"/>
          <w:sz w:val="28"/>
        </w:rPr>
        <w:t>26.2  中标供应商拒绝与采购人签订合同的，采购人可以按照评审报告推荐的中标人名单排序，确定下一候选人为中标人，也可以重新开展政府采购活动。</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27. 中标通知</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27.1 采购代理机构将在中标结果公示发布的同时，以书面形式向中标单位发出《中标通知书》。</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shd w:val="clear" w:color="auto" w:fill="FFFFFF"/>
        </w:rPr>
        <w:t>不予以退还，但对其承担保密责任。</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28. 拒绝某些或所有投标的权力。</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28.1 采购人或采购代理机构有权在《中标通知书》发放之前的任何时候拒绝任何有不正当行为或扰乱正常招标工作的供应商，由此对相关供应商造成的损失不负责任。</w:t>
      </w:r>
    </w:p>
    <w:p>
      <w:pPr>
        <w:pStyle w:val="27"/>
        <w:spacing w:beforeLines="0" w:afterLines="0" w:line="520" w:lineRule="exact"/>
        <w:rPr>
          <w:rFonts w:hint="eastAsia" w:ascii="仿宋" w:hAnsi="仿宋" w:eastAsia="仿宋" w:cs="仿宋"/>
          <w:color w:val="auto"/>
          <w:kern w:val="0"/>
          <w:sz w:val="28"/>
          <w:szCs w:val="24"/>
        </w:rPr>
      </w:pPr>
      <w:r>
        <w:rPr>
          <w:rFonts w:hint="eastAsia" w:ascii="仿宋" w:hAnsi="仿宋" w:eastAsia="仿宋" w:cs="仿宋"/>
          <w:color w:val="auto"/>
          <w:kern w:val="0"/>
          <w:sz w:val="28"/>
          <w:szCs w:val="24"/>
        </w:rPr>
        <w:t>七、授予合同</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29. 签订合同</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29.1 中标人收到《中标通知书》后，须按有关规定与招标方签定经济合同。合同的签订一般在《中标通知书》发出后30天内进行，但采购人事先约定的情况除外。</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29.2 合同签订后，卖方应按合同的规定履行合同，未按规定履约的，采购人有权取消合同，并且不退还中标人的投标保证金。</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29.3 中标合同不得转让或分包。如需对合同的非主体部分进行转让或分包，供应商必须在投标文件中予以说明，并需经采购人同意。否则，采购人有权取消中标人的中标资格。</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29.4 如中标人未按有关规定与采购人签订合同或提交合同履约保证金的，采购人可以选择其他中标候选人为中标人，并组织中标人和采购人签订经济合同。</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29.5 合同履约保证金的形式为银行保函，另有约定的，按照约定条件执行。</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30. 合同的组成</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30.1 下列文件均为经济合同不可分割的组成部分：</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30.1.1 招标文件及其附件、补遗文件；</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 xml:space="preserve">30.1.2 中标的投标文件及其他附件； </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30.1.3 经确认的答疑记录；</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30.1.4 中标通知书。</w:t>
      </w:r>
    </w:p>
    <w:p>
      <w:pPr>
        <w:pStyle w:val="27"/>
        <w:spacing w:beforeLines="0" w:afterLines="0" w:line="520" w:lineRule="exact"/>
        <w:rPr>
          <w:rFonts w:hint="eastAsia" w:ascii="仿宋" w:hAnsi="仿宋" w:eastAsia="仿宋" w:cs="仿宋"/>
          <w:color w:val="auto"/>
          <w:kern w:val="0"/>
          <w:sz w:val="28"/>
          <w:szCs w:val="24"/>
        </w:rPr>
      </w:pPr>
      <w:r>
        <w:rPr>
          <w:rFonts w:hint="eastAsia" w:ascii="仿宋" w:hAnsi="仿宋" w:eastAsia="仿宋" w:cs="仿宋"/>
          <w:color w:val="auto"/>
          <w:kern w:val="0"/>
          <w:sz w:val="28"/>
          <w:szCs w:val="24"/>
        </w:rPr>
        <w:t>八、买方授标时更改采购货物数量的权利</w:t>
      </w:r>
    </w:p>
    <w:p>
      <w:pPr>
        <w:pStyle w:val="25"/>
        <w:spacing w:before="100" w:after="50" w:line="500" w:lineRule="exact"/>
        <w:ind w:firstLine="560"/>
        <w:rPr>
          <w:rFonts w:hint="eastAsia" w:ascii="仿宋" w:hAnsi="仿宋" w:eastAsia="仿宋" w:cs="仿宋"/>
          <w:color w:val="auto"/>
        </w:rPr>
      </w:pPr>
      <w:r>
        <w:rPr>
          <w:rFonts w:hint="eastAsia" w:ascii="仿宋" w:hAnsi="仿宋" w:eastAsia="仿宋" w:cs="仿宋"/>
          <w:color w:val="auto"/>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pPr>
        <w:pStyle w:val="27"/>
        <w:spacing w:beforeLines="0" w:afterLines="0" w:line="520" w:lineRule="exact"/>
        <w:rPr>
          <w:rFonts w:hint="eastAsia" w:ascii="仿宋" w:hAnsi="仿宋" w:eastAsia="仿宋" w:cs="仿宋"/>
          <w:color w:val="auto"/>
          <w:kern w:val="0"/>
          <w:sz w:val="28"/>
          <w:szCs w:val="24"/>
        </w:rPr>
      </w:pPr>
      <w:r>
        <w:rPr>
          <w:rFonts w:hint="eastAsia" w:ascii="仿宋" w:hAnsi="仿宋" w:eastAsia="仿宋" w:cs="仿宋"/>
          <w:color w:val="auto"/>
          <w:kern w:val="0"/>
          <w:sz w:val="28"/>
          <w:szCs w:val="24"/>
        </w:rPr>
        <w:t>九、其他事项</w:t>
      </w:r>
    </w:p>
    <w:p>
      <w:pPr>
        <w:pStyle w:val="26"/>
        <w:spacing w:line="50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32. 中标服务费</w:t>
      </w:r>
    </w:p>
    <w:p>
      <w:pPr>
        <w:pStyle w:val="26"/>
        <w:spacing w:line="50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32.1 按国家发改价格[2011]534号及计价格[2002]1980号文件计算的招标代理服务收费标准执行，由中标供应商支付。</w:t>
      </w:r>
    </w:p>
    <w:p>
      <w:pPr>
        <w:pStyle w:val="26"/>
        <w:spacing w:line="540" w:lineRule="exact"/>
        <w:ind w:firstLine="562" w:firstLineChars="200"/>
        <w:jc w:val="both"/>
        <w:rPr>
          <w:rFonts w:hint="eastAsia" w:ascii="仿宋" w:hAnsi="仿宋" w:eastAsia="仿宋" w:cs="仿宋"/>
          <w:b/>
          <w:color w:val="auto"/>
          <w:sz w:val="28"/>
        </w:rPr>
      </w:pPr>
      <w:r>
        <w:rPr>
          <w:rFonts w:hint="eastAsia" w:ascii="仿宋" w:hAnsi="仿宋" w:eastAsia="仿宋" w:cs="仿宋"/>
          <w:b/>
          <w:color w:val="auto"/>
          <w:sz w:val="28"/>
        </w:rPr>
        <w:t>32.2 中标服务费的计算基数是中标人投标报价的总金额，即中标通知书中载明的中标金额。</w:t>
      </w:r>
    </w:p>
    <w:p>
      <w:pPr>
        <w:pStyle w:val="26"/>
        <w:spacing w:line="540" w:lineRule="exact"/>
        <w:ind w:firstLine="562" w:firstLineChars="200"/>
        <w:jc w:val="both"/>
        <w:rPr>
          <w:rFonts w:hint="eastAsia" w:ascii="仿宋" w:hAnsi="仿宋" w:eastAsia="仿宋" w:cs="仿宋"/>
          <w:b/>
          <w:color w:val="auto"/>
          <w:sz w:val="28"/>
        </w:rPr>
      </w:pPr>
      <w:r>
        <w:rPr>
          <w:rFonts w:hint="eastAsia" w:ascii="仿宋" w:hAnsi="仿宋" w:eastAsia="仿宋" w:cs="仿宋"/>
          <w:b/>
          <w:color w:val="auto"/>
          <w:sz w:val="28"/>
        </w:rPr>
        <w:t>需要开具增值税专用发票，供应商请提供增值税专用发票开票信息（需加盖财务专用章）；</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33. 本招标文件是根据《中华人民共和国政府采购法》及其实施条例（658号令）及《政府采购货物和服务招标投标管理办法》（87号令）规定编制的，解释权属新疆新之建工程咨询有限公司。</w:t>
      </w:r>
    </w:p>
    <w:p>
      <w:pPr>
        <w:pStyle w:val="26"/>
        <w:spacing w:line="540" w:lineRule="exact"/>
        <w:ind w:firstLine="562" w:firstLineChars="200"/>
        <w:jc w:val="both"/>
        <w:rPr>
          <w:rFonts w:hint="eastAsia" w:ascii="仿宋" w:hAnsi="仿宋" w:eastAsia="仿宋" w:cs="仿宋"/>
          <w:b/>
          <w:color w:val="auto"/>
          <w:sz w:val="28"/>
        </w:rPr>
      </w:pPr>
      <w:r>
        <w:rPr>
          <w:rFonts w:hint="eastAsia" w:ascii="仿宋" w:hAnsi="仿宋" w:eastAsia="仿宋" w:cs="仿宋"/>
          <w:b/>
          <w:color w:val="auto"/>
          <w:sz w:val="28"/>
        </w:rPr>
        <w:t>34. 为了做好投标工作，供应商应组织有关商务和技术人员，认真解答或澄清评标委员会在评标过程中提出的有关商务和技术问题。</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所有与本标书有关的函电请按下列通讯地址联系：</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采购代理机构：新疆新之建工程咨询有限公司</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通讯地址：新疆乌鲁木齐市沙依巴克区公园北街162号文苑综合楼七楼</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邮    编：830002</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联 系 人：吴坤  沈庆军</w:t>
      </w:r>
    </w:p>
    <w:p>
      <w:pPr>
        <w:pStyle w:val="26"/>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电    话：0991-8852519</w:t>
      </w:r>
    </w:p>
    <w:bookmarkEnd w:id="5"/>
    <w:p>
      <w:pPr>
        <w:pStyle w:val="18"/>
        <w:ind w:left="0" w:firstLine="0"/>
        <w:rPr>
          <w:rFonts w:hint="eastAsia" w:ascii="仿宋" w:hAnsi="仿宋" w:eastAsia="仿宋" w:cs="仿宋"/>
          <w:color w:val="auto"/>
          <w:sz w:val="36"/>
        </w:rPr>
      </w:pPr>
      <w:r>
        <w:rPr>
          <w:rFonts w:hint="eastAsia" w:ascii="仿宋" w:hAnsi="仿宋" w:eastAsia="仿宋" w:cs="仿宋"/>
          <w:b w:val="0"/>
          <w:color w:val="auto"/>
          <w:sz w:val="36"/>
          <w:szCs w:val="20"/>
        </w:rPr>
        <w:br w:type="page"/>
      </w:r>
      <w:bookmarkStart w:id="6" w:name="_Toc5987696"/>
      <w:bookmarkStart w:id="7" w:name="_Toc5987697"/>
      <w:r>
        <w:rPr>
          <w:rFonts w:hint="eastAsia" w:ascii="仿宋" w:hAnsi="仿宋" w:eastAsia="仿宋" w:cs="仿宋"/>
          <w:color w:val="auto"/>
          <w:kern w:val="0"/>
          <w:sz w:val="36"/>
        </w:rPr>
        <w:t>第三章   招标内容及技术要</w:t>
      </w:r>
      <w:r>
        <w:rPr>
          <w:rFonts w:hint="eastAsia" w:ascii="仿宋" w:hAnsi="仿宋" w:eastAsia="仿宋" w:cs="仿宋"/>
          <w:color w:val="auto"/>
          <w:spacing w:val="1"/>
          <w:kern w:val="0"/>
          <w:sz w:val="36"/>
        </w:rPr>
        <w:t>求</w:t>
      </w:r>
      <w:bookmarkEnd w:id="6"/>
    </w:p>
    <w:p>
      <w:pPr>
        <w:spacing w:line="500" w:lineRule="exact"/>
        <w:ind w:firstLine="723" w:firstLineChars="200"/>
        <w:jc w:val="center"/>
        <w:rPr>
          <w:rStyle w:val="32"/>
          <w:rFonts w:hint="eastAsia" w:ascii="仿宋" w:hAnsi="仿宋" w:eastAsia="仿宋" w:cs="仿宋"/>
          <w:color w:val="auto"/>
          <w:sz w:val="36"/>
        </w:rPr>
      </w:pPr>
    </w:p>
    <w:p>
      <w:pPr>
        <w:snapToGrid w:val="0"/>
        <w:spacing w:after="156" w:afterLines="50" w:line="480" w:lineRule="exact"/>
        <w:jc w:val="center"/>
        <w:rPr>
          <w:rFonts w:hint="eastAsia" w:ascii="仿宋" w:hAnsi="仿宋" w:eastAsia="仿宋" w:cs="仿宋"/>
          <w:color w:val="auto"/>
          <w:kern w:val="0"/>
          <w:sz w:val="28"/>
          <w:szCs w:val="28"/>
        </w:rPr>
      </w:pPr>
      <w:r>
        <w:rPr>
          <w:rFonts w:hint="eastAsia" w:ascii="仿宋" w:hAnsi="仿宋" w:eastAsia="仿宋" w:cs="仿宋"/>
          <w:b/>
          <w:bCs/>
          <w:color w:val="auto"/>
          <w:spacing w:val="5"/>
          <w:w w:val="99"/>
          <w:kern w:val="0"/>
          <w:sz w:val="30"/>
          <w:szCs w:val="30"/>
        </w:rPr>
        <w:t>货物需求一览</w:t>
      </w:r>
      <w:r>
        <w:rPr>
          <w:rFonts w:hint="eastAsia" w:ascii="仿宋" w:hAnsi="仿宋" w:eastAsia="仿宋" w:cs="仿宋"/>
          <w:b/>
          <w:bCs/>
          <w:color w:val="auto"/>
          <w:spacing w:val="-13"/>
          <w:w w:val="99"/>
          <w:kern w:val="0"/>
          <w:sz w:val="30"/>
          <w:szCs w:val="30"/>
        </w:rPr>
        <w:t>表</w:t>
      </w:r>
      <w:bookmarkEnd w:id="7"/>
      <w:bookmarkStart w:id="8" w:name="_Toc22654709"/>
    </w:p>
    <w:tbl>
      <w:tblPr>
        <w:tblStyle w:val="20"/>
        <w:tblpPr w:leftFromText="180" w:rightFromText="180" w:vertAnchor="text" w:horzAnchor="page" w:tblpXSpec="center" w:tblpY="615"/>
        <w:tblOverlap w:val="never"/>
        <w:tblW w:w="7894" w:type="dxa"/>
        <w:jc w:val="center"/>
        <w:tblLayout w:type="fixed"/>
        <w:tblCellMar>
          <w:top w:w="0" w:type="dxa"/>
          <w:left w:w="0" w:type="dxa"/>
          <w:bottom w:w="0" w:type="dxa"/>
          <w:right w:w="0" w:type="dxa"/>
        </w:tblCellMar>
      </w:tblPr>
      <w:tblGrid>
        <w:gridCol w:w="1253"/>
        <w:gridCol w:w="3163"/>
        <w:gridCol w:w="1290"/>
        <w:gridCol w:w="1094"/>
        <w:gridCol w:w="1094"/>
      </w:tblGrid>
      <w:tr>
        <w:tblPrEx>
          <w:tblCellMar>
            <w:top w:w="0" w:type="dxa"/>
            <w:left w:w="0" w:type="dxa"/>
            <w:bottom w:w="0" w:type="dxa"/>
            <w:right w:w="0" w:type="dxa"/>
          </w:tblCellMar>
        </w:tblPrEx>
        <w:trPr>
          <w:trHeight w:val="741" w:hRule="atLeast"/>
          <w:jc w:val="center"/>
        </w:trPr>
        <w:tc>
          <w:tcPr>
            <w:tcW w:w="12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标项序号</w:t>
            </w:r>
          </w:p>
        </w:tc>
        <w:tc>
          <w:tcPr>
            <w:tcW w:w="316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设备名称                                                        </w:t>
            </w:r>
          </w:p>
        </w:tc>
        <w:tc>
          <w:tcPr>
            <w:tcW w:w="12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09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单位</w:t>
            </w:r>
          </w:p>
        </w:tc>
        <w:tc>
          <w:tcPr>
            <w:tcW w:w="109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备注</w:t>
            </w:r>
          </w:p>
        </w:tc>
      </w:tr>
      <w:tr>
        <w:tblPrEx>
          <w:tblCellMar>
            <w:top w:w="0" w:type="dxa"/>
            <w:left w:w="0" w:type="dxa"/>
            <w:bottom w:w="0" w:type="dxa"/>
            <w:right w:w="0" w:type="dxa"/>
          </w:tblCellMar>
        </w:tblPrEx>
        <w:trPr>
          <w:trHeight w:val="397" w:hRule="atLeast"/>
          <w:jc w:val="center"/>
        </w:trPr>
        <w:tc>
          <w:tcPr>
            <w:tcW w:w="12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第一包</w:t>
            </w:r>
          </w:p>
        </w:tc>
        <w:tc>
          <w:tcPr>
            <w:tcW w:w="3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全自动血凝仪</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rPr>
              <w:t>1</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台</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0" w:type="dxa"/>
            <w:bottom w:w="0" w:type="dxa"/>
            <w:right w:w="0" w:type="dxa"/>
          </w:tblCellMar>
        </w:tblPrEx>
        <w:trPr>
          <w:trHeight w:val="397" w:hRule="atLeast"/>
          <w:jc w:val="center"/>
        </w:trPr>
        <w:tc>
          <w:tcPr>
            <w:tcW w:w="125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p>
        </w:tc>
        <w:tc>
          <w:tcPr>
            <w:tcW w:w="3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发光仪</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rPr>
              <w:t>1</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p>
        </w:tc>
      </w:tr>
      <w:tr>
        <w:trPr>
          <w:trHeight w:val="397" w:hRule="atLeast"/>
          <w:jc w:val="center"/>
        </w:trPr>
        <w:tc>
          <w:tcPr>
            <w:tcW w:w="125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p>
        </w:tc>
        <w:tc>
          <w:tcPr>
            <w:tcW w:w="3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全自动血细胞分析仪</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rPr>
              <w:t>1</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0" w:type="dxa"/>
            <w:bottom w:w="0" w:type="dxa"/>
            <w:right w:w="0" w:type="dxa"/>
          </w:tblCellMar>
        </w:tblPrEx>
        <w:trPr>
          <w:trHeight w:val="397" w:hRule="atLeast"/>
          <w:jc w:val="center"/>
        </w:trPr>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第二包</w:t>
            </w:r>
          </w:p>
        </w:tc>
        <w:tc>
          <w:tcPr>
            <w:tcW w:w="3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中耳功能分析系统</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lang w:bidi="ar"/>
              </w:rPr>
            </w:pPr>
            <w:r>
              <w:rPr>
                <w:rFonts w:hint="eastAsia" w:ascii="仿宋_GB2312" w:hAnsi="仿宋_GB2312" w:eastAsia="仿宋_GB2312" w:cs="仿宋_GB2312"/>
                <w:color w:val="auto"/>
                <w:kern w:val="0"/>
                <w:sz w:val="24"/>
                <w:szCs w:val="24"/>
              </w:rPr>
              <w:t>1</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套</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0" w:type="dxa"/>
            <w:bottom w:w="0" w:type="dxa"/>
            <w:right w:w="0" w:type="dxa"/>
          </w:tblCellMar>
        </w:tblPrEx>
        <w:trPr>
          <w:trHeight w:val="397" w:hRule="atLeast"/>
          <w:jc w:val="center"/>
        </w:trPr>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第三包</w:t>
            </w:r>
          </w:p>
        </w:tc>
        <w:tc>
          <w:tcPr>
            <w:tcW w:w="3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妇幼健康信息平台</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lang w:bidi="ar"/>
              </w:rPr>
            </w:pPr>
            <w:r>
              <w:rPr>
                <w:rFonts w:hint="eastAsia" w:ascii="仿宋_GB2312" w:hAnsi="仿宋_GB2312" w:eastAsia="仿宋_GB2312" w:cs="仿宋_GB2312"/>
                <w:color w:val="auto"/>
                <w:kern w:val="0"/>
                <w:sz w:val="24"/>
                <w:szCs w:val="24"/>
              </w:rPr>
              <w:t>1</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套</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0" w:type="dxa"/>
            <w:bottom w:w="0" w:type="dxa"/>
            <w:right w:w="0" w:type="dxa"/>
          </w:tblCellMar>
        </w:tblPrEx>
        <w:trPr>
          <w:trHeight w:val="397" w:hRule="atLeast"/>
          <w:jc w:val="center"/>
        </w:trPr>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第四包</w:t>
            </w:r>
          </w:p>
        </w:tc>
        <w:tc>
          <w:tcPr>
            <w:tcW w:w="3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PCR实验室建设</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lang w:bidi="ar"/>
              </w:rPr>
            </w:pPr>
            <w:r>
              <w:rPr>
                <w:rFonts w:hint="eastAsia" w:ascii="仿宋_GB2312" w:hAnsi="仿宋_GB2312" w:eastAsia="仿宋_GB2312" w:cs="仿宋_GB2312"/>
                <w:color w:val="auto"/>
                <w:kern w:val="0"/>
                <w:sz w:val="24"/>
                <w:szCs w:val="24"/>
              </w:rPr>
              <w:t>1</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项</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0" w:type="dxa"/>
            <w:bottom w:w="0" w:type="dxa"/>
            <w:right w:w="0" w:type="dxa"/>
          </w:tblCellMar>
        </w:tblPrEx>
        <w:trPr>
          <w:trHeight w:val="397" w:hRule="atLeast"/>
          <w:jc w:val="center"/>
        </w:trPr>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第五包</w:t>
            </w:r>
          </w:p>
        </w:tc>
        <w:tc>
          <w:tcPr>
            <w:tcW w:w="3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计划生育手术室建设</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rPr>
              <w:t>1</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rPr>
              <w:t>项</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p>
        </w:tc>
      </w:tr>
    </w:tbl>
    <w:p>
      <w:pPr>
        <w:widowControl/>
        <w:jc w:val="left"/>
        <w:rPr>
          <w:rFonts w:hint="eastAsia" w:ascii="仿宋" w:hAnsi="仿宋" w:eastAsia="仿宋" w:cs="仿宋"/>
          <w:color w:val="auto"/>
          <w:kern w:val="0"/>
          <w:sz w:val="28"/>
          <w:szCs w:val="28"/>
        </w:rPr>
      </w:pPr>
    </w:p>
    <w:p>
      <w:pPr>
        <w:widowControl/>
        <w:jc w:val="left"/>
        <w:rPr>
          <w:rFonts w:hint="eastAsia" w:ascii="仿宋" w:hAnsi="仿宋" w:eastAsia="仿宋" w:cs="仿宋"/>
          <w:color w:val="auto"/>
          <w:kern w:val="0"/>
          <w:sz w:val="28"/>
          <w:szCs w:val="28"/>
        </w:rPr>
      </w:pPr>
    </w:p>
    <w:p>
      <w:pPr>
        <w:widowControl/>
        <w:jc w:val="left"/>
        <w:rPr>
          <w:rFonts w:hint="eastAsia" w:ascii="仿宋" w:hAnsi="仿宋" w:eastAsia="仿宋" w:cs="仿宋"/>
          <w:color w:val="auto"/>
          <w:kern w:val="0"/>
          <w:sz w:val="28"/>
          <w:szCs w:val="28"/>
        </w:rPr>
      </w:pPr>
    </w:p>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br w:type="page"/>
      </w:r>
    </w:p>
    <w:p>
      <w:pPr>
        <w:spacing w:line="520" w:lineRule="exact"/>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第一包技术参数</w:t>
      </w:r>
    </w:p>
    <w:p>
      <w:pPr>
        <w:spacing w:line="52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品目一：全自动凝血仪</w:t>
      </w:r>
    </w:p>
    <w:p>
      <w:pPr>
        <w:spacing w:line="52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一、技术参数：</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1、原装进口全自动凝血分析系统。</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2、检测针、样本针各自独立。</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3、四种方法学的血栓/止血分析系统：包括凝固法、发色底物法、免疫比浊法和聚集法检测，可开展PT/APTT/TT/Fbg,因子VIII,IX,XI,XII,XIII等，ATIII,D-二聚体，FDP等项目。</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4、可提供凝固曲线波形分析功能：根据对凝固曲线的求导分析，在不增加实验室的额外成本情况下提供更多止凝血系统疾病的信息。</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5、可提供混合交叉试验功能：协助判断APTT延长的原因是因子缺乏或者抑制物的存在。</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6、采用全自动进样架方式进样，样品位≥50个，连续循环进样。</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7、试剂位≥45个，其中试剂冷藏位≥40个。</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8、试剂舱温度控制在≤10摄氏度。</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9、反应杯单个独立，无需磁珠及参比品。一次放置≥500个，可自动连续排列 。</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10、所有检测程序可自由设定修改，可随意选择试剂、随意开展项目，实现真正的全开放。</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11、仪器拥有PT演算纤维蛋白原与Clauss法实测纤维蛋白原两种方法。</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12、专用急诊位：≥5个。</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13、溶血（H）、黄疸（I）、脂血（L）样本监测功能：能自动监测并提示样本是否为溶血、黄疸或脂血标本。</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14、检测波长≥5个：340nm/405nm/575nm/660nm/800nm五个检测波长，并且可根据HIL智能监测结果自动调整检测波长。不仅有效避免溶血、黄疸、脂血对检测结果的干扰，更可大大提高低纤维蛋白原标本的检测灵敏度。</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15、检测通道≥10个：凝固法、发色底物法和免疫比浊法三种方法学均有10个检测通道。</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16、PT检测速度≥180测试/小时；D-二聚体检测速度≥90测试/小时。</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17、试剂信息自动扫描、报警、容量提示功能。</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18、自动稀释、自动连锁筛选、自动再检功能、自动多点定标功能。</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19、可同时测定项目数≥60个。</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20、质量控制：750个文件的X－bar/L-J管理，可通过westguard rules 进行监测。</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21、实时在线质控管理功能。</w:t>
      </w:r>
    </w:p>
    <w:p>
      <w:pPr>
        <w:spacing w:line="520" w:lineRule="exact"/>
        <w:rPr>
          <w:rFonts w:hint="eastAsia" w:ascii="仿宋" w:hAnsi="仿宋" w:eastAsia="仿宋" w:cs="仿宋"/>
          <w:color w:val="auto"/>
          <w:sz w:val="28"/>
          <w:szCs w:val="28"/>
        </w:rPr>
      </w:pP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spacing w:after="100"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品目二：发光仪</w:t>
      </w:r>
    </w:p>
    <w:p>
      <w:pPr>
        <w:spacing w:after="100"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一、技术参数：</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*1、仪器资质要求：原装进口仪器。</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2、检测速度：最大检测速度≥400测试/小时（单台仪器）。</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3、样本位：≥120个样本位，可连续进样。</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4、试剂位：一次装载49个试剂盒，有冷藏功能。</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5、机上反应杯放置量：≥1700。</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6、检测项目：支持产前筛查（孕早期两联、孕中期四联）和抗缪勒管激素（AMH）检测，方便医院开展产前筛查。</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7、样本探针：无需一次性tip头，耗材少。</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8、急诊功能：急诊样品可以随时加入，无需停机操作。</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9、不停机更换消耗品：运行过程中随时连续加载、更换试剂盒，消耗品和缓冲液。</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10、配套试剂盒：具有多层覆膜密封，有弹性膜进行保护。</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11、探针功能：具有液面感应功能和血凝块监测及纠正功能。</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12、重检、稀释：自动重检和稀释重检功能。</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13、仪器保养：日保养时间≤5分钟，无需周保养，减少保养所消耗时间。</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14、第一个出结果时间：＜16分钟。</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15、废品管理：实时监控，自动排废。 </w:t>
      </w:r>
    </w:p>
    <w:p>
      <w:pPr>
        <w:spacing w:after="100"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16、质控水平：低、中、高、三水平，确保质控准确性。</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17、售后服务：生产厂家在新疆境内有经工商部门注册的办事机构并提供营业执照，专职工程师大于5人并提供厂家工作证明。</w:t>
      </w: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spacing w:line="52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品目三：全自动血细胞分析仪</w:t>
      </w:r>
    </w:p>
    <w:p>
      <w:pPr>
        <w:spacing w:line="520" w:lineRule="exact"/>
        <w:rPr>
          <w:rFonts w:hint="eastAsia" w:ascii="仿宋" w:hAnsi="仿宋" w:eastAsia="仿宋" w:cs="仿宋"/>
          <w:b/>
          <w:bCs/>
          <w:color w:val="auto"/>
          <w:sz w:val="28"/>
          <w:szCs w:val="28"/>
        </w:rPr>
      </w:pPr>
    </w:p>
    <w:p>
      <w:pPr>
        <w:spacing w:line="52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一、技术参数：</w:t>
      </w:r>
      <w:r>
        <w:rPr>
          <w:rFonts w:hint="eastAsia" w:ascii="仿宋" w:hAnsi="仿宋" w:eastAsia="仿宋" w:cs="仿宋"/>
          <w:b/>
          <w:bCs/>
          <w:color w:val="auto"/>
          <w:sz w:val="28"/>
          <w:szCs w:val="28"/>
          <w:lang w:val="en-US" w:eastAsia="zh-CN"/>
        </w:rPr>
        <w:t>原装进口仪器</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1、检测速度：CBC+DIFF≥70/小时，：CBC+DIFF+RET≥30/小时。</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2、检测参数：血液报告参数≥35个，体液报告参数≥6个。</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3、用血量：全血进样量≤25ul；预稀释模式用血量≤20ul，进样量≤70ul。</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4、白细胞计数：应采用先进的激光流式原理及核酸荧光染色技术，使白细胞计数免受难溶红细胞、巨大血小板、血小板簇及细胞碎片等的干扰。</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5、低值白细胞检测：当遇到低值白细胞样本时，仪器可自动或人工选择转换到低值白细胞检测模式，使白细胞检测颗粒数比普通检测模式增加3倍，结果更准确、可靠。</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6、血小板计数：具有两种方法进行血小板的定量计数。</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7、网织红细胞检测功能：使用核酸荧光染色及流式细胞技术，具有全自动网织红细胞定量计数和对网织红细胞成熟度的分类。</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8、网织红细胞血红蛋白功能：具有定量报告检测网织红细胞血红蛋白含量的功能，为报告参数。</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9、体液检测速度：≥30样本/小时。</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10、可以对脑脊液、胸水、腹水、关节腔积液等体液进行红细胞和白细胞计数,并对白细胞进行分类。</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11、体液检测中具有通过高荧光体液细胞参数对肿瘤细胞进行提示功能。</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12、线性范围：全血检测要满足</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12.1、WBC：0-440×10^9/L。</w:t>
      </w:r>
    </w:p>
    <w:p>
      <w:pPr>
        <w:pStyle w:val="36"/>
        <w:spacing w:line="52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12.2、RBC：0－8.6×10^12/L。</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12.3、PLT：0-5000×10^9/L。</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13、血液质控品：定期提供原厂配套的高、中、低三个水平的质控品，并通过FDA及CFDA注册，质控项目覆盖所有报告参数。</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14、体液质控品：定期提供原厂配套的高、低两个水平的质控品，并通过FDA及CFDA注册。质控项目覆盖所有报告参数。</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15、校准品：定期提供原厂配套的、在中国CFDA注册的校准品。校准品可校准项目包含RBC、WBC、HGB、PLT、HCT、MCV、RET。</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16、实时网络通讯系统：具有实时在线网络质控功能，通过室内质控实现实时的室间质评，确保用户的结果质量达到国际质量水准。</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17、正确度（静脉血）：</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17.1、白细胞：≤3.0%。</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17.2、红细胞：≤2.0 %。</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17.3、血红蛋白：≤2.0%。</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17.4、血小板：≤5.0 %。</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18、具有自动复检功能，并能自动追加自动检测项目；（限XN550）。</w:t>
      </w:r>
    </w:p>
    <w:p>
      <w:pPr>
        <w:pStyle w:val="36"/>
        <w:spacing w:line="520" w:lineRule="exact"/>
        <w:ind w:left="63" w:leftChars="3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19、流程控制：附带流程控制软件Labman，含三大功能：复检规则设定、数据统计功能（假阴性、假阳性，复检率等）、复检信息管理功能。</w:t>
      </w:r>
    </w:p>
    <w:p>
      <w:pPr>
        <w:spacing w:line="220" w:lineRule="atLeast"/>
        <w:ind w:left="420" w:leftChars="200"/>
        <w:rPr>
          <w:rFonts w:hint="eastAsia" w:ascii="仿宋" w:hAnsi="仿宋" w:eastAsia="仿宋" w:cs="仿宋"/>
          <w:b/>
          <w:bCs/>
          <w:color w:val="auto"/>
          <w:sz w:val="28"/>
          <w:szCs w:val="28"/>
        </w:rPr>
      </w:pPr>
    </w:p>
    <w:p>
      <w:pPr>
        <w:spacing w:line="360" w:lineRule="auto"/>
        <w:rPr>
          <w:rFonts w:hint="eastAsia" w:ascii="仿宋" w:hAnsi="仿宋" w:eastAsia="仿宋" w:cs="仿宋"/>
          <w:b/>
          <w:color w:val="auto"/>
          <w:kern w:val="0"/>
          <w:sz w:val="32"/>
          <w:szCs w:val="32"/>
        </w:rPr>
      </w:pPr>
    </w:p>
    <w:p>
      <w:pPr>
        <w:widowControl/>
        <w:jc w:val="left"/>
        <w:rPr>
          <w:rStyle w:val="32"/>
          <w:rFonts w:hint="eastAsia" w:ascii="仿宋" w:hAnsi="仿宋" w:eastAsia="仿宋" w:cs="仿宋"/>
          <w:color w:val="auto"/>
          <w:sz w:val="36"/>
          <w:szCs w:val="36"/>
        </w:rPr>
      </w:pPr>
    </w:p>
    <w:p>
      <w:pPr>
        <w:widowControl/>
        <w:jc w:val="left"/>
        <w:rPr>
          <w:rFonts w:hint="eastAsia" w:ascii="仿宋" w:hAnsi="仿宋" w:eastAsia="仿宋" w:cs="仿宋"/>
          <w:color w:val="auto"/>
          <w:sz w:val="28"/>
          <w:szCs w:val="28"/>
        </w:rPr>
      </w:pPr>
    </w:p>
    <w:p>
      <w:pPr>
        <w:widowControl/>
        <w:jc w:val="left"/>
        <w:rPr>
          <w:rStyle w:val="32"/>
          <w:rFonts w:hint="eastAsia" w:ascii="仿宋" w:hAnsi="仿宋" w:eastAsia="仿宋" w:cs="仿宋"/>
          <w:bCs w:val="0"/>
          <w:color w:val="auto"/>
          <w:sz w:val="30"/>
          <w:szCs w:val="30"/>
        </w:rPr>
      </w:pPr>
    </w:p>
    <w:p>
      <w:pPr>
        <w:widowControl/>
        <w:jc w:val="left"/>
        <w:rPr>
          <w:rStyle w:val="32"/>
          <w:rFonts w:hint="eastAsia" w:ascii="仿宋" w:hAnsi="仿宋" w:eastAsia="仿宋" w:cs="仿宋"/>
          <w:bCs w:val="0"/>
          <w:color w:val="auto"/>
          <w:sz w:val="30"/>
          <w:szCs w:val="30"/>
        </w:rPr>
      </w:pPr>
    </w:p>
    <w:p>
      <w:pPr>
        <w:widowControl/>
        <w:jc w:val="left"/>
        <w:rPr>
          <w:rStyle w:val="32"/>
          <w:rFonts w:hint="eastAsia" w:ascii="仿宋" w:hAnsi="仿宋" w:eastAsia="仿宋" w:cs="仿宋"/>
          <w:bCs w:val="0"/>
          <w:color w:val="auto"/>
          <w:sz w:val="30"/>
          <w:szCs w:val="30"/>
        </w:rPr>
      </w:pPr>
    </w:p>
    <w:p>
      <w:pPr>
        <w:widowControl/>
        <w:jc w:val="left"/>
        <w:rPr>
          <w:rStyle w:val="32"/>
          <w:rFonts w:hint="eastAsia" w:ascii="仿宋" w:hAnsi="仿宋" w:eastAsia="仿宋" w:cs="仿宋"/>
          <w:bCs w:val="0"/>
          <w:color w:val="auto"/>
          <w:sz w:val="30"/>
          <w:szCs w:val="30"/>
        </w:rPr>
      </w:pPr>
    </w:p>
    <w:p>
      <w:pPr>
        <w:rPr>
          <w:rStyle w:val="32"/>
          <w:rFonts w:hint="eastAsia" w:ascii="仿宋" w:hAnsi="仿宋" w:eastAsia="仿宋" w:cs="仿宋"/>
          <w:color w:val="auto"/>
          <w:sz w:val="36"/>
          <w:szCs w:val="36"/>
        </w:rPr>
      </w:pPr>
      <w:r>
        <w:rPr>
          <w:rStyle w:val="32"/>
          <w:rFonts w:hint="eastAsia" w:ascii="仿宋" w:hAnsi="仿宋" w:eastAsia="仿宋" w:cs="仿宋"/>
          <w:color w:val="auto"/>
          <w:sz w:val="36"/>
          <w:szCs w:val="36"/>
        </w:rPr>
        <w:br w:type="page"/>
      </w:r>
    </w:p>
    <w:p>
      <w:pPr>
        <w:widowControl/>
        <w:spacing w:line="400" w:lineRule="exact"/>
        <w:jc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第二包技术参数</w:t>
      </w:r>
    </w:p>
    <w:p>
      <w:pPr>
        <w:widowControl/>
        <w:spacing w:line="400" w:lineRule="exact"/>
        <w:jc w:val="left"/>
        <w:rPr>
          <w:rFonts w:hint="eastAsia" w:ascii="仿宋" w:hAnsi="仿宋" w:eastAsia="仿宋" w:cs="仿宋"/>
          <w:b/>
          <w:bCs/>
          <w:color w:val="auto"/>
          <w:sz w:val="30"/>
          <w:szCs w:val="30"/>
        </w:rPr>
      </w:pPr>
    </w:p>
    <w:p>
      <w:pPr>
        <w:widowControl/>
        <w:spacing w:line="400" w:lineRule="exact"/>
        <w:jc w:val="left"/>
        <w:rPr>
          <w:rFonts w:ascii="仿宋" w:hAnsi="仿宋" w:eastAsia="仿宋" w:cs="仿宋"/>
          <w:b/>
          <w:bCs/>
          <w:color w:val="auto"/>
          <w:sz w:val="28"/>
          <w:szCs w:val="28"/>
        </w:rPr>
      </w:pPr>
      <w:r>
        <w:rPr>
          <w:rFonts w:hint="eastAsia" w:ascii="仿宋" w:hAnsi="仿宋" w:eastAsia="仿宋" w:cs="仿宋"/>
          <w:b/>
          <w:bCs/>
          <w:color w:val="auto"/>
          <w:sz w:val="30"/>
          <w:szCs w:val="30"/>
        </w:rPr>
        <w:t>品目一：中耳功能分析系统</w:t>
      </w:r>
    </w:p>
    <w:p>
      <w:pPr>
        <w:widowControl/>
        <w:numPr>
          <w:ilvl w:val="0"/>
          <w:numId w:val="4"/>
        </w:numPr>
        <w:spacing w:line="400" w:lineRule="exact"/>
        <w:rPr>
          <w:rFonts w:ascii="仿宋" w:hAnsi="仿宋" w:eastAsia="仿宋" w:cs="仿宋"/>
          <w:b/>
          <w:bCs/>
          <w:color w:val="auto"/>
          <w:sz w:val="28"/>
          <w:szCs w:val="28"/>
        </w:rPr>
      </w:pPr>
      <w:r>
        <w:rPr>
          <w:rFonts w:hint="eastAsia" w:ascii="仿宋" w:hAnsi="仿宋" w:eastAsia="仿宋" w:cs="仿宋"/>
          <w:b/>
          <w:bCs/>
          <w:color w:val="auto"/>
          <w:sz w:val="28"/>
          <w:szCs w:val="28"/>
        </w:rPr>
        <w:t>检测功能：</w:t>
      </w:r>
    </w:p>
    <w:p>
      <w:pPr>
        <w:widowControl/>
        <w:spacing w:line="400" w:lineRule="exact"/>
        <w:ind w:firstLine="420" w:firstLineChars="150"/>
        <w:rPr>
          <w:rFonts w:ascii="仿宋" w:hAnsi="仿宋" w:eastAsia="仿宋" w:cs="仿宋"/>
          <w:color w:val="auto"/>
          <w:sz w:val="28"/>
          <w:szCs w:val="28"/>
        </w:rPr>
      </w:pPr>
      <w:r>
        <w:rPr>
          <w:rFonts w:hint="eastAsia" w:ascii="仿宋" w:hAnsi="仿宋" w:eastAsia="仿宋" w:cs="仿宋"/>
          <w:color w:val="auto"/>
          <w:sz w:val="28"/>
          <w:szCs w:val="28"/>
        </w:rPr>
        <w:t>1）DPOAE筛查型耳声发射测试。</w:t>
      </w:r>
    </w:p>
    <w:p>
      <w:pPr>
        <w:pStyle w:val="36"/>
        <w:widowControl/>
        <w:spacing w:line="400" w:lineRule="exact"/>
        <w:ind w:left="420" w:firstLine="0" w:firstLineChars="0"/>
        <w:jc w:val="left"/>
        <w:rPr>
          <w:rFonts w:ascii="仿宋" w:hAnsi="仿宋" w:eastAsia="仿宋" w:cs="仿宋"/>
          <w:color w:val="auto"/>
          <w:sz w:val="28"/>
          <w:szCs w:val="28"/>
        </w:rPr>
      </w:pPr>
      <w:r>
        <w:rPr>
          <w:rFonts w:hint="eastAsia" w:ascii="仿宋" w:hAnsi="仿宋" w:eastAsia="仿宋" w:cs="仿宋"/>
          <w:color w:val="auto"/>
          <w:sz w:val="28"/>
          <w:szCs w:val="28"/>
        </w:rPr>
        <w:t>2）给压OAE测试。</w:t>
      </w:r>
    </w:p>
    <w:p>
      <w:pPr>
        <w:widowControl/>
        <w:spacing w:line="400" w:lineRule="exact"/>
        <w:ind w:firstLine="420" w:firstLineChars="150"/>
        <w:jc w:val="left"/>
        <w:rPr>
          <w:rFonts w:ascii="仿宋" w:hAnsi="仿宋" w:eastAsia="仿宋" w:cs="仿宋"/>
          <w:color w:val="auto"/>
          <w:sz w:val="28"/>
          <w:szCs w:val="28"/>
        </w:rPr>
      </w:pPr>
      <w:r>
        <w:rPr>
          <w:rFonts w:hint="eastAsia" w:ascii="仿宋" w:hAnsi="仿宋" w:eastAsia="仿宋" w:cs="仿宋"/>
          <w:color w:val="auto"/>
          <w:sz w:val="28"/>
          <w:szCs w:val="28"/>
        </w:rPr>
        <w:t>3）226Hz鼓室图测试。</w:t>
      </w:r>
    </w:p>
    <w:p>
      <w:pPr>
        <w:widowControl/>
        <w:spacing w:line="400" w:lineRule="exact"/>
        <w:ind w:firstLine="420" w:firstLineChars="150"/>
        <w:jc w:val="left"/>
        <w:rPr>
          <w:rFonts w:ascii="仿宋" w:hAnsi="仿宋" w:eastAsia="仿宋" w:cs="仿宋"/>
          <w:color w:val="auto"/>
          <w:sz w:val="28"/>
          <w:szCs w:val="28"/>
        </w:rPr>
      </w:pPr>
      <w:r>
        <w:rPr>
          <w:rFonts w:hint="eastAsia" w:ascii="仿宋" w:hAnsi="仿宋" w:eastAsia="仿宋" w:cs="仿宋"/>
          <w:color w:val="auto"/>
          <w:sz w:val="28"/>
          <w:szCs w:val="28"/>
        </w:rPr>
        <w:t>4）儿童行为听力测试。</w:t>
      </w:r>
    </w:p>
    <w:p>
      <w:pPr>
        <w:spacing w:line="400" w:lineRule="exact"/>
        <w:rPr>
          <w:rFonts w:ascii="仿宋" w:hAnsi="仿宋" w:eastAsia="仿宋" w:cs="仿宋"/>
          <w:color w:val="auto"/>
          <w:sz w:val="28"/>
          <w:szCs w:val="28"/>
        </w:rPr>
      </w:pPr>
      <w:r>
        <w:rPr>
          <w:rFonts w:hint="eastAsia" w:ascii="仿宋" w:hAnsi="仿宋" w:eastAsia="仿宋" w:cs="仿宋"/>
          <w:b/>
          <w:bCs/>
          <w:color w:val="auto"/>
          <w:sz w:val="28"/>
          <w:szCs w:val="28"/>
        </w:rPr>
        <w:t>二、硬件技术参数：</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1、全中文彩色显示屏。</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2、操作模式：单机操作或联机操作。</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3、最新型的临床型探头，探头四色灯光状态显示，方便实时查看探头状态,蓝色左，红色右，黄色漏气或堵塞，绿色正常。</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4、主机可存储80000个测试结果。</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5、通过底座两块电池可同时充电，配备2块可充电锂电池。</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6、校准腔：0.2cc、0.5cc、2.0cc、5.0cc。</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7、具有网络、USB接口，可接入院内局域网进行网络信息化管理。</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8、探头线具备控制盒，一键切换左右耳及开始、停止功能。</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9、配有可拆卸台座和探头收纳支架，可放置在桌面或安装在墙面。</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10、3D一次成型的透明探尖，方便观察探尖是否堵塞,并配备专用清洁棉线，方便快速清理。</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11、配备便携式手提包，方便外出检查。</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12、DPOAE筛查频率范围：500Hz-6000Hz。</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13、所有测试频率可1Hz步进。</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14、压力OAE测试更容易引出结果。</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15、耳声发射声强度：30–80dB SPL。</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16、噪声容许水平范围：-30-30dBSPL。</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17、可靠性：98%到99.99%可调。</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18、自动标记：“√”标记代表引出耳声发射。</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19、自动测试协议：用户可增加自定义测试程序通过SNR标准时以“√”显示。</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20、耳声发射筛查、耳声发射诊断均可自定义测试频点。</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21、可重复测试单个频点。</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22、通过判断标准：频段SNR，刺激数量，测试时间，Min OAE，Min重复性等条件，可自定义。</w:t>
      </w:r>
    </w:p>
    <w:p>
      <w:pPr>
        <w:pStyle w:val="36"/>
        <w:spacing w:line="40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23、显示：探头检查–含刺激声和强度，频率响应，刺激声强函数DP图或输入/输出曲线。</w:t>
      </w:r>
    </w:p>
    <w:p>
      <w:pPr>
        <w:pStyle w:val="36"/>
        <w:spacing w:line="40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24、可自定义个性化报告单。</w:t>
      </w:r>
    </w:p>
    <w:p>
      <w:pPr>
        <w:pStyle w:val="36"/>
        <w:spacing w:line="40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25、给声刺激：啭音信号、白噪音信号、窄带噪音信号。</w:t>
      </w:r>
    </w:p>
    <w:p>
      <w:pPr>
        <w:pStyle w:val="36"/>
        <w:spacing w:line="40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26、三角闪灯提示。</w:t>
      </w:r>
    </w:p>
    <w:p>
      <w:pPr>
        <w:pStyle w:val="36"/>
        <w:spacing w:line="40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27、频率：500、1000、2000、3000、4000Hz。</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28、强度：距离50cm啭音和白噪声30－80dBHL，10dB步进。窄带噪声20－70dB。距离16cm强度增长10dB指示。</w:t>
      </w:r>
    </w:p>
    <w:p>
      <w:pPr>
        <w:pStyle w:val="36"/>
        <w:spacing w:line="40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29、啭音调制频率：5Hz，±5％。</w:t>
      </w:r>
    </w:p>
    <w:p>
      <w:pPr>
        <w:pStyle w:val="36"/>
        <w:spacing w:line="40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30、声源：内置扬声器、呈三角形分布的三个LED灯，闪烁频率5Hz</w:t>
      </w:r>
      <w:r>
        <w:rPr>
          <w:rFonts w:hint="eastAsia" w:ascii="仿宋" w:hAnsi="仿宋" w:eastAsia="仿宋" w:cs="仿宋"/>
          <w:color w:val="auto"/>
          <w:kern w:val="0"/>
          <w:sz w:val="28"/>
          <w:szCs w:val="28"/>
        </w:rPr>
        <w:t>。</w:t>
      </w:r>
    </w:p>
    <w:p>
      <w:pPr>
        <w:pStyle w:val="36"/>
        <w:spacing w:line="40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31、可升级宽频声导抗。</w:t>
      </w:r>
    </w:p>
    <w:p>
      <w:pPr>
        <w:pStyle w:val="36"/>
        <w:spacing w:line="40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32、可升级AABR功能。</w:t>
      </w:r>
    </w:p>
    <w:p>
      <w:pPr>
        <w:pStyle w:val="36"/>
        <w:spacing w:line="40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31、外形尺寸：6×6×28cm。</w:t>
      </w:r>
    </w:p>
    <w:p>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32、重量：360g。</w:t>
      </w:r>
    </w:p>
    <w:p>
      <w:pPr>
        <w:jc w:val="center"/>
        <w:rPr>
          <w:rStyle w:val="32"/>
          <w:rFonts w:hint="eastAsia" w:ascii="仿宋" w:hAnsi="仿宋" w:eastAsia="仿宋" w:cs="仿宋"/>
          <w:color w:val="auto"/>
          <w:sz w:val="36"/>
          <w:szCs w:val="36"/>
          <w:lang w:val="en-US" w:eastAsia="zh-CN"/>
        </w:rPr>
      </w:pPr>
      <w:r>
        <w:rPr>
          <w:rStyle w:val="32"/>
          <w:rFonts w:hint="eastAsia" w:ascii="仿宋" w:hAnsi="仿宋" w:eastAsia="仿宋" w:cs="仿宋"/>
          <w:color w:val="auto"/>
          <w:sz w:val="36"/>
          <w:szCs w:val="36"/>
        </w:rPr>
        <w:br w:type="page"/>
      </w:r>
      <w:r>
        <w:rPr>
          <w:rStyle w:val="32"/>
          <w:rFonts w:hint="eastAsia" w:ascii="仿宋" w:hAnsi="仿宋" w:eastAsia="仿宋" w:cs="仿宋"/>
          <w:color w:val="auto"/>
          <w:sz w:val="36"/>
          <w:szCs w:val="36"/>
          <w:lang w:val="en-US" w:eastAsia="zh-CN"/>
        </w:rPr>
        <w:t>第三包技术参数</w:t>
      </w:r>
    </w:p>
    <w:p>
      <w:pPr>
        <w:widowControl/>
        <w:jc w:val="left"/>
        <w:rPr>
          <w:rFonts w:hint="eastAsia" w:ascii="宋体" w:hAnsi="宋体" w:cs="宋体"/>
          <w:b/>
          <w:color w:val="auto"/>
          <w:kern w:val="0"/>
          <w:sz w:val="30"/>
          <w:szCs w:val="30"/>
        </w:rPr>
      </w:pPr>
    </w:p>
    <w:p>
      <w:pPr>
        <w:widowControl/>
        <w:jc w:val="left"/>
        <w:rPr>
          <w:rFonts w:ascii="仿宋" w:hAnsi="仿宋" w:eastAsia="仿宋" w:cs="仿宋"/>
          <w:color w:val="auto"/>
          <w:sz w:val="28"/>
          <w:szCs w:val="28"/>
        </w:rPr>
      </w:pPr>
      <w:r>
        <w:rPr>
          <w:rFonts w:hint="eastAsia" w:ascii="宋体" w:hAnsi="宋体" w:cs="宋体"/>
          <w:b/>
          <w:color w:val="auto"/>
          <w:kern w:val="0"/>
          <w:sz w:val="30"/>
          <w:szCs w:val="30"/>
        </w:rPr>
        <w:t>品目一：妇幼健康信息平台</w:t>
      </w:r>
    </w:p>
    <w:tbl>
      <w:tblPr>
        <w:tblStyle w:val="20"/>
        <w:tblW w:w="0" w:type="auto"/>
        <w:tblInd w:w="0" w:type="dxa"/>
        <w:tblLayout w:type="autofit"/>
        <w:tblCellMar>
          <w:top w:w="0" w:type="dxa"/>
          <w:left w:w="0" w:type="dxa"/>
          <w:bottom w:w="0" w:type="dxa"/>
          <w:right w:w="0" w:type="dxa"/>
        </w:tblCellMar>
      </w:tblPr>
      <w:tblGrid>
        <w:gridCol w:w="506"/>
        <w:gridCol w:w="1788"/>
        <w:gridCol w:w="1270"/>
        <w:gridCol w:w="2315"/>
        <w:gridCol w:w="2736"/>
        <w:gridCol w:w="555"/>
      </w:tblGrid>
      <w:tr>
        <w:tblPrEx>
          <w:tblCellMar>
            <w:top w:w="0" w:type="dxa"/>
            <w:left w:w="0" w:type="dxa"/>
            <w:bottom w:w="0" w:type="dxa"/>
            <w:right w:w="0"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D7D7D7"/>
            <w:noWrap/>
            <w:tcMar>
              <w:top w:w="12" w:type="dxa"/>
              <w:left w:w="12" w:type="dxa"/>
              <w:right w:w="12" w:type="dxa"/>
            </w:tcMar>
            <w:vAlign w:val="center"/>
          </w:tcPr>
          <w:p>
            <w:pPr>
              <w:widowControl/>
              <w:spacing w:line="500" w:lineRule="exact"/>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tcMar>
              <w:top w:w="12" w:type="dxa"/>
              <w:left w:w="12" w:type="dxa"/>
              <w:right w:w="12" w:type="dxa"/>
            </w:tcMar>
            <w:vAlign w:val="center"/>
          </w:tcPr>
          <w:p>
            <w:pPr>
              <w:widowControl/>
              <w:spacing w:line="500" w:lineRule="exact"/>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lang w:bidi="ar"/>
              </w:rPr>
              <w:t>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D7D7D7"/>
            <w:tcMar>
              <w:top w:w="12" w:type="dxa"/>
              <w:left w:w="12" w:type="dxa"/>
              <w:right w:w="12" w:type="dxa"/>
            </w:tcMar>
            <w:vAlign w:val="center"/>
          </w:tcPr>
          <w:p>
            <w:pPr>
              <w:widowControl/>
              <w:spacing w:line="500" w:lineRule="exact"/>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lang w:bidi="ar"/>
              </w:rPr>
              <w:t>主要功能描述</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tcMar>
              <w:top w:w="12" w:type="dxa"/>
              <w:left w:w="12" w:type="dxa"/>
              <w:right w:w="12" w:type="dxa"/>
            </w:tcMar>
            <w:vAlign w:val="center"/>
          </w:tcPr>
          <w:p>
            <w:pPr>
              <w:widowControl/>
              <w:spacing w:line="500" w:lineRule="exact"/>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lang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tcMar>
              <w:top w:w="12" w:type="dxa"/>
              <w:left w:w="12" w:type="dxa"/>
              <w:right w:w="12" w:type="dxa"/>
            </w:tcMar>
            <w:vAlign w:val="center"/>
          </w:tcPr>
          <w:p>
            <w:pPr>
              <w:widowControl/>
              <w:spacing w:line="500" w:lineRule="exact"/>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lang w:bidi="ar"/>
              </w:rPr>
              <w:t>数量</w:t>
            </w:r>
          </w:p>
        </w:tc>
      </w:tr>
      <w:tr>
        <w:tblPrEx>
          <w:tblCellMar>
            <w:top w:w="0" w:type="dxa"/>
            <w:left w:w="0" w:type="dxa"/>
            <w:bottom w:w="0" w:type="dxa"/>
            <w:right w:w="0" w:type="dxa"/>
          </w:tblCellMar>
        </w:tblPrEx>
        <w:trPr>
          <w:trHeight w:val="5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500" w:lineRule="exact"/>
              <w:jc w:val="left"/>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lang w:bidi="ar"/>
              </w:rPr>
              <w:t>一、妇幼计生保健中心信息系统</w:t>
            </w:r>
          </w:p>
        </w:tc>
      </w:tr>
      <w:tr>
        <w:tblPrEx>
          <w:tblCellMar>
            <w:top w:w="0" w:type="dxa"/>
            <w:left w:w="0" w:type="dxa"/>
            <w:bottom w:w="0" w:type="dxa"/>
            <w:right w:w="0"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HIS中心系统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患者管理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门急诊挂号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1套</w:t>
            </w:r>
          </w:p>
        </w:tc>
      </w:tr>
      <w:tr>
        <w:tblPrEx>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left"/>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门诊输液管理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医疗管理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门诊医生站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left"/>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门诊护士站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left"/>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住院医生站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left"/>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住院护士站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经济管理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门急诊收费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left"/>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医技收费管理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left"/>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一卡通管理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left"/>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手术扣费排台管理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配置管理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权限控制，参数流程管理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药品管理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门诊药房管理系统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left"/>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住院药房管理系统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left"/>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药库管理系统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物资管理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医疗物资管理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left"/>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卫生耗材管理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left"/>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设备资产管理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扩展业务模块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危急值管理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传染病上报</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不良事件上报</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病案日报</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院领导综合查询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运行平台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0" w:type="auto"/>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住院电子病历系统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临床医疗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1套</w:t>
            </w: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质控管理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病案管理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医务管理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病案浏览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感染上报卡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病历维护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模板维护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人员管理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日常办公</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运维管理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配置管理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统计报表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 xml:space="preserve">临床护理 </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门诊电子病历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门诊病历模板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1套</w:t>
            </w: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门诊病历集成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门诊病历打印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门诊患者病历浏览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600" w:hRule="atLeast"/>
        </w:trPr>
        <w:tc>
          <w:tcPr>
            <w:tcW w:w="0" w:type="auto"/>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影像系统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放射科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放射科室管理工作站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1套</w:t>
            </w: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分诊工作站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影像诊断工作站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超声科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分诊工作站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740"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超声图文报告工作站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640"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超声科室管理工作站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影像接口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widowControl/>
              <w:spacing w:line="500" w:lineRule="exact"/>
              <w:jc w:val="left"/>
              <w:textAlignment w:val="bottom"/>
              <w:rPr>
                <w:rFonts w:ascii="仿宋" w:hAnsi="仿宋" w:eastAsia="仿宋" w:cs="仿宋"/>
                <w:color w:val="auto"/>
                <w:sz w:val="24"/>
                <w:szCs w:val="24"/>
              </w:rPr>
            </w:pPr>
            <w:r>
              <w:rPr>
                <w:rFonts w:hint="eastAsia" w:ascii="仿宋" w:hAnsi="仿宋" w:eastAsia="仿宋" w:cs="仿宋"/>
                <w:color w:val="auto"/>
                <w:kern w:val="0"/>
                <w:sz w:val="24"/>
                <w:szCs w:val="24"/>
                <w:lang w:bidi="ar"/>
              </w:rPr>
              <w:t>与HIS，EMR数据接口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检验系统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样本采集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1套</w:t>
            </w: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样本核收</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样本检验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报告审核</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报告发布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危急值管理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试剂管理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设备接入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OA办公自动化</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门户管理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1套</w:t>
            </w: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人员去向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信息传递</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流程管理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文档管理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公文管理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档案管理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会议管理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自定义表单</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通讯录</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问卷调查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会议议题管理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个人办公</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个人设置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安全管理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后台管理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spacing w:line="500" w:lineRule="exact"/>
              <w:jc w:val="left"/>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31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500" w:lineRule="exact"/>
              <w:jc w:val="left"/>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lang w:bidi="ar"/>
              </w:rPr>
              <w:t>二、数据对接</w:t>
            </w:r>
          </w:p>
        </w:tc>
      </w:tr>
      <w:tr>
        <w:tblPrEx>
          <w:tblCellMar>
            <w:top w:w="0" w:type="dxa"/>
            <w:left w:w="0" w:type="dxa"/>
            <w:bottom w:w="0" w:type="dxa"/>
            <w:right w:w="0" w:type="dxa"/>
          </w:tblCellMar>
        </w:tblPrEx>
        <w:trPr>
          <w:trHeight w:val="9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智慧医疗自助系统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自助机实现自助查询打印功能</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医保农合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实现医保农合数据对接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r>
      <w:tr>
        <w:tblPrEx>
          <w:tblCellMar>
            <w:top w:w="0" w:type="dxa"/>
            <w:left w:w="0" w:type="dxa"/>
            <w:bottom w:w="0" w:type="dxa"/>
            <w:right w:w="0" w:type="dxa"/>
          </w:tblCellMar>
        </w:tblPrEx>
        <w:trPr>
          <w:trHeight w:val="28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500" w:lineRule="exact"/>
              <w:jc w:val="left"/>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lang w:bidi="ar"/>
              </w:rPr>
              <w:t>三、硬件系统</w:t>
            </w:r>
          </w:p>
        </w:tc>
      </w:tr>
      <w:tr>
        <w:tblPrEx>
          <w:tblCellMar>
            <w:top w:w="0" w:type="dxa"/>
            <w:left w:w="0" w:type="dxa"/>
            <w:bottom w:w="0" w:type="dxa"/>
            <w:right w:w="0"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硬件系统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HIS，LIS，OA妇幼健康平台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2台</w:t>
            </w:r>
          </w:p>
        </w:tc>
      </w:tr>
      <w:tr>
        <w:tblPrEx>
          <w:tblCellMar>
            <w:top w:w="0" w:type="dxa"/>
            <w:left w:w="0" w:type="dxa"/>
            <w:bottom w:w="0" w:type="dxa"/>
            <w:right w:w="0"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42U</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1台</w:t>
            </w: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条码打印机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标准条码打印机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5台</w:t>
            </w: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pacing w:line="500" w:lineRule="exact"/>
              <w:jc w:val="center"/>
              <w:rPr>
                <w:rFonts w:ascii="仿宋" w:hAnsi="仿宋" w:eastAsia="仿宋" w:cs="仿宋"/>
                <w:color w:val="auto"/>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条码扫描仪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标准条码扫描仪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5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10台</w:t>
            </w:r>
          </w:p>
        </w:tc>
      </w:tr>
    </w:tbl>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br w:type="page"/>
      </w:r>
    </w:p>
    <w:p>
      <w:pPr>
        <w:pStyle w:val="3"/>
        <w:spacing w:line="500" w:lineRule="exact"/>
        <w:rPr>
          <w:rFonts w:ascii="仿宋" w:hAnsi="仿宋" w:eastAsia="仿宋" w:cs="仿宋"/>
          <w:color w:val="auto"/>
          <w:sz w:val="28"/>
          <w:szCs w:val="28"/>
        </w:rPr>
      </w:pPr>
      <w:bookmarkStart w:id="9" w:name="_Toc45025451"/>
      <w:r>
        <w:rPr>
          <w:rFonts w:hint="eastAsia" w:ascii="仿宋" w:hAnsi="仿宋" w:eastAsia="仿宋" w:cs="仿宋"/>
          <w:color w:val="auto"/>
          <w:sz w:val="28"/>
          <w:szCs w:val="28"/>
        </w:rPr>
        <w:t>招标系统技术功能</w:t>
      </w:r>
      <w:bookmarkEnd w:id="9"/>
      <w:r>
        <w:rPr>
          <w:rFonts w:hint="eastAsia" w:ascii="仿宋" w:hAnsi="仿宋" w:eastAsia="仿宋" w:cs="仿宋"/>
          <w:color w:val="auto"/>
          <w:sz w:val="28"/>
          <w:szCs w:val="28"/>
        </w:rPr>
        <w:t>：</w:t>
      </w:r>
    </w:p>
    <w:p>
      <w:pPr>
        <w:pStyle w:val="2"/>
        <w:tabs>
          <w:tab w:val="clear" w:pos="576"/>
          <w:tab w:val="clear" w:pos="1296"/>
        </w:tabs>
        <w:spacing w:line="500" w:lineRule="exact"/>
        <w:rPr>
          <w:rFonts w:ascii="仿宋" w:hAnsi="仿宋" w:eastAsia="仿宋" w:cs="仿宋"/>
          <w:color w:val="auto"/>
          <w:szCs w:val="28"/>
        </w:rPr>
      </w:pPr>
      <w:bookmarkStart w:id="10" w:name="_Toc10481"/>
      <w:bookmarkStart w:id="11" w:name="_Toc45025452"/>
      <w:r>
        <w:rPr>
          <w:rFonts w:hint="eastAsia" w:ascii="仿宋" w:hAnsi="仿宋" w:eastAsia="仿宋" w:cs="仿宋"/>
          <w:color w:val="auto"/>
          <w:szCs w:val="28"/>
        </w:rPr>
        <w:t>妇幼保健计生HIS中心信息系统</w:t>
      </w:r>
      <w:bookmarkEnd w:id="10"/>
      <w:bookmarkEnd w:id="11"/>
    </w:p>
    <w:p>
      <w:pPr>
        <w:pStyle w:val="4"/>
        <w:tabs>
          <w:tab w:val="clear" w:pos="0"/>
        </w:tabs>
        <w:spacing w:line="500" w:lineRule="exact"/>
        <w:rPr>
          <w:rFonts w:ascii="仿宋" w:hAnsi="仿宋" w:eastAsia="仿宋" w:cs="仿宋"/>
          <w:color w:val="auto"/>
          <w:szCs w:val="28"/>
        </w:rPr>
      </w:pPr>
      <w:bookmarkStart w:id="12" w:name="_Toc8080"/>
      <w:bookmarkStart w:id="13" w:name="_Toc45025453"/>
      <w:bookmarkStart w:id="14" w:name="_Toc15633098"/>
      <w:r>
        <w:rPr>
          <w:rFonts w:hint="eastAsia" w:ascii="仿宋" w:hAnsi="仿宋" w:eastAsia="仿宋" w:cs="仿宋"/>
          <w:color w:val="auto"/>
          <w:szCs w:val="28"/>
        </w:rPr>
        <w:t>患者管理</w:t>
      </w:r>
      <w:bookmarkEnd w:id="12"/>
      <w:bookmarkEnd w:id="13"/>
      <w:bookmarkEnd w:id="14"/>
    </w:p>
    <w:p>
      <w:pPr>
        <w:pStyle w:val="5"/>
        <w:spacing w:line="500" w:lineRule="exact"/>
        <w:rPr>
          <w:rFonts w:ascii="仿宋" w:hAnsi="仿宋" w:eastAsia="仿宋" w:cs="仿宋"/>
          <w:color w:val="auto"/>
          <w:sz w:val="28"/>
        </w:rPr>
      </w:pPr>
      <w:bookmarkStart w:id="15" w:name="_Toc15633099"/>
      <w:bookmarkStart w:id="16" w:name="_Toc493677011"/>
      <w:bookmarkStart w:id="17" w:name="_Toc505173338"/>
      <w:r>
        <w:rPr>
          <w:rFonts w:hint="eastAsia" w:ascii="仿宋" w:hAnsi="仿宋" w:eastAsia="仿宋" w:cs="仿宋"/>
          <w:color w:val="auto"/>
          <w:sz w:val="28"/>
        </w:rPr>
        <w:t>门急诊挂号</w:t>
      </w:r>
      <w:bookmarkEnd w:id="15"/>
      <w:bookmarkEnd w:id="16"/>
      <w:bookmarkEnd w:id="17"/>
    </w:p>
    <w:p>
      <w:pPr>
        <w:spacing w:line="5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门诊挂号系统是用于医院门急诊挂号处工作的计算机应用程序，包括预约挂号、窗口挂号、处理号表、统计和门诊病历处理等基本功能。门急诊挂号系统是直接为门急诊病人服务的，建立病人标识码，减少病人排队时间，提高挂号工作效率和服务质量是其主要目标。具体功能如下：</w:t>
      </w:r>
    </w:p>
    <w:p>
      <w:pPr>
        <w:numPr>
          <w:ilvl w:val="0"/>
          <w:numId w:val="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支持对专家门诊医生或科室进行限号设置。</w:t>
      </w:r>
    </w:p>
    <w:p>
      <w:pPr>
        <w:numPr>
          <w:ilvl w:val="0"/>
          <w:numId w:val="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支持退号操作，能完成病人退号，并正确处理病人看病日期、诊别、类别、号别以及应退费用和相关统计等。</w:t>
      </w:r>
    </w:p>
    <w:p>
      <w:pPr>
        <w:numPr>
          <w:ilvl w:val="0"/>
          <w:numId w:val="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支持窗口挂号，自助机预约挂号，电话预约挂号，网上预约挂号等。</w:t>
      </w:r>
    </w:p>
    <w:p>
      <w:pPr>
        <w:numPr>
          <w:ilvl w:val="0"/>
          <w:numId w:val="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支持医保、公费、保健对象、70岁老人、自费、特困、优抚等多种身份的病人挂号，并提供增加身份种类的功能；支持根据不同的身份类别设置不同减免优惠方式。</w:t>
      </w:r>
    </w:p>
    <w:p>
      <w:pPr>
        <w:numPr>
          <w:ilvl w:val="0"/>
          <w:numId w:val="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支持现金、刷卡等多种收费方式；支持磁卡、IC卡等多种介质的挂号及发卡、销卡功能；</w:t>
      </w:r>
    </w:p>
    <w:p>
      <w:pPr>
        <w:numPr>
          <w:ilvl w:val="0"/>
          <w:numId w:val="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门急诊挂号收费核算功能；能即时完成会计科目、收费项目和科室核算等；</w:t>
      </w:r>
    </w:p>
    <w:p>
      <w:pPr>
        <w:numPr>
          <w:ilvl w:val="0"/>
          <w:numId w:val="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挂号处方成本核算，与票据凭证领用、注销、作废等核对功能；</w:t>
      </w:r>
    </w:p>
    <w:p>
      <w:pPr>
        <w:numPr>
          <w:ilvl w:val="0"/>
          <w:numId w:val="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门急诊病人统计功能：能实现提供按科室、门诊工作量统计的功能；</w:t>
      </w:r>
    </w:p>
    <w:p>
      <w:pPr>
        <w:pStyle w:val="5"/>
        <w:spacing w:line="500" w:lineRule="exact"/>
        <w:rPr>
          <w:rFonts w:ascii="仿宋" w:hAnsi="仿宋" w:eastAsia="仿宋" w:cs="仿宋"/>
          <w:color w:val="auto"/>
          <w:sz w:val="28"/>
        </w:rPr>
      </w:pPr>
      <w:bookmarkStart w:id="18" w:name="_Toc505173347"/>
      <w:bookmarkStart w:id="19" w:name="_Toc493677020"/>
      <w:bookmarkStart w:id="20" w:name="_Toc15633100"/>
      <w:r>
        <w:rPr>
          <w:rFonts w:hint="eastAsia" w:ascii="仿宋" w:hAnsi="仿宋" w:eastAsia="仿宋" w:cs="仿宋"/>
          <w:color w:val="auto"/>
          <w:sz w:val="28"/>
        </w:rPr>
        <w:t>门诊输液</w:t>
      </w:r>
      <w:bookmarkEnd w:id="18"/>
      <w:bookmarkEnd w:id="19"/>
      <w:r>
        <w:rPr>
          <w:rFonts w:hint="eastAsia" w:ascii="仿宋" w:hAnsi="仿宋" w:eastAsia="仿宋" w:cs="仿宋"/>
          <w:color w:val="auto"/>
          <w:sz w:val="28"/>
        </w:rPr>
        <w:t>管理</w:t>
      </w:r>
      <w:bookmarkEnd w:id="20"/>
    </w:p>
    <w:p>
      <w:pPr>
        <w:spacing w:line="500" w:lineRule="exact"/>
        <w:ind w:firstLine="482"/>
        <w:rPr>
          <w:rFonts w:ascii="仿宋" w:hAnsi="仿宋" w:eastAsia="仿宋" w:cs="仿宋"/>
          <w:color w:val="auto"/>
          <w:sz w:val="28"/>
          <w:szCs w:val="28"/>
        </w:rPr>
      </w:pPr>
      <w:r>
        <w:rPr>
          <w:rFonts w:hint="eastAsia" w:ascii="仿宋" w:hAnsi="仿宋" w:eastAsia="仿宋" w:cs="仿宋"/>
          <w:color w:val="auto"/>
          <w:sz w:val="28"/>
          <w:szCs w:val="28"/>
        </w:rPr>
        <w:t>门诊移动输液是采用条形码技术、移动计算技术和无线网络技术实现护士对患者身份和药物条形码核对的功能，杜绝了医疗差错。采用无线呼叫技术实现患者求助时，护士的及时响应，同时改善输液室环境及减轻护士的工作强度和工作压力。</w:t>
      </w:r>
    </w:p>
    <w:p>
      <w:pPr>
        <w:numPr>
          <w:ilvl w:val="0"/>
          <w:numId w:val="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病人身份及输液袋条码标签的生成：</w:t>
      </w:r>
    </w:p>
    <w:p>
      <w:pPr>
        <w:numPr>
          <w:ilvl w:val="0"/>
          <w:numId w:val="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将病人的输液信息形成附带条形码的双联输液标签，使病人身份与药物产生唯一关联标识。</w:t>
      </w:r>
    </w:p>
    <w:p>
      <w:pPr>
        <w:numPr>
          <w:ilvl w:val="0"/>
          <w:numId w:val="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在病人接受输液及接瓶前，护士使用移动终端进行病人身份及药物的条码匹配，实现快速而准确的识别。</w:t>
      </w:r>
    </w:p>
    <w:p>
      <w:pPr>
        <w:numPr>
          <w:ilvl w:val="0"/>
          <w:numId w:val="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皮试及某些过敏试验结果录入并传送到相关诊室，便于医生查看。</w:t>
      </w:r>
    </w:p>
    <w:p>
      <w:pPr>
        <w:numPr>
          <w:ilvl w:val="0"/>
          <w:numId w:val="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输液执行：确认需要执行的输液单，打印贴瓶单、输液卡；记录执行时间、执行人、皮试情况。</w:t>
      </w:r>
    </w:p>
    <w:p>
      <w:pPr>
        <w:pStyle w:val="4"/>
        <w:tabs>
          <w:tab w:val="clear" w:pos="0"/>
        </w:tabs>
        <w:spacing w:line="500" w:lineRule="exact"/>
        <w:rPr>
          <w:rFonts w:ascii="仿宋" w:hAnsi="仿宋" w:eastAsia="仿宋" w:cs="仿宋"/>
          <w:color w:val="auto"/>
          <w:szCs w:val="28"/>
        </w:rPr>
      </w:pPr>
      <w:bookmarkStart w:id="21" w:name="_Toc45025454"/>
      <w:bookmarkStart w:id="22" w:name="_Toc15633105"/>
      <w:bookmarkStart w:id="23" w:name="_Toc19568"/>
      <w:r>
        <w:rPr>
          <w:rFonts w:hint="eastAsia" w:ascii="仿宋" w:hAnsi="仿宋" w:eastAsia="仿宋" w:cs="仿宋"/>
          <w:color w:val="auto"/>
          <w:szCs w:val="28"/>
        </w:rPr>
        <w:t>医疗管理</w:t>
      </w:r>
      <w:bookmarkEnd w:id="21"/>
      <w:bookmarkEnd w:id="22"/>
      <w:bookmarkEnd w:id="23"/>
    </w:p>
    <w:p>
      <w:pPr>
        <w:pStyle w:val="5"/>
        <w:spacing w:line="500" w:lineRule="exact"/>
        <w:rPr>
          <w:rFonts w:ascii="仿宋" w:hAnsi="仿宋" w:eastAsia="仿宋" w:cs="仿宋"/>
          <w:color w:val="auto"/>
          <w:sz w:val="28"/>
        </w:rPr>
      </w:pPr>
      <w:bookmarkStart w:id="24" w:name="_Toc15633106"/>
      <w:bookmarkStart w:id="25" w:name="_Toc493677018"/>
      <w:bookmarkStart w:id="26" w:name="_Toc505173345"/>
      <w:r>
        <w:rPr>
          <w:rFonts w:hint="eastAsia" w:ascii="仿宋" w:hAnsi="仿宋" w:eastAsia="仿宋" w:cs="仿宋"/>
          <w:color w:val="auto"/>
          <w:sz w:val="28"/>
        </w:rPr>
        <w:t>门诊医生站</w:t>
      </w:r>
      <w:bookmarkEnd w:id="24"/>
    </w:p>
    <w:p>
      <w:pPr>
        <w:pStyle w:val="38"/>
        <w:spacing w:line="50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门诊医生工作站支持医生处理门诊记录、检查、检验、诊断、处方、治疗处置、卫生材料、手术、收入院等诊疗活动。利用循证医学，提供辅助诊疗专家系统，适应医疗保险制度的需要。能融合医院提供的第三方知识库。</w:t>
      </w:r>
    </w:p>
    <w:p>
      <w:pPr>
        <w:numPr>
          <w:ilvl w:val="0"/>
          <w:numId w:val="7"/>
        </w:numPr>
        <w:spacing w:line="500" w:lineRule="exact"/>
        <w:ind w:left="480" w:hanging="480"/>
        <w:rPr>
          <w:rFonts w:ascii="仿宋" w:hAnsi="仿宋" w:eastAsia="仿宋" w:cs="仿宋"/>
          <w:color w:val="auto"/>
          <w:sz w:val="28"/>
          <w:szCs w:val="28"/>
        </w:rPr>
      </w:pPr>
      <w:r>
        <w:rPr>
          <w:rFonts w:hint="eastAsia" w:ascii="仿宋" w:hAnsi="仿宋" w:eastAsia="仿宋" w:cs="仿宋"/>
          <w:color w:val="auto"/>
          <w:sz w:val="28"/>
          <w:szCs w:val="28"/>
        </w:rPr>
        <w:t>支持医生处理门诊记录、门诊病历、检查、检验、诊断、处方、治疗处置、卫生材料、手术、收入住院等诊疗活动。</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支持医生挂号、转诊、退号等功能。</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挂号接诊后自动获取病人基本信息就诊卡号、健康卡号、姓名、性别、年龄、医保费用类别等。</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提供医院、科室、医生常用临床项目字典、药品字典、处方模板，并具有相应编辑功能。支持协定处方功能。</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提供的费用信息：项目名称、规格、价格、医保费用类别、数量等。</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提供的药品信息：商品名、通用名、规格、价格、库存量、医保费用类别、生产厂家等。如有缺药给予提醒，不允许选择开方。</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可预先设置药品的默认剂量、频次、天数、用法等，提高医生开方速度。</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所有医嘱均提供备注功能，医师可以输入相关注意事项；医生录入的所有信息都可完整传送至相应执行科室（药房或医技科室）。</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提供检验检查治疗的电子申请单功能，取消手工纸质申请单。所开电子申请单可直接发送到相应系统，并提供检验、检查报告查阅。</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可根据设置给予医生退费功能。</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医生诊断使用国际标准疾病代码ICD-10，且可根据代码变化而调整；支持医保病人特殊病种录入。</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可实时查阅病人过敏史、检验报告、检查报告等。</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可打印处方单、检查检验治疗手术申请单、指引单等。</w:t>
      </w:r>
    </w:p>
    <w:p>
      <w:pPr>
        <w:numPr>
          <w:ilvl w:val="0"/>
          <w:numId w:val="7"/>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模板维护：医生可把有典型意义的处方内容制定为各种类型的模块(个人模板、科室模板、院级模板)，并在实际工作进行直接调用，大大提高工作效率。此外，医生可在就诊过程中即时地将处方内容制定为模板，不需要专门地去做定义工作；若医生有权限还可制定科室模板、院级模板供其他医生进行调用，实现模板共享。</w:t>
      </w:r>
    </w:p>
    <w:p>
      <w:pPr>
        <w:pStyle w:val="5"/>
        <w:spacing w:line="500" w:lineRule="exact"/>
        <w:rPr>
          <w:rFonts w:ascii="仿宋" w:hAnsi="仿宋" w:eastAsia="仿宋" w:cs="仿宋"/>
          <w:color w:val="auto"/>
          <w:sz w:val="28"/>
        </w:rPr>
      </w:pPr>
      <w:bookmarkStart w:id="27" w:name="_Toc15633107"/>
      <w:r>
        <w:rPr>
          <w:rFonts w:hint="eastAsia" w:ascii="仿宋" w:hAnsi="仿宋" w:eastAsia="仿宋" w:cs="仿宋"/>
          <w:color w:val="auto"/>
          <w:sz w:val="28"/>
        </w:rPr>
        <w:t>门诊护士站</w:t>
      </w:r>
      <w:bookmarkEnd w:id="25"/>
      <w:bookmarkEnd w:id="26"/>
      <w:bookmarkEnd w:id="27"/>
    </w:p>
    <w:p>
      <w:pPr>
        <w:pStyle w:val="39"/>
        <w:spacing w:line="500" w:lineRule="exact"/>
        <w:rPr>
          <w:rFonts w:ascii="仿宋" w:hAnsi="仿宋" w:eastAsia="仿宋" w:cs="仿宋"/>
          <w:color w:val="auto"/>
        </w:rPr>
      </w:pPr>
      <w:r>
        <w:rPr>
          <w:rFonts w:hint="eastAsia" w:ascii="仿宋" w:hAnsi="仿宋" w:eastAsia="仿宋" w:cs="仿宋"/>
          <w:color w:val="auto"/>
        </w:rPr>
        <w:t>协助门急诊护士对门急诊患者完成日常的救治、护理等工作。针对门急诊护士日常工作的具体要求，实现病人的医嘱处理管理、费用管理。以病人为中心为患者提供优质的服务。</w:t>
      </w:r>
    </w:p>
    <w:p>
      <w:pPr>
        <w:pStyle w:val="39"/>
        <w:numPr>
          <w:ilvl w:val="0"/>
          <w:numId w:val="8"/>
        </w:numPr>
        <w:spacing w:line="500" w:lineRule="exact"/>
        <w:ind w:firstLine="560"/>
        <w:rPr>
          <w:rFonts w:ascii="仿宋" w:hAnsi="仿宋" w:eastAsia="仿宋" w:cs="仿宋"/>
          <w:color w:val="auto"/>
        </w:rPr>
      </w:pPr>
      <w:r>
        <w:rPr>
          <w:rFonts w:hint="eastAsia" w:ascii="仿宋" w:hAnsi="仿宋" w:eastAsia="仿宋" w:cs="仿宋"/>
          <w:color w:val="auto"/>
        </w:rPr>
        <w:t xml:space="preserve">医嘱核对：门诊输液室支持； </w:t>
      </w:r>
    </w:p>
    <w:p>
      <w:pPr>
        <w:pStyle w:val="39"/>
        <w:numPr>
          <w:ilvl w:val="0"/>
          <w:numId w:val="8"/>
        </w:numPr>
        <w:spacing w:line="500" w:lineRule="exact"/>
        <w:ind w:firstLine="560"/>
        <w:rPr>
          <w:rFonts w:ascii="仿宋" w:hAnsi="仿宋" w:eastAsia="仿宋" w:cs="仿宋"/>
          <w:color w:val="auto"/>
        </w:rPr>
      </w:pPr>
      <w:r>
        <w:rPr>
          <w:rFonts w:hint="eastAsia" w:ascii="仿宋" w:hAnsi="仿宋" w:eastAsia="仿宋" w:cs="仿宋"/>
          <w:color w:val="auto"/>
        </w:rPr>
        <w:t xml:space="preserve">查询医嘱状态、执行情况：门诊输液室支持； </w:t>
      </w:r>
    </w:p>
    <w:p>
      <w:pPr>
        <w:pStyle w:val="39"/>
        <w:numPr>
          <w:ilvl w:val="0"/>
          <w:numId w:val="8"/>
        </w:numPr>
        <w:spacing w:line="500" w:lineRule="exact"/>
        <w:ind w:firstLine="560"/>
        <w:rPr>
          <w:rFonts w:ascii="仿宋" w:hAnsi="仿宋" w:eastAsia="仿宋" w:cs="仿宋"/>
          <w:color w:val="auto"/>
        </w:rPr>
      </w:pPr>
      <w:r>
        <w:rPr>
          <w:rFonts w:hint="eastAsia" w:ascii="仿宋" w:hAnsi="仿宋" w:eastAsia="仿宋" w:cs="仿宋"/>
          <w:color w:val="auto"/>
        </w:rPr>
        <w:t xml:space="preserve">初始评估：根据录入病人体征等数据系统自动进行病人等级评分，确定病人病情； </w:t>
      </w:r>
    </w:p>
    <w:p>
      <w:pPr>
        <w:pStyle w:val="39"/>
        <w:numPr>
          <w:ilvl w:val="0"/>
          <w:numId w:val="8"/>
        </w:numPr>
        <w:spacing w:line="500" w:lineRule="exact"/>
        <w:ind w:firstLine="560"/>
        <w:rPr>
          <w:rFonts w:ascii="仿宋" w:hAnsi="仿宋" w:eastAsia="仿宋" w:cs="仿宋"/>
          <w:color w:val="auto"/>
        </w:rPr>
      </w:pPr>
      <w:r>
        <w:rPr>
          <w:rFonts w:hint="eastAsia" w:ascii="仿宋" w:hAnsi="仿宋" w:eastAsia="仿宋" w:cs="仿宋"/>
          <w:color w:val="auto"/>
        </w:rPr>
        <w:t xml:space="preserve">抢救：抢救室申请等级； </w:t>
      </w:r>
    </w:p>
    <w:p>
      <w:pPr>
        <w:pStyle w:val="39"/>
        <w:numPr>
          <w:ilvl w:val="0"/>
          <w:numId w:val="8"/>
        </w:numPr>
        <w:spacing w:line="500" w:lineRule="exact"/>
        <w:ind w:firstLine="560"/>
        <w:rPr>
          <w:rFonts w:ascii="仿宋" w:hAnsi="仿宋" w:eastAsia="仿宋" w:cs="仿宋"/>
          <w:color w:val="auto"/>
        </w:rPr>
      </w:pPr>
      <w:r>
        <w:rPr>
          <w:rFonts w:hint="eastAsia" w:ascii="仿宋" w:hAnsi="仿宋" w:eastAsia="仿宋" w:cs="仿宋"/>
          <w:color w:val="auto"/>
        </w:rPr>
        <w:t xml:space="preserve">留观处理：入观登记、计费、处方核对执行等； </w:t>
      </w:r>
    </w:p>
    <w:p>
      <w:pPr>
        <w:pStyle w:val="5"/>
        <w:spacing w:line="500" w:lineRule="exact"/>
        <w:rPr>
          <w:rFonts w:ascii="仿宋" w:hAnsi="仿宋" w:eastAsia="仿宋" w:cs="仿宋"/>
          <w:color w:val="auto"/>
          <w:sz w:val="28"/>
        </w:rPr>
      </w:pPr>
      <w:bookmarkStart w:id="28" w:name="_Toc27388450"/>
      <w:r>
        <w:rPr>
          <w:rFonts w:hint="eastAsia" w:ascii="仿宋" w:hAnsi="仿宋" w:eastAsia="仿宋" w:cs="仿宋"/>
          <w:color w:val="auto"/>
          <w:sz w:val="28"/>
        </w:rPr>
        <w:t>住院医生站</w:t>
      </w:r>
      <w:bookmarkEnd w:id="28"/>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1．医生可以在医生工作站上十分方便地下各种长期、临时医嘱（包含药品与非药品以及嘱托性医嘱），信息传至住院护士站，由护士核对申请执行，再传送到各执行科室。</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2.医嘱显示规范严格，支持医嘱的用法、剂量、备注；支持成组医嘱；支持转科医嘱、转床医嘱、整理医嘱的特殊处理；支持手术医嘱、护理医嘱、膳食医嘱、输血医嘱等特殊医嘱；支持集中停止医嘱功能。</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5.提供医院、科室、医生常用临床项目字典、药品字典、处方模板，并具有相应编辑功能。支持协定处方功能。</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6.支持录入药品和诊疗时允许多种录入方式：五笔首码、拼音首码、汉字、商品名、通用名等。</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7.提供的费用信息：项目名称、规格、价格、医保费用类别、数量等。</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8.提供的药品信息：商品名、通用名、规格、价格、库存量、医保费用类别、生产厂家等。如有缺药给予提醒，不允许选择开方。</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9.可预先设置药品的默认剂量、频次、天数、用法等，提高医生下嘱速度。</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11.提供医院、科室、医生常用临床项目字典、药品字典、医嘱模板及相应编辑功能。</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12.所有医嘱均提供备注功能，医师可以输入相关注意事项；医生录入的所有信息都可完整传送至相应执行科室（药房或医技科室）。</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14.提供检验检查治疗的电子申请单功能，取消手工纸质申请单。</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15.可根据设置给予医生退费功能。</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16.支持医生查询相关资料：皮试信息、历次就诊信息、检验检查结果等，并提供比较功能，可按医嘱的各种条件对医嘱进行查询。</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17.自动核算就诊费用，提供医保类别提醒及医保药品审批功能。</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18.医生诊断使用国际标准疾病代码ICD-10，且可根据代码变化而调整。</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19.支持以上所有工作相关统计、查询和打印功能。提供代理录入功能，并可设置代理权限范围。</w:t>
      </w:r>
    </w:p>
    <w:p>
      <w:p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20.可实时查阅病人过敏史，与LIS、PACS无缝连接，查阅检验报告、检查报告等。</w:t>
      </w:r>
    </w:p>
    <w:p>
      <w:pPr>
        <w:pStyle w:val="5"/>
        <w:spacing w:line="500" w:lineRule="exact"/>
        <w:rPr>
          <w:rFonts w:ascii="仿宋" w:hAnsi="仿宋" w:eastAsia="仿宋" w:cs="仿宋"/>
          <w:color w:val="auto"/>
          <w:sz w:val="28"/>
        </w:rPr>
      </w:pPr>
      <w:bookmarkStart w:id="29" w:name="_Toc27388451"/>
      <w:r>
        <w:rPr>
          <w:rFonts w:hint="eastAsia" w:ascii="仿宋" w:hAnsi="仿宋" w:eastAsia="仿宋" w:cs="仿宋"/>
          <w:color w:val="auto"/>
          <w:sz w:val="28"/>
        </w:rPr>
        <w:t>住院护士站</w:t>
      </w:r>
      <w:bookmarkEnd w:id="29"/>
    </w:p>
    <w:p>
      <w:pPr>
        <w:spacing w:line="500" w:lineRule="exact"/>
        <w:ind w:firstLine="420"/>
        <w:rPr>
          <w:rFonts w:ascii="仿宋" w:hAnsi="仿宋" w:eastAsia="仿宋" w:cs="仿宋"/>
          <w:color w:val="auto"/>
          <w:kern w:val="0"/>
          <w:sz w:val="28"/>
          <w:szCs w:val="28"/>
        </w:rPr>
      </w:pPr>
      <w:r>
        <w:rPr>
          <w:rFonts w:hint="eastAsia" w:ascii="仿宋" w:hAnsi="仿宋" w:eastAsia="仿宋" w:cs="仿宋"/>
          <w:color w:val="auto"/>
          <w:kern w:val="0"/>
          <w:sz w:val="28"/>
          <w:szCs w:val="28"/>
        </w:rPr>
        <w:t>住院护士工作站是协助病房护士对住院患者完成日常的护理工作的系统。其主要任务是协助护士核对并处理医生下达的长期和临时医嘱，对医嘱执行情况进行管理。同时协助护士完成护理及病区床位管理等日常工作；支持对病人的护理医嘱下达与执行、护士排班；支持膳食医嘱的登记管理。</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提供病区床位使用情况一览表（显示床号、病历号、姓名、性别、年龄、诊断、病情、护理等级、陪护、饮食情况、入院时间、主管医生、病人类别、预交金、余额、费用、欠费情况等信息）。</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可自行维护床位属性，处理病人入床、包床、包房、转床、转科等功能。</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支持转床、转科功能，转科时应自动检查医嘱完成和记费情况并提示护士；</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对医生发送过来的医嘱进行校对（校对正确、取消发送）；可对医嘱执行确认。</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可打印长期及临时医嘱单（具备续打功能），重整长期医嘱；提供对多种医嘱格式的套打支持。</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打印、查询病区对药单（领药单），支持对药单分类维护。</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打印、查询病区长期、临时医嘱治疗单（口服、注射、输液、辅治疗等），支持治疗单分类维护。打印、查询输液记录卡及瓶签。</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可进行病人所有治疗项目的统一打印，包括长期及临时医嘱，各种注射均可统一打印在一张总表上，便于存档。</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支持进行护理医嘱打印，并可选择种类、病人或护理组打印。</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填写药品皮试结果。（阳性自动显示红色，对皮试结果阳性及未做皮试的病人自动提示及禁用此类药品。）</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支持病区退药，对已发送药房未接受的药品科室可直接删除，对药房已确认但科室尚未领药之前，科室可进行负冲并通知药房确认。</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停止及作废医嘱退费申请。支持作废医嘱自动退费。</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病人欠费和退费管理功能；提供病区（病人）退费情况一览表。可查询并打印本病区每日退费总表，可选择按病人或按项目查询</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住院费用清单（含每日费用清单）查询打印。</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查询病区欠费病人清单，打印催缴通知单。所有欠费病人可统一显示并打印。提供对费用警告线和停药线的全面支持。</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支持根据医嘱联动收费，如静脉输液、持续负压吸引按天收费（每天一次）；静脉推注、肌肉、皮下注射、皮试等按医嘱次数收费；心电监护、吸氧按小时收费；护理级别、饮食按种类收费。</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支持根据护嘱联动收费，如口腔护理、导尿、留置导尿、灌肠、心电监护、测血压、吸氧、换单、翻身等。</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支持全区统一记帐，如空调费、换单费、主任查房费等。</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可查询药品比例表，可按科室、医生组、医生、病人查询并打印，并可制定警告线和停药线，停药线可制定所停药品价格，主要限制贵重药品。</w:t>
      </w:r>
    </w:p>
    <w:p>
      <w:pPr>
        <w:numPr>
          <w:ilvl w:val="0"/>
          <w:numId w:val="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护理管理：包括护理计划、护理评价、护士排班、护理质量控制等。</w:t>
      </w:r>
    </w:p>
    <w:p>
      <w:pPr>
        <w:pStyle w:val="4"/>
        <w:tabs>
          <w:tab w:val="clear" w:pos="0"/>
        </w:tabs>
        <w:spacing w:line="500" w:lineRule="exact"/>
        <w:rPr>
          <w:rFonts w:ascii="仿宋" w:hAnsi="仿宋" w:eastAsia="仿宋" w:cs="仿宋"/>
          <w:color w:val="auto"/>
          <w:szCs w:val="28"/>
        </w:rPr>
      </w:pPr>
      <w:bookmarkStart w:id="30" w:name="_Toc4295"/>
      <w:bookmarkStart w:id="31" w:name="_Toc15633110"/>
      <w:bookmarkStart w:id="32" w:name="_Toc45025455"/>
      <w:r>
        <w:rPr>
          <w:rFonts w:hint="eastAsia" w:ascii="仿宋" w:hAnsi="仿宋" w:eastAsia="仿宋" w:cs="仿宋"/>
          <w:color w:val="auto"/>
          <w:szCs w:val="28"/>
        </w:rPr>
        <w:t>经济管理</w:t>
      </w:r>
      <w:bookmarkEnd w:id="30"/>
      <w:bookmarkEnd w:id="31"/>
      <w:bookmarkEnd w:id="32"/>
    </w:p>
    <w:p>
      <w:pPr>
        <w:pStyle w:val="5"/>
        <w:spacing w:line="500" w:lineRule="exact"/>
        <w:rPr>
          <w:rFonts w:ascii="仿宋" w:hAnsi="仿宋" w:eastAsia="仿宋" w:cs="仿宋"/>
          <w:color w:val="auto"/>
          <w:sz w:val="28"/>
        </w:rPr>
      </w:pPr>
      <w:bookmarkStart w:id="33" w:name="_Toc15633111"/>
      <w:bookmarkStart w:id="34" w:name="_Toc505173340"/>
      <w:bookmarkStart w:id="35" w:name="_Toc493677012"/>
      <w:bookmarkStart w:id="36" w:name="_Toc493677013"/>
      <w:bookmarkStart w:id="37" w:name="_Toc505173339"/>
      <w:r>
        <w:rPr>
          <w:rFonts w:hint="eastAsia" w:ascii="仿宋" w:hAnsi="仿宋" w:eastAsia="仿宋" w:cs="仿宋"/>
          <w:color w:val="auto"/>
          <w:sz w:val="28"/>
        </w:rPr>
        <w:t>门急诊收费</w:t>
      </w:r>
      <w:bookmarkEnd w:id="33"/>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可处理挂号、划价、收费等操作，包括注册、挂号、退号、划价、收费、退费、打印报销凭证、结算、结帐、统计等功能。</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支持医保、公费、自费、绿色通道等各种身份患者的注册（建立就诊卡）建卡，将患者的初始档案资料与患者的就诊卡形成对应关系。</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支持现金、POS机、支票、转账等多种收费方式，具备一卡通充值收退功能，支持门诊“一卡通”就诊流程。</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支持医保、公费、自费、绿色通道等各种身份患者的自动划价并收费，并能处理打折、减免、担保等各种情况。</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支持70岁以上、本院职工等特殊身份患者的挂号费自动减免功能设置。</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支持妇科、口腔科、中医科等临床科室的附加费自动加收功能。</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可根据患者请求快速选科室、医生，生成挂号信息，打印收据，打印内容按院方要求设置；</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选择医生后按职称自动默认挂号类别和科室；</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能完成患者退号、转诊，并正确处理患者看病日期、类别、号别以及应退费用和相关统计等。</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支持各种身份患者转换功能，如医保转自费，自费转公费等。</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完善的结账管理功能，收费日报表的格式和内容可根据医院要求调整；支持结账、核对、审核、作废等功能；结账起始时间要求自动默认取上次结账截止时间，不可更改；结账截止时间默认取当前时间，可调整；操作员在正常收费工作时可随时统计输出收费日报表，做到收费日清日结。支持记帐按单位分别结算出明细表；按收费方式如：现金、POS、转帐、记帐等分别结出金额。</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退款功能：按现行会计制度和有关规定严格管理退款过程，程序使用冲帐方式退款，保留操作全过程的记录；已确认执行项目不允许退款；支持按院方要求设置退费退款流程。</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发票打印功能：按财政和卫生行政部门规定格式打印发票，要求打印并保留存根，计算机生成的凭证序号必须连续并与实际发票一致，不得出现重号；发票内容能根据需要院方要求调整；支持由于误操作造成的发票跳号、漏号的处理；支持按挂号、科别、项目、时间点等多种方式打印发票；支持门诊发票重打功能（因外部故障造成打印失败后在原发票上重新打印）；具有发票冲销、作废功能。</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支持票据的完善管理，包括票据的领用、退还、使用、作废、冲销、移交等。</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减免功能：用于对患者已经发生的费用进行免费，减免的金额自动退还到患者的诊卡上；各减免审批人可设置自己的减免审批密码，在紧急情况下可授权收款员代理进行减免操作；支持按单个项目、按发票类别、按总额等多种减免方式；支持减免金额自动分摊到细项的功能；可对减免审批人的最大减免额度进行限制，并且每次减免后自动扣除其减免额度；可对所有的减免情况进行统计查询。</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担保功能：给患者进行担保，允许其欠费担保金额；各担保审批人可设置自己的担保审批密码，在紧急情况下可授权收款员代理进行担保操作；担保时，可设置担保的期限，并在过期后担保自动失效；可对担保审批人的最大担保额度进行限制，并且每次担保后自动扣除其担保额度；可对所有的担保情况进行统计查询。</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支持审批功能：对某些特殊身份患者的特殊项目进行限制，必须审批确认后才能执行或审批后自动减免；可按患者身份、项目类别及项目单价等设置审批范围。</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支持医保审批功能：对某些特殊药品或项目，可设置必须审批后才允许按医保药品或项目报销；否则，按自费处理。</w:t>
      </w:r>
    </w:p>
    <w:p>
      <w:pPr>
        <w:numPr>
          <w:ilvl w:val="0"/>
          <w:numId w:val="10"/>
        </w:numPr>
        <w:spacing w:line="500" w:lineRule="exact"/>
        <w:ind w:left="851" w:hanging="284"/>
        <w:rPr>
          <w:rFonts w:ascii="仿宋" w:hAnsi="仿宋" w:eastAsia="仿宋" w:cs="仿宋"/>
          <w:color w:val="auto"/>
          <w:sz w:val="28"/>
          <w:szCs w:val="28"/>
        </w:rPr>
      </w:pPr>
      <w:r>
        <w:rPr>
          <w:rFonts w:hint="eastAsia" w:ascii="仿宋" w:hAnsi="仿宋" w:eastAsia="仿宋" w:cs="仿宋"/>
          <w:color w:val="auto"/>
          <w:sz w:val="28"/>
          <w:szCs w:val="28"/>
        </w:rPr>
        <w:t>支持以上所有工作相关统计、查询和打印功能：患者费用明细清单，收费员工作量统计，发票查询，退费情况按科室、操作员统计，医生、科室工作量统计，门诊逃费情况统计，一卡通、现金结帐及查询等。</w:t>
      </w:r>
    </w:p>
    <w:bookmarkEnd w:id="34"/>
    <w:bookmarkEnd w:id="35"/>
    <w:bookmarkEnd w:id="36"/>
    <w:bookmarkEnd w:id="37"/>
    <w:p>
      <w:pPr>
        <w:pStyle w:val="5"/>
        <w:spacing w:line="500" w:lineRule="exact"/>
        <w:rPr>
          <w:rFonts w:ascii="仿宋" w:hAnsi="仿宋" w:eastAsia="仿宋" w:cs="仿宋"/>
          <w:color w:val="auto"/>
          <w:sz w:val="28"/>
        </w:rPr>
      </w:pPr>
      <w:bookmarkStart w:id="38" w:name="_Toc505173341"/>
      <w:bookmarkStart w:id="39" w:name="_Toc493677014"/>
      <w:bookmarkStart w:id="40" w:name="_Toc15633114"/>
      <w:r>
        <w:rPr>
          <w:rFonts w:hint="eastAsia" w:ascii="仿宋" w:hAnsi="仿宋" w:eastAsia="仿宋" w:cs="仿宋"/>
          <w:color w:val="auto"/>
          <w:sz w:val="28"/>
        </w:rPr>
        <w:t>医技收费管理</w:t>
      </w:r>
      <w:bookmarkEnd w:id="38"/>
      <w:bookmarkEnd w:id="39"/>
      <w:bookmarkEnd w:id="40"/>
    </w:p>
    <w:p>
      <w:pPr>
        <w:spacing w:line="500" w:lineRule="exact"/>
        <w:ind w:firstLine="420"/>
        <w:rPr>
          <w:rFonts w:ascii="仿宋" w:hAnsi="仿宋" w:eastAsia="仿宋" w:cs="仿宋"/>
          <w:color w:val="auto"/>
          <w:sz w:val="28"/>
          <w:szCs w:val="28"/>
        </w:rPr>
      </w:pPr>
      <w:r>
        <w:rPr>
          <w:rFonts w:hint="eastAsia" w:ascii="仿宋" w:hAnsi="仿宋" w:eastAsia="仿宋" w:cs="仿宋"/>
          <w:color w:val="auto"/>
          <w:sz w:val="28"/>
          <w:szCs w:val="28"/>
        </w:rPr>
        <w:t>医技收费管理系统主要协助医生检查治疗进行确认收费，实现患者在哪里检查哪里计费的功能，同时通过这种方式进一步完善各个职能科室工作量考核，方便科室进行执行收入统计，也便于财务进行对科室的成本核算与绩效考核。具体功能如下：</w:t>
      </w:r>
    </w:p>
    <w:p>
      <w:pPr>
        <w:numPr>
          <w:ilvl w:val="0"/>
          <w:numId w:val="11"/>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门诊医技管理</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 门诊医技划价：通过划卡调出病人检验、检查信息，录入补充项目并划价（在门诊收费处收费,相当于开电子处方）。</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 确认执行：确认已经收费信息，做相应检查化验。</w:t>
      </w:r>
    </w:p>
    <w:p>
      <w:pPr>
        <w:numPr>
          <w:ilvl w:val="0"/>
          <w:numId w:val="11"/>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住院医技计价</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 医技收费确认：完成住院病人的检查、化验时，确认申请同时完成收费。</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 医技录入收费：对有预交金的住院病人录入项目完成划价和收费。可以利用模板进行多项目划价收费。</w:t>
      </w:r>
    </w:p>
    <w:p>
      <w:pPr>
        <w:pStyle w:val="5"/>
        <w:spacing w:line="500" w:lineRule="exact"/>
        <w:rPr>
          <w:rFonts w:ascii="仿宋" w:hAnsi="仿宋" w:eastAsia="仿宋" w:cs="仿宋"/>
          <w:color w:val="auto"/>
          <w:sz w:val="28"/>
        </w:rPr>
      </w:pPr>
      <w:bookmarkStart w:id="41" w:name="_Toc15633115"/>
      <w:r>
        <w:rPr>
          <w:rFonts w:hint="eastAsia" w:ascii="仿宋" w:hAnsi="仿宋" w:eastAsia="仿宋" w:cs="仿宋"/>
          <w:color w:val="auto"/>
          <w:sz w:val="28"/>
        </w:rPr>
        <w:t>一卡通管理</w:t>
      </w:r>
      <w:bookmarkEnd w:id="41"/>
    </w:p>
    <w:p>
      <w:pPr>
        <w:spacing w:line="5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门诊一卡通系管理系统涉及患者在门诊就诊各个环节，可扩展至住院部。各诊疗环节上的业务系统，如挂号及缴费系统、门诊医生工作站、分诊导诊系统、各类医技系统（检查、化验、输液、治疗室等等）、药房系统、自助服务（如：费用或检验结果查询、院内自助挂号、自助预约、自助充值、自助结算、院外预约挂号…）系统等等，都需与其建立接口或作一体化设计。一卡通系统的主要特点是，建立“预交金或预交信用”就诊模式。具体功能如下：</w:t>
      </w:r>
    </w:p>
    <w:p>
      <w:pPr>
        <w:numPr>
          <w:ilvl w:val="0"/>
          <w:numId w:val="12"/>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支持门诊“一卡通”就诊流程；</w:t>
      </w:r>
    </w:p>
    <w:p>
      <w:pPr>
        <w:numPr>
          <w:ilvl w:val="0"/>
          <w:numId w:val="12"/>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支持患者自主选择“现金”或“一卡通”的门诊流程；即保留原有的就诊模式，又能进一步推广新的就诊模式。</w:t>
      </w:r>
    </w:p>
    <w:p>
      <w:pPr>
        <w:numPr>
          <w:ilvl w:val="0"/>
          <w:numId w:val="12"/>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支持医保、公费、自费、绿色通道等各种身份患者的注册（建立就诊卡）建卡，将患者的初始档案资料与患者的就诊卡形成对应关系，以及支持对患者基本信息修改。</w:t>
      </w:r>
    </w:p>
    <w:p>
      <w:pPr>
        <w:numPr>
          <w:ilvl w:val="0"/>
          <w:numId w:val="12"/>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医保患者注册时，患者基本信息支持自动从医保接口获取；</w:t>
      </w:r>
    </w:p>
    <w:p>
      <w:pPr>
        <w:numPr>
          <w:ilvl w:val="0"/>
          <w:numId w:val="12"/>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对住院患者，支持住院号检索患者基本信息；</w:t>
      </w:r>
    </w:p>
    <w:p>
      <w:pPr>
        <w:numPr>
          <w:ilvl w:val="0"/>
          <w:numId w:val="12"/>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支持就诊卡管理，具有领用、挂失、恢复、换卡、再建卡、修改或删除口令等功能；换卡时，卡号不同，内部ID保持原号，确保病人就诊信息的连续性。</w:t>
      </w:r>
    </w:p>
    <w:p>
      <w:pPr>
        <w:numPr>
          <w:ilvl w:val="0"/>
          <w:numId w:val="12"/>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支持第二代身份证扫描仪的信息录入接口，新注册病人可以通过扫描仪将身份证信息扫描到系统中。</w:t>
      </w:r>
    </w:p>
    <w:p>
      <w:pPr>
        <w:numPr>
          <w:ilvl w:val="0"/>
          <w:numId w:val="12"/>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支持查询统计就诊卡相关统计数据。</w:t>
      </w:r>
    </w:p>
    <w:p>
      <w:pPr>
        <w:pStyle w:val="5"/>
        <w:spacing w:line="500" w:lineRule="exact"/>
        <w:rPr>
          <w:rFonts w:ascii="仿宋" w:hAnsi="仿宋" w:eastAsia="仿宋" w:cs="仿宋"/>
          <w:color w:val="auto"/>
          <w:sz w:val="28"/>
        </w:rPr>
      </w:pPr>
      <w:bookmarkStart w:id="42" w:name="_Toc15633116"/>
      <w:r>
        <w:rPr>
          <w:rFonts w:hint="eastAsia" w:ascii="仿宋" w:hAnsi="仿宋" w:eastAsia="仿宋" w:cs="仿宋"/>
          <w:color w:val="auto"/>
          <w:sz w:val="28"/>
        </w:rPr>
        <w:t>手术扣费排台管理</w:t>
      </w:r>
      <w:bookmarkEnd w:id="42"/>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1.手术前</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手术、麻醉申请与审批：根据有关规定完成手术、麻醉的申请和审批信息。完成手术预约安排、手术间安排、护士排班等；</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术前准备完毕信息：各项检查完成；诊断明确；符合手术指征；</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记录手术医嘱；</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记录手术通知单：术前一日上午送交麻醉科；急诊手术随时送交；</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2.手术中</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提供患者基本信息：姓名、性别、年龄、住院病例号、病区、床号、入院诊断、病情状态、护理等级等；</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提供手术相关信息：手术编号、日期、时间、手术室及手术台；手术分类、规模、部位、切口类型等；</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提供医生信息：手术医生和助手姓名、科室、职称；麻醉师姓名、职称；</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提供护士信息：洗手护士、巡回护士，器械师姓名；</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提供麻醉信息：麻醉方法、用药名称、剂量、给药途径；</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核查手术名称及配血报告、术前用药、药敏试验结果；</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3.手术后</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提供全部打印功能；</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提供汇总统计功能，麻醉方法统计、麻醉类别统计、手术分类统计等；</w:t>
      </w:r>
    </w:p>
    <w:p>
      <w:pPr>
        <w:numPr>
          <w:ilvl w:val="0"/>
          <w:numId w:val="1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提供费用信息。</w:t>
      </w:r>
    </w:p>
    <w:p>
      <w:pPr>
        <w:pStyle w:val="4"/>
        <w:tabs>
          <w:tab w:val="clear" w:pos="0"/>
        </w:tabs>
        <w:spacing w:line="500" w:lineRule="exact"/>
        <w:rPr>
          <w:rFonts w:ascii="仿宋" w:hAnsi="仿宋" w:eastAsia="仿宋" w:cs="仿宋"/>
          <w:color w:val="auto"/>
          <w:szCs w:val="28"/>
        </w:rPr>
      </w:pPr>
      <w:bookmarkStart w:id="43" w:name="_Toc11085"/>
      <w:bookmarkStart w:id="44" w:name="_Toc15633118"/>
      <w:bookmarkStart w:id="45" w:name="_Toc45025456"/>
      <w:r>
        <w:rPr>
          <w:rFonts w:hint="eastAsia" w:ascii="仿宋" w:hAnsi="仿宋" w:eastAsia="仿宋" w:cs="仿宋"/>
          <w:color w:val="auto"/>
          <w:szCs w:val="28"/>
        </w:rPr>
        <w:t>配置管理</w:t>
      </w:r>
      <w:bookmarkEnd w:id="43"/>
      <w:bookmarkEnd w:id="44"/>
      <w:bookmarkEnd w:id="45"/>
    </w:p>
    <w:p>
      <w:pPr>
        <w:pStyle w:val="39"/>
        <w:spacing w:line="500" w:lineRule="exact"/>
        <w:rPr>
          <w:rFonts w:ascii="仿宋" w:hAnsi="仿宋" w:eastAsia="仿宋" w:cs="仿宋"/>
          <w:color w:val="auto"/>
        </w:rPr>
      </w:pPr>
      <w:bookmarkStart w:id="46" w:name="_Toc493677010"/>
      <w:r>
        <w:rPr>
          <w:rFonts w:hint="eastAsia" w:ascii="仿宋" w:hAnsi="仿宋" w:eastAsia="仿宋" w:cs="仿宋"/>
          <w:color w:val="auto"/>
        </w:rPr>
        <w:t>主要用于给门诊系统、住院系统、手术系统、医技系统、门诊与住院医生站等系统提供基础数据管理及系统权限控制，参数流程管理控制。如国家代码设置、民族代码设置、地区代码设置，操作员登记，岗位权限设置，参数设置等。业务类是和医院有关的业务代码等的设置，如一级科室、二级科室等的设置，各医院可根据医院的具体情况来设置。</w:t>
      </w:r>
    </w:p>
    <w:bookmarkEnd w:id="46"/>
    <w:p>
      <w:pPr>
        <w:pStyle w:val="4"/>
        <w:tabs>
          <w:tab w:val="clear" w:pos="0"/>
        </w:tabs>
        <w:spacing w:line="500" w:lineRule="exact"/>
        <w:rPr>
          <w:rFonts w:ascii="仿宋" w:hAnsi="仿宋" w:eastAsia="仿宋" w:cs="仿宋"/>
          <w:color w:val="auto"/>
          <w:szCs w:val="28"/>
        </w:rPr>
      </w:pPr>
      <w:bookmarkStart w:id="47" w:name="_Toc3021"/>
      <w:bookmarkStart w:id="48" w:name="_Toc45025457"/>
      <w:bookmarkStart w:id="49" w:name="_Toc15633119"/>
      <w:r>
        <w:rPr>
          <w:rFonts w:hint="eastAsia" w:ascii="仿宋" w:hAnsi="仿宋" w:eastAsia="仿宋" w:cs="仿宋"/>
          <w:color w:val="auto"/>
          <w:szCs w:val="28"/>
        </w:rPr>
        <w:t>药品管理</w:t>
      </w:r>
      <w:bookmarkEnd w:id="47"/>
      <w:bookmarkEnd w:id="48"/>
      <w:bookmarkEnd w:id="49"/>
    </w:p>
    <w:p>
      <w:pPr>
        <w:pStyle w:val="5"/>
        <w:spacing w:line="500" w:lineRule="exact"/>
        <w:rPr>
          <w:rFonts w:ascii="仿宋" w:hAnsi="仿宋" w:eastAsia="仿宋" w:cs="仿宋"/>
          <w:color w:val="auto"/>
          <w:sz w:val="28"/>
        </w:rPr>
      </w:pPr>
      <w:bookmarkStart w:id="50" w:name="_Toc505173343"/>
      <w:bookmarkStart w:id="51" w:name="_Toc15633120"/>
      <w:bookmarkStart w:id="52" w:name="_Toc493677016"/>
      <w:r>
        <w:rPr>
          <w:rFonts w:hint="eastAsia" w:ascii="仿宋" w:hAnsi="仿宋" w:eastAsia="仿宋" w:cs="仿宋"/>
          <w:color w:val="auto"/>
          <w:sz w:val="28"/>
        </w:rPr>
        <w:t>门诊药房管理系统</w:t>
      </w:r>
      <w:bookmarkEnd w:id="50"/>
      <w:bookmarkEnd w:id="51"/>
      <w:bookmarkEnd w:id="52"/>
    </w:p>
    <w:p>
      <w:pPr>
        <w:numPr>
          <w:ilvl w:val="0"/>
          <w:numId w:val="14"/>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扩展到多个药房库存单元（中、西、成），支持药房之间的调拨执行确定，避免两个药房之间账目不平。</w:t>
      </w:r>
    </w:p>
    <w:p>
      <w:pPr>
        <w:numPr>
          <w:ilvl w:val="0"/>
          <w:numId w:val="14"/>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可自动获取药品名称、规格、批号、价格、生产厂家、药品来源、药品剂型、药品属性、药品类别、医保编码、领药人、开方医生和门诊患者等药品基本信息。</w:t>
      </w:r>
    </w:p>
    <w:p>
      <w:pPr>
        <w:numPr>
          <w:ilvl w:val="0"/>
          <w:numId w:val="14"/>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提供对门诊患者的处方执行划价功能。</w:t>
      </w:r>
    </w:p>
    <w:p>
      <w:pPr>
        <w:numPr>
          <w:ilvl w:val="0"/>
          <w:numId w:val="14"/>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提供对门诊收费的药品明细执行发药核对确认，消减库存的功能，并统计日处方量和各类别的处方量。</w:t>
      </w:r>
    </w:p>
    <w:p>
      <w:pPr>
        <w:numPr>
          <w:ilvl w:val="0"/>
          <w:numId w:val="14"/>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为门诊收费设置包装数、低限报警值、控制药品以及药品别名等功能。</w:t>
      </w:r>
    </w:p>
    <w:p>
      <w:pPr>
        <w:numPr>
          <w:ilvl w:val="0"/>
          <w:numId w:val="14"/>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门诊收费的药品金额和药房的发药金额执行对帐。</w:t>
      </w:r>
    </w:p>
    <w:p>
      <w:pPr>
        <w:numPr>
          <w:ilvl w:val="0"/>
          <w:numId w:val="14"/>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可自动生成药品进药计划申请单，并发往药库。</w:t>
      </w:r>
    </w:p>
    <w:p>
      <w:pPr>
        <w:numPr>
          <w:ilvl w:val="0"/>
          <w:numId w:val="14"/>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具有药房药品的日结、月结和年结算功能，并自动比较会计帐及实物帐的平衡关系。</w:t>
      </w:r>
    </w:p>
    <w:p>
      <w:pPr>
        <w:numPr>
          <w:ilvl w:val="0"/>
          <w:numId w:val="14"/>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提供药品的有效期管理、可自动报警和统计过期药品的品种数和金额，并有库存量提示功能。</w:t>
      </w:r>
    </w:p>
    <w:p>
      <w:pPr>
        <w:numPr>
          <w:ilvl w:val="0"/>
          <w:numId w:val="14"/>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对毒麻药品、精神药品的种类、贵重药品、院内制剂、进口药品、自费药等均有特定的判断识别处理。</w:t>
      </w:r>
    </w:p>
    <w:p>
      <w:pPr>
        <w:pStyle w:val="5"/>
        <w:tabs>
          <w:tab w:val="left" w:pos="0"/>
          <w:tab w:val="clear" w:pos="864"/>
        </w:tabs>
        <w:spacing w:line="500" w:lineRule="exact"/>
        <w:rPr>
          <w:rFonts w:ascii="仿宋" w:hAnsi="仿宋" w:eastAsia="仿宋" w:cs="仿宋"/>
          <w:color w:val="auto"/>
          <w:sz w:val="28"/>
        </w:rPr>
      </w:pPr>
      <w:bookmarkStart w:id="53" w:name="_Toc505173344"/>
      <w:bookmarkStart w:id="54" w:name="_Toc27388469"/>
      <w:bookmarkStart w:id="55" w:name="_Toc493677017"/>
      <w:r>
        <w:rPr>
          <w:rFonts w:hint="eastAsia" w:ascii="仿宋" w:hAnsi="仿宋" w:eastAsia="仿宋" w:cs="仿宋"/>
          <w:color w:val="auto"/>
          <w:sz w:val="28"/>
        </w:rPr>
        <w:t>住院药房管理系统</w:t>
      </w:r>
      <w:bookmarkEnd w:id="53"/>
      <w:bookmarkEnd w:id="54"/>
      <w:bookmarkEnd w:id="55"/>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扩展到多个药房库存单元（中、西、成），支持药房之间的调拨执行确定，避免两个药房之间账目不平。</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可自动获取药品名称、规格、批号、价格、生产厂家、药品来源、药品剂型、属性、类别和住院患者等药品基本信息；</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支持根据药品上月耗量或库存限量自动生成药品请领单，并发送至相关科室。</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支持药品的退药入库、盘盈入库、领用入库、调拨入库、处方出库、报损出库、退药出库、盘亏出库、调拨出库等多种出入库类别，且可根据要求增删。可自动接收科室领药单，并转化为出库单。</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药房具有可用库存数量及库存量预减管理功能，以便医生开单或处方输入后减少可用库存，下次处方能根据可用库存控制开单数量，保证发药时库存充分(发药后减少实际库存）。</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提供对药库发到本药房的药品的出库单或其他药房发送的调拨单进行入库确认。</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具有药房药品的日结、月结和年结算功能，并自动比较会计帐及实物帐的</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可随时查询某日和任意时间段的入库药品消耗，以及任意某一药品的入、出、存明细帐。</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提供药品的有效期管理、可自动报警和统计过期药品的品种数和金额。</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对毒麻药品、精神药品的种类、贵重药品、院内制剂、进口药品、自费药等均有特定的判断识别处理。</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支持药品批次管理；要求可根据参数设置药品“先入先出”或“效期先出”原则。</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统计查询：支持以上所有工作相关统计、查询和打印功能。</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具有条码管理功能。</w:t>
      </w:r>
    </w:p>
    <w:p>
      <w:pPr>
        <w:numPr>
          <w:ilvl w:val="0"/>
          <w:numId w:val="15"/>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对贵重、毒麻、精神类等特殊药品单独管理。</w:t>
      </w:r>
    </w:p>
    <w:p>
      <w:pPr>
        <w:pStyle w:val="5"/>
        <w:spacing w:line="500" w:lineRule="exact"/>
        <w:rPr>
          <w:rFonts w:ascii="仿宋" w:hAnsi="仿宋" w:eastAsia="仿宋" w:cs="仿宋"/>
          <w:color w:val="auto"/>
          <w:sz w:val="28"/>
        </w:rPr>
      </w:pPr>
      <w:bookmarkStart w:id="56" w:name="_Toc493677015"/>
      <w:bookmarkStart w:id="57" w:name="_Toc505173342"/>
      <w:bookmarkStart w:id="58" w:name="_Toc15633121"/>
      <w:r>
        <w:rPr>
          <w:rFonts w:hint="eastAsia" w:ascii="仿宋" w:hAnsi="仿宋" w:eastAsia="仿宋" w:cs="仿宋"/>
          <w:color w:val="auto"/>
          <w:sz w:val="28"/>
        </w:rPr>
        <w:t>药库管理系统</w:t>
      </w:r>
      <w:bookmarkEnd w:id="56"/>
      <w:bookmarkEnd w:id="57"/>
      <w:bookmarkEnd w:id="58"/>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可扩展到多个药库库存单元（中、西、成）。</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支持根据药品上月耗量或库存限量自动生成采购计划；支持采购计划的多级审核；支持采购单的发送及到货确认功能；支持采购单转成入库单。</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支持药品的采购入库、退药入库、盘盈入库、赠送入库、调拨入库、领用出库、报损出库、退货出库、盘亏出库、调拨出库等多种出入库类别，且可根据要求增删。可自动接收科室领药单，并转化为出库单。</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在录入出入库单药品信息时，可自动获取药品名称、规格、批号、发票号、进货价、零售价、生产厂家、供货商、包装单位、发药单位等药品信息，以及医疗保险信息中的医疗保险类别、处方药标志、中标标志等并可随时生成各种药品的入库明细、出库明细、盘点明细、调价明细、调拨明细、报损明细、退药明细以及上面各项的汇总数据，且提供打印功能。</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药品零售价格可根据院方公式自动计算。</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支持汇款凭证根据供应商的采购入库单自动汇总统计及打印功能。</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提供药品库存的日结、月结、年结功能，并能校对帐目及库存的平衡关系。</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提供药品字典库维护功能（如品种、价格、单位、计量、特殊标志等），支持一药多名操作，判断识别，实现统一规范药品名称。</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对毒麻药品、精神药品的种类、贵重药品、院内制剂、进口药品、自费药等均有特定的判断识别处理。</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可根据物价部门的现行调价文件实现全院统一调价，提供自动调价确认和手动调价确认两种方式；并可记录调价的明细、时间及调价原因，记录调价的盈亏等信息，传送到药品会计和财务会计。</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统计查询：支持以上所有工作相关统计、查询和打印功能。</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支持批次管理功能，且效期和批号可修改。</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提供根据药品库存的上下限、同期或临近期间消耗量等多种方法生成药品采购计划的参考量的功能。</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药库操作人员按角色进行管理，如入库、出库、审核角色功能各不相同。</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能够实现条码化管理。</w:t>
      </w:r>
    </w:p>
    <w:p>
      <w:pPr>
        <w:numPr>
          <w:ilvl w:val="0"/>
          <w:numId w:val="16"/>
        </w:numPr>
        <w:spacing w:line="500" w:lineRule="exact"/>
        <w:ind w:left="420"/>
        <w:rPr>
          <w:rFonts w:ascii="仿宋" w:hAnsi="仿宋" w:eastAsia="仿宋" w:cs="仿宋"/>
          <w:color w:val="auto"/>
          <w:sz w:val="28"/>
          <w:szCs w:val="28"/>
        </w:rPr>
      </w:pPr>
      <w:r>
        <w:rPr>
          <w:rFonts w:hint="eastAsia" w:ascii="仿宋" w:hAnsi="仿宋" w:eastAsia="仿宋" w:cs="仿宋"/>
          <w:color w:val="auto"/>
          <w:sz w:val="28"/>
          <w:szCs w:val="28"/>
        </w:rPr>
        <w:t>提供药品效期、库存的自动报警。</w:t>
      </w:r>
    </w:p>
    <w:p>
      <w:pPr>
        <w:pStyle w:val="4"/>
        <w:tabs>
          <w:tab w:val="clear" w:pos="0"/>
        </w:tabs>
        <w:spacing w:line="500" w:lineRule="exact"/>
        <w:rPr>
          <w:rFonts w:ascii="仿宋" w:hAnsi="仿宋" w:eastAsia="仿宋" w:cs="仿宋"/>
          <w:color w:val="auto"/>
          <w:szCs w:val="28"/>
        </w:rPr>
      </w:pPr>
      <w:bookmarkStart w:id="59" w:name="_Toc45025458"/>
      <w:bookmarkStart w:id="60" w:name="_Toc26118"/>
      <w:bookmarkStart w:id="61" w:name="_Toc15633123"/>
      <w:r>
        <w:rPr>
          <w:rFonts w:hint="eastAsia" w:ascii="仿宋" w:hAnsi="仿宋" w:eastAsia="仿宋" w:cs="仿宋"/>
          <w:color w:val="auto"/>
          <w:szCs w:val="28"/>
        </w:rPr>
        <w:t>物资管理</w:t>
      </w:r>
      <w:bookmarkEnd w:id="59"/>
      <w:bookmarkEnd w:id="60"/>
    </w:p>
    <w:p>
      <w:pPr>
        <w:pStyle w:val="39"/>
        <w:spacing w:line="500" w:lineRule="exact"/>
        <w:rPr>
          <w:rFonts w:ascii="仿宋" w:hAnsi="仿宋" w:eastAsia="仿宋" w:cs="仿宋"/>
          <w:color w:val="auto"/>
        </w:rPr>
      </w:pPr>
      <w:r>
        <w:rPr>
          <w:rFonts w:hint="eastAsia" w:ascii="仿宋" w:hAnsi="仿宋" w:eastAsia="仿宋" w:cs="仿宋"/>
          <w:color w:val="auto"/>
        </w:rPr>
        <w:t>物资管理是医院为完成医疗、教学、科研等工作，对所需各种物资进行计划、采购、保管、供应等各项组织管理工作。医院库房管理主要研究对象是物资在医院内的流转过程和科学管理，包括医院库房物资的分类，定额管理，供应计划的编制，采购运输，仓库的管理和组织领导等。医院库房物资材料主要包括医院使用的高值耗材、固定资产、低值易耗品，卫生材料和其它一般材料，分布较广，规格特性相差较大，实现库房材料的科学管理，对于降低医院的运行成本，减轻群众看病负担，提高医院的核心竞争力，具有非常重要的意义。</w:t>
      </w:r>
    </w:p>
    <w:p>
      <w:pPr>
        <w:pStyle w:val="5"/>
        <w:tabs>
          <w:tab w:val="clear" w:pos="864"/>
        </w:tabs>
        <w:spacing w:line="500" w:lineRule="exact"/>
        <w:rPr>
          <w:rFonts w:ascii="仿宋" w:hAnsi="仿宋" w:eastAsia="仿宋" w:cs="仿宋"/>
          <w:color w:val="auto"/>
          <w:sz w:val="28"/>
        </w:rPr>
      </w:pPr>
      <w:r>
        <w:rPr>
          <w:rFonts w:hint="eastAsia" w:ascii="仿宋" w:hAnsi="仿宋" w:eastAsia="仿宋" w:cs="仿宋"/>
          <w:color w:val="auto"/>
          <w:sz w:val="28"/>
        </w:rPr>
        <w:t>医疗物资管理</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物资管理是医院为完成医疗、教学、科研等工作，对所需各种物资进行计划、采购、保管、供应等各项组织管理工作。医院物资管理主要研究对象是物资在医院内的流转过程和科学管理，包括医院物资的分类，物资的定额管理，物资供应计划的编制，物资的采购运输，物资仓库的管理和组织领导等功能。</w:t>
      </w:r>
    </w:p>
    <w:p>
      <w:pPr>
        <w:pStyle w:val="5"/>
        <w:tabs>
          <w:tab w:val="clear" w:pos="864"/>
        </w:tabs>
        <w:spacing w:line="500" w:lineRule="exact"/>
        <w:rPr>
          <w:rFonts w:ascii="仿宋" w:hAnsi="仿宋" w:eastAsia="仿宋" w:cs="仿宋"/>
          <w:color w:val="auto"/>
          <w:sz w:val="28"/>
        </w:rPr>
      </w:pPr>
      <w:r>
        <w:rPr>
          <w:rFonts w:hint="eastAsia" w:ascii="仿宋" w:hAnsi="仿宋" w:eastAsia="仿宋" w:cs="仿宋"/>
          <w:color w:val="auto"/>
          <w:sz w:val="28"/>
        </w:rPr>
        <w:t>卫生耗材管理</w:t>
      </w:r>
    </w:p>
    <w:p>
      <w:pPr>
        <w:numPr>
          <w:ilvl w:val="0"/>
          <w:numId w:val="17"/>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入库管理功能，轻松记录进货入库、采购退换货、往来供应商，提供进货明细表和进货汇总表查询统计。</w:t>
      </w:r>
    </w:p>
    <w:p>
      <w:pPr>
        <w:numPr>
          <w:ilvl w:val="0"/>
          <w:numId w:val="17"/>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出库管理功能，记录出库、退库、特殊出入库等、往来科室信息，提明细表和汇总表查询统计。</w:t>
      </w:r>
    </w:p>
    <w:p>
      <w:pPr>
        <w:numPr>
          <w:ilvl w:val="0"/>
          <w:numId w:val="17"/>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库存管理功能，可显示当前库存量，并可进行库存干预和库存预警。</w:t>
      </w:r>
    </w:p>
    <w:p>
      <w:pPr>
        <w:numPr>
          <w:ilvl w:val="0"/>
          <w:numId w:val="17"/>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核查功能，卫生耗材可追溯到所有耗材的入库、出库、退库、等一系列变化过程。</w:t>
      </w:r>
    </w:p>
    <w:p>
      <w:pPr>
        <w:pStyle w:val="7"/>
        <w:spacing w:line="50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打印导出功能，可将各类报表进行打印和导出，便于使用人员工作。</w:t>
      </w:r>
    </w:p>
    <w:p>
      <w:pPr>
        <w:pStyle w:val="5"/>
        <w:tabs>
          <w:tab w:val="clear" w:pos="864"/>
        </w:tabs>
        <w:spacing w:line="500" w:lineRule="exact"/>
        <w:rPr>
          <w:rFonts w:ascii="仿宋" w:hAnsi="仿宋" w:eastAsia="仿宋" w:cs="仿宋"/>
          <w:color w:val="auto"/>
          <w:sz w:val="28"/>
        </w:rPr>
      </w:pPr>
      <w:bookmarkStart w:id="62" w:name="_Toc27060981"/>
      <w:r>
        <w:rPr>
          <w:rFonts w:hint="eastAsia" w:ascii="仿宋" w:hAnsi="仿宋" w:eastAsia="仿宋" w:cs="仿宋"/>
          <w:color w:val="auto"/>
          <w:sz w:val="28"/>
        </w:rPr>
        <w:t>设备资产管理</w:t>
      </w:r>
      <w:bookmarkEnd w:id="62"/>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通过先进的条形码技术对固定资产实物从购置、领用、清理、盘点、借用归还、维修到报废进行全方位准确监管，结合资产分类统计等报表真正实现帐物相符，同时按照国内固定资产折旧的实际情况和惯例，采用平均年限法对固定资产计提折旧。</w:t>
      </w:r>
    </w:p>
    <w:p>
      <w:pPr>
        <w:pStyle w:val="7"/>
        <w:spacing w:line="500" w:lineRule="exact"/>
        <w:ind w:firstLine="560"/>
        <w:rPr>
          <w:rFonts w:ascii="仿宋" w:hAnsi="仿宋" w:eastAsia="仿宋" w:cs="仿宋"/>
          <w:color w:val="auto"/>
          <w:sz w:val="28"/>
          <w:szCs w:val="28"/>
        </w:rPr>
      </w:pPr>
    </w:p>
    <w:p>
      <w:pPr>
        <w:pStyle w:val="4"/>
        <w:tabs>
          <w:tab w:val="clear" w:pos="0"/>
        </w:tabs>
        <w:spacing w:line="500" w:lineRule="exact"/>
        <w:rPr>
          <w:rFonts w:ascii="仿宋" w:hAnsi="仿宋" w:eastAsia="仿宋" w:cs="仿宋"/>
          <w:color w:val="auto"/>
          <w:szCs w:val="28"/>
        </w:rPr>
      </w:pPr>
      <w:bookmarkStart w:id="63" w:name="_Toc95"/>
      <w:bookmarkStart w:id="64" w:name="_Toc45025459"/>
      <w:r>
        <w:rPr>
          <w:rFonts w:hint="eastAsia" w:ascii="仿宋" w:hAnsi="仿宋" w:eastAsia="仿宋" w:cs="仿宋"/>
          <w:color w:val="auto"/>
          <w:szCs w:val="28"/>
        </w:rPr>
        <w:t>扩展业务模块</w:t>
      </w:r>
      <w:bookmarkEnd w:id="63"/>
      <w:bookmarkEnd w:id="64"/>
    </w:p>
    <w:p>
      <w:pPr>
        <w:pStyle w:val="5"/>
        <w:tabs>
          <w:tab w:val="left" w:pos="0"/>
          <w:tab w:val="clear" w:pos="864"/>
        </w:tabs>
        <w:spacing w:line="500" w:lineRule="exact"/>
        <w:rPr>
          <w:rFonts w:ascii="仿宋" w:hAnsi="仿宋" w:eastAsia="仿宋" w:cs="仿宋"/>
          <w:color w:val="auto"/>
          <w:sz w:val="28"/>
        </w:rPr>
      </w:pPr>
      <w:bookmarkStart w:id="65" w:name="_Toc27388453"/>
      <w:r>
        <w:rPr>
          <w:rFonts w:hint="eastAsia" w:ascii="仿宋" w:hAnsi="仿宋" w:eastAsia="仿宋" w:cs="仿宋"/>
          <w:color w:val="auto"/>
          <w:sz w:val="28"/>
        </w:rPr>
        <w:t>危急值管理</w:t>
      </w:r>
      <w:bookmarkEnd w:id="65"/>
    </w:p>
    <w:p>
      <w:pPr>
        <w:pStyle w:val="7"/>
        <w:spacing w:line="50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“危急值”是指当出现这种检验、检查结果时，患者可能正处于危险边缘，临床医生如不及时处理，有可能危及患者安全甚至生命，这种可能危及患者安全或生命的检查数值称为危急值。</w:t>
      </w:r>
    </w:p>
    <w:p>
      <w:pPr>
        <w:pStyle w:val="7"/>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“危急值”报告作为科室管理评价的一项重要考核内容。医务科对科室的危急值报告工作定期检查并总结，提出“危急值”报告的持续改进措施。</w:t>
      </w:r>
    </w:p>
    <w:p>
      <w:pPr>
        <w:pStyle w:val="7"/>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支持“危急值”定期维护与更新。</w:t>
      </w:r>
    </w:p>
    <w:p>
      <w:pPr>
        <w:pStyle w:val="5"/>
        <w:tabs>
          <w:tab w:val="left" w:pos="0"/>
          <w:tab w:val="clear" w:pos="864"/>
        </w:tabs>
        <w:spacing w:line="500" w:lineRule="exact"/>
        <w:rPr>
          <w:rFonts w:ascii="仿宋" w:hAnsi="仿宋" w:eastAsia="仿宋" w:cs="仿宋"/>
          <w:color w:val="auto"/>
          <w:sz w:val="28"/>
        </w:rPr>
      </w:pPr>
      <w:bookmarkStart w:id="66" w:name="_Toc27388454"/>
      <w:r>
        <w:rPr>
          <w:rFonts w:hint="eastAsia" w:ascii="仿宋" w:hAnsi="仿宋" w:eastAsia="仿宋" w:cs="仿宋"/>
          <w:color w:val="auto"/>
          <w:sz w:val="28"/>
        </w:rPr>
        <w:t>传染病上报</w:t>
      </w:r>
      <w:bookmarkEnd w:id="66"/>
    </w:p>
    <w:p>
      <w:pPr>
        <w:pStyle w:val="7"/>
        <w:spacing w:line="50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通过对传染病填报业务流程的分析,开发出基于HIS的传染病上报管理系统。利用临床端与管理端数据信息的互通,提高了工作效率,确保了传染病上报的准确性、及时性与完整性。基于HIS的传染病上报管理系统为医院及时、准确地完成传染病网络直报工作提供可靠保障。</w:t>
      </w:r>
    </w:p>
    <w:p>
      <w:pPr>
        <w:pStyle w:val="36"/>
        <w:numPr>
          <w:ilvl w:val="0"/>
          <w:numId w:val="18"/>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报卡支持包括提交、退卡、审核，作废状态的分类查看以及操作。</w:t>
      </w:r>
    </w:p>
    <w:p>
      <w:pPr>
        <w:pStyle w:val="36"/>
        <w:numPr>
          <w:ilvl w:val="0"/>
          <w:numId w:val="18"/>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填卡支持传染病甲、乙、丙、性病以及其它法定重点检测种类的选择。</w:t>
      </w:r>
    </w:p>
    <w:p>
      <w:pPr>
        <w:pStyle w:val="36"/>
        <w:numPr>
          <w:ilvl w:val="0"/>
          <w:numId w:val="18"/>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支持特殊种类附卡的填写，包括各种接触史、发病史、实验结论的填写。</w:t>
      </w:r>
    </w:p>
    <w:p>
      <w:pPr>
        <w:pStyle w:val="36"/>
        <w:numPr>
          <w:ilvl w:val="0"/>
          <w:numId w:val="18"/>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传染病审核支持包括订正、审核、批量审核、退卡、作废、导出主卡和附卡信息。</w:t>
      </w:r>
    </w:p>
    <w:p>
      <w:pPr>
        <w:pStyle w:val="5"/>
        <w:tabs>
          <w:tab w:val="left" w:pos="0"/>
          <w:tab w:val="clear" w:pos="864"/>
        </w:tabs>
        <w:spacing w:line="500" w:lineRule="exact"/>
        <w:rPr>
          <w:rFonts w:ascii="仿宋" w:hAnsi="仿宋" w:eastAsia="仿宋" w:cs="仿宋"/>
          <w:color w:val="auto"/>
          <w:sz w:val="28"/>
        </w:rPr>
      </w:pPr>
      <w:bookmarkStart w:id="67" w:name="_Toc27388455"/>
      <w:r>
        <w:rPr>
          <w:rFonts w:hint="eastAsia" w:ascii="仿宋" w:hAnsi="仿宋" w:eastAsia="仿宋" w:cs="仿宋"/>
          <w:color w:val="auto"/>
          <w:sz w:val="28"/>
        </w:rPr>
        <w:t>不良事件上报</w:t>
      </w:r>
      <w:bookmarkEnd w:id="67"/>
    </w:p>
    <w:p>
      <w:pPr>
        <w:pStyle w:val="7"/>
        <w:spacing w:line="50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不良事件报告后的信息共享，可以使相关人员能从他人的过失中吸取经验教训，以免重蹈覆辙。</w:t>
      </w:r>
    </w:p>
    <w:p>
      <w:pPr>
        <w:pStyle w:val="7"/>
        <w:numPr>
          <w:ilvl w:val="0"/>
          <w:numId w:val="19"/>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科室人员对不良事件进行上报。科室上报可以填写内容患者信息、不良事件情况、不良事件类别。</w:t>
      </w:r>
    </w:p>
    <w:p>
      <w:pPr>
        <w:pStyle w:val="7"/>
        <w:numPr>
          <w:ilvl w:val="0"/>
          <w:numId w:val="19"/>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质管功能包括：打回、填写不良事件评价、持续改进措施、转发管理科室；质管办查看报卡内容，如果不合格，直接打回，状态为打回；如果合格，填写不良事件评价和持续改进措施；转发管理科室后，状态为转发未处理。</w:t>
      </w:r>
    </w:p>
    <w:p>
      <w:pPr>
        <w:pStyle w:val="7"/>
        <w:numPr>
          <w:ilvl w:val="0"/>
          <w:numId w:val="19"/>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支持主管部门建议审核，相应管理科室处置意见填写之后，进行审核。</w:t>
      </w:r>
    </w:p>
    <w:p>
      <w:pPr>
        <w:pStyle w:val="5"/>
        <w:tabs>
          <w:tab w:val="left" w:pos="0"/>
          <w:tab w:val="clear" w:pos="864"/>
        </w:tabs>
        <w:spacing w:line="500" w:lineRule="exact"/>
        <w:rPr>
          <w:rFonts w:ascii="仿宋" w:hAnsi="仿宋" w:eastAsia="仿宋" w:cs="仿宋"/>
          <w:color w:val="auto"/>
          <w:sz w:val="28"/>
        </w:rPr>
      </w:pPr>
      <w:r>
        <w:rPr>
          <w:rFonts w:hint="eastAsia" w:ascii="仿宋" w:hAnsi="仿宋" w:eastAsia="仿宋" w:cs="仿宋"/>
          <w:color w:val="auto"/>
          <w:sz w:val="28"/>
        </w:rPr>
        <w:t>病案日报</w:t>
      </w:r>
    </w:p>
    <w:p>
      <w:pPr>
        <w:pStyle w:val="7"/>
        <w:numPr>
          <w:ilvl w:val="0"/>
          <w:numId w:val="20"/>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可处理当天病区入院、转入、转出、出院患者数量的统计。</w:t>
      </w:r>
    </w:p>
    <w:p>
      <w:pPr>
        <w:pStyle w:val="7"/>
        <w:spacing w:line="50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支持病案日报审核，对于各个科室提供的日报进行汇总、删选以及审核。</w:t>
      </w:r>
    </w:p>
    <w:p>
      <w:pPr>
        <w:pStyle w:val="4"/>
        <w:tabs>
          <w:tab w:val="clear" w:pos="0"/>
        </w:tabs>
        <w:spacing w:line="500" w:lineRule="exact"/>
        <w:rPr>
          <w:rFonts w:ascii="仿宋" w:hAnsi="仿宋" w:eastAsia="仿宋" w:cs="仿宋"/>
          <w:color w:val="auto"/>
          <w:szCs w:val="28"/>
        </w:rPr>
      </w:pPr>
      <w:bookmarkStart w:id="68" w:name="_Toc45025460"/>
      <w:bookmarkStart w:id="69" w:name="_Toc8630"/>
      <w:r>
        <w:rPr>
          <w:rFonts w:hint="eastAsia" w:ascii="仿宋" w:hAnsi="仿宋" w:eastAsia="仿宋" w:cs="仿宋"/>
          <w:color w:val="auto"/>
          <w:szCs w:val="28"/>
        </w:rPr>
        <w:t>统计分析</w:t>
      </w:r>
      <w:bookmarkEnd w:id="61"/>
      <w:bookmarkEnd w:id="68"/>
      <w:bookmarkEnd w:id="69"/>
    </w:p>
    <w:p>
      <w:pPr>
        <w:pStyle w:val="5"/>
        <w:spacing w:line="500" w:lineRule="exact"/>
        <w:rPr>
          <w:rFonts w:ascii="仿宋" w:hAnsi="仿宋" w:eastAsia="仿宋" w:cs="仿宋"/>
          <w:color w:val="auto"/>
          <w:sz w:val="28"/>
        </w:rPr>
      </w:pPr>
      <w:bookmarkStart w:id="70" w:name="_Toc493677026"/>
      <w:bookmarkStart w:id="71" w:name="_Toc505173353"/>
      <w:bookmarkStart w:id="72" w:name="_Toc15633124"/>
      <w:r>
        <w:rPr>
          <w:rFonts w:hint="eastAsia" w:ascii="仿宋" w:hAnsi="仿宋" w:eastAsia="仿宋" w:cs="仿宋"/>
          <w:color w:val="auto"/>
          <w:sz w:val="28"/>
        </w:rPr>
        <w:t>院领导统计综合查询</w:t>
      </w:r>
      <w:bookmarkEnd w:id="70"/>
      <w:bookmarkEnd w:id="71"/>
      <w:bookmarkEnd w:id="72"/>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院领导综合查询系统从医院信息系统中加工处理出有关医院管理的医、教、研和人、财、物分析决策信息，以便为院领导及各级管理者决策提供依据。</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1）临床医疗统计分析信息。</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2）医院财务管理分析、统计、收支执行情况和科室核算分配信息。</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3）医院药品进出库额管理，药品会计核算和统计分析。 </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4）重要仪器货物使用效率和完好率信息。</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5）后勤保障物资供应情况和经济核算。</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6）医务、护理管理质量和分析信息。</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8）人事管理：各级各类卫生技术人员和其他技术人员总额、比例、分布、相点、使用情况。</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11）门诊挂号统计、收费分项结算、科室核算信息及门诊月报。</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12）住院收费分项核算、各科月核算、患者费用查询、病人分类统计信息。</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13）医院经济效益年报信息。</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14）医技情况报表、医院工作指标、医保费用统计信息。</w:t>
      </w:r>
    </w:p>
    <w:p>
      <w:pPr>
        <w:pStyle w:val="2"/>
        <w:tabs>
          <w:tab w:val="clear" w:pos="1296"/>
        </w:tabs>
        <w:spacing w:line="500" w:lineRule="exact"/>
        <w:rPr>
          <w:rFonts w:ascii="仿宋" w:hAnsi="仿宋" w:eastAsia="仿宋" w:cs="仿宋"/>
          <w:color w:val="auto"/>
          <w:szCs w:val="28"/>
        </w:rPr>
      </w:pPr>
      <w:bookmarkStart w:id="73" w:name="_Toc45025461"/>
      <w:bookmarkStart w:id="74" w:name="_Toc21016"/>
      <w:bookmarkStart w:id="75" w:name="_Toc15633117"/>
      <w:r>
        <w:rPr>
          <w:rFonts w:hint="eastAsia" w:ascii="仿宋" w:hAnsi="仿宋" w:eastAsia="仿宋" w:cs="仿宋"/>
          <w:color w:val="auto"/>
          <w:szCs w:val="28"/>
        </w:rPr>
        <w:t>住院电子病历系统</w:t>
      </w:r>
      <w:bookmarkEnd w:id="73"/>
    </w:p>
    <w:p>
      <w:pPr>
        <w:spacing w:line="500" w:lineRule="exact"/>
        <w:ind w:firstLine="565" w:firstLineChars="202"/>
        <w:rPr>
          <w:rFonts w:ascii="仿宋" w:hAnsi="仿宋" w:eastAsia="仿宋" w:cs="仿宋"/>
          <w:color w:val="auto"/>
          <w:sz w:val="28"/>
          <w:szCs w:val="28"/>
        </w:rPr>
      </w:pPr>
      <w:r>
        <w:rPr>
          <w:rFonts w:hint="eastAsia" w:ascii="仿宋" w:hAnsi="仿宋" w:eastAsia="仿宋" w:cs="仿宋"/>
          <w:color w:val="auto"/>
          <w:sz w:val="28"/>
          <w:szCs w:val="28"/>
        </w:rPr>
        <w:t>系统提供完整的病历文书种类模板，按照卫生部及地方卫生主管部门《病历书写规范》的要求，提供完整及规范的电子病历系统，覆盖本院各种病历文档的内容。用于协助医务人员方便快速地处理在患者诊疗过程中形成的文字、符号、图表、影像等资料。主要包括：住院病案首页、首次病程、病程记录、出院小结、住院记录、手术记录单、出院记录（或死亡记录）、病程记录（含抢救记录）、疑难病例讨论记录、会诊意见、上级医生查房记录、死亡病例讨论记录等。</w:t>
      </w:r>
    </w:p>
    <w:p>
      <w:pPr>
        <w:pStyle w:val="4"/>
        <w:spacing w:line="500" w:lineRule="exact"/>
        <w:ind w:left="0" w:firstLine="0"/>
        <w:rPr>
          <w:rFonts w:ascii="仿宋" w:hAnsi="仿宋" w:eastAsia="仿宋" w:cs="仿宋"/>
          <w:color w:val="auto"/>
          <w:szCs w:val="28"/>
        </w:rPr>
      </w:pPr>
      <w:bookmarkStart w:id="76" w:name="_Toc45025462"/>
      <w:r>
        <w:rPr>
          <w:rFonts w:hint="eastAsia" w:ascii="仿宋" w:hAnsi="仿宋" w:eastAsia="仿宋" w:cs="仿宋"/>
          <w:color w:val="auto"/>
          <w:szCs w:val="28"/>
        </w:rPr>
        <w:t>临床医疗</w:t>
      </w:r>
      <w:bookmarkEnd w:id="76"/>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病历书写</w:t>
      </w:r>
    </w:p>
    <w:p>
      <w:pPr>
        <w:pStyle w:val="36"/>
        <w:numPr>
          <w:ilvl w:val="0"/>
          <w:numId w:val="21"/>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提供患者基本信息浏览、锁定功能；</w:t>
      </w:r>
    </w:p>
    <w:p>
      <w:pPr>
        <w:pStyle w:val="36"/>
        <w:numPr>
          <w:ilvl w:val="0"/>
          <w:numId w:val="21"/>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提供医疗文书管理功能，包括三个列表：未完成文书、已书写文书、最近操作文书；</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 xml:space="preserve">1.提供临床医生所属科室各类病历文书模板选择并编辑功能，包含入院记录、病程记录、手术资料、谈话记录、讨论记录、会诊记录、出院记录、死亡记录、其他文书，提供各类文书新建、删除、整体打印功能； </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2.提供病历维护申请功能，并提供查看申请记录功能；</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3.提供更改文书起草者功能；</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4.提供病历修改申请功能；</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5.提供病历导出申请功能；</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6.提供未完成文书提示功能，系统自动对未完成的时限类监控项目和书写次数类监控项目进行事前提醒；</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7.提供最近操作过的文书提醒功能；</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8.提供缺陷整改通知功能，系统自动将质控医生发送的质量缺陷整改通知到医生工作界面，并用醒目的红色显示消息提醒；</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9.提供结构化点选与自由文本录入的功能，科室医生根据病种调出结构化模板，元素种类有单选元素、多选元素、有无选元素、录入提示元素、格式化元素及固定文本元素等；</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10.提供动态调出医疗专用知识库（关键词）功能，在病历录入中，当医生选择阳性症状或体征时，系统自动调出并展开关键词描述，为病历录入有效防止漏项；</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11.提供部分病历内容自动校验功能，在病历文书书写时，当录入不符合信息系统自动弹出窗体提醒，校验项目分别为：必选项目、数值型错误信息（如体温）、与性别不符合信息；</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12.提供检验、检查数据插入到病历文书的功能，在病历录入中，医生可根据病情描述需要，自主选择检查、检验报告数据直接将准确的数据插入到病历中任意位置；</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13.提供医疗文书常用的特殊符号集写回病历文书的功能，如：℃，℉，‰，㎡，mmol等；</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14.提供上、下标功能，支持对文字的上下标功能；</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15.提供医嘱信息写回病历任意位置功能；</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16.提供多媒体病历展现的功能，在病历录入中，能在任意位置插入图形图像，并对图形图像作标注，实现了病历内容图文混编的格式；</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17.提供鉴别诊断知识库写回病历任意位置功能；</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18.提供既往病历病史信息分段写回病历功能；</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19.提供表格病历的功能，在病历录入中，能在任意位置制作表格，同时实现类似word处理表格的合并和拆分，表格的大小，宽窄要可以任意调整，不限制表格内字段的长度；</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20.提供诊断自动提取同步功能；</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21.提供三级检诊功能，医生按照等级，具有不同的修改权限，对于下级医生病历的修改，保留所见即所得的痕迹；</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22.提供屏蔽外部文件复制功能，系统允许同一患者资料的内部复制；</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23.提供病程记录分段书写、连续打印功能，保证病程分段质控；</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提供病历自动排版功能，提供打印、整洁打印、选择打印和续打功能；</w:t>
      </w:r>
    </w:p>
    <w:p>
      <w:pPr>
        <w:pStyle w:val="36"/>
        <w:numPr>
          <w:ilvl w:val="0"/>
          <w:numId w:val="21"/>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提供临床诊断录入功能；</w:t>
      </w:r>
    </w:p>
    <w:p>
      <w:pPr>
        <w:pStyle w:val="36"/>
        <w:numPr>
          <w:ilvl w:val="0"/>
          <w:numId w:val="22"/>
        </w:numPr>
        <w:spacing w:line="500" w:lineRule="exact"/>
        <w:ind w:left="1701" w:firstLineChars="0"/>
        <w:rPr>
          <w:rFonts w:ascii="仿宋" w:hAnsi="仿宋" w:eastAsia="仿宋" w:cs="仿宋"/>
          <w:color w:val="auto"/>
          <w:sz w:val="28"/>
          <w:szCs w:val="28"/>
        </w:rPr>
      </w:pPr>
      <w:r>
        <w:rPr>
          <w:rFonts w:hint="eastAsia" w:ascii="仿宋" w:hAnsi="仿宋" w:eastAsia="仿宋" w:cs="仿宋"/>
          <w:color w:val="auto"/>
          <w:sz w:val="28"/>
          <w:szCs w:val="28"/>
        </w:rPr>
        <w:t>提供患者基本信息浏览、锁定功能；</w:t>
      </w:r>
    </w:p>
    <w:p>
      <w:pPr>
        <w:pStyle w:val="36"/>
        <w:numPr>
          <w:ilvl w:val="0"/>
          <w:numId w:val="22"/>
        </w:numPr>
        <w:spacing w:line="500" w:lineRule="exact"/>
        <w:ind w:left="1701" w:firstLineChars="0"/>
        <w:rPr>
          <w:rFonts w:ascii="仿宋" w:hAnsi="仿宋" w:eastAsia="仿宋" w:cs="仿宋"/>
          <w:color w:val="auto"/>
          <w:sz w:val="28"/>
          <w:szCs w:val="28"/>
        </w:rPr>
      </w:pPr>
      <w:r>
        <w:rPr>
          <w:rFonts w:hint="eastAsia" w:ascii="仿宋" w:hAnsi="仿宋" w:eastAsia="仿宋" w:cs="仿宋"/>
          <w:color w:val="auto"/>
          <w:sz w:val="28"/>
          <w:szCs w:val="28"/>
        </w:rPr>
        <w:t>提供调用ICD-10疾病诊断字典库录入诊断的功能；</w:t>
      </w:r>
    </w:p>
    <w:p>
      <w:pPr>
        <w:pStyle w:val="36"/>
        <w:numPr>
          <w:ilvl w:val="0"/>
          <w:numId w:val="22"/>
        </w:numPr>
        <w:spacing w:line="500" w:lineRule="exact"/>
        <w:ind w:left="1701" w:firstLineChars="0"/>
        <w:rPr>
          <w:rFonts w:ascii="仿宋" w:hAnsi="仿宋" w:eastAsia="仿宋" w:cs="仿宋"/>
          <w:color w:val="auto"/>
          <w:sz w:val="28"/>
          <w:szCs w:val="28"/>
        </w:rPr>
      </w:pPr>
      <w:r>
        <w:rPr>
          <w:rFonts w:hint="eastAsia" w:ascii="仿宋" w:hAnsi="仿宋" w:eastAsia="仿宋" w:cs="仿宋"/>
          <w:color w:val="auto"/>
          <w:sz w:val="28"/>
          <w:szCs w:val="28"/>
        </w:rPr>
        <w:t>提供调用常用诊断字典库录入诊断的功能；</w:t>
      </w:r>
    </w:p>
    <w:p>
      <w:pPr>
        <w:pStyle w:val="36"/>
        <w:numPr>
          <w:ilvl w:val="0"/>
          <w:numId w:val="22"/>
        </w:numPr>
        <w:spacing w:line="500" w:lineRule="exact"/>
        <w:ind w:left="1701" w:firstLineChars="0"/>
        <w:rPr>
          <w:rFonts w:ascii="仿宋" w:hAnsi="仿宋" w:eastAsia="仿宋" w:cs="仿宋"/>
          <w:color w:val="auto"/>
          <w:sz w:val="28"/>
          <w:szCs w:val="28"/>
        </w:rPr>
      </w:pPr>
      <w:r>
        <w:rPr>
          <w:rFonts w:hint="eastAsia" w:ascii="仿宋" w:hAnsi="仿宋" w:eastAsia="仿宋" w:cs="仿宋"/>
          <w:color w:val="auto"/>
          <w:sz w:val="28"/>
          <w:szCs w:val="28"/>
        </w:rPr>
        <w:t>提供中医诊断录入功能；</w:t>
      </w:r>
    </w:p>
    <w:p>
      <w:pPr>
        <w:pStyle w:val="36"/>
        <w:numPr>
          <w:ilvl w:val="0"/>
          <w:numId w:val="22"/>
        </w:numPr>
        <w:spacing w:line="500" w:lineRule="exact"/>
        <w:ind w:left="1701" w:firstLineChars="0"/>
        <w:rPr>
          <w:rFonts w:ascii="仿宋" w:hAnsi="仿宋" w:eastAsia="仿宋" w:cs="仿宋"/>
          <w:color w:val="auto"/>
          <w:sz w:val="28"/>
          <w:szCs w:val="28"/>
        </w:rPr>
      </w:pPr>
      <w:r>
        <w:rPr>
          <w:rFonts w:hint="eastAsia" w:ascii="仿宋" w:hAnsi="仿宋" w:eastAsia="仿宋" w:cs="仿宋"/>
          <w:color w:val="auto"/>
          <w:sz w:val="28"/>
          <w:szCs w:val="28"/>
        </w:rPr>
        <w:t>提供手术操作录入功能；</w:t>
      </w:r>
    </w:p>
    <w:p>
      <w:pPr>
        <w:pStyle w:val="36"/>
        <w:numPr>
          <w:ilvl w:val="0"/>
          <w:numId w:val="22"/>
        </w:numPr>
        <w:spacing w:line="500" w:lineRule="exact"/>
        <w:ind w:left="1701" w:firstLineChars="0"/>
        <w:rPr>
          <w:rFonts w:ascii="仿宋" w:hAnsi="仿宋" w:eastAsia="仿宋" w:cs="仿宋"/>
          <w:color w:val="auto"/>
          <w:sz w:val="28"/>
          <w:szCs w:val="28"/>
        </w:rPr>
      </w:pPr>
      <w:r>
        <w:rPr>
          <w:rFonts w:hint="eastAsia" w:ascii="仿宋" w:hAnsi="仿宋" w:eastAsia="仿宋" w:cs="仿宋"/>
          <w:color w:val="auto"/>
          <w:sz w:val="28"/>
          <w:szCs w:val="28"/>
        </w:rPr>
        <w:t>提供自定义临床诊断录入功能；</w:t>
      </w:r>
    </w:p>
    <w:p>
      <w:pPr>
        <w:pStyle w:val="36"/>
        <w:numPr>
          <w:ilvl w:val="0"/>
          <w:numId w:val="21"/>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提供医嘱本浏览功能；</w:t>
      </w:r>
    </w:p>
    <w:p>
      <w:pPr>
        <w:pStyle w:val="36"/>
        <w:numPr>
          <w:ilvl w:val="0"/>
          <w:numId w:val="21"/>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提供检查报告浏览功能；</w:t>
      </w:r>
    </w:p>
    <w:p>
      <w:pPr>
        <w:pStyle w:val="36"/>
        <w:numPr>
          <w:ilvl w:val="0"/>
          <w:numId w:val="21"/>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提供检验报告浏览功能；</w:t>
      </w:r>
    </w:p>
    <w:p>
      <w:pPr>
        <w:pStyle w:val="36"/>
        <w:numPr>
          <w:ilvl w:val="0"/>
          <w:numId w:val="21"/>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提供诊疗时间轴浏览功能；以时间为横轴，以临床事件为纵轴，将患者每天重要临床信息以可视化的形式展示，并动态的显示原始报告，可显示的信息为：体温单信息、检查检验信息、病历文书和主要的处置。</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诊断录入</w:t>
      </w:r>
    </w:p>
    <w:p>
      <w:pPr>
        <w:pStyle w:val="36"/>
        <w:numPr>
          <w:ilvl w:val="0"/>
          <w:numId w:val="23"/>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提供患者基本信息浏览、锁定功能；</w:t>
      </w:r>
    </w:p>
    <w:p>
      <w:pPr>
        <w:pStyle w:val="36"/>
        <w:numPr>
          <w:ilvl w:val="0"/>
          <w:numId w:val="23"/>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提供调用ICD-10疾病诊断字典库录入诊断的功能；</w:t>
      </w:r>
    </w:p>
    <w:p>
      <w:pPr>
        <w:pStyle w:val="36"/>
        <w:numPr>
          <w:ilvl w:val="0"/>
          <w:numId w:val="23"/>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提供调用常用诊断字典库录入诊断的功能；</w:t>
      </w:r>
    </w:p>
    <w:p>
      <w:pPr>
        <w:pStyle w:val="36"/>
        <w:numPr>
          <w:ilvl w:val="0"/>
          <w:numId w:val="23"/>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提供中医诊断录入功能；</w:t>
      </w:r>
    </w:p>
    <w:p>
      <w:pPr>
        <w:pStyle w:val="36"/>
        <w:numPr>
          <w:ilvl w:val="0"/>
          <w:numId w:val="23"/>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提供手术操作录入功能；</w:t>
      </w:r>
    </w:p>
    <w:p>
      <w:pPr>
        <w:pStyle w:val="36"/>
        <w:numPr>
          <w:ilvl w:val="0"/>
          <w:numId w:val="23"/>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提供自定义临床诊断录入功能；</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病案首页</w:t>
      </w:r>
    </w:p>
    <w:p>
      <w:pPr>
        <w:numPr>
          <w:ilvl w:val="0"/>
          <w:numId w:val="24"/>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提供患者基本信息浏览、锁定功能；</w:t>
      </w:r>
    </w:p>
    <w:p>
      <w:pPr>
        <w:numPr>
          <w:ilvl w:val="0"/>
          <w:numId w:val="24"/>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提供首页信息分类录入功能，包括基本信息、诊断信息、手术信息、其他信息、费用信息等；</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跨科协作</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提供患者基本信息浏览、锁定功能；</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提供跨科处置申请的功能，包括：会诊申请、营养申请、跨科申请、借床管理等；</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提供跨科完成功能；</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患者信息</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提供医嘱本浏览功能</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提供医嘱统计浏览功能，按医嘱类别显示患者医嘱信息；</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提供按报告时间浏览检验报告功能；</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提供按样本分类浏览检验报告功能；</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提供按报告时间浏览检查报告功能；</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提供检查影像浏览功能；</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提供既往信息浏览功能，对多次入院患者，医生能直接查看患者既往病历资料信息，包括：病历内容、检验、检查、医嘱、生命体征、首页、既往病历；</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提供诊疗时间轴浏览功能，以时间为横轴，以临床事件为纵轴，将患者每天重要临床信息以可视化的形式展示，并动态的显示原始报告，可显示的信息为：体温单信息、检查检验信息、病历文书和主要的处置。</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病历召回</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提供病案召回申请功能，科室医生主动召回需要修改的已提交病案室的病历文书；</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提供病历召回列表查询功能，病案管理人员是否审批召回；</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病案借阅</w:t>
      </w:r>
    </w:p>
    <w:p>
      <w:pPr>
        <w:numPr>
          <w:ilvl w:val="0"/>
          <w:numId w:val="26"/>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提供病案借阅管理功能；</w:t>
      </w:r>
    </w:p>
    <w:p>
      <w:pPr>
        <w:numPr>
          <w:ilvl w:val="1"/>
          <w:numId w:val="26"/>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提供病案借阅申请功能，临床医生可自主定义条件查询需要借阅的病案；</w:t>
      </w:r>
    </w:p>
    <w:p>
      <w:pPr>
        <w:numPr>
          <w:ilvl w:val="1"/>
          <w:numId w:val="26"/>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提供病案借阅申请列表管理功能；</w:t>
      </w:r>
    </w:p>
    <w:p>
      <w:pPr>
        <w:numPr>
          <w:ilvl w:val="0"/>
          <w:numId w:val="26"/>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提供病案既往诊疗信息浏览功能；</w:t>
      </w:r>
    </w:p>
    <w:p>
      <w:pPr>
        <w:numPr>
          <w:ilvl w:val="1"/>
          <w:numId w:val="26"/>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提供借阅病案浏览功能，对已借阅的病案，系统只提供浏览功能，不能对借阅的病案做增加、修改、删除的操作；</w:t>
      </w:r>
    </w:p>
    <w:p>
      <w:pPr>
        <w:numPr>
          <w:ilvl w:val="1"/>
          <w:numId w:val="26"/>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提供查看借阅病案的入院记录、病程记录、出院记录、检验报告、检查报告、医嘱信息、生命体征、病案首页等功能；</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知识库</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提供临床在线知识库浏览功能；</w:t>
      </w:r>
    </w:p>
    <w:p>
      <w:pPr>
        <w:pStyle w:val="4"/>
        <w:spacing w:line="500" w:lineRule="exact"/>
        <w:ind w:left="0" w:firstLine="0"/>
        <w:rPr>
          <w:rFonts w:ascii="仿宋" w:hAnsi="仿宋" w:eastAsia="仿宋" w:cs="仿宋"/>
          <w:color w:val="auto"/>
          <w:szCs w:val="28"/>
        </w:rPr>
      </w:pPr>
      <w:bookmarkStart w:id="77" w:name="_Toc45025463"/>
      <w:r>
        <w:rPr>
          <w:rFonts w:hint="eastAsia" w:ascii="仿宋" w:hAnsi="仿宋" w:eastAsia="仿宋" w:cs="仿宋"/>
          <w:color w:val="auto"/>
          <w:szCs w:val="28"/>
        </w:rPr>
        <w:t>质控管理</w:t>
      </w:r>
      <w:bookmarkEnd w:id="77"/>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院级质控总览</w:t>
      </w:r>
    </w:p>
    <w:p>
      <w:pPr>
        <w:pStyle w:val="36"/>
        <w:numPr>
          <w:ilvl w:val="0"/>
          <w:numId w:val="27"/>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提供选择科室功能；</w:t>
      </w:r>
    </w:p>
    <w:p>
      <w:pPr>
        <w:pStyle w:val="36"/>
        <w:numPr>
          <w:ilvl w:val="0"/>
          <w:numId w:val="27"/>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电子病历质控汇总表，院级质控信息按审查时间或科室查询所有科室在院患者的入院记录、首次病程记录、主治医查房、副主任以上医师查房、出院记录、阶段小结、抢救记录、转入记录、转出记录、手术记录、术后第一天病程记录、术后第二天病程记录、术后第三天病程记录、死亡记录、死亡讨论的不合格份数、总份数和百分比，手动质控；</w:t>
      </w:r>
    </w:p>
    <w:p>
      <w:pPr>
        <w:pStyle w:val="36"/>
        <w:numPr>
          <w:ilvl w:val="0"/>
          <w:numId w:val="27"/>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提供书写时间不合格病历列表浏览功能，并导出Excel，同时能对不合格病历内容进行查看；</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院级环节质控</w:t>
      </w:r>
    </w:p>
    <w:p>
      <w:pPr>
        <w:pStyle w:val="36"/>
        <w:numPr>
          <w:ilvl w:val="0"/>
          <w:numId w:val="28"/>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提供环节质控患者基本信息列表查询功能；</w:t>
      </w:r>
    </w:p>
    <w:p>
      <w:pPr>
        <w:pStyle w:val="36"/>
        <w:numPr>
          <w:ilvl w:val="0"/>
          <w:numId w:val="28"/>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提供环节手动质控功能，院级质控医生按病历列表对在院患者或出院未签收患者进行病历内容的环节检查，发现内容缺陷的同时发送整改通知到医生工作站；</w:t>
      </w:r>
    </w:p>
    <w:p>
      <w:pPr>
        <w:pStyle w:val="36"/>
        <w:numPr>
          <w:ilvl w:val="0"/>
          <w:numId w:val="28"/>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提供医嘱本浏览功能；</w:t>
      </w:r>
    </w:p>
    <w:p>
      <w:pPr>
        <w:pStyle w:val="36"/>
        <w:numPr>
          <w:ilvl w:val="0"/>
          <w:numId w:val="28"/>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提供检查报告浏览功能；</w:t>
      </w:r>
    </w:p>
    <w:p>
      <w:pPr>
        <w:pStyle w:val="36"/>
        <w:numPr>
          <w:ilvl w:val="0"/>
          <w:numId w:val="28"/>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提供检验报告浏览功能；</w:t>
      </w:r>
    </w:p>
    <w:p>
      <w:pPr>
        <w:pStyle w:val="36"/>
        <w:numPr>
          <w:ilvl w:val="0"/>
          <w:numId w:val="28"/>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提供按报告时间浏览检验报告功能；</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终末质控</w:t>
      </w:r>
    </w:p>
    <w:p>
      <w:pPr>
        <w:pStyle w:val="36"/>
        <w:numPr>
          <w:ilvl w:val="0"/>
          <w:numId w:val="29"/>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提供出院已签收患者列表查询功能；</w:t>
      </w:r>
    </w:p>
    <w:p>
      <w:pPr>
        <w:pStyle w:val="36"/>
        <w:numPr>
          <w:ilvl w:val="0"/>
          <w:numId w:val="29"/>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提供病案终末质控评分功能，按病历列表对出院已签收患者进行病历内容的终末检查，发现内容缺陷的同时发送整改通知将缺陷的病历打回到临床医疗工作界面修改；</w:t>
      </w:r>
    </w:p>
    <w:p>
      <w:pPr>
        <w:pStyle w:val="36"/>
        <w:numPr>
          <w:ilvl w:val="0"/>
          <w:numId w:val="29"/>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提供医嘱本浏览功能；</w:t>
      </w:r>
    </w:p>
    <w:p>
      <w:pPr>
        <w:pStyle w:val="36"/>
        <w:numPr>
          <w:ilvl w:val="0"/>
          <w:numId w:val="29"/>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提供检查报告浏览功能；</w:t>
      </w:r>
    </w:p>
    <w:p>
      <w:pPr>
        <w:pStyle w:val="36"/>
        <w:numPr>
          <w:ilvl w:val="0"/>
          <w:numId w:val="29"/>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提供检验报告浏览功能；</w:t>
      </w:r>
    </w:p>
    <w:p>
      <w:pPr>
        <w:pStyle w:val="36"/>
        <w:numPr>
          <w:ilvl w:val="0"/>
          <w:numId w:val="29"/>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提供按报告时间浏览检验报告功能；</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质控报表</w:t>
      </w:r>
    </w:p>
    <w:p>
      <w:pPr>
        <w:pStyle w:val="36"/>
        <w:numPr>
          <w:ilvl w:val="0"/>
          <w:numId w:val="30"/>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系统提供与电子病历质量控制相关的统计报表：24小时未写入院记录、按科室统计问题清单、病案文书缺陷统计、环节病案缺陷统计、科室在院患者信息表、全院病历质控率、全院各科室环节病案质量统计表、三日确诊率；</w:t>
      </w:r>
    </w:p>
    <w:p>
      <w:pPr>
        <w:pStyle w:val="4"/>
        <w:spacing w:line="500" w:lineRule="exact"/>
        <w:ind w:left="0" w:firstLine="0"/>
        <w:rPr>
          <w:rFonts w:ascii="仿宋" w:hAnsi="仿宋" w:eastAsia="仿宋" w:cs="仿宋"/>
          <w:color w:val="auto"/>
          <w:szCs w:val="28"/>
        </w:rPr>
      </w:pPr>
      <w:bookmarkStart w:id="78" w:name="_Toc45025464"/>
      <w:r>
        <w:rPr>
          <w:rFonts w:hint="eastAsia" w:ascii="仿宋" w:hAnsi="仿宋" w:eastAsia="仿宋" w:cs="仿宋"/>
          <w:color w:val="auto"/>
          <w:szCs w:val="28"/>
        </w:rPr>
        <w:t>病案管理</w:t>
      </w:r>
      <w:bookmarkEnd w:id="78"/>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病案签收</w:t>
      </w:r>
    </w:p>
    <w:p>
      <w:pPr>
        <w:pStyle w:val="36"/>
        <w:numPr>
          <w:ilvl w:val="0"/>
          <w:numId w:val="31"/>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提供出院提交病案“纸质病历签收”功能，在一定时间内的，医生提交的单个出院患者电子病案后，由病案室人员确认后进行电子签收；</w:t>
      </w:r>
    </w:p>
    <w:p>
      <w:pPr>
        <w:pStyle w:val="36"/>
        <w:numPr>
          <w:ilvl w:val="0"/>
          <w:numId w:val="31"/>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提供出院提交病案群签的功能，在一定时间内的，所有出院病历由医生提交到电子病案室后，病案室人员可以直接选择全部签收；</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终末评分</w:t>
      </w:r>
    </w:p>
    <w:p>
      <w:pPr>
        <w:pStyle w:val="36"/>
        <w:numPr>
          <w:ilvl w:val="0"/>
          <w:numId w:val="31"/>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提供质控评分调整功能，院级质控人员根据病历实际情况对患者的扣分项目进行调整；</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病案编目</w:t>
      </w:r>
    </w:p>
    <w:p>
      <w:pPr>
        <w:pStyle w:val="36"/>
        <w:numPr>
          <w:ilvl w:val="0"/>
          <w:numId w:val="3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提供患者筛选功能，包括：病案号、ID号、姓名、科室、出院时间等；</w:t>
      </w:r>
    </w:p>
    <w:p>
      <w:pPr>
        <w:pStyle w:val="36"/>
        <w:numPr>
          <w:ilvl w:val="0"/>
          <w:numId w:val="3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提供出院病案编目功能，对签收后的病案首页的疾病名称和手术名称编码进行修正确认；</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病案归档</w:t>
      </w:r>
    </w:p>
    <w:p>
      <w:pPr>
        <w:pStyle w:val="36"/>
        <w:numPr>
          <w:ilvl w:val="0"/>
          <w:numId w:val="33"/>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提供病案归档功能，主要是对出院患者的部分电子病案进行归档，包括入院记录、病程记录、手术记录、出院记录、死亡记录等文书；</w:t>
      </w:r>
    </w:p>
    <w:p>
      <w:pPr>
        <w:pStyle w:val="36"/>
        <w:numPr>
          <w:ilvl w:val="0"/>
          <w:numId w:val="33"/>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提供批量归档功能；</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病案返修</w:t>
      </w:r>
    </w:p>
    <w:p>
      <w:pPr>
        <w:pStyle w:val="36"/>
        <w:numPr>
          <w:ilvl w:val="0"/>
          <w:numId w:val="3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提供病案返修功能，对签收后的病案发现缺陷，病案室人员可以直接将需要修改的缺陷病历文书打回到医生工作站重新修改；</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病案浏览</w:t>
      </w:r>
    </w:p>
    <w:p>
      <w:pPr>
        <w:pStyle w:val="36"/>
        <w:numPr>
          <w:ilvl w:val="0"/>
          <w:numId w:val="3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提供在院、出院、已签收、未签收、已归档患者检索功能；</w:t>
      </w:r>
    </w:p>
    <w:p>
      <w:pPr>
        <w:pStyle w:val="36"/>
        <w:numPr>
          <w:ilvl w:val="0"/>
          <w:numId w:val="3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提供在院、出院、已签收、未签收、已归档患者浏览病历文书功能；</w:t>
      </w:r>
    </w:p>
    <w:p>
      <w:pPr>
        <w:pStyle w:val="36"/>
        <w:numPr>
          <w:ilvl w:val="0"/>
          <w:numId w:val="3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提供诊疗时间轴浏览功能；以时间为横轴，以临床事件为纵轴，将患者每天重要临床信息以可视化的形式展示，并动态的显示原始报告，可显示的信息为：体温单信息、检查检验信息、病历文书和主要的处置。</w:t>
      </w:r>
    </w:p>
    <w:p>
      <w:pPr>
        <w:pStyle w:val="36"/>
        <w:numPr>
          <w:ilvl w:val="0"/>
          <w:numId w:val="3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提供既往病历查阅功能，医生能直接查看患者既往病历资料信息，包括：病历内容、检验、检查、医嘱、生命体征、首页、既往病历；</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病案打印</w:t>
      </w:r>
    </w:p>
    <w:p>
      <w:pPr>
        <w:pStyle w:val="36"/>
        <w:spacing w:line="500" w:lineRule="exact"/>
        <w:ind w:left="993"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提供病案浏览功能；</w:t>
      </w:r>
    </w:p>
    <w:p>
      <w:pPr>
        <w:pStyle w:val="36"/>
        <w:spacing w:line="500" w:lineRule="exact"/>
        <w:ind w:left="993"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提供病案首页打印功能；</w:t>
      </w:r>
    </w:p>
    <w:p>
      <w:pPr>
        <w:pStyle w:val="36"/>
        <w:spacing w:line="500" w:lineRule="exact"/>
        <w:ind w:left="993"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提供医疗文档中心打印管理功能；</w:t>
      </w:r>
    </w:p>
    <w:p>
      <w:pPr>
        <w:pStyle w:val="36"/>
        <w:spacing w:line="500" w:lineRule="exact"/>
        <w:ind w:left="993"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提供护理文书打印功能；</w:t>
      </w:r>
    </w:p>
    <w:p>
      <w:pPr>
        <w:pStyle w:val="36"/>
        <w:spacing w:line="500" w:lineRule="exact"/>
        <w:ind w:left="993"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提供护理记录打印功能；</w:t>
      </w:r>
    </w:p>
    <w:p>
      <w:pPr>
        <w:pStyle w:val="36"/>
        <w:spacing w:line="500" w:lineRule="exact"/>
        <w:ind w:left="993"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提供体温单打印功能；</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病案封存</w:t>
      </w:r>
    </w:p>
    <w:p>
      <w:pPr>
        <w:pStyle w:val="36"/>
        <w:numPr>
          <w:ilvl w:val="0"/>
          <w:numId w:val="34"/>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提供检索条件，查询到需要封存患者，选择相关病历文书进行封存病历</w:t>
      </w:r>
    </w:p>
    <w:p>
      <w:pPr>
        <w:pStyle w:val="36"/>
        <w:numPr>
          <w:ilvl w:val="0"/>
          <w:numId w:val="34"/>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提供解封病历功能</w:t>
      </w:r>
    </w:p>
    <w:p>
      <w:pPr>
        <w:pStyle w:val="4"/>
        <w:spacing w:line="500" w:lineRule="exact"/>
        <w:ind w:left="0" w:firstLine="0"/>
        <w:rPr>
          <w:rFonts w:ascii="仿宋" w:hAnsi="仿宋" w:eastAsia="仿宋" w:cs="仿宋"/>
          <w:color w:val="auto"/>
          <w:szCs w:val="28"/>
        </w:rPr>
      </w:pPr>
      <w:bookmarkStart w:id="79" w:name="_Toc45025465"/>
      <w:r>
        <w:rPr>
          <w:rFonts w:hint="eastAsia" w:ascii="仿宋" w:hAnsi="仿宋" w:eastAsia="仿宋" w:cs="仿宋"/>
          <w:color w:val="auto"/>
          <w:szCs w:val="28"/>
        </w:rPr>
        <w:t>医务管理</w:t>
      </w:r>
      <w:bookmarkEnd w:id="79"/>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在院患者总览</w:t>
      </w:r>
    </w:p>
    <w:p>
      <w:pPr>
        <w:pStyle w:val="36"/>
        <w:numPr>
          <w:ilvl w:val="0"/>
          <w:numId w:val="35"/>
        </w:numPr>
        <w:spacing w:line="500" w:lineRule="exact"/>
        <w:ind w:left="1276" w:firstLineChars="0"/>
        <w:rPr>
          <w:rFonts w:ascii="仿宋" w:hAnsi="仿宋" w:eastAsia="仿宋" w:cs="仿宋"/>
          <w:color w:val="auto"/>
          <w:kern w:val="0"/>
          <w:sz w:val="28"/>
          <w:szCs w:val="28"/>
        </w:rPr>
      </w:pPr>
      <w:r>
        <w:rPr>
          <w:rFonts w:hint="eastAsia" w:ascii="仿宋" w:hAnsi="仿宋" w:eastAsia="仿宋" w:cs="仿宋"/>
          <w:color w:val="auto"/>
          <w:kern w:val="0"/>
          <w:sz w:val="28"/>
          <w:szCs w:val="28"/>
        </w:rPr>
        <w:t>提供在院患者病情状态总览功能，在一定时间段内，将危重症患者和不同付款类别的入院患者进行统计，以仪表图和饼状图分别进行显示，并动态显示入出院动分布图；</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院级质控总览</w:t>
      </w:r>
    </w:p>
    <w:p>
      <w:pPr>
        <w:pStyle w:val="36"/>
        <w:numPr>
          <w:ilvl w:val="0"/>
          <w:numId w:val="27"/>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提供选择科室功能；</w:t>
      </w:r>
    </w:p>
    <w:p>
      <w:pPr>
        <w:pStyle w:val="36"/>
        <w:numPr>
          <w:ilvl w:val="0"/>
          <w:numId w:val="27"/>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电子病历质控汇总表，院级质控信息按审查时间或科室查询所有科室在院患者的入院记录、首次病程记录、主治医查房、副主任以上医师查房、出院记录、阶段小结、抢救记录、转入记录、转出记录、手术记录、术后第一天病程记录、术后第二天病程记录、术后第三天病程记录、死亡记录、死亡讨论的不合格份数、总份数和百分比；</w:t>
      </w:r>
    </w:p>
    <w:p>
      <w:pPr>
        <w:pStyle w:val="36"/>
        <w:numPr>
          <w:ilvl w:val="0"/>
          <w:numId w:val="27"/>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提供书写时间不合格病历列表浏览功能，并导出Excel，同时能对不合同病历内容进行查看；</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提供使用情况浏览功能，系统将各科室实施进展情况分别进行统计浏览；</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提供临床在线知识库维护功能；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提供模板审批管理功能，对需要审核的模板进行修改及审核功能；</w:t>
      </w:r>
    </w:p>
    <w:p>
      <w:pPr>
        <w:pStyle w:val="5"/>
        <w:spacing w:line="500" w:lineRule="exact"/>
        <w:ind w:left="0" w:firstLine="0"/>
        <w:rPr>
          <w:rFonts w:ascii="仿宋" w:hAnsi="仿宋" w:eastAsia="仿宋" w:cs="仿宋"/>
          <w:color w:val="auto"/>
          <w:sz w:val="28"/>
        </w:rPr>
      </w:pPr>
      <w:r>
        <w:rPr>
          <w:rFonts w:hint="eastAsia" w:ascii="仿宋" w:hAnsi="仿宋" w:eastAsia="仿宋" w:cs="仿宋"/>
          <w:color w:val="auto"/>
          <w:sz w:val="28"/>
        </w:rPr>
        <w:t>医务报表</w:t>
      </w:r>
    </w:p>
    <w:p>
      <w:pPr>
        <w:pStyle w:val="36"/>
        <w:numPr>
          <w:ilvl w:val="0"/>
          <w:numId w:val="35"/>
        </w:numPr>
        <w:spacing w:line="500" w:lineRule="exact"/>
        <w:ind w:left="1276" w:firstLineChars="0"/>
        <w:rPr>
          <w:rFonts w:ascii="仿宋" w:hAnsi="仿宋" w:eastAsia="仿宋" w:cs="仿宋"/>
          <w:color w:val="auto"/>
          <w:kern w:val="0"/>
          <w:sz w:val="28"/>
          <w:szCs w:val="28"/>
        </w:rPr>
      </w:pPr>
      <w:r>
        <w:rPr>
          <w:rFonts w:hint="eastAsia" w:ascii="仿宋" w:hAnsi="仿宋" w:eastAsia="仿宋" w:cs="仿宋"/>
          <w:color w:val="auto"/>
          <w:kern w:val="0"/>
          <w:sz w:val="28"/>
          <w:szCs w:val="28"/>
        </w:rPr>
        <w:t>系统提供与电子病历医务管理相关的统计报表：病人职业分布统计图、住院病人年龄段统计图、各术式病人死亡率统计表、死亡患者信息统计表、住院病人死亡率统计表、医保病人死亡率统计表、病人二次手术统计表、病人再入院统计表、经治3科以上统计。</w:t>
      </w:r>
    </w:p>
    <w:p>
      <w:pPr>
        <w:pStyle w:val="4"/>
        <w:spacing w:line="500" w:lineRule="exact"/>
        <w:ind w:left="0" w:firstLine="0"/>
        <w:rPr>
          <w:rFonts w:ascii="仿宋" w:hAnsi="仿宋" w:eastAsia="仿宋" w:cs="仿宋"/>
          <w:color w:val="auto"/>
          <w:szCs w:val="28"/>
        </w:rPr>
      </w:pPr>
      <w:bookmarkStart w:id="80" w:name="_Toc45025466"/>
      <w:r>
        <w:rPr>
          <w:rFonts w:hint="eastAsia" w:ascii="仿宋" w:hAnsi="仿宋" w:eastAsia="仿宋" w:cs="仿宋"/>
          <w:color w:val="auto"/>
          <w:szCs w:val="28"/>
        </w:rPr>
        <w:t>病案浏览</w:t>
      </w:r>
      <w:bookmarkEnd w:id="80"/>
    </w:p>
    <w:p>
      <w:pPr>
        <w:pStyle w:val="36"/>
        <w:numPr>
          <w:ilvl w:val="0"/>
          <w:numId w:val="3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提供在院、出院、已签收、未签收、已归档患者检索功能；</w:t>
      </w:r>
    </w:p>
    <w:p>
      <w:pPr>
        <w:pStyle w:val="36"/>
        <w:numPr>
          <w:ilvl w:val="0"/>
          <w:numId w:val="3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提供在院、出院、已签收、未签收、已归档患者浏览病历文书功能；</w:t>
      </w:r>
    </w:p>
    <w:p>
      <w:pPr>
        <w:pStyle w:val="36"/>
        <w:numPr>
          <w:ilvl w:val="0"/>
          <w:numId w:val="3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 xml:space="preserve">提供护理记录浏览功能， </w:t>
      </w:r>
    </w:p>
    <w:p>
      <w:pPr>
        <w:pStyle w:val="36"/>
        <w:numPr>
          <w:ilvl w:val="0"/>
          <w:numId w:val="3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提供体温单曲线浏览功能</w:t>
      </w:r>
    </w:p>
    <w:p>
      <w:pPr>
        <w:pStyle w:val="36"/>
        <w:numPr>
          <w:ilvl w:val="0"/>
          <w:numId w:val="3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提供诊疗时间轴浏览功能；以时间为横轴，以临床事件为纵轴，将患者每天重要临床信息以可视化的形式展示，并动态的显示原始报告，可显示的信息为：体温单信息、检查检验信息、病历文书和主要的处置。</w:t>
      </w:r>
    </w:p>
    <w:p>
      <w:pPr>
        <w:pStyle w:val="36"/>
        <w:numPr>
          <w:ilvl w:val="0"/>
          <w:numId w:val="3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提供既往病历查阅功能，医生能直接查看患者既往病历资料信息，包括：病历内容、检验、检查、医嘱、生命体征、首页、既往病历；</w:t>
      </w:r>
    </w:p>
    <w:p>
      <w:pPr>
        <w:pStyle w:val="4"/>
        <w:spacing w:line="500" w:lineRule="exact"/>
        <w:ind w:left="0" w:firstLine="0"/>
        <w:rPr>
          <w:rFonts w:ascii="仿宋" w:hAnsi="仿宋" w:eastAsia="仿宋" w:cs="仿宋"/>
          <w:color w:val="auto"/>
          <w:szCs w:val="28"/>
        </w:rPr>
      </w:pPr>
      <w:bookmarkStart w:id="81" w:name="_Toc45025467"/>
      <w:r>
        <w:rPr>
          <w:rFonts w:hint="eastAsia" w:ascii="仿宋" w:hAnsi="仿宋" w:eastAsia="仿宋" w:cs="仿宋"/>
          <w:color w:val="auto"/>
          <w:szCs w:val="28"/>
        </w:rPr>
        <w:t>感染上报卡</w:t>
      </w:r>
      <w:bookmarkEnd w:id="81"/>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提供待审批报卡管理功能，包括：审批、打回、修改、删除等；</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提供已审批报卡管理功能；</w:t>
      </w:r>
    </w:p>
    <w:p>
      <w:pPr>
        <w:pStyle w:val="36"/>
        <w:numPr>
          <w:ilvl w:val="0"/>
          <w:numId w:val="3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提供根据上报或出院时间、科室、报卡类别查询已上报患者，并导出Excel、Html；</w:t>
      </w:r>
    </w:p>
    <w:p>
      <w:pPr>
        <w:pStyle w:val="36"/>
        <w:numPr>
          <w:ilvl w:val="0"/>
          <w:numId w:val="3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提供取消审批功能；</w:t>
      </w:r>
    </w:p>
    <w:p>
      <w:pPr>
        <w:pStyle w:val="36"/>
        <w:numPr>
          <w:ilvl w:val="0"/>
          <w:numId w:val="3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提供打印报卡功能；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提供诊断关联上报卡配置功能；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提供上报卡退卡列表查询功能，并可导出Excel；</w:t>
      </w:r>
    </w:p>
    <w:p>
      <w:pPr>
        <w:pStyle w:val="4"/>
        <w:spacing w:line="500" w:lineRule="exact"/>
        <w:ind w:left="0" w:firstLine="0"/>
        <w:rPr>
          <w:rFonts w:ascii="仿宋" w:hAnsi="仿宋" w:eastAsia="仿宋" w:cs="仿宋"/>
          <w:color w:val="auto"/>
          <w:szCs w:val="28"/>
        </w:rPr>
      </w:pPr>
      <w:bookmarkStart w:id="82" w:name="_Toc45025468"/>
      <w:r>
        <w:rPr>
          <w:rFonts w:hint="eastAsia" w:ascii="仿宋" w:hAnsi="仿宋" w:eastAsia="仿宋" w:cs="仿宋"/>
          <w:color w:val="auto"/>
          <w:szCs w:val="28"/>
        </w:rPr>
        <w:t>病历维护</w:t>
      </w:r>
      <w:bookmarkEnd w:id="82"/>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提供修改已签名病历的功能；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提供删除已签名病历的功能；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提供签名病历再次修改审批的功能；</w:t>
      </w:r>
    </w:p>
    <w:p>
      <w:pPr>
        <w:pStyle w:val="4"/>
        <w:spacing w:line="500" w:lineRule="exact"/>
        <w:ind w:left="0" w:firstLine="0"/>
        <w:rPr>
          <w:rFonts w:ascii="仿宋" w:hAnsi="仿宋" w:eastAsia="仿宋" w:cs="仿宋"/>
          <w:color w:val="auto"/>
          <w:szCs w:val="28"/>
        </w:rPr>
      </w:pPr>
      <w:bookmarkStart w:id="83" w:name="_Toc45025469"/>
      <w:r>
        <w:rPr>
          <w:rFonts w:hint="eastAsia" w:ascii="仿宋" w:hAnsi="仿宋" w:eastAsia="仿宋" w:cs="仿宋"/>
          <w:color w:val="auto"/>
          <w:szCs w:val="28"/>
        </w:rPr>
        <w:t>模板维护</w:t>
      </w:r>
      <w:bookmarkEnd w:id="83"/>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提供病历模板维护功能，按疾病分组维护模板；</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提供病历模板内容维护，包括：关键词库、症状库、体征库、图库；与临床相关的关键词模板新增、修改、删除；</w:t>
      </w:r>
    </w:p>
    <w:p>
      <w:pPr>
        <w:pStyle w:val="4"/>
        <w:spacing w:line="500" w:lineRule="exact"/>
        <w:ind w:left="0" w:firstLine="0"/>
        <w:rPr>
          <w:rFonts w:ascii="仿宋" w:hAnsi="仿宋" w:eastAsia="仿宋" w:cs="仿宋"/>
          <w:color w:val="auto"/>
          <w:szCs w:val="28"/>
        </w:rPr>
      </w:pPr>
      <w:bookmarkStart w:id="84" w:name="_Toc45025470"/>
      <w:r>
        <w:rPr>
          <w:rFonts w:hint="eastAsia" w:ascii="仿宋" w:hAnsi="仿宋" w:eastAsia="仿宋" w:cs="仿宋"/>
          <w:color w:val="auto"/>
          <w:szCs w:val="28"/>
        </w:rPr>
        <w:t>人员管理</w:t>
      </w:r>
      <w:bookmarkEnd w:id="84"/>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帐户信息维护</w:t>
      </w:r>
    </w:p>
    <w:p>
      <w:pPr>
        <w:pStyle w:val="36"/>
        <w:numPr>
          <w:ilvl w:val="0"/>
          <w:numId w:val="38"/>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提供用户信息维护功能，包括基本信息、用户权限和签名图片维护；</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提供帐户角色管理维护功能；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提供帐户功能角色组维护功能；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提供帐户诊疗组维护功能；</w:t>
      </w:r>
    </w:p>
    <w:p>
      <w:pPr>
        <w:pStyle w:val="4"/>
        <w:spacing w:line="500" w:lineRule="exact"/>
        <w:ind w:left="0" w:firstLine="0"/>
        <w:rPr>
          <w:rFonts w:ascii="仿宋" w:hAnsi="仿宋" w:eastAsia="仿宋" w:cs="仿宋"/>
          <w:color w:val="auto"/>
          <w:szCs w:val="28"/>
        </w:rPr>
      </w:pPr>
      <w:bookmarkStart w:id="85" w:name="_Toc45025471"/>
      <w:r>
        <w:rPr>
          <w:rFonts w:hint="eastAsia" w:ascii="仿宋" w:hAnsi="仿宋" w:eastAsia="仿宋" w:cs="仿宋"/>
          <w:color w:val="auto"/>
          <w:szCs w:val="28"/>
        </w:rPr>
        <w:t>日常办公</w:t>
      </w:r>
      <w:bookmarkEnd w:id="85"/>
    </w:p>
    <w:p>
      <w:pPr>
        <w:pStyle w:val="36"/>
        <w:numPr>
          <w:ilvl w:val="0"/>
          <w:numId w:val="39"/>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提供个人设置功能，包括：基本信息维护、上级医师设置、附属帐户设置。</w:t>
      </w:r>
    </w:p>
    <w:p>
      <w:pPr>
        <w:pStyle w:val="4"/>
        <w:spacing w:line="500" w:lineRule="exact"/>
        <w:ind w:left="0" w:firstLine="0"/>
        <w:rPr>
          <w:rFonts w:ascii="仿宋" w:hAnsi="仿宋" w:eastAsia="仿宋" w:cs="仿宋"/>
          <w:color w:val="auto"/>
          <w:szCs w:val="28"/>
        </w:rPr>
      </w:pPr>
      <w:bookmarkStart w:id="86" w:name="_Toc45025472"/>
      <w:r>
        <w:rPr>
          <w:rFonts w:hint="eastAsia" w:ascii="仿宋" w:hAnsi="仿宋" w:eastAsia="仿宋" w:cs="仿宋"/>
          <w:color w:val="auto"/>
          <w:szCs w:val="28"/>
        </w:rPr>
        <w:t>运维管理</w:t>
      </w:r>
      <w:bookmarkEnd w:id="86"/>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日志审计浏览；</w:t>
      </w:r>
    </w:p>
    <w:p>
      <w:pPr>
        <w:pStyle w:val="36"/>
        <w:numPr>
          <w:ilvl w:val="0"/>
          <w:numId w:val="39"/>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提供用户登陆日志审计管理功能；</w:t>
      </w:r>
    </w:p>
    <w:p>
      <w:pPr>
        <w:pStyle w:val="36"/>
        <w:numPr>
          <w:ilvl w:val="0"/>
          <w:numId w:val="39"/>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提供活跃用户审计管理功能；</w:t>
      </w:r>
    </w:p>
    <w:p>
      <w:pPr>
        <w:pStyle w:val="36"/>
        <w:numPr>
          <w:ilvl w:val="0"/>
          <w:numId w:val="39"/>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提供Widget使用频率分析管理功能；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服务日志浏览；</w:t>
      </w:r>
    </w:p>
    <w:p>
      <w:pPr>
        <w:pStyle w:val="36"/>
        <w:numPr>
          <w:ilvl w:val="0"/>
          <w:numId w:val="40"/>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提供接口数据同步日志管理功能；</w:t>
      </w:r>
    </w:p>
    <w:p>
      <w:pPr>
        <w:pStyle w:val="36"/>
        <w:numPr>
          <w:ilvl w:val="0"/>
          <w:numId w:val="40"/>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提供自动质控计算日志管理功能；</w:t>
      </w:r>
    </w:p>
    <w:p>
      <w:pPr>
        <w:pStyle w:val="36"/>
        <w:numPr>
          <w:ilvl w:val="0"/>
          <w:numId w:val="40"/>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提供应用服务错误日志审计管理功能；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运维监测管理；</w:t>
      </w:r>
    </w:p>
    <w:p>
      <w:pPr>
        <w:pStyle w:val="36"/>
        <w:numPr>
          <w:ilvl w:val="0"/>
          <w:numId w:val="40"/>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提供数据库表信息监测功能；</w:t>
      </w:r>
    </w:p>
    <w:p>
      <w:pPr>
        <w:pStyle w:val="36"/>
        <w:numPr>
          <w:ilvl w:val="0"/>
          <w:numId w:val="40"/>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提供数据库存储信息监测功能；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数据字典维护；</w:t>
      </w:r>
    </w:p>
    <w:p>
      <w:pPr>
        <w:pStyle w:val="36"/>
        <w:numPr>
          <w:ilvl w:val="0"/>
          <w:numId w:val="40"/>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提供临床诊断分类字典维护功能；</w:t>
      </w:r>
    </w:p>
    <w:p>
      <w:pPr>
        <w:pStyle w:val="36"/>
        <w:numPr>
          <w:ilvl w:val="0"/>
          <w:numId w:val="40"/>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提供体温单体征项目字典维护功能；</w:t>
      </w:r>
    </w:p>
    <w:p>
      <w:pPr>
        <w:pStyle w:val="36"/>
        <w:numPr>
          <w:ilvl w:val="0"/>
          <w:numId w:val="40"/>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提供首页数据字典维护功能；</w:t>
      </w:r>
    </w:p>
    <w:p>
      <w:pPr>
        <w:pStyle w:val="36"/>
        <w:numPr>
          <w:ilvl w:val="0"/>
          <w:numId w:val="40"/>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提供字典明细表维护功能；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提供本地化模板科室对照功能；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提供同类疾病分组管理功能；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提供异常登录记录清除功能；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提供医疗常用特殊符号维护功能；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提供科室字典维护功能，用来标记科室是否使用电子病历系统；</w:t>
      </w:r>
    </w:p>
    <w:p>
      <w:pPr>
        <w:pStyle w:val="4"/>
        <w:spacing w:line="500" w:lineRule="exact"/>
        <w:ind w:left="0" w:firstLine="0"/>
        <w:rPr>
          <w:rFonts w:ascii="仿宋" w:hAnsi="仿宋" w:eastAsia="仿宋" w:cs="仿宋"/>
          <w:color w:val="auto"/>
          <w:szCs w:val="28"/>
        </w:rPr>
      </w:pPr>
      <w:bookmarkStart w:id="87" w:name="_Toc45025473"/>
      <w:r>
        <w:rPr>
          <w:rFonts w:hint="eastAsia" w:ascii="仿宋" w:hAnsi="仿宋" w:eastAsia="仿宋" w:cs="仿宋"/>
          <w:color w:val="auto"/>
          <w:szCs w:val="28"/>
        </w:rPr>
        <w:t>配置管理</w:t>
      </w:r>
      <w:bookmarkEnd w:id="87"/>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提供病历分类管理功能；</w:t>
      </w:r>
    </w:p>
    <w:p>
      <w:pPr>
        <w:pStyle w:val="36"/>
        <w:numPr>
          <w:ilvl w:val="0"/>
          <w:numId w:val="41"/>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应用程序分类与模板分类对照；</w:t>
      </w:r>
    </w:p>
    <w:p>
      <w:pPr>
        <w:pStyle w:val="36"/>
        <w:numPr>
          <w:ilvl w:val="0"/>
          <w:numId w:val="41"/>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模板分类字典管理；</w:t>
      </w:r>
    </w:p>
    <w:p>
      <w:pPr>
        <w:pStyle w:val="36"/>
        <w:numPr>
          <w:ilvl w:val="0"/>
          <w:numId w:val="41"/>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应用程序文档分类管理；</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提供文档打印类别维护管理功能；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提供程序版本升级管理功能；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提供角色对应报表维护功能；</w:t>
      </w:r>
    </w:p>
    <w:p>
      <w:pPr>
        <w:pStyle w:val="36"/>
        <w:numPr>
          <w:ilvl w:val="1"/>
          <w:numId w:val="36"/>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提供住院号修改功能，是针对同一患者多次住院时住院号不同时进行的病案合并；</w:t>
      </w:r>
    </w:p>
    <w:p>
      <w:pPr>
        <w:pStyle w:val="4"/>
        <w:spacing w:line="500" w:lineRule="exact"/>
        <w:ind w:left="0" w:firstLine="0"/>
        <w:rPr>
          <w:rFonts w:ascii="仿宋" w:hAnsi="仿宋" w:eastAsia="仿宋" w:cs="仿宋"/>
          <w:color w:val="auto"/>
          <w:szCs w:val="28"/>
        </w:rPr>
      </w:pPr>
      <w:bookmarkStart w:id="88" w:name="_Toc45025474"/>
      <w:r>
        <w:rPr>
          <w:rFonts w:hint="eastAsia" w:ascii="仿宋" w:hAnsi="仿宋" w:eastAsia="仿宋" w:cs="仿宋"/>
          <w:color w:val="auto"/>
          <w:szCs w:val="28"/>
        </w:rPr>
        <w:t>统计报表</w:t>
      </w:r>
      <w:bookmarkEnd w:id="88"/>
    </w:p>
    <w:p>
      <w:pPr>
        <w:pStyle w:val="36"/>
        <w:numPr>
          <w:ilvl w:val="0"/>
          <w:numId w:val="35"/>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质量控制相关的统计报表：24小时未写入院记录、按科室统计问题清单、病案文书缺陷统计、环节病案缺陷统计、科室在院患者信息表、全院病历质控率、全院各科室环节病案质量统计表、三日确诊率；</w:t>
      </w:r>
    </w:p>
    <w:p>
      <w:pPr>
        <w:pStyle w:val="36"/>
        <w:numPr>
          <w:ilvl w:val="0"/>
          <w:numId w:val="35"/>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病案管理相关的统计报表：病案编目人员每日工作量统计表、迟写病例统计表、手术病人的病种前三位统计表、手术病人病种前十位统计表、医院前十位病种统计、住院病人病种频度分科统计表、医院感染，伤口愈合分科统计表、新病人病种前十位统计表、病人平均住院费用统计表、科室病人平均住院日统计表；</w:t>
      </w:r>
    </w:p>
    <w:p>
      <w:pPr>
        <w:pStyle w:val="36"/>
        <w:numPr>
          <w:ilvl w:val="0"/>
          <w:numId w:val="35"/>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kern w:val="0"/>
          <w:sz w:val="28"/>
          <w:szCs w:val="28"/>
        </w:rPr>
        <w:t>医务管理相关的统计报表：病人职业分布统计图、住院病人年龄段统计图、各术式病人死亡率统计表、死亡患者信息统计表、住院病人死亡率统计表、医保病人死亡率统计表、病人二次手术统计表、病人再入院统计表、经治3科以上统计。</w:t>
      </w:r>
    </w:p>
    <w:p>
      <w:pPr>
        <w:spacing w:line="500" w:lineRule="exact"/>
        <w:rPr>
          <w:rFonts w:ascii="仿宋" w:hAnsi="仿宋" w:eastAsia="仿宋" w:cs="仿宋"/>
          <w:color w:val="auto"/>
          <w:sz w:val="28"/>
          <w:szCs w:val="28"/>
        </w:rPr>
      </w:pPr>
    </w:p>
    <w:p>
      <w:pPr>
        <w:pStyle w:val="4"/>
        <w:spacing w:line="500" w:lineRule="exact"/>
        <w:ind w:left="0" w:firstLine="0"/>
        <w:rPr>
          <w:rFonts w:ascii="仿宋" w:hAnsi="仿宋" w:eastAsia="仿宋" w:cs="仿宋"/>
          <w:color w:val="auto"/>
          <w:szCs w:val="28"/>
        </w:rPr>
      </w:pPr>
      <w:bookmarkStart w:id="89" w:name="_Toc45025475"/>
      <w:r>
        <w:rPr>
          <w:rFonts w:hint="eastAsia" w:ascii="仿宋" w:hAnsi="仿宋" w:eastAsia="仿宋" w:cs="仿宋"/>
          <w:color w:val="auto"/>
          <w:szCs w:val="28"/>
        </w:rPr>
        <w:t>临床护理</w:t>
      </w:r>
      <w:bookmarkEnd w:id="89"/>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患者总览</w:t>
      </w:r>
    </w:p>
    <w:p>
      <w:pPr>
        <w:pStyle w:val="36"/>
        <w:numPr>
          <w:ilvl w:val="0"/>
          <w:numId w:val="4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提供床头卡或列表方式显示患者功能，用不同的颜色显示患者状态；</w:t>
      </w:r>
    </w:p>
    <w:p>
      <w:pPr>
        <w:pStyle w:val="36"/>
        <w:numPr>
          <w:ilvl w:val="0"/>
          <w:numId w:val="4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提供床位使用情况提醒；</w:t>
      </w:r>
    </w:p>
    <w:p>
      <w:pPr>
        <w:pStyle w:val="36"/>
        <w:numPr>
          <w:ilvl w:val="0"/>
          <w:numId w:val="4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提供患者检索功能，包括三个患者列表：在科患者、转出患者、已出院未签收；</w:t>
      </w:r>
    </w:p>
    <w:p>
      <w:pPr>
        <w:pStyle w:val="36"/>
        <w:numPr>
          <w:ilvl w:val="0"/>
          <w:numId w:val="4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提供通知公告信息浏览功能；</w:t>
      </w:r>
    </w:p>
    <w:p>
      <w:pPr>
        <w:pStyle w:val="36"/>
        <w:numPr>
          <w:ilvl w:val="0"/>
          <w:numId w:val="42"/>
        </w:numPr>
        <w:spacing w:line="500" w:lineRule="exact"/>
        <w:ind w:left="1276" w:firstLineChars="0"/>
        <w:rPr>
          <w:rFonts w:ascii="仿宋" w:hAnsi="仿宋" w:eastAsia="仿宋" w:cs="仿宋"/>
          <w:color w:val="auto"/>
          <w:sz w:val="28"/>
          <w:szCs w:val="28"/>
        </w:rPr>
      </w:pPr>
      <w:r>
        <w:rPr>
          <w:rFonts w:hint="eastAsia" w:ascii="仿宋" w:hAnsi="仿宋" w:eastAsia="仿宋" w:cs="仿宋"/>
          <w:color w:val="auto"/>
          <w:sz w:val="28"/>
          <w:szCs w:val="28"/>
        </w:rPr>
        <w:t>提供日常工作提醒功能，包括：体温单未录入信息、入院护理评估单、压疮评估风险单、跌倒风险评估单、今日生日患者、高龄患者；</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体温单</w:t>
      </w:r>
    </w:p>
    <w:p>
      <w:pPr>
        <w:numPr>
          <w:ilvl w:val="0"/>
          <w:numId w:val="43"/>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提供患者基本信息浏览、锁定功能；</w:t>
      </w:r>
    </w:p>
    <w:p>
      <w:pPr>
        <w:numPr>
          <w:ilvl w:val="0"/>
          <w:numId w:val="43"/>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 xml:space="preserve">提供自动生成体温曲线图的功能； </w:t>
      </w:r>
    </w:p>
    <w:p>
      <w:pPr>
        <w:numPr>
          <w:ilvl w:val="0"/>
          <w:numId w:val="43"/>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提供批量录入患者生命体征信息的功能；</w:t>
      </w:r>
    </w:p>
    <w:p>
      <w:pPr>
        <w:numPr>
          <w:ilvl w:val="0"/>
          <w:numId w:val="43"/>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提供体温单打印功能；</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护理记录</w:t>
      </w:r>
    </w:p>
    <w:p>
      <w:pPr>
        <w:numPr>
          <w:ilvl w:val="0"/>
          <w:numId w:val="43"/>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提供可隐藏患者列表浏览、锁定功能；</w:t>
      </w:r>
    </w:p>
    <w:p>
      <w:pPr>
        <w:numPr>
          <w:ilvl w:val="0"/>
          <w:numId w:val="43"/>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提供护理记录录入及打印功能；</w:t>
      </w:r>
    </w:p>
    <w:p>
      <w:pPr>
        <w:numPr>
          <w:ilvl w:val="1"/>
          <w:numId w:val="4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提供出入量、护理记录知识库、临床数据提供窗口、书写助手等功能；</w:t>
      </w:r>
    </w:p>
    <w:p>
      <w:pPr>
        <w:numPr>
          <w:ilvl w:val="1"/>
          <w:numId w:val="4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提供护理记录分段书写、连续打印显示功能；</w:t>
      </w:r>
    </w:p>
    <w:p>
      <w:pPr>
        <w:numPr>
          <w:ilvl w:val="1"/>
          <w:numId w:val="4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提供护理记录打印预览功能；</w:t>
      </w:r>
    </w:p>
    <w:p>
      <w:pPr>
        <w:numPr>
          <w:ilvl w:val="1"/>
          <w:numId w:val="4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提供护理记录打印、选择打印、续打、奇偶页打印等功能</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整体录入</w:t>
      </w:r>
    </w:p>
    <w:p>
      <w:pPr>
        <w:numPr>
          <w:ilvl w:val="0"/>
          <w:numId w:val="43"/>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提供按时间整体录入患者体温、脉搏、呼吸、血压等信息的功能；</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首次评估</w:t>
      </w:r>
    </w:p>
    <w:p>
      <w:pPr>
        <w:numPr>
          <w:ilvl w:val="0"/>
          <w:numId w:val="44"/>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提供患者基本信息浏览、锁定功能</w:t>
      </w:r>
    </w:p>
    <w:p>
      <w:pPr>
        <w:numPr>
          <w:ilvl w:val="0"/>
          <w:numId w:val="44"/>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提供护理文档中心，包括三个列表：未完成文书、已书写文书、最近操作文书；</w:t>
      </w:r>
    </w:p>
    <w:p>
      <w:pPr>
        <w:numPr>
          <w:ilvl w:val="0"/>
          <w:numId w:val="44"/>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提供护理评估文书书写功能；</w:t>
      </w:r>
    </w:p>
    <w:p>
      <w:pPr>
        <w:numPr>
          <w:ilvl w:val="0"/>
          <w:numId w:val="45"/>
        </w:numPr>
        <w:spacing w:line="500" w:lineRule="exact"/>
        <w:ind w:left="1277" w:leftChars="608"/>
        <w:rPr>
          <w:rFonts w:ascii="仿宋" w:hAnsi="仿宋" w:eastAsia="仿宋" w:cs="仿宋"/>
          <w:color w:val="auto"/>
          <w:sz w:val="28"/>
          <w:szCs w:val="28"/>
        </w:rPr>
      </w:pPr>
      <w:r>
        <w:rPr>
          <w:rFonts w:hint="eastAsia" w:ascii="仿宋" w:hAnsi="仿宋" w:eastAsia="仿宋" w:cs="仿宋"/>
          <w:color w:val="auto"/>
          <w:sz w:val="28"/>
          <w:szCs w:val="28"/>
        </w:rPr>
        <w:t>护理评估模板包括：入院患者评估单、护理健康教育记录单、护理评估记录表等；</w:t>
      </w:r>
    </w:p>
    <w:p>
      <w:pPr>
        <w:numPr>
          <w:ilvl w:val="1"/>
          <w:numId w:val="45"/>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护理评估表单录入功能同医疗文书功能；</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提供护理评估功能，对手术、压疮患者进行护理评估单录入及打印；</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知识库</w:t>
      </w:r>
    </w:p>
    <w:p>
      <w:pPr>
        <w:numPr>
          <w:ilvl w:val="0"/>
          <w:numId w:val="25"/>
        </w:numPr>
        <w:spacing w:line="500" w:lineRule="exact"/>
        <w:ind w:left="1276"/>
        <w:rPr>
          <w:rFonts w:ascii="仿宋" w:hAnsi="仿宋" w:eastAsia="仿宋" w:cs="仿宋"/>
          <w:color w:val="auto"/>
          <w:sz w:val="28"/>
          <w:szCs w:val="28"/>
        </w:rPr>
      </w:pPr>
      <w:r>
        <w:rPr>
          <w:rFonts w:hint="eastAsia" w:ascii="仿宋" w:hAnsi="仿宋" w:eastAsia="仿宋" w:cs="仿宋"/>
          <w:color w:val="auto"/>
          <w:sz w:val="28"/>
          <w:szCs w:val="28"/>
        </w:rPr>
        <w:t>提供临床在线知识库浏览功能；</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病案首页</w:t>
      </w:r>
    </w:p>
    <w:p>
      <w:pPr>
        <w:numPr>
          <w:ilvl w:val="0"/>
          <w:numId w:val="46"/>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提供患者基本信息浏览、锁定功能；</w:t>
      </w:r>
    </w:p>
    <w:p>
      <w:pPr>
        <w:numPr>
          <w:ilvl w:val="0"/>
          <w:numId w:val="46"/>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提供首页信息责任护士签名功能</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提供检查报告查询功能（需要PACS、RIS系统公司配合提供相关接口程序）</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提供检验报告浏览功能（需要LIS系统公司配合完成）</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提供医嘱信息浏览功能（需要HIS系统公司配合完成）</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提供护理交接班记录功能，提供新增、编辑、删除、保存功能；</w:t>
      </w:r>
    </w:p>
    <w:p>
      <w:pPr>
        <w:pStyle w:val="4"/>
        <w:spacing w:line="500" w:lineRule="exact"/>
        <w:ind w:left="0" w:firstLine="0"/>
        <w:rPr>
          <w:rFonts w:ascii="仿宋" w:hAnsi="仿宋" w:eastAsia="仿宋" w:cs="仿宋"/>
          <w:color w:val="auto"/>
          <w:szCs w:val="28"/>
        </w:rPr>
      </w:pPr>
      <w:bookmarkStart w:id="90" w:name="_Toc45025476"/>
      <w:r>
        <w:rPr>
          <w:rFonts w:hint="eastAsia" w:ascii="仿宋" w:hAnsi="仿宋" w:eastAsia="仿宋" w:cs="仿宋"/>
          <w:color w:val="auto"/>
          <w:szCs w:val="28"/>
        </w:rPr>
        <w:t>系统维护</w:t>
      </w:r>
      <w:bookmarkEnd w:id="90"/>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提供二次开发维护功能；包括：临床路径执行与电子病历关联接口、病案首页查询关联接口、诊疗时间轴界面检验检查报告关联接口等</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提供功能开关维护功能；</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功能配置</w:t>
      </w:r>
    </w:p>
    <w:p>
      <w:pPr>
        <w:pStyle w:val="36"/>
        <w:numPr>
          <w:ilvl w:val="0"/>
          <w:numId w:val="41"/>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提供画布维护功能；</w:t>
      </w:r>
    </w:p>
    <w:p>
      <w:pPr>
        <w:pStyle w:val="36"/>
        <w:numPr>
          <w:ilvl w:val="0"/>
          <w:numId w:val="41"/>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提供Widget维护功能；</w:t>
      </w:r>
    </w:p>
    <w:p>
      <w:pPr>
        <w:pStyle w:val="36"/>
        <w:numPr>
          <w:ilvl w:val="0"/>
          <w:numId w:val="41"/>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提供角色画布对照维护功能；</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提供医疗机构维护功能，包括：新增、修改、删除。</w:t>
      </w:r>
    </w:p>
    <w:p>
      <w:pPr>
        <w:pStyle w:val="36"/>
        <w:spacing w:line="500" w:lineRule="exact"/>
        <w:ind w:left="426" w:firstLine="0" w:firstLineChars="0"/>
        <w:rPr>
          <w:rFonts w:ascii="仿宋" w:hAnsi="仿宋" w:eastAsia="仿宋" w:cs="仿宋"/>
          <w:color w:val="auto"/>
          <w:sz w:val="28"/>
          <w:szCs w:val="28"/>
        </w:rPr>
      </w:pPr>
      <w:r>
        <w:rPr>
          <w:rFonts w:hint="eastAsia" w:ascii="仿宋" w:hAnsi="仿宋" w:eastAsia="仿宋" w:cs="仿宋"/>
          <w:color w:val="auto"/>
          <w:sz w:val="28"/>
          <w:szCs w:val="28"/>
        </w:rPr>
        <w:t>提供通用模板维护、审核功能</w:t>
      </w:r>
    </w:p>
    <w:p>
      <w:pPr>
        <w:pStyle w:val="36"/>
        <w:numPr>
          <w:ilvl w:val="0"/>
          <w:numId w:val="41"/>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提供按模板类别维护模板的功能</w:t>
      </w:r>
    </w:p>
    <w:p>
      <w:pPr>
        <w:pStyle w:val="4"/>
        <w:spacing w:line="500" w:lineRule="exact"/>
        <w:ind w:left="0" w:firstLine="0"/>
        <w:rPr>
          <w:rFonts w:ascii="仿宋" w:hAnsi="仿宋" w:eastAsia="仿宋" w:cs="仿宋"/>
          <w:color w:val="auto"/>
          <w:szCs w:val="28"/>
        </w:rPr>
      </w:pPr>
      <w:bookmarkStart w:id="91" w:name="_Toc45025477"/>
      <w:r>
        <w:rPr>
          <w:rFonts w:hint="eastAsia" w:ascii="仿宋" w:hAnsi="仿宋" w:eastAsia="仿宋" w:cs="仿宋"/>
          <w:color w:val="auto"/>
          <w:szCs w:val="28"/>
        </w:rPr>
        <w:t>通用接口系统</w:t>
      </w:r>
      <w:bookmarkEnd w:id="91"/>
    </w:p>
    <w:p>
      <w:pPr>
        <w:spacing w:before="156" w:beforeLines="50" w:line="500" w:lineRule="exact"/>
        <w:ind w:left="425" w:right="210"/>
        <w:rPr>
          <w:rFonts w:ascii="仿宋" w:hAnsi="仿宋" w:eastAsia="仿宋" w:cs="仿宋"/>
          <w:color w:val="auto"/>
          <w:sz w:val="28"/>
          <w:szCs w:val="28"/>
        </w:rPr>
      </w:pPr>
      <w:r>
        <w:rPr>
          <w:rFonts w:hint="eastAsia" w:ascii="仿宋" w:hAnsi="仿宋" w:eastAsia="仿宋" w:cs="仿宋"/>
          <w:color w:val="auto"/>
          <w:sz w:val="28"/>
          <w:szCs w:val="28"/>
        </w:rPr>
        <w:t>在实施过程中，服务器端与第三方系统的集成接口，基于同步服务控制台技术实现与临床数据相关的系统的数据集成，包括：HIS、LIS、PACS、RIS。</w:t>
      </w:r>
    </w:p>
    <w:p>
      <w:pPr>
        <w:spacing w:line="500" w:lineRule="exact"/>
        <w:rPr>
          <w:rFonts w:ascii="仿宋" w:hAnsi="仿宋" w:eastAsia="仿宋" w:cs="仿宋"/>
          <w:color w:val="auto"/>
          <w:sz w:val="28"/>
          <w:szCs w:val="28"/>
        </w:rPr>
      </w:pPr>
    </w:p>
    <w:p>
      <w:pPr>
        <w:pStyle w:val="2"/>
        <w:tabs>
          <w:tab w:val="clear" w:pos="576"/>
          <w:tab w:val="clear" w:pos="1296"/>
        </w:tabs>
        <w:spacing w:line="500" w:lineRule="exact"/>
        <w:rPr>
          <w:rFonts w:ascii="仿宋" w:hAnsi="仿宋" w:eastAsia="仿宋" w:cs="仿宋"/>
          <w:color w:val="auto"/>
          <w:szCs w:val="28"/>
        </w:rPr>
      </w:pPr>
      <w:bookmarkStart w:id="92" w:name="_Toc45025478"/>
      <w:r>
        <w:rPr>
          <w:rFonts w:hint="eastAsia" w:ascii="仿宋" w:hAnsi="仿宋" w:eastAsia="仿宋" w:cs="仿宋"/>
          <w:color w:val="auto"/>
          <w:szCs w:val="28"/>
        </w:rPr>
        <w:t>门诊电子病历系统</w:t>
      </w:r>
      <w:bookmarkEnd w:id="74"/>
      <w:bookmarkEnd w:id="92"/>
    </w:p>
    <w:p>
      <w:pPr>
        <w:pStyle w:val="4"/>
        <w:tabs>
          <w:tab w:val="clear" w:pos="0"/>
        </w:tabs>
        <w:spacing w:line="500" w:lineRule="exact"/>
        <w:rPr>
          <w:rFonts w:ascii="仿宋" w:hAnsi="仿宋" w:eastAsia="仿宋" w:cs="仿宋"/>
          <w:color w:val="auto"/>
          <w:szCs w:val="28"/>
        </w:rPr>
      </w:pPr>
      <w:bookmarkStart w:id="93" w:name="_Toc16769"/>
      <w:bookmarkStart w:id="94" w:name="_Toc45025479"/>
      <w:r>
        <w:rPr>
          <w:rFonts w:hint="eastAsia" w:ascii="仿宋" w:hAnsi="仿宋" w:eastAsia="仿宋" w:cs="仿宋"/>
          <w:color w:val="auto"/>
          <w:szCs w:val="28"/>
        </w:rPr>
        <w:t>门诊病历模板</w:t>
      </w:r>
      <w:bookmarkEnd w:id="93"/>
      <w:bookmarkEnd w:id="94"/>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提供结构化点选与自由文本录入的功能，科室医生根据病种调出结构化模板，元素种类有单选元素、多选元素、有无选元素、录入提示元素、格式化元素及固定文本元素等；</w:t>
      </w:r>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提供动态调出医疗专用知识库（关键词）功能，在病历录入中，当医生选择阳性症状或体征时，系统自动调出并展开关键词描述，为病历录入有效防止漏项；</w:t>
      </w:r>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提供部分病历内容自动校验功能，在病历文书书写时，当录入不符合信息系统自动弹出窗体提醒，校验项目分别为：必选项目、数值型错误信息（如体温）、与性别不符合信息；</w:t>
      </w:r>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提供医疗文书常用的特殊符号集写回病历文书的功能，如：℃，℉，‰，㎡，mmol等；</w:t>
      </w:r>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提供病历自动排版功能。</w:t>
      </w:r>
    </w:p>
    <w:p>
      <w:pPr>
        <w:pStyle w:val="4"/>
        <w:tabs>
          <w:tab w:val="clear" w:pos="0"/>
        </w:tabs>
        <w:spacing w:line="500" w:lineRule="exact"/>
        <w:rPr>
          <w:rFonts w:ascii="仿宋" w:hAnsi="仿宋" w:eastAsia="仿宋" w:cs="仿宋"/>
          <w:color w:val="auto"/>
          <w:szCs w:val="28"/>
        </w:rPr>
      </w:pPr>
      <w:bookmarkStart w:id="95" w:name="_Toc31887"/>
      <w:bookmarkStart w:id="96" w:name="_Toc45025480"/>
      <w:r>
        <w:rPr>
          <w:rFonts w:hint="eastAsia" w:ascii="仿宋" w:hAnsi="仿宋" w:eastAsia="仿宋" w:cs="仿宋"/>
          <w:color w:val="auto"/>
          <w:szCs w:val="28"/>
        </w:rPr>
        <w:t>门诊病历集成</w:t>
      </w:r>
      <w:bookmarkEnd w:id="95"/>
      <w:bookmarkEnd w:id="96"/>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门诊病历编辑器集成嵌入到HIS门诊医生工作站；</w:t>
      </w:r>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门诊医生需要为患者录入门诊病历时，可以直接调用门诊各病种模板进行门诊病历录入。</w:t>
      </w:r>
    </w:p>
    <w:p>
      <w:pPr>
        <w:pStyle w:val="4"/>
        <w:tabs>
          <w:tab w:val="clear" w:pos="0"/>
        </w:tabs>
        <w:spacing w:line="500" w:lineRule="exact"/>
        <w:rPr>
          <w:rFonts w:ascii="仿宋" w:hAnsi="仿宋" w:eastAsia="仿宋" w:cs="仿宋"/>
          <w:color w:val="auto"/>
          <w:szCs w:val="28"/>
        </w:rPr>
      </w:pPr>
      <w:bookmarkStart w:id="97" w:name="_Toc29752"/>
      <w:bookmarkStart w:id="98" w:name="_Toc45025481"/>
      <w:r>
        <w:rPr>
          <w:rFonts w:hint="eastAsia" w:ascii="仿宋" w:hAnsi="仿宋" w:eastAsia="仿宋" w:cs="仿宋"/>
          <w:color w:val="auto"/>
          <w:szCs w:val="28"/>
        </w:rPr>
        <w:t>门诊病历打印</w:t>
      </w:r>
      <w:bookmarkEnd w:id="97"/>
      <w:bookmarkEnd w:id="98"/>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打印单个门诊病历；</w:t>
      </w:r>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对不同类别的病历进行连续打印；</w:t>
      </w:r>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打印时可选择打印机；</w:t>
      </w:r>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门诊病历集中打印。</w:t>
      </w:r>
    </w:p>
    <w:p>
      <w:pPr>
        <w:pStyle w:val="4"/>
        <w:tabs>
          <w:tab w:val="clear" w:pos="0"/>
        </w:tabs>
        <w:spacing w:line="500" w:lineRule="exact"/>
        <w:rPr>
          <w:rFonts w:ascii="仿宋" w:hAnsi="仿宋" w:eastAsia="仿宋" w:cs="仿宋"/>
          <w:color w:val="auto"/>
          <w:szCs w:val="28"/>
        </w:rPr>
      </w:pPr>
      <w:bookmarkStart w:id="99" w:name="_Toc45025482"/>
      <w:bookmarkStart w:id="100" w:name="_Toc1202"/>
      <w:r>
        <w:rPr>
          <w:rFonts w:hint="eastAsia" w:ascii="仿宋" w:hAnsi="仿宋" w:eastAsia="仿宋" w:cs="仿宋"/>
          <w:color w:val="auto"/>
          <w:szCs w:val="28"/>
        </w:rPr>
        <w:t>浏览门诊患者病历</w:t>
      </w:r>
      <w:bookmarkEnd w:id="99"/>
      <w:bookmarkEnd w:id="100"/>
    </w:p>
    <w:p>
      <w:pPr>
        <w:pStyle w:val="36"/>
        <w:numPr>
          <w:ilvl w:val="0"/>
          <w:numId w:val="47"/>
        </w:numPr>
        <w:spacing w:line="5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提供其他病历文书编辑功能，例如知情同意书，且可删除草稿状态下的其他文书。</w:t>
      </w:r>
    </w:p>
    <w:bookmarkEnd w:id="75"/>
    <w:p>
      <w:pPr>
        <w:pStyle w:val="2"/>
        <w:tabs>
          <w:tab w:val="clear" w:pos="1296"/>
        </w:tabs>
        <w:spacing w:line="500" w:lineRule="exact"/>
        <w:ind w:left="180"/>
        <w:rPr>
          <w:rFonts w:ascii="仿宋" w:hAnsi="仿宋" w:eastAsia="仿宋" w:cs="仿宋"/>
          <w:color w:val="auto"/>
          <w:szCs w:val="28"/>
        </w:rPr>
      </w:pPr>
      <w:bookmarkStart w:id="101" w:name="_Toc233975254"/>
      <w:bookmarkStart w:id="102" w:name="_Toc319005017"/>
      <w:bookmarkStart w:id="103" w:name="_Toc445550787"/>
      <w:bookmarkStart w:id="104" w:name="_Toc45025483"/>
      <w:bookmarkStart w:id="105" w:name="_Toc14968_WPSOffice_Level1"/>
      <w:bookmarkStart w:id="106" w:name="_Toc444098282"/>
      <w:bookmarkStart w:id="107" w:name="_Toc22293"/>
      <w:r>
        <w:rPr>
          <w:rFonts w:hint="eastAsia" w:ascii="仿宋" w:hAnsi="仿宋" w:eastAsia="仿宋" w:cs="仿宋"/>
          <w:color w:val="auto"/>
          <w:szCs w:val="28"/>
        </w:rPr>
        <w:t>PACS系统</w:t>
      </w:r>
      <w:bookmarkEnd w:id="101"/>
      <w:r>
        <w:rPr>
          <w:rFonts w:hint="eastAsia" w:ascii="仿宋" w:hAnsi="仿宋" w:eastAsia="仿宋" w:cs="仿宋"/>
          <w:color w:val="auto"/>
          <w:szCs w:val="28"/>
        </w:rPr>
        <w:t>功能</w:t>
      </w:r>
      <w:bookmarkEnd w:id="102"/>
      <w:bookmarkEnd w:id="103"/>
      <w:bookmarkEnd w:id="104"/>
      <w:bookmarkEnd w:id="105"/>
      <w:bookmarkEnd w:id="106"/>
    </w:p>
    <w:p>
      <w:pPr>
        <w:spacing w:line="500" w:lineRule="exact"/>
        <w:ind w:right="-153" w:rightChars="-73" w:firstLine="420"/>
        <w:rPr>
          <w:rFonts w:ascii="仿宋" w:hAnsi="仿宋" w:eastAsia="仿宋" w:cs="仿宋"/>
          <w:color w:val="auto"/>
          <w:sz w:val="28"/>
          <w:szCs w:val="28"/>
        </w:rPr>
      </w:pPr>
      <w:r>
        <w:rPr>
          <w:rFonts w:hint="eastAsia" w:ascii="仿宋" w:hAnsi="仿宋" w:eastAsia="仿宋" w:cs="仿宋"/>
          <w:color w:val="auto"/>
          <w:sz w:val="28"/>
          <w:szCs w:val="28"/>
        </w:rPr>
        <w:t xml:space="preserve"> PACS系统是Picture Archiving and Communication Systems的缩写，意为影像归档和通信系统。它是应用在医院影像科室的系统，主要的任务就是把日常产生的各种医学影像（包括核磁，CT，超声，各种X光机，各种红外仪、显微仪等设备产生的图像）通过各种接口（模拟，DICOM，网络）以数字化的方式海量保存起来，当需要的时候在一定的授权下能够很快的调回使用，同时增加一些辅助诊断管理功能。它在各种影像设备间传输数据和组织存储数据具有重要作用。</w:t>
      </w:r>
    </w:p>
    <w:p>
      <w:pPr>
        <w:pStyle w:val="4"/>
        <w:spacing w:line="500" w:lineRule="exact"/>
        <w:rPr>
          <w:rFonts w:ascii="仿宋" w:hAnsi="仿宋" w:eastAsia="仿宋" w:cs="仿宋"/>
          <w:color w:val="auto"/>
          <w:szCs w:val="28"/>
        </w:rPr>
      </w:pPr>
      <w:bookmarkStart w:id="108" w:name="_Toc45025484"/>
      <w:bookmarkStart w:id="109" w:name="_Toc319005032"/>
      <w:bookmarkStart w:id="110" w:name="_Toc23073_WPSOffice_Level3"/>
      <w:r>
        <w:rPr>
          <w:rFonts w:hint="eastAsia" w:ascii="仿宋" w:hAnsi="仿宋" w:eastAsia="仿宋" w:cs="仿宋"/>
          <w:color w:val="auto"/>
          <w:szCs w:val="28"/>
        </w:rPr>
        <w:t>放射科影像系统</w:t>
      </w:r>
      <w:bookmarkEnd w:id="108"/>
    </w:p>
    <w:p>
      <w:pPr>
        <w:pStyle w:val="5"/>
        <w:spacing w:line="500" w:lineRule="exact"/>
        <w:rPr>
          <w:rFonts w:ascii="仿宋" w:hAnsi="仿宋" w:eastAsia="仿宋" w:cs="仿宋"/>
          <w:color w:val="auto"/>
          <w:sz w:val="28"/>
        </w:rPr>
      </w:pPr>
      <w:r>
        <w:rPr>
          <w:rFonts w:hint="eastAsia" w:ascii="仿宋" w:hAnsi="仿宋" w:eastAsia="仿宋" w:cs="仿宋"/>
          <w:color w:val="auto"/>
          <w:sz w:val="28"/>
        </w:rPr>
        <w:t>科室管理工作站</w:t>
      </w:r>
      <w:bookmarkEnd w:id="109"/>
      <w:bookmarkEnd w:id="110"/>
    </w:p>
    <w:p>
      <w:pPr>
        <w:pStyle w:val="40"/>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科室基本信息的管理与维护,主要管理项如下： </w:t>
      </w:r>
    </w:p>
    <w:p>
      <w:pPr>
        <w:numPr>
          <w:ilvl w:val="0"/>
          <w:numId w:val="48"/>
        </w:numPr>
        <w:tabs>
          <w:tab w:val="left" w:pos="1620"/>
        </w:tabs>
        <w:spacing w:line="500" w:lineRule="exact"/>
        <w:rPr>
          <w:rFonts w:ascii="仿宋" w:hAnsi="仿宋" w:eastAsia="仿宋" w:cs="仿宋"/>
          <w:color w:val="auto"/>
          <w:sz w:val="28"/>
          <w:szCs w:val="28"/>
        </w:rPr>
      </w:pPr>
      <w:r>
        <w:rPr>
          <w:rFonts w:hint="eastAsia" w:ascii="仿宋" w:hAnsi="仿宋" w:eastAsia="仿宋" w:cs="仿宋"/>
          <w:color w:val="auto"/>
          <w:sz w:val="28"/>
          <w:szCs w:val="28"/>
        </w:rPr>
        <w:t>医院信息维护: 维护医院基本信息，如有多个院区的情况下可以进行添加或修改；</w:t>
      </w:r>
    </w:p>
    <w:p>
      <w:pPr>
        <w:numPr>
          <w:ilvl w:val="0"/>
          <w:numId w:val="48"/>
        </w:numPr>
        <w:tabs>
          <w:tab w:val="left" w:pos="1620"/>
        </w:tabs>
        <w:spacing w:line="500" w:lineRule="exact"/>
        <w:rPr>
          <w:rFonts w:ascii="仿宋" w:hAnsi="仿宋" w:eastAsia="仿宋" w:cs="仿宋"/>
          <w:color w:val="auto"/>
          <w:sz w:val="28"/>
          <w:szCs w:val="28"/>
        </w:rPr>
      </w:pPr>
      <w:r>
        <w:rPr>
          <w:rFonts w:hint="eastAsia" w:ascii="仿宋" w:hAnsi="仿宋" w:eastAsia="仿宋" w:cs="仿宋"/>
          <w:color w:val="auto"/>
          <w:sz w:val="28"/>
          <w:szCs w:val="28"/>
        </w:rPr>
        <w:t>部门信息维护:</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维护检查患者的申请科室（执行科室）信息，分诊时可以通过部门编号和助记码来快速定位某科室；</w:t>
      </w:r>
    </w:p>
    <w:p>
      <w:pPr>
        <w:numPr>
          <w:ilvl w:val="0"/>
          <w:numId w:val="48"/>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用户信息维护：维护系统的使用人员信息，可以分配给用户相应的角色，赋予其所使用PACS/RIS系统的相应权限；</w:t>
      </w:r>
    </w:p>
    <w:p>
      <w:pPr>
        <w:numPr>
          <w:ilvl w:val="0"/>
          <w:numId w:val="48"/>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工作组信息维护：将一系列有相同权限的用户归类为某一个工作组，方便管理；</w:t>
      </w:r>
    </w:p>
    <w:p>
      <w:pPr>
        <w:numPr>
          <w:ilvl w:val="0"/>
          <w:numId w:val="48"/>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设备类型维护：为某设备类型匹配检查项目，设置该设备类型可以做的检查项目，并在分诊中体现出来；</w:t>
      </w:r>
    </w:p>
    <w:p>
      <w:pPr>
        <w:numPr>
          <w:ilvl w:val="0"/>
          <w:numId w:val="48"/>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设备明细维护：添加新设备、修改设备参数等，有操作某设备权限的用户，会查询到该设备（例如：分诊中的设备类型、诊断中的按设备查询等）；</w:t>
      </w:r>
    </w:p>
    <w:p>
      <w:pPr>
        <w:numPr>
          <w:ilvl w:val="0"/>
          <w:numId w:val="48"/>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部位大类维护：进行部位大类的添加与修改操作。还要进行匹配部位明细操作，准确的归类用于统计和影像诊断中的自动预设窗宽窗位；</w:t>
      </w:r>
    </w:p>
    <w:p>
      <w:pPr>
        <w:numPr>
          <w:ilvl w:val="0"/>
          <w:numId w:val="48"/>
        </w:numPr>
        <w:spacing w:line="500" w:lineRule="exact"/>
        <w:rPr>
          <w:rFonts w:ascii="仿宋" w:hAnsi="仿宋" w:eastAsia="仿宋" w:cs="仿宋"/>
          <w:b/>
          <w:color w:val="auto"/>
          <w:sz w:val="28"/>
          <w:szCs w:val="28"/>
        </w:rPr>
      </w:pPr>
      <w:r>
        <w:rPr>
          <w:rFonts w:hint="eastAsia" w:ascii="仿宋" w:hAnsi="仿宋" w:eastAsia="仿宋" w:cs="仿宋"/>
          <w:color w:val="auto"/>
          <w:sz w:val="28"/>
          <w:szCs w:val="28"/>
        </w:rPr>
        <w:t>部位明细维护：添加和修改部位明细。设定指定部位在指定的设备类型上检查；</w:t>
      </w:r>
    </w:p>
    <w:p>
      <w:pPr>
        <w:numPr>
          <w:ilvl w:val="0"/>
          <w:numId w:val="48"/>
        </w:numPr>
        <w:spacing w:line="500" w:lineRule="exact"/>
        <w:rPr>
          <w:rFonts w:ascii="仿宋" w:hAnsi="仿宋" w:eastAsia="仿宋" w:cs="仿宋"/>
          <w:b/>
          <w:color w:val="auto"/>
          <w:sz w:val="28"/>
          <w:szCs w:val="28"/>
        </w:rPr>
      </w:pPr>
      <w:r>
        <w:rPr>
          <w:rFonts w:hint="eastAsia" w:ascii="仿宋" w:hAnsi="仿宋" w:eastAsia="仿宋" w:cs="仿宋"/>
          <w:color w:val="auto"/>
          <w:sz w:val="28"/>
          <w:szCs w:val="28"/>
        </w:rPr>
        <w:t>检查方法维护：添加和修改各设备类型的检查方法，如CT添加平扫、增强；</w:t>
      </w:r>
    </w:p>
    <w:p>
      <w:pPr>
        <w:numPr>
          <w:ilvl w:val="0"/>
          <w:numId w:val="48"/>
        </w:numPr>
        <w:tabs>
          <w:tab w:val="left" w:pos="360"/>
          <w:tab w:val="clear" w:pos="840"/>
        </w:tabs>
        <w:spacing w:line="500" w:lineRule="exact"/>
        <w:ind w:left="900" w:hanging="540"/>
        <w:rPr>
          <w:rFonts w:ascii="仿宋" w:hAnsi="仿宋" w:eastAsia="仿宋" w:cs="仿宋"/>
          <w:b/>
          <w:color w:val="auto"/>
          <w:sz w:val="28"/>
          <w:szCs w:val="28"/>
        </w:rPr>
      </w:pPr>
      <w:r>
        <w:rPr>
          <w:rFonts w:hint="eastAsia" w:ascii="仿宋" w:hAnsi="仿宋" w:eastAsia="仿宋" w:cs="仿宋"/>
          <w:color w:val="auto"/>
          <w:sz w:val="28"/>
          <w:szCs w:val="28"/>
        </w:rPr>
        <w:t>角色信息维护：对角色进行添加、修改、删除操作；</w:t>
      </w:r>
    </w:p>
    <w:p>
      <w:pPr>
        <w:spacing w:line="500" w:lineRule="exact"/>
        <w:rPr>
          <w:rFonts w:ascii="仿宋" w:hAnsi="仿宋" w:eastAsia="仿宋" w:cs="仿宋"/>
          <w:color w:val="auto"/>
          <w:sz w:val="28"/>
          <w:szCs w:val="28"/>
        </w:rPr>
      </w:pPr>
    </w:p>
    <w:p>
      <w:pPr>
        <w:pStyle w:val="5"/>
        <w:spacing w:line="500" w:lineRule="exact"/>
        <w:rPr>
          <w:rFonts w:ascii="仿宋" w:hAnsi="仿宋" w:eastAsia="仿宋" w:cs="仿宋"/>
          <w:color w:val="auto"/>
          <w:sz w:val="28"/>
        </w:rPr>
      </w:pPr>
      <w:bookmarkStart w:id="111" w:name="_Toc319005033"/>
      <w:bookmarkStart w:id="112" w:name="_Toc7703_WPSOffice_Level3"/>
      <w:r>
        <w:rPr>
          <w:rFonts w:hint="eastAsia" w:ascii="仿宋" w:hAnsi="仿宋" w:eastAsia="仿宋" w:cs="仿宋"/>
          <w:color w:val="auto"/>
          <w:sz w:val="28"/>
        </w:rPr>
        <w:t>分诊工作站</w:t>
      </w:r>
      <w:bookmarkEnd w:id="111"/>
      <w:bookmarkEnd w:id="112"/>
    </w:p>
    <w:p>
      <w:pPr>
        <w:spacing w:line="500" w:lineRule="exact"/>
        <w:ind w:firstLine="425"/>
        <w:rPr>
          <w:rFonts w:ascii="仿宋" w:hAnsi="仿宋" w:eastAsia="仿宋" w:cs="仿宋"/>
          <w:color w:val="auto"/>
          <w:kern w:val="0"/>
          <w:sz w:val="28"/>
          <w:szCs w:val="28"/>
        </w:rPr>
      </w:pPr>
      <w:r>
        <w:rPr>
          <w:rFonts w:hint="eastAsia" w:ascii="仿宋" w:hAnsi="仿宋" w:eastAsia="仿宋" w:cs="仿宋"/>
          <w:color w:val="auto"/>
          <w:kern w:val="0"/>
          <w:sz w:val="28"/>
          <w:szCs w:val="28"/>
        </w:rPr>
        <w:t>登记负责录入患者在检查之前的基本信息和检查项目信息，这些信息为下面的检查和统计查询做准备，包括以下检查信息：</w:t>
      </w:r>
    </w:p>
    <w:p>
      <w:pPr>
        <w:spacing w:line="500" w:lineRule="exact"/>
        <w:ind w:firstLine="425"/>
        <w:rPr>
          <w:rFonts w:ascii="仿宋" w:hAnsi="仿宋" w:eastAsia="仿宋" w:cs="仿宋"/>
          <w:color w:val="auto"/>
          <w:kern w:val="0"/>
          <w:sz w:val="28"/>
          <w:szCs w:val="28"/>
        </w:rPr>
      </w:pPr>
    </w:p>
    <w:p>
      <w:pPr>
        <w:numPr>
          <w:ilvl w:val="0"/>
          <w:numId w:val="4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患者的基本信息：录入住院号（门诊号）、影像号、姓名、性别、年龄等信息，对初诊患者，上述信息必须录入，对复诊患者在输入住院号（门诊号）之后，会自动从数据库中得到影像号、姓名、性别、年龄等信息。</w:t>
      </w:r>
    </w:p>
    <w:p>
      <w:pPr>
        <w:numPr>
          <w:ilvl w:val="0"/>
          <w:numId w:val="4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患者的检查信息：录入设备名称、检查部位、检查项目、申请科室和检查时间等信息。</w:t>
      </w:r>
    </w:p>
    <w:p>
      <w:pPr>
        <w:numPr>
          <w:ilvl w:val="0"/>
          <w:numId w:val="4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申请单扫描：在患者检查登记的过程中，可以增加患者的申请单扫描，扫描后的申请单可保存在系统中，供诊断医院参考。系统支持多种图像输入设备、包括扫描仪、数码相机等。</w:t>
      </w:r>
    </w:p>
    <w:p>
      <w:pPr>
        <w:numPr>
          <w:ilvl w:val="0"/>
          <w:numId w:val="49"/>
        </w:numPr>
        <w:spacing w:line="50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通过与医院信息系统（HIS）的数据接口，可以直接从HIS系统中获得患者的基本信息、患者的检查申请信息等。这些数据和医疗影像相结合，用于PACS和RIS系统中的各种信息管理。</w:t>
      </w:r>
    </w:p>
    <w:p>
      <w:pPr>
        <w:pStyle w:val="5"/>
        <w:spacing w:line="500" w:lineRule="exact"/>
        <w:rPr>
          <w:rFonts w:ascii="仿宋" w:hAnsi="仿宋" w:eastAsia="仿宋" w:cs="仿宋"/>
          <w:color w:val="auto"/>
          <w:sz w:val="28"/>
        </w:rPr>
      </w:pPr>
      <w:bookmarkStart w:id="113" w:name="_Toc25712_WPSOffice_Level3"/>
      <w:bookmarkStart w:id="114" w:name="_Toc319005036"/>
      <w:r>
        <w:rPr>
          <w:rFonts w:hint="eastAsia" w:ascii="仿宋" w:hAnsi="仿宋" w:eastAsia="仿宋" w:cs="仿宋"/>
          <w:color w:val="auto"/>
          <w:sz w:val="28"/>
        </w:rPr>
        <w:t>影像诊断工作站</w:t>
      </w:r>
      <w:bookmarkEnd w:id="113"/>
      <w:bookmarkEnd w:id="114"/>
    </w:p>
    <w:p>
      <w:pPr>
        <w:pStyle w:val="6"/>
        <w:spacing w:line="500" w:lineRule="exact"/>
        <w:rPr>
          <w:rFonts w:ascii="仿宋" w:hAnsi="仿宋" w:eastAsia="仿宋" w:cs="仿宋"/>
          <w:color w:val="auto"/>
        </w:rPr>
      </w:pPr>
      <w:bookmarkStart w:id="115" w:name="_Toc319005037"/>
      <w:bookmarkStart w:id="116" w:name="_Toc309417352"/>
      <w:bookmarkStart w:id="117" w:name="_Toc309584882"/>
      <w:bookmarkStart w:id="118" w:name="_Toc1029_WPSOffice_Level3"/>
      <w:bookmarkStart w:id="119" w:name="_Toc141698412"/>
      <w:r>
        <w:rPr>
          <w:rFonts w:hint="eastAsia" w:ascii="仿宋" w:hAnsi="仿宋" w:eastAsia="仿宋" w:cs="仿宋"/>
          <w:color w:val="auto"/>
        </w:rPr>
        <w:t>信息查询与管理</w:t>
      </w:r>
      <w:bookmarkEnd w:id="115"/>
      <w:bookmarkEnd w:id="116"/>
      <w:bookmarkEnd w:id="117"/>
      <w:bookmarkEnd w:id="118"/>
      <w:bookmarkEnd w:id="119"/>
    </w:p>
    <w:p>
      <w:pPr>
        <w:pStyle w:val="41"/>
        <w:spacing w:line="500" w:lineRule="exact"/>
        <w:ind w:left="0" w:firstLine="420"/>
        <w:rPr>
          <w:rFonts w:ascii="仿宋" w:hAnsi="仿宋" w:eastAsia="仿宋" w:cs="仿宋"/>
          <w:color w:val="auto"/>
          <w:sz w:val="28"/>
          <w:szCs w:val="28"/>
        </w:rPr>
      </w:pPr>
      <w:r>
        <w:rPr>
          <w:rFonts w:hint="eastAsia" w:ascii="仿宋" w:hAnsi="仿宋" w:eastAsia="仿宋" w:cs="仿宋"/>
          <w:color w:val="auto"/>
          <w:sz w:val="28"/>
          <w:szCs w:val="28"/>
        </w:rPr>
        <w:t>患者信息查询与管理是医生在待诊断、查询患者信息的综合管理工具，信息查询与管理功能与影像诊断工作站集成在一起，管理功能如下：</w:t>
      </w:r>
    </w:p>
    <w:p>
      <w:pPr>
        <w:numPr>
          <w:ilvl w:val="0"/>
          <w:numId w:val="50"/>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基本信息查询：根据患者的影像号、姓名、年龄、性别、设备类型、检查状态、检查时间等条件进行查询，查询到满足条件的患者列表显示，供医生进行、诊断、阅片等操作；</w:t>
      </w:r>
    </w:p>
    <w:p>
      <w:pPr>
        <w:numPr>
          <w:ilvl w:val="0"/>
          <w:numId w:val="50"/>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 xml:space="preserve">高级查询：高级查询可用于在科研、教学特定条件下的影像资料查询，根据患者的住院号（门诊号）、检查部位、检查项目、申请科室、科研病例、特殊病例、一线医生姓名、二线医生姓名等条件进行查询； </w:t>
      </w:r>
    </w:p>
    <w:p>
      <w:pPr>
        <w:pStyle w:val="6"/>
        <w:spacing w:line="500" w:lineRule="exact"/>
        <w:rPr>
          <w:rFonts w:ascii="仿宋" w:hAnsi="仿宋" w:eastAsia="仿宋" w:cs="仿宋"/>
          <w:color w:val="auto"/>
        </w:rPr>
      </w:pPr>
      <w:bookmarkStart w:id="120" w:name="_Toc141698415"/>
      <w:bookmarkStart w:id="121" w:name="_Toc319005040"/>
      <w:bookmarkStart w:id="122" w:name="_Toc26745_WPSOffice_Level3"/>
      <w:bookmarkStart w:id="123" w:name="_Toc309584885"/>
      <w:bookmarkStart w:id="124" w:name="_Toc309417355"/>
      <w:r>
        <w:rPr>
          <w:rFonts w:hint="eastAsia" w:ascii="仿宋" w:hAnsi="仿宋" w:eastAsia="仿宋" w:cs="仿宋"/>
          <w:color w:val="auto"/>
        </w:rPr>
        <w:t>工作站基本功能</w:t>
      </w:r>
      <w:bookmarkEnd w:id="120"/>
      <w:bookmarkEnd w:id="121"/>
      <w:bookmarkEnd w:id="122"/>
      <w:bookmarkEnd w:id="123"/>
      <w:bookmarkEnd w:id="124"/>
    </w:p>
    <w:p>
      <w:pPr>
        <w:spacing w:line="500" w:lineRule="exact"/>
        <w:rPr>
          <w:rFonts w:ascii="仿宋" w:hAnsi="仿宋" w:eastAsia="仿宋" w:cs="仿宋"/>
          <w:color w:val="auto"/>
          <w:sz w:val="28"/>
          <w:szCs w:val="28"/>
        </w:rPr>
      </w:pPr>
    </w:p>
    <w:p>
      <w:pPr>
        <w:pStyle w:val="41"/>
        <w:numPr>
          <w:ilvl w:val="0"/>
          <w:numId w:val="51"/>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急诊患者图像管理：针对急诊患者可不进行分诊操作，直接进入到设备进行检查，系统将根据DICOM3 WORKLIST，进行病人资料的传输，并可在诊断过程中补录分诊信息；</w:t>
      </w:r>
    </w:p>
    <w:p>
      <w:pPr>
        <w:pStyle w:val="41"/>
        <w:numPr>
          <w:ilvl w:val="0"/>
          <w:numId w:val="51"/>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图像导入/导出：导出/导入DICOM3.0格式、BMP、JPEG、AVI等格式文件；</w:t>
      </w:r>
    </w:p>
    <w:p>
      <w:pPr>
        <w:pStyle w:val="41"/>
        <w:numPr>
          <w:ilvl w:val="0"/>
          <w:numId w:val="51"/>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相关诊断功能：显示本病人的所有不同时间、不同设备的相关影像检查资料；同时可查询调阅或其它患者不同时间、不同设备的相关影像检查资料。</w:t>
      </w:r>
    </w:p>
    <w:p>
      <w:pPr>
        <w:pStyle w:val="41"/>
        <w:numPr>
          <w:ilvl w:val="0"/>
          <w:numId w:val="51"/>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迅速进入工作状态：系统支持在调入图像的同时进行图像显示和诊断工作，医生可以在第一幅图调入后就可以进入阅片工作状态；</w:t>
      </w:r>
    </w:p>
    <w:p>
      <w:pPr>
        <w:pStyle w:val="41"/>
        <w:spacing w:line="500" w:lineRule="exact"/>
        <w:rPr>
          <w:rFonts w:ascii="仿宋" w:hAnsi="仿宋" w:eastAsia="仿宋" w:cs="仿宋"/>
          <w:color w:val="auto"/>
          <w:sz w:val="28"/>
          <w:szCs w:val="28"/>
        </w:rPr>
      </w:pPr>
    </w:p>
    <w:p>
      <w:pPr>
        <w:pStyle w:val="6"/>
        <w:spacing w:line="500" w:lineRule="exact"/>
        <w:rPr>
          <w:rFonts w:ascii="仿宋" w:hAnsi="仿宋" w:eastAsia="仿宋" w:cs="仿宋"/>
          <w:color w:val="auto"/>
        </w:rPr>
      </w:pPr>
      <w:bookmarkStart w:id="125" w:name="_Toc141698416"/>
      <w:bookmarkStart w:id="126" w:name="_Toc309417356"/>
      <w:bookmarkStart w:id="127" w:name="_Toc309584886"/>
      <w:bookmarkStart w:id="128" w:name="_Toc319005041"/>
      <w:bookmarkStart w:id="129" w:name="_Toc26171_WPSOffice_Level3"/>
      <w:r>
        <w:rPr>
          <w:rFonts w:hint="eastAsia" w:ascii="仿宋" w:hAnsi="仿宋" w:eastAsia="仿宋" w:cs="仿宋"/>
          <w:color w:val="auto"/>
        </w:rPr>
        <w:t>影像</w:t>
      </w:r>
      <w:bookmarkEnd w:id="125"/>
      <w:bookmarkEnd w:id="126"/>
      <w:r>
        <w:rPr>
          <w:rFonts w:hint="eastAsia" w:ascii="仿宋" w:hAnsi="仿宋" w:eastAsia="仿宋" w:cs="仿宋"/>
          <w:color w:val="auto"/>
        </w:rPr>
        <w:t>浏览功能</w:t>
      </w:r>
      <w:bookmarkEnd w:id="127"/>
      <w:bookmarkEnd w:id="128"/>
      <w:bookmarkEnd w:id="129"/>
    </w:p>
    <w:p>
      <w:pPr>
        <w:spacing w:line="500" w:lineRule="exact"/>
        <w:rPr>
          <w:rFonts w:ascii="仿宋" w:hAnsi="仿宋" w:eastAsia="仿宋" w:cs="仿宋"/>
          <w:color w:val="auto"/>
          <w:sz w:val="28"/>
          <w:szCs w:val="28"/>
        </w:rPr>
      </w:pPr>
    </w:p>
    <w:p>
      <w:pPr>
        <w:pStyle w:val="41"/>
        <w:numPr>
          <w:ilvl w:val="0"/>
          <w:numId w:val="52"/>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图像缩放功能：随着鼠标的移动平滑的放大、缩小整个医疗影像，以方便医生的观察。</w:t>
      </w:r>
    </w:p>
    <w:p>
      <w:pPr>
        <w:pStyle w:val="41"/>
        <w:numPr>
          <w:ilvl w:val="0"/>
          <w:numId w:val="52"/>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左右上下旋转功能：医疗影像以±90°或±180°的增值旋转医疗影像。</w:t>
      </w:r>
    </w:p>
    <w:p>
      <w:pPr>
        <w:pStyle w:val="41"/>
        <w:numPr>
          <w:ilvl w:val="0"/>
          <w:numId w:val="52"/>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镜像功能：医疗影像左右、上下镜像对调。</w:t>
      </w:r>
    </w:p>
    <w:p>
      <w:pPr>
        <w:pStyle w:val="41"/>
        <w:numPr>
          <w:ilvl w:val="0"/>
          <w:numId w:val="52"/>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图像漫游功能：把感兴趣部位的医疗影像移动到视窗中心以便于观察。</w:t>
      </w:r>
    </w:p>
    <w:p>
      <w:pPr>
        <w:pStyle w:val="41"/>
        <w:numPr>
          <w:ilvl w:val="0"/>
          <w:numId w:val="52"/>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黑白反相功能：当前的医疗影像黑白反相处理。</w:t>
      </w:r>
    </w:p>
    <w:p>
      <w:pPr>
        <w:pStyle w:val="41"/>
        <w:numPr>
          <w:ilvl w:val="0"/>
          <w:numId w:val="52"/>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放大镜功能：可设置放大镜尺寸和放大倍数，以一定比例局部放大指定位置的影像。</w:t>
      </w:r>
    </w:p>
    <w:p>
      <w:pPr>
        <w:pStyle w:val="6"/>
        <w:spacing w:line="500" w:lineRule="exact"/>
        <w:rPr>
          <w:rFonts w:ascii="仿宋" w:hAnsi="仿宋" w:eastAsia="仿宋" w:cs="仿宋"/>
          <w:color w:val="auto"/>
        </w:rPr>
      </w:pPr>
      <w:bookmarkStart w:id="130" w:name="_Toc309584887"/>
      <w:bookmarkStart w:id="131" w:name="_Toc1444_WPSOffice_Level3"/>
      <w:bookmarkStart w:id="132" w:name="_Toc309417357"/>
      <w:bookmarkStart w:id="133" w:name="_Toc141698417"/>
      <w:bookmarkStart w:id="134" w:name="_Toc319005042"/>
      <w:r>
        <w:rPr>
          <w:rFonts w:hint="eastAsia" w:ascii="仿宋" w:hAnsi="仿宋" w:eastAsia="仿宋" w:cs="仿宋"/>
          <w:color w:val="auto"/>
        </w:rPr>
        <w:t>辅助测量与标注功能</w:t>
      </w:r>
      <w:bookmarkEnd w:id="130"/>
      <w:bookmarkEnd w:id="131"/>
      <w:bookmarkEnd w:id="132"/>
      <w:bookmarkEnd w:id="133"/>
      <w:bookmarkEnd w:id="134"/>
    </w:p>
    <w:p>
      <w:pPr>
        <w:pStyle w:val="41"/>
        <w:numPr>
          <w:ilvl w:val="0"/>
          <w:numId w:val="5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直线距离测量：用于标识影像中病变部位的长度尺寸。</w:t>
      </w:r>
    </w:p>
    <w:p>
      <w:pPr>
        <w:pStyle w:val="41"/>
        <w:numPr>
          <w:ilvl w:val="0"/>
          <w:numId w:val="5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角度测量：测量影像中病变部位的角度。</w:t>
      </w:r>
    </w:p>
    <w:p>
      <w:pPr>
        <w:pStyle w:val="41"/>
        <w:numPr>
          <w:ilvl w:val="0"/>
          <w:numId w:val="53"/>
        </w:numPr>
        <w:spacing w:line="500" w:lineRule="exact"/>
        <w:rPr>
          <w:rFonts w:ascii="仿宋" w:hAnsi="仿宋" w:eastAsia="仿宋" w:cs="仿宋"/>
          <w:color w:val="auto"/>
          <w:sz w:val="28"/>
          <w:szCs w:val="28"/>
        </w:rPr>
      </w:pPr>
      <w:r>
        <w:rPr>
          <w:rFonts w:hint="eastAsia" w:ascii="仿宋" w:hAnsi="仿宋" w:eastAsia="仿宋" w:cs="仿宋"/>
          <w:color w:val="auto"/>
          <w:kern w:val="0"/>
          <w:sz w:val="28"/>
          <w:szCs w:val="28"/>
        </w:rPr>
        <w:t>椭圆测量（面积和密度均值）</w:t>
      </w:r>
      <w:r>
        <w:rPr>
          <w:rFonts w:hint="eastAsia" w:ascii="仿宋" w:hAnsi="仿宋" w:eastAsia="仿宋" w:cs="仿宋"/>
          <w:color w:val="auto"/>
          <w:sz w:val="28"/>
          <w:szCs w:val="28"/>
        </w:rPr>
        <w:t>：画出椭圆区域并可测量此区域的面积和密度均值。</w:t>
      </w:r>
    </w:p>
    <w:p>
      <w:pPr>
        <w:pStyle w:val="41"/>
        <w:numPr>
          <w:ilvl w:val="0"/>
          <w:numId w:val="53"/>
        </w:numPr>
        <w:spacing w:line="500" w:lineRule="exact"/>
        <w:rPr>
          <w:rFonts w:ascii="仿宋" w:hAnsi="仿宋" w:eastAsia="仿宋" w:cs="仿宋"/>
          <w:color w:val="auto"/>
          <w:sz w:val="28"/>
          <w:szCs w:val="28"/>
        </w:rPr>
      </w:pPr>
      <w:r>
        <w:rPr>
          <w:rFonts w:hint="eastAsia" w:ascii="仿宋" w:hAnsi="仿宋" w:eastAsia="仿宋" w:cs="仿宋"/>
          <w:color w:val="auto"/>
          <w:kern w:val="0"/>
          <w:sz w:val="28"/>
          <w:szCs w:val="28"/>
        </w:rPr>
        <w:t>矩形测量（面积和密度均值）</w:t>
      </w:r>
      <w:r>
        <w:rPr>
          <w:rFonts w:hint="eastAsia" w:ascii="仿宋" w:hAnsi="仿宋" w:eastAsia="仿宋" w:cs="仿宋"/>
          <w:color w:val="auto"/>
          <w:sz w:val="28"/>
          <w:szCs w:val="28"/>
        </w:rPr>
        <w:t>：画出矩形区域并可测量此区域的面积和密度均值。</w:t>
      </w:r>
    </w:p>
    <w:p>
      <w:pPr>
        <w:pStyle w:val="41"/>
        <w:numPr>
          <w:ilvl w:val="0"/>
          <w:numId w:val="5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不规则手画线：用于勾画出敏感区域，并可测量此区域的面积和密度均值。</w:t>
      </w:r>
    </w:p>
    <w:p>
      <w:pPr>
        <w:pStyle w:val="41"/>
        <w:numPr>
          <w:ilvl w:val="0"/>
          <w:numId w:val="5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ROI值曲线：直接获得其CT值变化的曲线；</w:t>
      </w:r>
    </w:p>
    <w:p>
      <w:pPr>
        <w:pStyle w:val="41"/>
        <w:numPr>
          <w:ilvl w:val="0"/>
          <w:numId w:val="5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ROI值测量：测量CT或MRI图像上不同坐标点的ROI值；</w:t>
      </w:r>
    </w:p>
    <w:p>
      <w:pPr>
        <w:pStyle w:val="41"/>
        <w:numPr>
          <w:ilvl w:val="0"/>
          <w:numId w:val="5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折线区域测量：画出折线区域并可测量此区域的面积和密度均值。</w:t>
      </w:r>
    </w:p>
    <w:p>
      <w:pPr>
        <w:pStyle w:val="41"/>
        <w:numPr>
          <w:ilvl w:val="0"/>
          <w:numId w:val="5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箭头标注：用于标识病变部位。</w:t>
      </w:r>
    </w:p>
    <w:p>
      <w:pPr>
        <w:pStyle w:val="4"/>
        <w:spacing w:line="500" w:lineRule="exact"/>
        <w:rPr>
          <w:rFonts w:ascii="仿宋" w:hAnsi="仿宋" w:eastAsia="仿宋" w:cs="仿宋"/>
          <w:color w:val="auto"/>
          <w:szCs w:val="28"/>
        </w:rPr>
      </w:pPr>
      <w:bookmarkStart w:id="135" w:name="_Toc45025485"/>
      <w:bookmarkStart w:id="136" w:name="_Toc4678_WPSOffice_Level2"/>
      <w:bookmarkStart w:id="137" w:name="_Toc445550792"/>
      <w:bookmarkStart w:id="138" w:name="_Toc319005057"/>
      <w:r>
        <w:rPr>
          <w:rFonts w:hint="eastAsia" w:ascii="仿宋" w:hAnsi="仿宋" w:eastAsia="仿宋" w:cs="仿宋"/>
          <w:color w:val="auto"/>
          <w:szCs w:val="28"/>
        </w:rPr>
        <w:t>超声科影像系统</w:t>
      </w:r>
      <w:bookmarkEnd w:id="135"/>
      <w:bookmarkEnd w:id="136"/>
      <w:bookmarkEnd w:id="137"/>
      <w:bookmarkEnd w:id="138"/>
    </w:p>
    <w:p>
      <w:pPr>
        <w:pStyle w:val="5"/>
        <w:spacing w:line="500" w:lineRule="exact"/>
        <w:rPr>
          <w:rFonts w:ascii="仿宋" w:hAnsi="仿宋" w:eastAsia="仿宋" w:cs="仿宋"/>
          <w:color w:val="auto"/>
          <w:sz w:val="28"/>
        </w:rPr>
      </w:pPr>
      <w:bookmarkStart w:id="139" w:name="_Toc319005058"/>
      <w:bookmarkStart w:id="140" w:name="_Toc14414_WPSOffice_Level3"/>
      <w:r>
        <w:rPr>
          <w:rFonts w:hint="eastAsia" w:ascii="仿宋" w:hAnsi="仿宋" w:eastAsia="仿宋" w:cs="仿宋"/>
          <w:color w:val="auto"/>
          <w:sz w:val="28"/>
        </w:rPr>
        <w:t>分诊工作站</w:t>
      </w:r>
      <w:bookmarkEnd w:id="139"/>
      <w:bookmarkEnd w:id="140"/>
    </w:p>
    <w:p>
      <w:pPr>
        <w:numPr>
          <w:ilvl w:val="0"/>
          <w:numId w:val="54"/>
        </w:numPr>
        <w:autoSpaceDE w:val="0"/>
        <w:autoSpaceDN w:val="0"/>
        <w:adjustRightInd w:val="0"/>
        <w:spacing w:after="171" w:line="50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负责录入患者在检查之前的基本信息 </w:t>
      </w:r>
    </w:p>
    <w:p>
      <w:pPr>
        <w:numPr>
          <w:ilvl w:val="0"/>
          <w:numId w:val="54"/>
        </w:numPr>
        <w:autoSpaceDE w:val="0"/>
        <w:autoSpaceDN w:val="0"/>
        <w:adjustRightInd w:val="0"/>
        <w:spacing w:after="171" w:line="50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直接和HIS系统连接，获取患者的检查申请</w:t>
      </w:r>
    </w:p>
    <w:p>
      <w:pPr>
        <w:numPr>
          <w:ilvl w:val="0"/>
          <w:numId w:val="54"/>
        </w:numPr>
        <w:autoSpaceDE w:val="0"/>
        <w:autoSpaceDN w:val="0"/>
        <w:adjustRightInd w:val="0"/>
        <w:spacing w:after="171" w:line="50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负责录入病理检查的相关信息</w:t>
      </w:r>
    </w:p>
    <w:p>
      <w:pPr>
        <w:spacing w:line="500" w:lineRule="exact"/>
        <w:rPr>
          <w:rFonts w:ascii="仿宋" w:hAnsi="仿宋" w:eastAsia="仿宋" w:cs="仿宋"/>
          <w:color w:val="auto"/>
          <w:sz w:val="28"/>
          <w:szCs w:val="28"/>
        </w:rPr>
      </w:pPr>
    </w:p>
    <w:p>
      <w:pPr>
        <w:pStyle w:val="5"/>
        <w:spacing w:line="500" w:lineRule="exact"/>
        <w:rPr>
          <w:rFonts w:ascii="仿宋" w:hAnsi="仿宋" w:eastAsia="仿宋" w:cs="仿宋"/>
          <w:color w:val="auto"/>
          <w:sz w:val="28"/>
        </w:rPr>
      </w:pPr>
      <w:bookmarkStart w:id="141" w:name="_Toc24368_WPSOffice_Level3"/>
      <w:bookmarkStart w:id="142" w:name="_Toc319005059"/>
      <w:r>
        <w:rPr>
          <w:rFonts w:hint="eastAsia" w:ascii="仿宋" w:hAnsi="仿宋" w:eastAsia="仿宋" w:cs="仿宋"/>
          <w:color w:val="auto"/>
          <w:sz w:val="28"/>
        </w:rPr>
        <w:t>超声图文报告工作站</w:t>
      </w:r>
      <w:bookmarkEnd w:id="141"/>
      <w:bookmarkEnd w:id="142"/>
    </w:p>
    <w:p>
      <w:pPr>
        <w:pStyle w:val="6"/>
        <w:spacing w:line="500" w:lineRule="exact"/>
        <w:rPr>
          <w:rFonts w:ascii="仿宋" w:hAnsi="仿宋" w:eastAsia="仿宋" w:cs="仿宋"/>
          <w:color w:val="auto"/>
        </w:rPr>
      </w:pPr>
      <w:bookmarkStart w:id="143" w:name="_Toc319005060"/>
      <w:bookmarkStart w:id="144" w:name="_Toc28686_WPSOffice_Level3"/>
      <w:r>
        <w:rPr>
          <w:rFonts w:hint="eastAsia" w:ascii="仿宋" w:hAnsi="仿宋" w:eastAsia="仿宋" w:cs="仿宋"/>
          <w:color w:val="auto"/>
        </w:rPr>
        <w:t>图像采集</w:t>
      </w:r>
      <w:bookmarkEnd w:id="143"/>
      <w:bookmarkEnd w:id="144"/>
    </w:p>
    <w:p>
      <w:pPr>
        <w:pStyle w:val="40"/>
        <w:numPr>
          <w:ilvl w:val="0"/>
          <w:numId w:val="55"/>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DICOM3.0图像采集：通过DICOM3.0接口自动采集患者的动、静态超声图像 </w:t>
      </w:r>
    </w:p>
    <w:p>
      <w:pPr>
        <w:pStyle w:val="40"/>
        <w:numPr>
          <w:ilvl w:val="0"/>
          <w:numId w:val="55"/>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视频图像采集：视频采集有静态图像（照相、定时采集）和动态图像（录像）两种采集方式 </w:t>
      </w:r>
    </w:p>
    <w:p>
      <w:pPr>
        <w:pStyle w:val="40"/>
        <w:numPr>
          <w:ilvl w:val="1"/>
          <w:numId w:val="55"/>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支持的接口类型：模拟信号输出，支持复合信号源和RGB分量信号源 </w:t>
      </w:r>
    </w:p>
    <w:p>
      <w:pPr>
        <w:pStyle w:val="40"/>
        <w:numPr>
          <w:ilvl w:val="1"/>
          <w:numId w:val="55"/>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动态图像录像视频采集参数：图像尺寸768x576，录像文件大小 &lt;=5MB/分钟，文件压缩方法是 divX（mpeg4），图像文件为AVI录像 </w:t>
      </w:r>
    </w:p>
    <w:p>
      <w:pPr>
        <w:pStyle w:val="40"/>
        <w:numPr>
          <w:ilvl w:val="1"/>
          <w:numId w:val="55"/>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静态图像采集照相：手动采集，每次采集一幅图像，图像尺寸最小为 768 x 576 </w:t>
      </w:r>
    </w:p>
    <w:p>
      <w:pPr>
        <w:pStyle w:val="40"/>
        <w:numPr>
          <w:ilvl w:val="1"/>
          <w:numId w:val="55"/>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静态图像采集定时采集：可定义最小1秒钟采集一幅图像，连续自动采集多幅图像，参数与手动采集相同</w:t>
      </w:r>
    </w:p>
    <w:p>
      <w:pPr>
        <w:pStyle w:val="40"/>
        <w:spacing w:line="500" w:lineRule="exact"/>
        <w:rPr>
          <w:rFonts w:ascii="仿宋" w:hAnsi="仿宋" w:eastAsia="仿宋" w:cs="仿宋"/>
          <w:color w:val="auto"/>
          <w:sz w:val="28"/>
          <w:szCs w:val="28"/>
        </w:rPr>
      </w:pPr>
    </w:p>
    <w:p>
      <w:pPr>
        <w:pStyle w:val="6"/>
        <w:spacing w:line="500" w:lineRule="exact"/>
        <w:rPr>
          <w:rFonts w:ascii="仿宋" w:hAnsi="仿宋" w:eastAsia="仿宋" w:cs="仿宋"/>
          <w:color w:val="auto"/>
        </w:rPr>
      </w:pPr>
      <w:bookmarkStart w:id="145" w:name="_Toc319005061"/>
      <w:bookmarkStart w:id="146" w:name="_Toc31639_WPSOffice_Level3"/>
      <w:r>
        <w:rPr>
          <w:rFonts w:hint="eastAsia" w:ascii="仿宋" w:hAnsi="仿宋" w:eastAsia="仿宋" w:cs="仿宋"/>
          <w:color w:val="auto"/>
        </w:rPr>
        <w:t>超声图文报告工作站</w:t>
      </w:r>
      <w:bookmarkEnd w:id="145"/>
      <w:bookmarkEnd w:id="146"/>
    </w:p>
    <w:p>
      <w:pPr>
        <w:pStyle w:val="40"/>
        <w:numPr>
          <w:ilvl w:val="0"/>
          <w:numId w:val="56"/>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通过采集卡，可以实时显示设备图像并采集 </w:t>
      </w:r>
    </w:p>
    <w:p>
      <w:pPr>
        <w:pStyle w:val="40"/>
        <w:numPr>
          <w:ilvl w:val="0"/>
          <w:numId w:val="56"/>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支持动态图像 </w:t>
      </w:r>
    </w:p>
    <w:p>
      <w:pPr>
        <w:pStyle w:val="40"/>
        <w:numPr>
          <w:ilvl w:val="0"/>
          <w:numId w:val="56"/>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对有DICOM接口的设备实现DICOM采集图像 </w:t>
      </w:r>
    </w:p>
    <w:p>
      <w:pPr>
        <w:pStyle w:val="40"/>
        <w:numPr>
          <w:ilvl w:val="0"/>
          <w:numId w:val="56"/>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可将非DICOM图像转化为DICOM图像 </w:t>
      </w:r>
    </w:p>
    <w:p>
      <w:pPr>
        <w:pStyle w:val="40"/>
        <w:numPr>
          <w:ilvl w:val="0"/>
          <w:numId w:val="56"/>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支持单帧，限时录像、无限时录像 </w:t>
      </w:r>
    </w:p>
    <w:p>
      <w:pPr>
        <w:pStyle w:val="40"/>
        <w:numPr>
          <w:ilvl w:val="0"/>
          <w:numId w:val="56"/>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提供完整的图像后处理功能，如图像标注、倒置、图像裁剪等 </w:t>
      </w:r>
    </w:p>
    <w:p>
      <w:pPr>
        <w:pStyle w:val="40"/>
        <w:numPr>
          <w:ilvl w:val="0"/>
          <w:numId w:val="56"/>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支持图像和视频的导出、导入 </w:t>
      </w:r>
    </w:p>
    <w:p>
      <w:pPr>
        <w:pStyle w:val="40"/>
        <w:numPr>
          <w:ilvl w:val="0"/>
          <w:numId w:val="56"/>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异步图像采集，医师书写报告时，不影响图像采集 </w:t>
      </w:r>
    </w:p>
    <w:p>
      <w:pPr>
        <w:pStyle w:val="40"/>
        <w:numPr>
          <w:ilvl w:val="0"/>
          <w:numId w:val="56"/>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支持MPEG-IV、DICOM Multiframe等多种数据编码格式 </w:t>
      </w:r>
    </w:p>
    <w:p>
      <w:pPr>
        <w:pStyle w:val="40"/>
        <w:numPr>
          <w:ilvl w:val="0"/>
          <w:numId w:val="56"/>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与报告整合在一起形成图文并茂的报告 </w:t>
      </w:r>
    </w:p>
    <w:p>
      <w:pPr>
        <w:pStyle w:val="40"/>
        <w:numPr>
          <w:ilvl w:val="0"/>
          <w:numId w:val="56"/>
        </w:numPr>
        <w:spacing w:line="500" w:lineRule="exact"/>
        <w:jc w:val="both"/>
        <w:rPr>
          <w:rFonts w:ascii="仿宋" w:hAnsi="仿宋" w:eastAsia="仿宋" w:cs="仿宋"/>
          <w:color w:val="auto"/>
          <w:sz w:val="28"/>
          <w:szCs w:val="28"/>
        </w:rPr>
      </w:pPr>
      <w:r>
        <w:rPr>
          <w:rFonts w:hint="eastAsia" w:ascii="仿宋" w:hAnsi="仿宋" w:eastAsia="仿宋" w:cs="仿宋"/>
          <w:color w:val="auto"/>
          <w:sz w:val="28"/>
          <w:szCs w:val="28"/>
        </w:rPr>
        <w:t>在图像采集之后，需要对诊断报告进行编辑，在诊断报告编辑过程中可以调入已有的报告模板，同时也可以将新写的报告以报告模板的形式保存起来，供以后的诊断应用</w:t>
      </w:r>
    </w:p>
    <w:p>
      <w:pPr>
        <w:pStyle w:val="2"/>
        <w:tabs>
          <w:tab w:val="clear" w:pos="576"/>
          <w:tab w:val="clear" w:pos="1296"/>
        </w:tabs>
        <w:spacing w:line="500" w:lineRule="exact"/>
        <w:rPr>
          <w:rFonts w:ascii="仿宋" w:hAnsi="仿宋" w:eastAsia="仿宋" w:cs="仿宋"/>
          <w:color w:val="auto"/>
          <w:szCs w:val="28"/>
        </w:rPr>
      </w:pPr>
      <w:bookmarkStart w:id="147" w:name="_Toc45025486"/>
      <w:r>
        <w:rPr>
          <w:rFonts w:hint="eastAsia" w:ascii="仿宋" w:hAnsi="仿宋" w:eastAsia="仿宋" w:cs="仿宋"/>
          <w:color w:val="auto"/>
          <w:szCs w:val="28"/>
        </w:rPr>
        <w:t>检验系统</w:t>
      </w:r>
      <w:bookmarkEnd w:id="107"/>
      <w:bookmarkEnd w:id="147"/>
    </w:p>
    <w:p>
      <w:pPr>
        <w:pStyle w:val="4"/>
        <w:tabs>
          <w:tab w:val="left" w:pos="864"/>
          <w:tab w:val="clear" w:pos="0"/>
        </w:tabs>
        <w:spacing w:line="500" w:lineRule="exact"/>
        <w:rPr>
          <w:rFonts w:ascii="仿宋" w:hAnsi="仿宋" w:eastAsia="仿宋" w:cs="仿宋"/>
          <w:color w:val="auto"/>
          <w:szCs w:val="28"/>
        </w:rPr>
      </w:pPr>
      <w:bookmarkStart w:id="148" w:name="_Toc45025487"/>
      <w:bookmarkStart w:id="149" w:name="_Toc21991"/>
      <w:r>
        <w:rPr>
          <w:rFonts w:hint="eastAsia" w:ascii="仿宋" w:hAnsi="仿宋" w:eastAsia="仿宋" w:cs="仿宋"/>
          <w:color w:val="auto"/>
          <w:szCs w:val="28"/>
        </w:rPr>
        <w:t>标本采集</w:t>
      </w:r>
      <w:bookmarkEnd w:id="148"/>
      <w:bookmarkEnd w:id="149"/>
    </w:p>
    <w:p>
      <w:pPr>
        <w:numPr>
          <w:ilvl w:val="0"/>
          <w:numId w:val="57"/>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系统支持打印条码工作模式。</w:t>
      </w:r>
    </w:p>
    <w:p>
      <w:pPr>
        <w:numPr>
          <w:ilvl w:val="0"/>
          <w:numId w:val="57"/>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自动提示本采样需用的采样管类型、颜色等。</w:t>
      </w:r>
    </w:p>
    <w:p>
      <w:pPr>
        <w:numPr>
          <w:ilvl w:val="0"/>
          <w:numId w:val="57"/>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打印的样本标签应有明确的标识，区分各个不同的小组。</w:t>
      </w:r>
    </w:p>
    <w:p>
      <w:pPr>
        <w:numPr>
          <w:ilvl w:val="0"/>
          <w:numId w:val="57"/>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样本采集模块有相应的样本采集信息的记录，包括：样本采集时间、样本量、其他采样说明等信息（根据医院需求），自动采集样本类型。</w:t>
      </w:r>
    </w:p>
    <w:p>
      <w:pPr>
        <w:pStyle w:val="4"/>
        <w:tabs>
          <w:tab w:val="left" w:pos="864"/>
          <w:tab w:val="clear" w:pos="0"/>
        </w:tabs>
        <w:spacing w:line="500" w:lineRule="exact"/>
        <w:rPr>
          <w:rFonts w:ascii="仿宋" w:hAnsi="仿宋" w:eastAsia="仿宋" w:cs="仿宋"/>
          <w:color w:val="auto"/>
          <w:szCs w:val="28"/>
        </w:rPr>
      </w:pPr>
      <w:bookmarkStart w:id="150" w:name="_Toc45025488"/>
      <w:bookmarkStart w:id="151" w:name="_Toc13103"/>
      <w:r>
        <w:rPr>
          <w:rFonts w:hint="eastAsia" w:ascii="仿宋" w:hAnsi="仿宋" w:eastAsia="仿宋" w:cs="仿宋"/>
          <w:color w:val="auto"/>
          <w:szCs w:val="28"/>
        </w:rPr>
        <w:t>样本核收</w:t>
      </w:r>
      <w:bookmarkEnd w:id="150"/>
      <w:bookmarkEnd w:id="151"/>
    </w:p>
    <w:p>
      <w:pPr>
        <w:numPr>
          <w:ilvl w:val="0"/>
          <w:numId w:val="58"/>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支持条形码扫描进行核收。对已经采集完成的标本，送至检验科扫描试管条形码进行标本签收、分类、记账、对未达到检验要求的标本拒绝签收，同时打印出标本签收清单反馈住院科室。具有样本全程管理系统，所有数据均可以详细统计并导出。</w:t>
      </w:r>
    </w:p>
    <w:p>
      <w:pPr>
        <w:numPr>
          <w:ilvl w:val="0"/>
          <w:numId w:val="58"/>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可进行样本取消核收操作，并留有日志记录。</w:t>
      </w:r>
    </w:p>
    <w:p>
      <w:pPr>
        <w:numPr>
          <w:ilvl w:val="0"/>
          <w:numId w:val="58"/>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对不合格的样本拒收，自动提示拒收原因备选、拒收人和拒收时间备查。</w:t>
      </w:r>
    </w:p>
    <w:p>
      <w:pPr>
        <w:numPr>
          <w:ilvl w:val="0"/>
          <w:numId w:val="58"/>
        </w:numPr>
        <w:spacing w:line="5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样本接收，自动判断是否有采样人、采样时间、标本松出任、标本送出时间。</w:t>
      </w:r>
    </w:p>
    <w:p>
      <w:pPr>
        <w:pStyle w:val="4"/>
        <w:tabs>
          <w:tab w:val="left" w:pos="864"/>
          <w:tab w:val="clear" w:pos="0"/>
        </w:tabs>
        <w:spacing w:line="500" w:lineRule="exact"/>
        <w:rPr>
          <w:rFonts w:ascii="仿宋" w:hAnsi="仿宋" w:eastAsia="仿宋" w:cs="仿宋"/>
          <w:color w:val="auto"/>
          <w:szCs w:val="28"/>
        </w:rPr>
      </w:pPr>
      <w:bookmarkStart w:id="152" w:name="_Toc6923"/>
      <w:bookmarkStart w:id="153" w:name="_Toc45025489"/>
      <w:r>
        <w:rPr>
          <w:rFonts w:hint="eastAsia" w:ascii="仿宋" w:hAnsi="仿宋" w:eastAsia="仿宋" w:cs="仿宋"/>
          <w:color w:val="auto"/>
          <w:szCs w:val="28"/>
        </w:rPr>
        <w:t>样本检验</w:t>
      </w:r>
      <w:bookmarkEnd w:id="152"/>
      <w:bookmarkEnd w:id="153"/>
    </w:p>
    <w:p>
      <w:pPr>
        <w:numPr>
          <w:ilvl w:val="0"/>
          <w:numId w:val="59"/>
        </w:numPr>
        <w:spacing w:line="500" w:lineRule="exact"/>
        <w:ind w:firstLine="6"/>
        <w:rPr>
          <w:rFonts w:ascii="仿宋" w:hAnsi="仿宋" w:eastAsia="仿宋" w:cs="仿宋"/>
          <w:color w:val="auto"/>
          <w:sz w:val="28"/>
          <w:szCs w:val="28"/>
        </w:rPr>
      </w:pPr>
      <w:r>
        <w:rPr>
          <w:rFonts w:hint="eastAsia" w:ascii="仿宋" w:hAnsi="仿宋" w:eastAsia="仿宋" w:cs="仿宋"/>
          <w:color w:val="auto"/>
          <w:sz w:val="28"/>
          <w:szCs w:val="28"/>
        </w:rPr>
        <w:t>自动接收仪器检验结果，自动生成计算项目的结果值。</w:t>
      </w:r>
    </w:p>
    <w:p>
      <w:pPr>
        <w:numPr>
          <w:ilvl w:val="0"/>
          <w:numId w:val="59"/>
        </w:numPr>
        <w:spacing w:line="500" w:lineRule="exact"/>
        <w:ind w:firstLine="6"/>
        <w:rPr>
          <w:rFonts w:ascii="仿宋" w:hAnsi="仿宋" w:eastAsia="仿宋" w:cs="仿宋"/>
          <w:color w:val="auto"/>
          <w:sz w:val="28"/>
          <w:szCs w:val="28"/>
        </w:rPr>
      </w:pPr>
      <w:r>
        <w:rPr>
          <w:rFonts w:hint="eastAsia" w:ascii="仿宋" w:hAnsi="仿宋" w:eastAsia="仿宋" w:cs="仿宋"/>
          <w:color w:val="auto"/>
          <w:sz w:val="28"/>
          <w:szCs w:val="28"/>
        </w:rPr>
        <w:t>提供多种形式的报告模板,所有手工结果安装输入模块，实现所有检验结果进入电脑。对于团体检验的项目，部分结果是相同的，可以进行批量录入、批量删除和修改结果。</w:t>
      </w:r>
    </w:p>
    <w:p>
      <w:pPr>
        <w:numPr>
          <w:ilvl w:val="0"/>
          <w:numId w:val="59"/>
        </w:numPr>
        <w:spacing w:line="500" w:lineRule="exact"/>
        <w:ind w:firstLine="6"/>
        <w:rPr>
          <w:rFonts w:ascii="仿宋" w:hAnsi="仿宋" w:eastAsia="仿宋" w:cs="仿宋"/>
          <w:color w:val="auto"/>
          <w:sz w:val="28"/>
          <w:szCs w:val="28"/>
        </w:rPr>
      </w:pPr>
      <w:r>
        <w:rPr>
          <w:rFonts w:hint="eastAsia" w:ascii="仿宋" w:hAnsi="仿宋" w:eastAsia="仿宋" w:cs="仿宋"/>
          <w:color w:val="auto"/>
          <w:sz w:val="28"/>
          <w:szCs w:val="28"/>
        </w:rPr>
        <w:t xml:space="preserve">检验结果自动进行参考值范围检查，对正常结果和超限结果用不同颜色醒目提示（异常结果颜色可以自定义）。（定性结果用+/-提示，定量结果用箭头提示。） </w:t>
      </w:r>
    </w:p>
    <w:p>
      <w:pPr>
        <w:numPr>
          <w:ilvl w:val="0"/>
          <w:numId w:val="59"/>
        </w:numPr>
        <w:spacing w:line="500" w:lineRule="exact"/>
        <w:ind w:firstLine="6"/>
        <w:rPr>
          <w:rFonts w:ascii="仿宋" w:hAnsi="仿宋" w:eastAsia="仿宋" w:cs="仿宋"/>
          <w:color w:val="auto"/>
          <w:sz w:val="28"/>
          <w:szCs w:val="28"/>
        </w:rPr>
      </w:pPr>
      <w:r>
        <w:rPr>
          <w:rFonts w:hint="eastAsia" w:ascii="仿宋" w:hAnsi="仿宋" w:eastAsia="仿宋" w:cs="仿宋"/>
          <w:color w:val="auto"/>
          <w:sz w:val="28"/>
          <w:szCs w:val="28"/>
        </w:rPr>
        <w:t xml:space="preserve">用户可以自定义项目危急值区间（可根据性别、年龄、标本类型设置危急值），当项目结果超过危急值时自动提示报警,并进行自动登记。如医生或护士超时未接收危急值，系统反馈检验科提示电话联系，并提供电话联系人和接收人登记。危急值登记仅需登记该份报告的危急值项目，其他正常项目不应录入危急值登记。 </w:t>
      </w:r>
    </w:p>
    <w:p>
      <w:pPr>
        <w:numPr>
          <w:ilvl w:val="0"/>
          <w:numId w:val="59"/>
        </w:numPr>
        <w:spacing w:line="500" w:lineRule="exact"/>
        <w:ind w:firstLine="6"/>
        <w:rPr>
          <w:rFonts w:ascii="仿宋" w:hAnsi="仿宋" w:eastAsia="仿宋" w:cs="仿宋"/>
          <w:color w:val="auto"/>
          <w:sz w:val="28"/>
          <w:szCs w:val="28"/>
        </w:rPr>
      </w:pPr>
      <w:r>
        <w:rPr>
          <w:rFonts w:hint="eastAsia" w:ascii="仿宋" w:hAnsi="仿宋" w:eastAsia="仿宋" w:cs="仿宋"/>
          <w:color w:val="auto"/>
          <w:sz w:val="28"/>
          <w:szCs w:val="28"/>
        </w:rPr>
        <w:t xml:space="preserve">项目的参考值可以根据病人的性别、年龄、标本等自动判断，是否支持性激素多参考值功能。同时可以针对做性激素项目的病人自动打印性激素报告单、可以根据检验项目，提示对应的临床意义。 </w:t>
      </w:r>
    </w:p>
    <w:p>
      <w:pPr>
        <w:numPr>
          <w:ilvl w:val="0"/>
          <w:numId w:val="59"/>
        </w:numPr>
        <w:spacing w:line="500" w:lineRule="exact"/>
        <w:ind w:firstLine="6"/>
        <w:rPr>
          <w:rFonts w:ascii="仿宋" w:hAnsi="仿宋" w:eastAsia="仿宋" w:cs="仿宋"/>
          <w:color w:val="auto"/>
          <w:sz w:val="28"/>
          <w:szCs w:val="28"/>
        </w:rPr>
      </w:pPr>
      <w:r>
        <w:rPr>
          <w:rFonts w:hint="eastAsia" w:ascii="仿宋" w:hAnsi="仿宋" w:eastAsia="仿宋" w:cs="仿宋"/>
          <w:color w:val="auto"/>
          <w:sz w:val="28"/>
          <w:szCs w:val="28"/>
        </w:rPr>
        <w:t>系统针对病人交费情况，自动提示多做项目或少做项目。杜绝漏费情况(例如：病人缴了肾功能的费用，报告只能发肾功能的项目，如果给病人多做项目，系统会自动提示多做的项目没有缴费，不能发报告。反之，如果少给病人做了项目，系统自动提示，漏做了项目，不能发报告) 门诊条码录入系统后，显示出收费价格，便于核实检验项目与收费。</w:t>
      </w:r>
    </w:p>
    <w:p>
      <w:pPr>
        <w:numPr>
          <w:ilvl w:val="0"/>
          <w:numId w:val="59"/>
        </w:numPr>
        <w:spacing w:line="500" w:lineRule="exact"/>
        <w:ind w:firstLine="6"/>
        <w:rPr>
          <w:rFonts w:ascii="仿宋" w:hAnsi="仿宋" w:eastAsia="仿宋" w:cs="仿宋"/>
          <w:color w:val="auto"/>
          <w:sz w:val="28"/>
          <w:szCs w:val="28"/>
        </w:rPr>
      </w:pPr>
      <w:r>
        <w:rPr>
          <w:rFonts w:hint="eastAsia" w:ascii="仿宋" w:hAnsi="仿宋" w:eastAsia="仿宋" w:cs="仿宋"/>
          <w:color w:val="auto"/>
          <w:sz w:val="28"/>
          <w:szCs w:val="28"/>
        </w:rPr>
        <w:t xml:space="preserve">急诊标本在规定时间范围内未完成、系统自动进行提示。 </w:t>
      </w:r>
    </w:p>
    <w:p>
      <w:pPr>
        <w:pStyle w:val="4"/>
        <w:tabs>
          <w:tab w:val="left" w:pos="864"/>
          <w:tab w:val="clear" w:pos="0"/>
        </w:tabs>
        <w:spacing w:line="500" w:lineRule="exact"/>
        <w:rPr>
          <w:rFonts w:ascii="仿宋" w:hAnsi="仿宋" w:eastAsia="仿宋" w:cs="仿宋"/>
          <w:color w:val="auto"/>
          <w:szCs w:val="28"/>
        </w:rPr>
      </w:pPr>
      <w:bookmarkStart w:id="154" w:name="_Toc45025490"/>
      <w:bookmarkStart w:id="155" w:name="_Toc32139"/>
      <w:r>
        <w:rPr>
          <w:rFonts w:hint="eastAsia" w:ascii="仿宋" w:hAnsi="仿宋" w:eastAsia="仿宋" w:cs="仿宋"/>
          <w:color w:val="auto"/>
          <w:szCs w:val="28"/>
        </w:rPr>
        <w:t>报告审核</w:t>
      </w:r>
      <w:bookmarkEnd w:id="154"/>
      <w:bookmarkEnd w:id="155"/>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1.支持单个审核与批量审定样本。</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2.审核后的检验结果，不允许检验者进行修改。</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3.能够自定义审核的规则，包括审核条件，自动审核，二审核。</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4.用户可以自己定义审核条件，（如总蛋白&gt;白蛋白等，若不符合自己定义的条件，系统就会自动报警，避免了人为审核的误差。</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如果需要对未审核确认标本的结果进行修改，系统会自动根据设置判断是否可以进行修改操作（例如：只能修改本人的结果、不能修改非当日的结果），如果需要对已经审核的标本进行修改，必须通过审核人授权才能进行修改，系统同时记录修改前的结果和修改后的结果，以备查询。</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6.审核时自动判断危急值，当项目结果超过危急值时自动提示报警；并自动向临床发送危急值报警。</w:t>
      </w:r>
    </w:p>
    <w:p>
      <w:pPr>
        <w:pStyle w:val="4"/>
        <w:tabs>
          <w:tab w:val="left" w:pos="864"/>
          <w:tab w:val="clear" w:pos="0"/>
        </w:tabs>
        <w:spacing w:line="500" w:lineRule="exact"/>
        <w:rPr>
          <w:rFonts w:ascii="仿宋" w:hAnsi="仿宋" w:eastAsia="仿宋" w:cs="仿宋"/>
          <w:color w:val="auto"/>
          <w:szCs w:val="28"/>
        </w:rPr>
      </w:pPr>
      <w:bookmarkStart w:id="156" w:name="_Toc45025491"/>
      <w:bookmarkStart w:id="157" w:name="_Toc31811"/>
      <w:r>
        <w:rPr>
          <w:rFonts w:hint="eastAsia" w:ascii="仿宋" w:hAnsi="仿宋" w:eastAsia="仿宋" w:cs="仿宋"/>
          <w:color w:val="auto"/>
          <w:szCs w:val="28"/>
        </w:rPr>
        <w:t>报告发布</w:t>
      </w:r>
      <w:bookmarkEnd w:id="156"/>
      <w:bookmarkEnd w:id="157"/>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1.审核后可自动打印检验报告单功能。 </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系统针对病人交费情况，自动提示多做项目或少做项目。杜绝漏费情况(例如：病人缴了肾功能的费用，报告只能发肾功能的3个项目，如果给病人多做项目，系统会自动提示多做的项目没有缴费，不能发报告。反之，如果少给病人做了项目，系统自动提示，漏做了项目，不能发报告)。</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3.根据用户设置的打印规则，判断是否符合打印条件，自动调整打印输出检验报告单的内容，动态调整检验报告单。</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4.可设置报告单类型，自定义报告单的输出内容，自定义报告单提示信息的方式。</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5.提供院感报告系统，并能够进行统计。</w:t>
      </w:r>
    </w:p>
    <w:p>
      <w:pPr>
        <w:pStyle w:val="4"/>
        <w:tabs>
          <w:tab w:val="left" w:pos="864"/>
          <w:tab w:val="clear" w:pos="0"/>
        </w:tabs>
        <w:spacing w:line="500" w:lineRule="exact"/>
        <w:rPr>
          <w:rFonts w:ascii="仿宋" w:hAnsi="仿宋" w:eastAsia="仿宋" w:cs="仿宋"/>
          <w:color w:val="auto"/>
          <w:szCs w:val="28"/>
        </w:rPr>
      </w:pPr>
      <w:bookmarkStart w:id="158" w:name="_Toc28706"/>
      <w:bookmarkStart w:id="159" w:name="_Toc45025492"/>
      <w:r>
        <w:rPr>
          <w:rFonts w:hint="eastAsia" w:ascii="仿宋" w:hAnsi="仿宋" w:eastAsia="仿宋" w:cs="仿宋"/>
          <w:color w:val="auto"/>
          <w:szCs w:val="28"/>
        </w:rPr>
        <w:t>统计分析</w:t>
      </w:r>
      <w:bookmarkEnd w:id="158"/>
      <w:bookmarkEnd w:id="159"/>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1.提供多种工作量统计功能，如：按照病人类型（住院、门诊、体检等）、送检医生、送检科室、检验医生、专业组、检验仪器、项目等统计出相应标本工作量以及费用。 </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2.提供学术统计功能，统计某段时间病人结果的均值、标准差，结果线性、对数、指数等预处理，ROC曲线、直线回归、正态分布、T检验等。</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3.提供项目阳性率统计功能，反应某段时间某个项目阳性概率。</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4.提供危急值应用评估统计（如：危急值项目发生率统计、危急值项目科室分布图）。</w:t>
      </w:r>
    </w:p>
    <w:p>
      <w:pPr>
        <w:pStyle w:val="4"/>
        <w:tabs>
          <w:tab w:val="left" w:pos="864"/>
          <w:tab w:val="clear" w:pos="0"/>
        </w:tabs>
        <w:spacing w:line="500" w:lineRule="exact"/>
        <w:rPr>
          <w:rFonts w:ascii="仿宋" w:hAnsi="仿宋" w:eastAsia="仿宋" w:cs="仿宋"/>
          <w:color w:val="auto"/>
          <w:szCs w:val="28"/>
        </w:rPr>
      </w:pPr>
      <w:bookmarkStart w:id="160" w:name="_Toc23653"/>
      <w:bookmarkStart w:id="161" w:name="_Toc45025493"/>
      <w:r>
        <w:rPr>
          <w:rFonts w:hint="eastAsia" w:ascii="仿宋" w:hAnsi="仿宋" w:eastAsia="仿宋" w:cs="仿宋"/>
          <w:color w:val="auto"/>
          <w:szCs w:val="28"/>
        </w:rPr>
        <w:t>试剂管理</w:t>
      </w:r>
      <w:bookmarkEnd w:id="160"/>
      <w:bookmarkEnd w:id="161"/>
    </w:p>
    <w:p>
      <w:pPr>
        <w:pStyle w:val="5"/>
        <w:tabs>
          <w:tab w:val="left" w:pos="0"/>
          <w:tab w:val="clear" w:pos="864"/>
        </w:tabs>
        <w:spacing w:line="500" w:lineRule="exact"/>
        <w:rPr>
          <w:rFonts w:ascii="仿宋" w:hAnsi="仿宋" w:eastAsia="仿宋" w:cs="仿宋"/>
          <w:color w:val="auto"/>
          <w:sz w:val="28"/>
        </w:rPr>
      </w:pPr>
      <w:bookmarkStart w:id="162" w:name="_Toc152651244"/>
      <w:bookmarkStart w:id="163" w:name="_Toc317601385"/>
      <w:r>
        <w:rPr>
          <w:rFonts w:hint="eastAsia" w:ascii="仿宋" w:hAnsi="仿宋" w:eastAsia="仿宋" w:cs="仿宋"/>
          <w:color w:val="auto"/>
          <w:sz w:val="28"/>
        </w:rPr>
        <w:t>试剂卡片管理</w:t>
      </w:r>
      <w:bookmarkEnd w:id="162"/>
      <w:bookmarkEnd w:id="163"/>
    </w:p>
    <w:p>
      <w:pPr>
        <w:numPr>
          <w:ilvl w:val="0"/>
          <w:numId w:val="60"/>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确定试剂的所属类型、规格、基本单位、价格、供应商和厂家等信息；</w:t>
      </w:r>
    </w:p>
    <w:p>
      <w:pPr>
        <w:numPr>
          <w:ilvl w:val="0"/>
          <w:numId w:val="60"/>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确定试剂和仪器项目之间关系，以及每Test用量；</w:t>
      </w:r>
    </w:p>
    <w:p>
      <w:pPr>
        <w:numPr>
          <w:ilvl w:val="0"/>
          <w:numId w:val="60"/>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确定试剂在不同库存地点的包装单位，并且定义不同包装之间的数量转换关系；</w:t>
      </w:r>
    </w:p>
    <w:p>
      <w:pPr>
        <w:pStyle w:val="5"/>
        <w:tabs>
          <w:tab w:val="left" w:pos="0"/>
          <w:tab w:val="clear" w:pos="864"/>
        </w:tabs>
        <w:spacing w:line="500" w:lineRule="exact"/>
        <w:rPr>
          <w:rFonts w:ascii="仿宋" w:hAnsi="仿宋" w:eastAsia="仿宋" w:cs="仿宋"/>
          <w:color w:val="auto"/>
          <w:sz w:val="28"/>
        </w:rPr>
      </w:pPr>
      <w:bookmarkStart w:id="164" w:name="_Toc152651245"/>
      <w:bookmarkStart w:id="165" w:name="_Toc317601386"/>
      <w:r>
        <w:rPr>
          <w:rFonts w:hint="eastAsia" w:ascii="仿宋" w:hAnsi="仿宋" w:eastAsia="仿宋" w:cs="仿宋"/>
          <w:color w:val="auto"/>
          <w:sz w:val="28"/>
        </w:rPr>
        <w:t>试剂出入库管理</w:t>
      </w:r>
      <w:bookmarkEnd w:id="164"/>
      <w:bookmarkEnd w:id="165"/>
    </w:p>
    <w:p>
      <w:pPr>
        <w:numPr>
          <w:ilvl w:val="0"/>
          <w:numId w:val="61"/>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记录入库试剂的提供者和入库地点；</w:t>
      </w:r>
    </w:p>
    <w:p>
      <w:pPr>
        <w:numPr>
          <w:ilvl w:val="0"/>
          <w:numId w:val="61"/>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记录出库地点、试剂类型、批号和出库数量，并且系统自动递减该批号试剂现存量；</w:t>
      </w:r>
    </w:p>
    <w:p>
      <w:pPr>
        <w:numPr>
          <w:ilvl w:val="0"/>
          <w:numId w:val="61"/>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对库存试剂报损应留下记录，包括执行人、审核人、执行日期、执行原因，系统将自动递减该报损批号试剂的现存量；</w:t>
      </w:r>
    </w:p>
    <w:p>
      <w:pPr>
        <w:numPr>
          <w:ilvl w:val="0"/>
          <w:numId w:val="61"/>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可以对出入库单进行查询、修改、删除等操作；</w:t>
      </w:r>
    </w:p>
    <w:p>
      <w:pPr>
        <w:pStyle w:val="5"/>
        <w:tabs>
          <w:tab w:val="left" w:pos="0"/>
          <w:tab w:val="clear" w:pos="864"/>
        </w:tabs>
        <w:spacing w:line="500" w:lineRule="exact"/>
        <w:rPr>
          <w:rFonts w:ascii="仿宋" w:hAnsi="仿宋" w:eastAsia="仿宋" w:cs="仿宋"/>
          <w:color w:val="auto"/>
          <w:sz w:val="28"/>
        </w:rPr>
      </w:pPr>
      <w:bookmarkStart w:id="166" w:name="_Toc317601387"/>
      <w:bookmarkStart w:id="167" w:name="_Toc152651246"/>
      <w:r>
        <w:rPr>
          <w:rFonts w:hint="eastAsia" w:ascii="仿宋" w:hAnsi="仿宋" w:eastAsia="仿宋" w:cs="仿宋"/>
          <w:color w:val="auto"/>
          <w:sz w:val="28"/>
        </w:rPr>
        <w:t>有效期管理</w:t>
      </w:r>
      <w:bookmarkEnd w:id="166"/>
      <w:bookmarkEnd w:id="167"/>
    </w:p>
    <w:p>
      <w:pPr>
        <w:numPr>
          <w:ilvl w:val="0"/>
          <w:numId w:val="62"/>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根据库存地点、试剂名称和类型，查询在某个时间点上即将过期的试剂列表；</w:t>
      </w:r>
    </w:p>
    <w:p>
      <w:pPr>
        <w:numPr>
          <w:ilvl w:val="0"/>
          <w:numId w:val="62"/>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提供各种试剂的入库时间和出库数量，及现有结存量；</w:t>
      </w:r>
    </w:p>
    <w:p>
      <w:pPr>
        <w:numPr>
          <w:ilvl w:val="0"/>
          <w:numId w:val="62"/>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可以设置临近失效期一定天数就自动报警功能；</w:t>
      </w:r>
    </w:p>
    <w:p>
      <w:pPr>
        <w:pStyle w:val="5"/>
        <w:tabs>
          <w:tab w:val="left" w:pos="0"/>
          <w:tab w:val="clear" w:pos="864"/>
        </w:tabs>
        <w:spacing w:line="500" w:lineRule="exact"/>
        <w:rPr>
          <w:rFonts w:ascii="仿宋" w:hAnsi="仿宋" w:eastAsia="仿宋" w:cs="仿宋"/>
          <w:color w:val="auto"/>
          <w:sz w:val="28"/>
        </w:rPr>
      </w:pPr>
      <w:bookmarkStart w:id="168" w:name="_Toc317601388"/>
      <w:bookmarkStart w:id="169" w:name="_Toc152651247"/>
      <w:r>
        <w:rPr>
          <w:rFonts w:hint="eastAsia" w:ascii="仿宋" w:hAnsi="仿宋" w:eastAsia="仿宋" w:cs="仿宋"/>
          <w:color w:val="auto"/>
          <w:sz w:val="28"/>
        </w:rPr>
        <w:t>查询统计</w:t>
      </w:r>
      <w:bookmarkEnd w:id="168"/>
      <w:bookmarkEnd w:id="169"/>
    </w:p>
    <w:p>
      <w:pPr>
        <w:numPr>
          <w:ilvl w:val="0"/>
          <w:numId w:val="6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试剂用量分析，根据检验业务统计出任意时间段内各种试剂的Test数量，根据试剂的每Test用量来得到该时间段内试剂的正常消耗量；</w:t>
      </w:r>
    </w:p>
    <w:p>
      <w:pPr>
        <w:numPr>
          <w:ilvl w:val="0"/>
          <w:numId w:val="6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台帐管理可以组合试剂名称、批号、类型、时间段和出入库地点等查询条件，对各类事务的流水帐进行快速查询；</w:t>
      </w:r>
    </w:p>
    <w:p>
      <w:pPr>
        <w:numPr>
          <w:ilvl w:val="0"/>
          <w:numId w:val="6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月总帐管理试剂月总帐统计主要统计条件有：库存地点、试剂种类、起始日期、终止日期；</w:t>
      </w:r>
    </w:p>
    <w:p>
      <w:pPr>
        <w:numPr>
          <w:ilvl w:val="0"/>
          <w:numId w:val="6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库结存管理得到月初结存，月中发生数和月终结存数；</w:t>
      </w:r>
    </w:p>
    <w:p>
      <w:pPr>
        <w:numPr>
          <w:ilvl w:val="0"/>
          <w:numId w:val="63"/>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可以设置库存下限，当库存低于下限时，系统自动报警；</w:t>
      </w:r>
    </w:p>
    <w:p>
      <w:pPr>
        <w:pStyle w:val="5"/>
        <w:tabs>
          <w:tab w:val="left" w:pos="0"/>
          <w:tab w:val="clear" w:pos="864"/>
        </w:tabs>
        <w:spacing w:line="500" w:lineRule="exact"/>
        <w:rPr>
          <w:rFonts w:ascii="仿宋" w:hAnsi="仿宋" w:eastAsia="仿宋" w:cs="仿宋"/>
          <w:color w:val="auto"/>
          <w:sz w:val="28"/>
        </w:rPr>
      </w:pPr>
      <w:bookmarkStart w:id="170" w:name="_Toc152651248"/>
      <w:bookmarkStart w:id="171" w:name="_Toc317601389"/>
      <w:r>
        <w:rPr>
          <w:rFonts w:hint="eastAsia" w:ascii="仿宋" w:hAnsi="仿宋" w:eastAsia="仿宋" w:cs="仿宋"/>
          <w:color w:val="auto"/>
          <w:sz w:val="28"/>
        </w:rPr>
        <w:t>采购计划管理</w:t>
      </w:r>
      <w:bookmarkEnd w:id="170"/>
      <w:bookmarkEnd w:id="171"/>
    </w:p>
    <w:p>
      <w:pPr>
        <w:numPr>
          <w:ilvl w:val="0"/>
          <w:numId w:val="64"/>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统计试剂的现结存量与试剂卡片中的最低结存量进行比较；</w:t>
      </w:r>
    </w:p>
    <w:p>
      <w:pPr>
        <w:numPr>
          <w:ilvl w:val="0"/>
          <w:numId w:val="64"/>
        </w:numPr>
        <w:tabs>
          <w:tab w:val="left" w:pos="2125"/>
        </w:tabs>
        <w:spacing w:line="500" w:lineRule="exact"/>
        <w:rPr>
          <w:rFonts w:ascii="仿宋" w:hAnsi="仿宋" w:eastAsia="仿宋" w:cs="仿宋"/>
          <w:color w:val="auto"/>
          <w:sz w:val="28"/>
          <w:szCs w:val="28"/>
        </w:rPr>
      </w:pPr>
      <w:r>
        <w:rPr>
          <w:rFonts w:hint="eastAsia" w:ascii="仿宋" w:hAnsi="仿宋" w:eastAsia="仿宋" w:cs="仿宋"/>
          <w:color w:val="auto"/>
          <w:sz w:val="28"/>
          <w:szCs w:val="28"/>
        </w:rPr>
        <w:t>有利于管理人员来作出及时、准确的采购计划，合理安排资源；</w:t>
      </w:r>
    </w:p>
    <w:p>
      <w:pPr>
        <w:tabs>
          <w:tab w:val="left" w:pos="2125"/>
        </w:tabs>
        <w:spacing w:line="500" w:lineRule="exact"/>
        <w:ind w:left="630"/>
        <w:rPr>
          <w:rFonts w:ascii="仿宋" w:hAnsi="仿宋" w:eastAsia="仿宋" w:cs="仿宋"/>
          <w:color w:val="auto"/>
          <w:sz w:val="28"/>
          <w:szCs w:val="28"/>
        </w:rPr>
      </w:pPr>
    </w:p>
    <w:p>
      <w:pPr>
        <w:pStyle w:val="4"/>
        <w:tabs>
          <w:tab w:val="left" w:pos="576"/>
          <w:tab w:val="clear" w:pos="0"/>
        </w:tabs>
        <w:spacing w:line="500" w:lineRule="exact"/>
        <w:rPr>
          <w:rFonts w:ascii="仿宋" w:hAnsi="仿宋" w:eastAsia="仿宋" w:cs="仿宋"/>
          <w:color w:val="auto"/>
          <w:szCs w:val="28"/>
        </w:rPr>
      </w:pPr>
      <w:bookmarkStart w:id="172" w:name="_Toc152651252"/>
      <w:bookmarkEnd w:id="172"/>
      <w:bookmarkStart w:id="173" w:name="_Toc45025494"/>
      <w:bookmarkStart w:id="174" w:name="_Toc317601390"/>
      <w:bookmarkStart w:id="175" w:name="_Toc14378"/>
      <w:r>
        <w:rPr>
          <w:rFonts w:hint="eastAsia" w:ascii="仿宋" w:hAnsi="仿宋" w:eastAsia="仿宋" w:cs="仿宋"/>
          <w:color w:val="auto"/>
          <w:szCs w:val="28"/>
        </w:rPr>
        <w:t>仪器管理模块</w:t>
      </w:r>
      <w:bookmarkEnd w:id="173"/>
      <w:bookmarkEnd w:id="174"/>
      <w:bookmarkEnd w:id="175"/>
    </w:p>
    <w:p>
      <w:pPr>
        <w:pStyle w:val="5"/>
        <w:tabs>
          <w:tab w:val="left" w:pos="0"/>
          <w:tab w:val="clear" w:pos="864"/>
        </w:tabs>
        <w:spacing w:line="500" w:lineRule="exact"/>
        <w:rPr>
          <w:rFonts w:ascii="仿宋" w:hAnsi="仿宋" w:eastAsia="仿宋" w:cs="仿宋"/>
          <w:color w:val="auto"/>
          <w:sz w:val="28"/>
        </w:rPr>
      </w:pPr>
      <w:bookmarkStart w:id="176" w:name="_Toc317601391"/>
      <w:r>
        <w:rPr>
          <w:rFonts w:hint="eastAsia" w:ascii="仿宋" w:hAnsi="仿宋" w:eastAsia="仿宋" w:cs="仿宋"/>
          <w:color w:val="auto"/>
          <w:sz w:val="28"/>
        </w:rPr>
        <w:t>设备管理</w:t>
      </w:r>
      <w:bookmarkEnd w:id="176"/>
    </w:p>
    <w:p>
      <w:pPr>
        <w:numPr>
          <w:ilvl w:val="0"/>
          <w:numId w:val="65"/>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记录仪器名称、安装使用时间、维修时间、故障原因、维修单位、及维修费用等维修事件记录；</w:t>
      </w:r>
    </w:p>
    <w:p>
      <w:pPr>
        <w:numPr>
          <w:ilvl w:val="0"/>
          <w:numId w:val="65"/>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可以对维修费用在一定的时间段进行费用的分摊，便于仪器的成本核算；</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提供对仪器设备维修事件的查询；</w:t>
      </w:r>
    </w:p>
    <w:p>
      <w:pPr>
        <w:pStyle w:val="5"/>
        <w:tabs>
          <w:tab w:val="left" w:pos="0"/>
          <w:tab w:val="clear" w:pos="864"/>
        </w:tabs>
        <w:spacing w:line="500" w:lineRule="exact"/>
        <w:rPr>
          <w:rFonts w:ascii="仿宋" w:hAnsi="仿宋" w:eastAsia="仿宋" w:cs="仿宋"/>
          <w:color w:val="auto"/>
          <w:sz w:val="28"/>
        </w:rPr>
      </w:pPr>
      <w:bookmarkStart w:id="177" w:name="_Toc317601392"/>
      <w:r>
        <w:rPr>
          <w:rFonts w:hint="eastAsia" w:ascii="仿宋" w:hAnsi="仿宋" w:eastAsia="仿宋" w:cs="仿宋"/>
          <w:color w:val="auto"/>
          <w:sz w:val="28"/>
        </w:rPr>
        <w:t>统计查询</w:t>
      </w:r>
      <w:bookmarkEnd w:id="177"/>
    </w:p>
    <w:p>
      <w:pPr>
        <w:numPr>
          <w:ilvl w:val="0"/>
          <w:numId w:val="66"/>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仪器收支统计的数据依据：在一定时间段内，仪器收入、仪器成本、仪器维修的成本等；</w:t>
      </w:r>
    </w:p>
    <w:p>
      <w:pPr>
        <w:numPr>
          <w:ilvl w:val="0"/>
          <w:numId w:val="66"/>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根据仪器的收支情况系统自动计算仪器的收支比率；</w:t>
      </w:r>
    </w:p>
    <w:p>
      <w:pPr>
        <w:numPr>
          <w:ilvl w:val="0"/>
          <w:numId w:val="66"/>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用图形来直观地表示仪器在一定时间段的收支比率变化；</w:t>
      </w:r>
    </w:p>
    <w:p>
      <w:pPr>
        <w:numPr>
          <w:ilvl w:val="0"/>
          <w:numId w:val="66"/>
        </w:num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管理人员可以实时对仪器工作状态进行监控；</w:t>
      </w:r>
    </w:p>
    <w:p>
      <w:pPr>
        <w:pStyle w:val="7"/>
        <w:spacing w:line="500" w:lineRule="exact"/>
        <w:ind w:firstLine="560"/>
        <w:rPr>
          <w:rFonts w:ascii="仿宋" w:hAnsi="仿宋" w:eastAsia="仿宋" w:cs="仿宋"/>
          <w:color w:val="auto"/>
          <w:sz w:val="28"/>
          <w:szCs w:val="28"/>
        </w:rPr>
      </w:pPr>
    </w:p>
    <w:p>
      <w:pPr>
        <w:pStyle w:val="4"/>
        <w:tabs>
          <w:tab w:val="left" w:pos="864"/>
          <w:tab w:val="clear" w:pos="0"/>
        </w:tabs>
        <w:spacing w:line="500" w:lineRule="exact"/>
        <w:rPr>
          <w:rFonts w:ascii="仿宋" w:hAnsi="仿宋" w:eastAsia="仿宋" w:cs="仿宋"/>
          <w:color w:val="auto"/>
          <w:szCs w:val="28"/>
        </w:rPr>
      </w:pPr>
      <w:bookmarkStart w:id="178" w:name="_Toc45025495"/>
      <w:bookmarkStart w:id="179" w:name="_Toc6813"/>
      <w:r>
        <w:rPr>
          <w:rFonts w:hint="eastAsia" w:ascii="仿宋" w:hAnsi="仿宋" w:eastAsia="仿宋" w:cs="仿宋"/>
          <w:color w:val="auto"/>
          <w:szCs w:val="28"/>
        </w:rPr>
        <w:t>危急值管理</w:t>
      </w:r>
      <w:bookmarkEnd w:id="178"/>
      <w:bookmarkEnd w:id="179"/>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1.临床按照科室安装危急值报警客户端，如有检验科上报的危急值项目自动弹出窗口，提示临床进行处理，处理时填入反馈意见并输入用户代号及密码。 </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2.危急值临床报警模块设计要求：由于临床客户端数量繁多，所以要求该模块不能通过按时刷新数据库的方式实现，否则会给服务器数据库造成较大压力。最好按照点对点通过IP及端口号传送数据的模式，客户端不直接连接数据库。 </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3.具备不同科室设置不同危急值。 </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4.可以统计危急值通报情况，如：危急值通报总数、危急值通报率、危急值通报及时率。</w:t>
      </w:r>
    </w:p>
    <w:p>
      <w:pPr>
        <w:pStyle w:val="4"/>
        <w:tabs>
          <w:tab w:val="left" w:pos="864"/>
          <w:tab w:val="clear" w:pos="0"/>
        </w:tabs>
        <w:spacing w:line="500" w:lineRule="exact"/>
        <w:rPr>
          <w:rFonts w:ascii="仿宋" w:hAnsi="仿宋" w:eastAsia="仿宋" w:cs="仿宋"/>
          <w:color w:val="auto"/>
          <w:szCs w:val="28"/>
        </w:rPr>
      </w:pPr>
      <w:bookmarkStart w:id="180" w:name="_Toc45025496"/>
      <w:bookmarkStart w:id="181" w:name="_Toc19373"/>
      <w:r>
        <w:rPr>
          <w:rFonts w:hint="eastAsia" w:ascii="仿宋" w:hAnsi="仿宋" w:eastAsia="仿宋" w:cs="仿宋"/>
          <w:color w:val="auto"/>
          <w:szCs w:val="28"/>
        </w:rPr>
        <w:t>设备接入</w:t>
      </w:r>
      <w:bookmarkEnd w:id="180"/>
      <w:bookmarkEnd w:id="181"/>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保证接入医院当前所有的检验设备。</w:t>
      </w:r>
    </w:p>
    <w:p>
      <w:pPr>
        <w:pStyle w:val="2"/>
        <w:tabs>
          <w:tab w:val="clear" w:pos="576"/>
          <w:tab w:val="clear" w:pos="1296"/>
        </w:tabs>
        <w:spacing w:line="500" w:lineRule="exact"/>
        <w:rPr>
          <w:rFonts w:ascii="仿宋" w:hAnsi="仿宋" w:eastAsia="仿宋" w:cs="仿宋"/>
          <w:color w:val="auto"/>
          <w:szCs w:val="28"/>
        </w:rPr>
      </w:pPr>
      <w:bookmarkStart w:id="182" w:name="_Toc45025497"/>
      <w:bookmarkStart w:id="183" w:name="_Toc16949"/>
      <w:r>
        <w:rPr>
          <w:rFonts w:hint="eastAsia" w:ascii="仿宋" w:hAnsi="仿宋" w:eastAsia="仿宋" w:cs="仿宋"/>
          <w:color w:val="auto"/>
          <w:szCs w:val="28"/>
        </w:rPr>
        <w:t>OA办公自动化</w:t>
      </w:r>
      <w:bookmarkEnd w:id="182"/>
      <w:bookmarkEnd w:id="183"/>
    </w:p>
    <w:p>
      <w:pPr>
        <w:pStyle w:val="19"/>
        <w:snapToGrid w:val="0"/>
        <w:spacing w:line="500" w:lineRule="exact"/>
        <w:ind w:firstLine="560"/>
        <w:rPr>
          <w:rFonts w:ascii="仿宋" w:hAnsi="仿宋" w:eastAsia="仿宋" w:cs="仿宋"/>
          <w:color w:val="auto"/>
          <w:kern w:val="0"/>
          <w:sz w:val="28"/>
          <w:szCs w:val="28"/>
        </w:rPr>
      </w:pPr>
      <w:r>
        <w:rPr>
          <w:rFonts w:hint="eastAsia" w:ascii="仿宋" w:hAnsi="仿宋" w:eastAsia="仿宋" w:cs="仿宋"/>
          <w:color w:val="auto"/>
          <w:kern w:val="0"/>
          <w:sz w:val="28"/>
          <w:szCs w:val="28"/>
        </w:rPr>
        <w:t>办公自动化（Office Automation,简称OA）是将现代化办公和计算机网络功能结合起来的一种新型的办公方式，是当前新技术革命中一个非常活跃和具有很强生命力的技术应用领域，是信息化社会的产物。</w:t>
      </w:r>
    </w:p>
    <w:p>
      <w:pPr>
        <w:pStyle w:val="19"/>
        <w:snapToGrid w:val="0"/>
        <w:spacing w:line="500" w:lineRule="exact"/>
        <w:ind w:firstLine="560"/>
        <w:rPr>
          <w:rFonts w:ascii="仿宋" w:hAnsi="仿宋" w:eastAsia="仿宋" w:cs="仿宋"/>
          <w:color w:val="auto"/>
          <w:kern w:val="0"/>
          <w:sz w:val="28"/>
          <w:szCs w:val="28"/>
        </w:rPr>
      </w:pPr>
      <w:r>
        <w:rPr>
          <w:rFonts w:hint="eastAsia" w:ascii="仿宋" w:hAnsi="仿宋" w:eastAsia="仿宋" w:cs="仿宋"/>
          <w:color w:val="auto"/>
          <w:kern w:val="0"/>
          <w:sz w:val="28"/>
          <w:szCs w:val="28"/>
        </w:rPr>
        <w:t>通过应用办公OA，实现以下目标：</w:t>
      </w:r>
    </w:p>
    <w:p>
      <w:pPr>
        <w:pStyle w:val="19"/>
        <w:numPr>
          <w:ilvl w:val="0"/>
          <w:numId w:val="67"/>
        </w:numPr>
        <w:snapToGrid w:val="0"/>
        <w:spacing w:line="500" w:lineRule="exact"/>
        <w:ind w:firstLineChars="0"/>
        <w:rPr>
          <w:rFonts w:ascii="仿宋" w:hAnsi="仿宋" w:eastAsia="仿宋" w:cs="仿宋"/>
          <w:color w:val="auto"/>
          <w:kern w:val="0"/>
          <w:sz w:val="28"/>
          <w:szCs w:val="28"/>
        </w:rPr>
      </w:pPr>
      <w:r>
        <w:rPr>
          <w:rFonts w:hint="eastAsia" w:ascii="仿宋" w:hAnsi="仿宋" w:eastAsia="仿宋" w:cs="仿宋"/>
          <w:color w:val="auto"/>
          <w:kern w:val="0"/>
          <w:sz w:val="28"/>
          <w:szCs w:val="28"/>
        </w:rPr>
        <w:t>使各类静态的文档（如：规章制度）能够按权限进行保存、共享和使用，提供方便的检索方式；</w:t>
      </w:r>
    </w:p>
    <w:p>
      <w:pPr>
        <w:pStyle w:val="19"/>
        <w:numPr>
          <w:ilvl w:val="0"/>
          <w:numId w:val="67"/>
        </w:numPr>
        <w:snapToGrid w:val="0"/>
        <w:spacing w:line="500" w:lineRule="exact"/>
        <w:ind w:firstLineChars="0"/>
        <w:rPr>
          <w:rFonts w:ascii="仿宋" w:hAnsi="仿宋" w:eastAsia="仿宋" w:cs="仿宋"/>
          <w:color w:val="auto"/>
          <w:kern w:val="0"/>
          <w:sz w:val="28"/>
          <w:szCs w:val="28"/>
        </w:rPr>
      </w:pPr>
      <w:r>
        <w:rPr>
          <w:rFonts w:hint="eastAsia" w:ascii="仿宋" w:hAnsi="仿宋" w:eastAsia="仿宋" w:cs="仿宋"/>
          <w:color w:val="auto"/>
          <w:kern w:val="0"/>
          <w:sz w:val="28"/>
          <w:szCs w:val="28"/>
        </w:rPr>
        <w:t>建立组织内部、外部方便高效的通讯系统，减低由于距离和时间差异造成的通讯延迟与成本；</w:t>
      </w:r>
    </w:p>
    <w:p>
      <w:pPr>
        <w:pStyle w:val="19"/>
        <w:numPr>
          <w:ilvl w:val="0"/>
          <w:numId w:val="67"/>
        </w:numPr>
        <w:snapToGrid w:val="0"/>
        <w:spacing w:line="500" w:lineRule="exact"/>
        <w:ind w:firstLineChars="0"/>
        <w:rPr>
          <w:rFonts w:ascii="仿宋" w:hAnsi="仿宋" w:eastAsia="仿宋" w:cs="仿宋"/>
          <w:color w:val="auto"/>
          <w:kern w:val="0"/>
          <w:sz w:val="28"/>
          <w:szCs w:val="28"/>
        </w:rPr>
      </w:pPr>
      <w:r>
        <w:rPr>
          <w:rFonts w:hint="eastAsia" w:ascii="仿宋" w:hAnsi="仿宋" w:eastAsia="仿宋" w:cs="仿宋"/>
          <w:color w:val="auto"/>
          <w:kern w:val="0"/>
          <w:sz w:val="28"/>
          <w:szCs w:val="28"/>
        </w:rPr>
        <w:t>变革传统纸质公文办公模式，采用电子起草、传阅、审批、会签、签发、归档等电子化流转方式，真正实现无纸化办公。</w:t>
      </w:r>
    </w:p>
    <w:p>
      <w:pPr>
        <w:pStyle w:val="4"/>
        <w:tabs>
          <w:tab w:val="left" w:pos="864"/>
          <w:tab w:val="clear" w:pos="0"/>
        </w:tabs>
        <w:spacing w:line="500" w:lineRule="exact"/>
        <w:rPr>
          <w:rFonts w:ascii="仿宋" w:hAnsi="仿宋" w:eastAsia="仿宋" w:cs="仿宋"/>
          <w:color w:val="auto"/>
          <w:szCs w:val="28"/>
        </w:rPr>
      </w:pPr>
      <w:bookmarkStart w:id="184" w:name="_Toc45025498"/>
      <w:bookmarkStart w:id="185" w:name="_Toc247097302"/>
      <w:r>
        <w:rPr>
          <w:rFonts w:hint="eastAsia" w:ascii="仿宋" w:hAnsi="仿宋" w:eastAsia="仿宋" w:cs="仿宋"/>
          <w:color w:val="auto"/>
          <w:szCs w:val="28"/>
        </w:rPr>
        <w:t>门户管理</w:t>
      </w:r>
      <w:bookmarkEnd w:id="184"/>
      <w:bookmarkEnd w:id="185"/>
    </w:p>
    <w:p>
      <w:pPr>
        <w:spacing w:line="500" w:lineRule="exact"/>
        <w:ind w:left="561" w:leftChars="267" w:firstLine="560" w:firstLineChars="200"/>
        <w:rPr>
          <w:rFonts w:ascii="仿宋" w:hAnsi="仿宋" w:eastAsia="仿宋" w:cs="仿宋"/>
          <w:color w:val="auto"/>
          <w:sz w:val="28"/>
          <w:szCs w:val="28"/>
        </w:rPr>
      </w:pPr>
      <w:r>
        <w:rPr>
          <w:rFonts w:hint="eastAsia" w:ascii="仿宋" w:hAnsi="仿宋" w:eastAsia="仿宋" w:cs="仿宋"/>
          <w:color w:val="auto"/>
          <w:sz w:val="28"/>
          <w:szCs w:val="28"/>
        </w:rPr>
        <w:t>系统提供医院内部信息门户建设及管理,满足医院在信息系统整合、信息发布等需求，实现信息发布、医院形象、规章制度宣传等功能。具体要求如下：</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提供个性化门户首页，并可按照用户实际应用需求定义多个门户，对每一个门户的内容和样式可以进行自定义；</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可定义医院门户、科室门户和个人门户，每个门户都可设定管理员，并在其管辖范围内设定各用户对该门户的使用权限；</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多门户以标签页方式显示；</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发布信息可按权限设定浏览人员范围；</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可以实时或滚动方式显示院内新闻、通知、制度、公共信息等；</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可直接进行发布内容编辑，支持word、excel、html多种文本格式；</w:t>
      </w:r>
    </w:p>
    <w:p>
      <w:pPr>
        <w:pStyle w:val="4"/>
        <w:tabs>
          <w:tab w:val="left" w:pos="864"/>
          <w:tab w:val="clear" w:pos="0"/>
        </w:tabs>
        <w:spacing w:line="500" w:lineRule="exact"/>
        <w:rPr>
          <w:rFonts w:ascii="仿宋" w:hAnsi="仿宋" w:eastAsia="仿宋" w:cs="仿宋"/>
          <w:color w:val="auto"/>
          <w:szCs w:val="28"/>
        </w:rPr>
      </w:pPr>
      <w:bookmarkStart w:id="186" w:name="_Toc45025499"/>
      <w:r>
        <w:rPr>
          <w:rFonts w:hint="eastAsia" w:ascii="仿宋" w:hAnsi="仿宋" w:eastAsia="仿宋" w:cs="仿宋"/>
          <w:color w:val="auto"/>
          <w:szCs w:val="28"/>
        </w:rPr>
        <w:t>信息传递</w:t>
      </w:r>
      <w:bookmarkEnd w:id="186"/>
    </w:p>
    <w:p>
      <w:pPr>
        <w:spacing w:line="500" w:lineRule="exact"/>
        <w:ind w:left="561" w:leftChars="267"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在线交流</w:t>
      </w:r>
    </w:p>
    <w:p>
      <w:pPr>
        <w:spacing w:line="500" w:lineRule="exact"/>
        <w:ind w:left="561" w:leftChars="267" w:firstLine="560" w:firstLineChars="200"/>
        <w:rPr>
          <w:rFonts w:ascii="仿宋" w:hAnsi="仿宋" w:eastAsia="仿宋" w:cs="仿宋"/>
          <w:color w:val="auto"/>
          <w:sz w:val="28"/>
          <w:szCs w:val="28"/>
        </w:rPr>
      </w:pPr>
      <w:r>
        <w:rPr>
          <w:rFonts w:hint="eastAsia" w:ascii="仿宋" w:hAnsi="仿宋" w:eastAsia="仿宋" w:cs="仿宋"/>
          <w:color w:val="auto"/>
          <w:sz w:val="28"/>
          <w:szCs w:val="28"/>
        </w:rPr>
        <w:t>提供在线人员之间进行信息的即时交流功能，提高办公效率；减少电话量，降低费用。即时消息不但可以传递简单的信息，也可以附带文档附件。</w:t>
      </w:r>
    </w:p>
    <w:p>
      <w:pPr>
        <w:spacing w:line="500" w:lineRule="exact"/>
        <w:ind w:left="561" w:leftChars="267"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文件传阅</w:t>
      </w:r>
    </w:p>
    <w:p>
      <w:pPr>
        <w:pStyle w:val="42"/>
        <w:numPr>
          <w:ilvl w:val="0"/>
          <w:numId w:val="69"/>
        </w:numPr>
        <w:tabs>
          <w:tab w:val="left" w:pos="960"/>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传阅功能用于内部非正式的文件交互，可以代替内部邮件使用，主要用于征询意见、文件共享等应用。</w:t>
      </w:r>
    </w:p>
    <w:p>
      <w:pPr>
        <w:pStyle w:val="42"/>
        <w:numPr>
          <w:ilvl w:val="0"/>
          <w:numId w:val="69"/>
        </w:numPr>
        <w:tabs>
          <w:tab w:val="left" w:pos="960"/>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要求可以实现一对一或一对多的文件发送，并能实现文件状态（未开封/已开封/已确认）的追踪，对未能及时处理的传阅人可以发送即时消息进行催办。对收到的office文档（word或excel）可进行在线编辑修改，并保留修改痕迹。</w:t>
      </w:r>
    </w:p>
    <w:p>
      <w:pPr>
        <w:pStyle w:val="42"/>
        <w:numPr>
          <w:ilvl w:val="0"/>
          <w:numId w:val="69"/>
        </w:numPr>
        <w:tabs>
          <w:tab w:val="left" w:pos="960"/>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传阅应具备处理状态的跟踪、能够对处理期限进行管理并实现信息提醒、传阅中能够实现多附件同时上传、传阅转发、密级管理、有序传阅（自由流程）、附件修订痕迹保留、控制附件修改/下载、在线讨论、定义模板等功能。</w:t>
      </w:r>
    </w:p>
    <w:p>
      <w:pPr>
        <w:pStyle w:val="42"/>
        <w:numPr>
          <w:ilvl w:val="0"/>
          <w:numId w:val="69"/>
        </w:numPr>
        <w:tabs>
          <w:tab w:val="left" w:pos="960"/>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支持多人同时协同编辑同一Word或Excel附件的功能，可根据设定的锁定方式实时显示各个用户的修改，并保留各人的修改痕迹。协同编辑可用于系统中所有带附件的应用模块；</w:t>
      </w:r>
    </w:p>
    <w:p>
      <w:pPr>
        <w:pStyle w:val="42"/>
        <w:numPr>
          <w:ilvl w:val="0"/>
          <w:numId w:val="69"/>
        </w:numPr>
        <w:tabs>
          <w:tab w:val="left" w:pos="960"/>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支持多附件的同时上传；</w:t>
      </w:r>
    </w:p>
    <w:p>
      <w:pPr>
        <w:pStyle w:val="42"/>
        <w:numPr>
          <w:ilvl w:val="0"/>
          <w:numId w:val="69"/>
        </w:numPr>
        <w:tabs>
          <w:tab w:val="left" w:pos="960"/>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附件的锁定方式支持自动锁定或手工锁定两种方式，当用户退出附件编辑时，锁定的附件自动解锁。</w:t>
      </w:r>
    </w:p>
    <w:p>
      <w:pPr>
        <w:pStyle w:val="4"/>
        <w:tabs>
          <w:tab w:val="left" w:pos="864"/>
          <w:tab w:val="clear" w:pos="0"/>
        </w:tabs>
        <w:spacing w:line="500" w:lineRule="exact"/>
        <w:rPr>
          <w:rFonts w:ascii="仿宋" w:hAnsi="仿宋" w:eastAsia="仿宋" w:cs="仿宋"/>
          <w:color w:val="auto"/>
          <w:szCs w:val="28"/>
        </w:rPr>
      </w:pPr>
      <w:bookmarkStart w:id="187" w:name="_Toc247097315"/>
      <w:bookmarkStart w:id="188" w:name="_Toc45025500"/>
      <w:r>
        <w:rPr>
          <w:rFonts w:hint="eastAsia" w:ascii="仿宋" w:hAnsi="仿宋" w:eastAsia="仿宋" w:cs="仿宋"/>
          <w:color w:val="auto"/>
          <w:szCs w:val="28"/>
        </w:rPr>
        <w:t>个人办公平台</w:t>
      </w:r>
      <w:bookmarkEnd w:id="187"/>
      <w:bookmarkEnd w:id="188"/>
    </w:p>
    <w:p>
      <w:pPr>
        <w:spacing w:line="500" w:lineRule="exact"/>
        <w:ind w:left="561" w:leftChars="267" w:firstLine="560" w:firstLineChars="200"/>
        <w:rPr>
          <w:rFonts w:ascii="仿宋" w:hAnsi="仿宋" w:eastAsia="仿宋" w:cs="仿宋"/>
          <w:color w:val="auto"/>
          <w:sz w:val="28"/>
          <w:szCs w:val="28"/>
        </w:rPr>
      </w:pPr>
      <w:r>
        <w:rPr>
          <w:rFonts w:hint="eastAsia" w:ascii="仿宋" w:hAnsi="仿宋" w:eastAsia="仿宋" w:cs="仿宋"/>
          <w:color w:val="auto"/>
          <w:sz w:val="28"/>
          <w:szCs w:val="28"/>
        </w:rPr>
        <w:t>系统提供个人工作平台功能，在平台上可完成各种工作流程处理、文件的查看、待办工作的处理、日程安排、会议安排、公告通知等，操作简单高效。具体要求如下：</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个性化设置：提供多种工作台风格及配色方案，工作台栏目自定义，栏目可鼠标拖放调整位置；</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快捷方式：可定义各功能、流程到个人工作台快捷方式，方便使用；</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关注事宜：将流程、来来往往的文件、任务进行关注，避免遗忘或耽误重要事项的跟踪处理；</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通讯录：用户能够创建属于自己的通讯录，其他人不可以查看；</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待办信息：系统为用户收集与记录来自所有功能模块的待办信息（审批、查阅、催办、会议、接待等），并将这些信息通过个性化的视图界面展现；</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个人日程：用户可以创建个人日程文档，可以定义文档类型，是否需要提醒，以及提醒时间、间隔与方式，可以授权允许别人阅读、更新自己的日程安排；同时需要实现各科室领导对本部门下属的日程进行管理；</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个人日程汇报：实现个人日程与任务的关联，当个人参与执行某项任务时，实现个人对任务进展的汇报以及总结；</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领导给员工安排工作任务，承办人及时反馈进展情况，领导随时监控。</w:t>
      </w:r>
    </w:p>
    <w:p>
      <w:pPr>
        <w:pStyle w:val="4"/>
        <w:tabs>
          <w:tab w:val="left" w:pos="864"/>
          <w:tab w:val="clear" w:pos="0"/>
        </w:tabs>
        <w:spacing w:line="500" w:lineRule="exact"/>
        <w:rPr>
          <w:rFonts w:ascii="仿宋" w:hAnsi="仿宋" w:eastAsia="仿宋" w:cs="仿宋"/>
          <w:color w:val="auto"/>
          <w:szCs w:val="28"/>
        </w:rPr>
      </w:pPr>
      <w:bookmarkStart w:id="189" w:name="_Toc247097303"/>
      <w:bookmarkStart w:id="190" w:name="_Toc45025501"/>
      <w:r>
        <w:rPr>
          <w:rFonts w:hint="eastAsia" w:ascii="仿宋" w:hAnsi="仿宋" w:eastAsia="仿宋" w:cs="仿宋"/>
          <w:color w:val="auto"/>
          <w:szCs w:val="28"/>
        </w:rPr>
        <w:t>流程管理</w:t>
      </w:r>
      <w:bookmarkEnd w:id="189"/>
      <w:bookmarkEnd w:id="190"/>
    </w:p>
    <w:p>
      <w:pPr>
        <w:spacing w:line="500" w:lineRule="exact"/>
        <w:ind w:left="561" w:leftChars="267" w:firstLine="560" w:firstLineChars="200"/>
        <w:rPr>
          <w:rFonts w:ascii="仿宋" w:hAnsi="仿宋" w:eastAsia="仿宋" w:cs="仿宋"/>
          <w:color w:val="auto"/>
          <w:sz w:val="28"/>
          <w:szCs w:val="28"/>
        </w:rPr>
      </w:pPr>
      <w:r>
        <w:rPr>
          <w:rFonts w:hint="eastAsia" w:ascii="仿宋" w:hAnsi="仿宋" w:eastAsia="仿宋" w:cs="仿宋"/>
          <w:color w:val="auto"/>
          <w:sz w:val="28"/>
          <w:szCs w:val="28"/>
        </w:rPr>
        <w:t>系统的流程管理能够完成自建流程、调用模板流程、自建个人模板、上传附件、调用表单等功能，以完成医院内部、外部，跨时间、跨空间的资料传递、审批、请示、报告、汇报、工作沟通等工作内容。具体要求如下：</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流程设计支持列表式设计和图形化设计，可按需绑定任意表单，实现流程与业务的分离；流程执行过程可实现图形化流程跟踪；</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流程管理的功能有良好的独立性，能够支持办公自动化系统以外的应用，即：不但能够和办公自动化系统中其他功能结合使用，例如会议管理的流程审批、车辆管理的流程审批、与表单的结合等，同时要求也能够与医院内的其他业务系统结合应用，例如HIS系统或医生工作站系统与流程结合应用；</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对系统中大量的流程，可实现流程分类管理，并以不同的颜色区分不同类别的流程；</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流程可复制，生成新的工作流程模板，方便流程的设计；</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流程设计中要求提供并行、分支、知会、会签、审批、阅办、分发、自动通知申请人、自动或手工选择流程下一步环节、自动归档等丰富的流程控制功能；</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自定义流程步骤处理时间和流程过程的处理时间，实现超期提醒或逾期自动通过；对紧急流程的处理时间进行控制，增强流程审批效率；</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由于医院组织架构特殊，制定流程时要求可以根据多样化的选择方式选定执行人，例如通过角色、部门负责人、人员等多种方式自动选择科室分管领导或岗位负责人等；</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流程处理人之间可以通过系统即时通讯工具、手机短信等进行有效沟通；</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对于审批事务可以进行委托代理。</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医院具有多重身份(在多个部门有兼职)的人非常普遍，要求在发起流程的时候，能很好地解决此类人员以不同身份发起流程、应该走不同路径的问题。</w:t>
      </w:r>
    </w:p>
    <w:p>
      <w:pPr>
        <w:pStyle w:val="4"/>
        <w:tabs>
          <w:tab w:val="left" w:pos="864"/>
          <w:tab w:val="clear" w:pos="0"/>
        </w:tabs>
        <w:spacing w:line="500" w:lineRule="exact"/>
        <w:rPr>
          <w:rFonts w:ascii="仿宋" w:hAnsi="仿宋" w:eastAsia="仿宋" w:cs="仿宋"/>
          <w:color w:val="auto"/>
          <w:szCs w:val="28"/>
        </w:rPr>
      </w:pPr>
      <w:bookmarkStart w:id="191" w:name="_Toc45025502"/>
      <w:bookmarkStart w:id="192" w:name="_Toc247097305"/>
      <w:r>
        <w:rPr>
          <w:rFonts w:hint="eastAsia" w:ascii="仿宋" w:hAnsi="仿宋" w:eastAsia="仿宋" w:cs="仿宋"/>
          <w:color w:val="auto"/>
          <w:szCs w:val="28"/>
        </w:rPr>
        <w:t>公文管理</w:t>
      </w:r>
      <w:bookmarkEnd w:id="191"/>
      <w:bookmarkEnd w:id="192"/>
    </w:p>
    <w:p>
      <w:pPr>
        <w:spacing w:line="500" w:lineRule="exact"/>
        <w:ind w:left="561" w:leftChars="267"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公文管理包括收文管理、发文管理、公文督办等。</w:t>
      </w:r>
    </w:p>
    <w:p>
      <w:pPr>
        <w:spacing w:line="500" w:lineRule="exact"/>
        <w:ind w:left="561" w:leftChars="267"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公文正文文件编辑格式应支持MS Word、Excel办公套件，支持在线编辑。</w:t>
      </w:r>
    </w:p>
    <w:p>
      <w:pPr>
        <w:spacing w:line="500" w:lineRule="exact"/>
        <w:ind w:left="561" w:leftChars="267"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收文管理</w:t>
      </w:r>
      <w:r>
        <w:rPr>
          <w:rFonts w:hint="eastAsia" w:ascii="仿宋" w:hAnsi="仿宋" w:eastAsia="仿宋" w:cs="仿宋"/>
          <w:color w:val="auto"/>
          <w:sz w:val="28"/>
          <w:szCs w:val="28"/>
        </w:rPr>
        <w:t>：实现各类型的收文管理，如收取各部门及上属单位发来的通告通报，上级主管部门的指示、批复，平级单位的通知、通告、下级单位的请示、报告等，各项规章制度也可形成内部收文。系统对上级部门收文、平级单位收文和下属部门收文的电子及实物收文进行从登记、批示到分发、传阅、办理等的全流程处理和监控，实现收文流转的电子化、自动化。具体要求如下：</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支持收文处理单、收文流程自定义功能；</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可随时查看该文件不同处理阶段的处理情况；</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根据文件的具体内容，可由相关领导选择批转给其他相关领导进行会签，所有相关领导会签完毕；或通过知会步骤执行完毕，收文才能够进出到下一步处理步骤；</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支持多人并行传阅，支持传阅与承办同时进行；</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支持收文处理流程的控制，授权用户可以监控和查询收文处理过程，可以设置对收文的限期处理，并在收文处理中对于特殊情况的流程，授权公文督办人员，可对原流程进行修改调整；</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办理完毕的公文可进行自动归档；</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支持原文扫描功能；</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可按日期、编号、来文单位、标题关键字等进行组合查询；</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支持以标准样张的格式打印电子公文的内容。</w:t>
      </w:r>
    </w:p>
    <w:p>
      <w:pPr>
        <w:spacing w:line="500" w:lineRule="exact"/>
        <w:ind w:left="561" w:leftChars="267"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发文管理</w:t>
      </w:r>
      <w:r>
        <w:rPr>
          <w:rFonts w:hint="eastAsia" w:ascii="仿宋" w:hAnsi="仿宋" w:eastAsia="仿宋" w:cs="仿宋"/>
          <w:color w:val="auto"/>
          <w:sz w:val="28"/>
          <w:szCs w:val="28"/>
        </w:rPr>
        <w:t>：发文管理完成发文所涉及的一系列操作：处室拟稿、领导审核、核稿、领导签发、文书印发等。实现发文管理的全过程，包括从拟稿到红头文件下发的一个完整流程控制，也包括一般公文传递。完成医院及处室各类型文种电子起草、审核、会签、签发、发布等处理。具体要求如下：</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支持发文稿纸、发文单、套红模板、发文流程自定义功能；</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要求系统通过多级安全保证机制确保公文流转过程中的安全性和真实性；</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系统按照用户岗位不同设置访问权限和操作权限，防止用户越权操作；</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系统能够实现发文审批的痕迹保留或版本控制，记录文件经手人的审批意见；</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可查看公文在不同处理阶段的处理情况；</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可进行发文文号管理；</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公文文件内容在发文处理流程中可根据权限进行编辑修改；</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文件可回退、注销操作，并可根据公文发文处理情况进行会签、退回拟稿人等操作；</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文件被退回后，拟稿人可直接修改文件内容及附件，进行再次报送；</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支持办结的公文自动归档；</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系统提供发文催办、督办、流程跟踪与查阅等功能；</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支持笔迹留痕、电子盖章、个性签名及手写笔的应用；</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可按日期、编号、发文单位、标题关键字、主题词等进行组合查询。</w:t>
      </w:r>
    </w:p>
    <w:p>
      <w:pPr>
        <w:spacing w:line="500" w:lineRule="exact"/>
        <w:ind w:left="561" w:leftChars="267"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 xml:space="preserve">文件呈批： </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呈报包括：呈报登记、审签、会签、审批、退文等处理流程；</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呈报文处理的流转环节可灵活调整，流转环节数和流转过程可根据需要重新定义；</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可自定义呈文格式，支持表格模版，部分常见文件格式，最好能参照我院已有的文件格式在OA中预设，选择相应类型文件后即可直接出现相应文件格式，其他内容只需直接键入即可。</w:t>
      </w:r>
    </w:p>
    <w:p>
      <w:pPr>
        <w:spacing w:line="500" w:lineRule="exact"/>
        <w:ind w:left="561" w:leftChars="267"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公文督办：</w:t>
      </w:r>
      <w:r>
        <w:rPr>
          <w:rFonts w:hint="eastAsia" w:ascii="仿宋" w:hAnsi="仿宋" w:eastAsia="仿宋" w:cs="仿宋"/>
          <w:color w:val="auto"/>
          <w:sz w:val="28"/>
          <w:szCs w:val="28"/>
        </w:rPr>
        <w:t>公文管理中要求拟办人员可以指定人员对公文进行督办，方便单位领导查看和督办。具体要求如下：</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可设置公文督办期限，督办期限当天给督办人以消息提醒；</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可按所收公文分别设置公文督办人；</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可设置公文督办提醒方式，提供短信、在线信息、邮件等方式；</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公文督办人员可监控公文处理情况，并对延迟未办理人员进行催办。</w:t>
      </w:r>
    </w:p>
    <w:p>
      <w:pPr>
        <w:pStyle w:val="4"/>
        <w:tabs>
          <w:tab w:val="left" w:pos="864"/>
          <w:tab w:val="clear" w:pos="0"/>
        </w:tabs>
        <w:spacing w:line="500" w:lineRule="exact"/>
        <w:rPr>
          <w:rFonts w:ascii="仿宋" w:hAnsi="仿宋" w:eastAsia="仿宋" w:cs="仿宋"/>
          <w:color w:val="auto"/>
          <w:szCs w:val="28"/>
        </w:rPr>
      </w:pPr>
      <w:bookmarkStart w:id="193" w:name="_Toc45025503"/>
      <w:r>
        <w:rPr>
          <w:rFonts w:hint="eastAsia" w:ascii="仿宋" w:hAnsi="仿宋" w:eastAsia="仿宋" w:cs="仿宋"/>
          <w:color w:val="auto"/>
          <w:szCs w:val="28"/>
        </w:rPr>
        <w:t>文档管理</w:t>
      </w:r>
      <w:bookmarkEnd w:id="193"/>
    </w:p>
    <w:p>
      <w:pPr>
        <w:spacing w:line="500" w:lineRule="exact"/>
        <w:ind w:left="561" w:leftChars="267" w:firstLine="560" w:firstLineChars="200"/>
        <w:rPr>
          <w:rFonts w:ascii="仿宋" w:hAnsi="仿宋" w:eastAsia="仿宋" w:cs="仿宋"/>
          <w:color w:val="auto"/>
          <w:sz w:val="28"/>
          <w:szCs w:val="28"/>
        </w:rPr>
      </w:pPr>
      <w:r>
        <w:rPr>
          <w:rFonts w:hint="eastAsia" w:ascii="仿宋" w:hAnsi="仿宋" w:eastAsia="仿宋" w:cs="仿宋"/>
          <w:color w:val="auto"/>
          <w:sz w:val="28"/>
          <w:szCs w:val="28"/>
        </w:rPr>
        <w:t>实现个人文档、部门文档、医院文档的共享应用。</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实现面向个人用户个性化文档首页的应用，包括最近阅读文档、最新文档、热门文档、个人收藏的文档、员工提供/推荐文档的排名等；</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提供多个文档的一次性复制、移动等操作；</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支持类似Windows资源管理器的文档结构树的应用；</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每个文件夹和单个文档都可以进行独立的权限设定，文件夹管理权限可下放到部门负责人；无权访问的文件夹或文档显示不可见；</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可对文档进行评论；</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支持类似Windows回收站的功能，删除的文档进入回收站，普通用户不可对回收站文档进行清空；</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可控制文档的下载、打印、复制；</w:t>
      </w:r>
    </w:p>
    <w:p>
      <w:pPr>
        <w:pStyle w:val="4"/>
        <w:tabs>
          <w:tab w:val="left" w:pos="864"/>
          <w:tab w:val="clear" w:pos="0"/>
        </w:tabs>
        <w:spacing w:line="500" w:lineRule="exact"/>
        <w:rPr>
          <w:rFonts w:ascii="仿宋" w:hAnsi="仿宋" w:eastAsia="仿宋" w:cs="仿宋"/>
          <w:color w:val="auto"/>
          <w:szCs w:val="28"/>
        </w:rPr>
      </w:pPr>
      <w:bookmarkStart w:id="194" w:name="_Toc45025504"/>
      <w:r>
        <w:rPr>
          <w:rFonts w:hint="eastAsia" w:ascii="仿宋" w:hAnsi="仿宋" w:eastAsia="仿宋" w:cs="仿宋"/>
          <w:color w:val="auto"/>
          <w:szCs w:val="28"/>
        </w:rPr>
        <w:t>自定义表单系统</w:t>
      </w:r>
      <w:bookmarkEnd w:id="194"/>
    </w:p>
    <w:p>
      <w:pPr>
        <w:spacing w:line="500" w:lineRule="exact"/>
        <w:ind w:left="561" w:leftChars="267"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电子表单是在流程中使用的信息载体，在表单设计上要适应科室业务的灵活多变性，具体要求如下：</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提供向导式、模板化表单设计工具，用户管理员即可根据业务需要自行设计表单；</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可通过拖拽、点击等方式，方便地设计表单，以及定义域的各种属性及与数据库表之间的关系；</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支持对表单内容进行查询和统计；</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表单可以绑定流程进行运行，也可以不绑定流程。</w:t>
      </w:r>
    </w:p>
    <w:p>
      <w:pPr>
        <w:pStyle w:val="4"/>
        <w:tabs>
          <w:tab w:val="left" w:pos="864"/>
          <w:tab w:val="clear" w:pos="0"/>
        </w:tabs>
        <w:spacing w:line="500" w:lineRule="exact"/>
        <w:rPr>
          <w:rFonts w:ascii="仿宋" w:hAnsi="仿宋" w:eastAsia="仿宋" w:cs="仿宋"/>
          <w:color w:val="auto"/>
          <w:szCs w:val="28"/>
        </w:rPr>
      </w:pPr>
      <w:bookmarkStart w:id="195" w:name="_Toc45025505"/>
      <w:bookmarkStart w:id="196" w:name="_Toc247097318"/>
      <w:r>
        <w:rPr>
          <w:rFonts w:hint="eastAsia" w:ascii="仿宋" w:hAnsi="仿宋" w:eastAsia="仿宋" w:cs="仿宋"/>
          <w:color w:val="auto"/>
          <w:szCs w:val="28"/>
        </w:rPr>
        <w:t>系统管理</w:t>
      </w:r>
      <w:bookmarkEnd w:id="195"/>
      <w:bookmarkEnd w:id="196"/>
    </w:p>
    <w:p>
      <w:pPr>
        <w:spacing w:line="500" w:lineRule="exact"/>
        <w:ind w:left="561" w:leftChars="267" w:firstLine="560" w:firstLineChars="200"/>
        <w:rPr>
          <w:rFonts w:ascii="仿宋" w:hAnsi="仿宋" w:eastAsia="仿宋" w:cs="仿宋"/>
          <w:color w:val="auto"/>
          <w:sz w:val="28"/>
          <w:szCs w:val="28"/>
        </w:rPr>
      </w:pPr>
      <w:r>
        <w:rPr>
          <w:rFonts w:hint="eastAsia" w:ascii="仿宋" w:hAnsi="仿宋" w:eastAsia="仿宋" w:cs="仿宋"/>
          <w:color w:val="auto"/>
          <w:sz w:val="28"/>
          <w:szCs w:val="28"/>
        </w:rPr>
        <w:t>承担系统的配置和对使用人员、数据库的管理，包括系统配置管理、用户、权限管理、数据维护、运行日志管理四部分。</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系统配置管理：负责对系统需要使用的参数信息进行设置和维护。系统参数包括流程设置定义、系统名称、单位名称、数据备份周期等内容。</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用户、权限管理：对系统的用户信息进行维护，根据用户信息检验用户的合法性，防止非法用户进入系统。并进行各类用户的权限管理和维护。</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系统管理员不能查看普通用户数据，不能拥有超级权限。</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数据维护：指从数据安全的角度，做好对数据的备份工作。</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单点登录设置、单点登录</w:t>
      </w:r>
    </w:p>
    <w:p>
      <w:pPr>
        <w:pStyle w:val="42"/>
        <w:numPr>
          <w:ilvl w:val="0"/>
          <w:numId w:val="68"/>
        </w:numPr>
        <w:tabs>
          <w:tab w:val="left" w:pos="1200"/>
        </w:tabs>
        <w:adjustRightInd/>
        <w:spacing w:line="500" w:lineRule="exact"/>
        <w:rPr>
          <w:rFonts w:ascii="仿宋" w:hAnsi="仿宋" w:eastAsia="仿宋" w:cs="仿宋"/>
          <w:color w:val="auto"/>
          <w:sz w:val="28"/>
          <w:szCs w:val="28"/>
        </w:rPr>
      </w:pPr>
      <w:r>
        <w:rPr>
          <w:rFonts w:hint="eastAsia" w:ascii="仿宋" w:hAnsi="仿宋" w:eastAsia="仿宋" w:cs="仿宋"/>
          <w:color w:val="auto"/>
          <w:sz w:val="28"/>
          <w:szCs w:val="28"/>
        </w:rPr>
        <w:t>系统运行日志管理：完成系统运行记录、用户操作记录的维护和查询功能，提供审计管理功能。</w:t>
      </w:r>
    </w:p>
    <w:p>
      <w:pPr>
        <w:pStyle w:val="19"/>
        <w:snapToGrid w:val="0"/>
        <w:spacing w:line="500" w:lineRule="exact"/>
        <w:ind w:firstLine="0" w:firstLineChars="0"/>
        <w:rPr>
          <w:rFonts w:ascii="仿宋" w:hAnsi="仿宋" w:eastAsia="仿宋" w:cs="仿宋"/>
          <w:color w:val="auto"/>
          <w:kern w:val="0"/>
          <w:sz w:val="28"/>
          <w:szCs w:val="28"/>
        </w:rPr>
      </w:pPr>
    </w:p>
    <w:p>
      <w:pPr>
        <w:pStyle w:val="2"/>
        <w:tabs>
          <w:tab w:val="clear" w:pos="576"/>
          <w:tab w:val="clear" w:pos="1296"/>
        </w:tabs>
        <w:spacing w:line="500" w:lineRule="exact"/>
        <w:rPr>
          <w:rFonts w:ascii="仿宋" w:hAnsi="仿宋" w:eastAsia="仿宋" w:cs="仿宋"/>
          <w:color w:val="auto"/>
          <w:szCs w:val="28"/>
        </w:rPr>
      </w:pPr>
      <w:bookmarkStart w:id="197" w:name="_Toc3020"/>
      <w:bookmarkStart w:id="198" w:name="_Toc45025506"/>
      <w:r>
        <w:rPr>
          <w:rFonts w:hint="eastAsia" w:ascii="仿宋" w:hAnsi="仿宋" w:eastAsia="仿宋" w:cs="仿宋"/>
          <w:color w:val="auto"/>
          <w:szCs w:val="28"/>
        </w:rPr>
        <w:t>数据对接</w:t>
      </w:r>
      <w:bookmarkEnd w:id="197"/>
      <w:bookmarkEnd w:id="198"/>
      <w:r>
        <w:rPr>
          <w:rFonts w:hint="eastAsia" w:ascii="仿宋" w:hAnsi="仿宋" w:eastAsia="仿宋" w:cs="仿宋"/>
          <w:color w:val="auto"/>
          <w:szCs w:val="28"/>
        </w:rPr>
        <w:tab/>
      </w:r>
    </w:p>
    <w:p>
      <w:pPr>
        <w:pStyle w:val="4"/>
        <w:tabs>
          <w:tab w:val="clear" w:pos="0"/>
        </w:tabs>
        <w:spacing w:line="500" w:lineRule="exact"/>
        <w:rPr>
          <w:rFonts w:ascii="仿宋" w:hAnsi="仿宋" w:eastAsia="仿宋" w:cs="仿宋"/>
          <w:color w:val="auto"/>
          <w:szCs w:val="28"/>
        </w:rPr>
      </w:pPr>
      <w:bookmarkStart w:id="199" w:name="_Toc45025507"/>
      <w:bookmarkStart w:id="200" w:name="_Toc23905"/>
      <w:r>
        <w:rPr>
          <w:rFonts w:hint="eastAsia" w:ascii="仿宋" w:hAnsi="仿宋" w:eastAsia="仿宋" w:cs="仿宋"/>
          <w:color w:val="auto"/>
          <w:szCs w:val="28"/>
        </w:rPr>
        <w:t>智慧医疗自助系统</w:t>
      </w:r>
      <w:bookmarkEnd w:id="199"/>
      <w:bookmarkEnd w:id="200"/>
      <w:r>
        <w:rPr>
          <w:rFonts w:hint="eastAsia" w:ascii="仿宋" w:hAnsi="仿宋" w:eastAsia="仿宋" w:cs="仿宋"/>
          <w:color w:val="auto"/>
          <w:szCs w:val="28"/>
        </w:rPr>
        <w:tab/>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实现智慧医疗自助系统，实现患者的自助查询打印功能，极大的利民便民。</w:t>
      </w:r>
    </w:p>
    <w:p>
      <w:pPr>
        <w:spacing w:line="500" w:lineRule="exact"/>
        <w:ind w:firstLine="560" w:firstLineChars="200"/>
        <w:rPr>
          <w:rFonts w:ascii="仿宋" w:hAnsi="仿宋" w:eastAsia="仿宋" w:cs="仿宋"/>
          <w:color w:val="auto"/>
          <w:sz w:val="28"/>
          <w:szCs w:val="28"/>
        </w:rPr>
      </w:pPr>
    </w:p>
    <w:p>
      <w:pPr>
        <w:pStyle w:val="4"/>
        <w:tabs>
          <w:tab w:val="clear" w:pos="0"/>
        </w:tabs>
        <w:spacing w:line="500" w:lineRule="exact"/>
        <w:rPr>
          <w:rFonts w:ascii="仿宋" w:hAnsi="仿宋" w:eastAsia="仿宋" w:cs="仿宋"/>
          <w:color w:val="auto"/>
          <w:szCs w:val="28"/>
        </w:rPr>
      </w:pPr>
      <w:bookmarkStart w:id="201" w:name="_Toc45025508"/>
      <w:bookmarkStart w:id="202" w:name="_Toc1828"/>
      <w:r>
        <w:rPr>
          <w:rFonts w:hint="eastAsia" w:ascii="仿宋" w:hAnsi="仿宋" w:eastAsia="仿宋" w:cs="仿宋"/>
          <w:color w:val="auto"/>
          <w:szCs w:val="28"/>
        </w:rPr>
        <w:t>医保系统，农合系统</w:t>
      </w:r>
      <w:bookmarkEnd w:id="201"/>
      <w:bookmarkEnd w:id="202"/>
    </w:p>
    <w:p>
      <w:pPr>
        <w:pStyle w:val="7"/>
        <w:spacing w:line="50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实现患者的医保数据对接，农合数据对接。</w:t>
      </w:r>
    </w:p>
    <w:p>
      <w:pPr>
        <w:pStyle w:val="2"/>
        <w:tabs>
          <w:tab w:val="clear" w:pos="576"/>
          <w:tab w:val="clear" w:pos="1296"/>
        </w:tabs>
        <w:spacing w:line="500" w:lineRule="exact"/>
        <w:rPr>
          <w:rFonts w:ascii="仿宋" w:hAnsi="仿宋" w:eastAsia="仿宋" w:cs="仿宋"/>
          <w:color w:val="auto"/>
          <w:szCs w:val="28"/>
        </w:rPr>
      </w:pPr>
      <w:bookmarkStart w:id="203" w:name="_Toc45025509"/>
      <w:r>
        <w:rPr>
          <w:rFonts w:hint="eastAsia" w:ascii="仿宋" w:hAnsi="仿宋" w:eastAsia="仿宋" w:cs="仿宋"/>
          <w:color w:val="auto"/>
          <w:szCs w:val="28"/>
        </w:rPr>
        <w:t>硬件系统</w:t>
      </w:r>
      <w:bookmarkEnd w:id="203"/>
    </w:p>
    <w:p>
      <w:pPr>
        <w:pStyle w:val="4"/>
        <w:tabs>
          <w:tab w:val="clear" w:pos="0"/>
        </w:tabs>
        <w:spacing w:line="500" w:lineRule="exact"/>
        <w:rPr>
          <w:rFonts w:ascii="仿宋" w:hAnsi="仿宋" w:eastAsia="仿宋" w:cs="仿宋"/>
          <w:color w:val="auto"/>
          <w:szCs w:val="28"/>
        </w:rPr>
      </w:pPr>
      <w:bookmarkStart w:id="204" w:name="_Toc45025510"/>
      <w:r>
        <w:rPr>
          <w:rFonts w:hint="eastAsia" w:ascii="仿宋" w:hAnsi="仿宋" w:eastAsia="仿宋" w:cs="仿宋"/>
          <w:color w:val="auto"/>
          <w:szCs w:val="28"/>
        </w:rPr>
        <w:t>服务器</w:t>
      </w:r>
      <w:bookmarkEnd w:id="204"/>
    </w:p>
    <w:p>
      <w:pPr>
        <w:numPr>
          <w:ilvl w:val="0"/>
          <w:numId w:val="70"/>
        </w:numPr>
        <w:spacing w:line="500" w:lineRule="exact"/>
        <w:rPr>
          <w:rFonts w:ascii="仿宋" w:hAnsi="仿宋" w:eastAsia="仿宋" w:cs="仿宋"/>
          <w:bCs/>
          <w:color w:val="auto"/>
          <w:sz w:val="28"/>
          <w:szCs w:val="28"/>
        </w:rPr>
      </w:pPr>
      <w:r>
        <w:rPr>
          <w:rFonts w:hint="eastAsia" w:ascii="仿宋" w:hAnsi="仿宋" w:eastAsia="仿宋" w:cs="仿宋"/>
          <w:bCs/>
          <w:color w:val="auto"/>
          <w:sz w:val="28"/>
          <w:szCs w:val="28"/>
        </w:rPr>
        <w:t>机架式PC服务器</w:t>
      </w:r>
    </w:p>
    <w:p>
      <w:pPr>
        <w:numPr>
          <w:ilvl w:val="0"/>
          <w:numId w:val="70"/>
        </w:numPr>
        <w:spacing w:line="500" w:lineRule="exact"/>
        <w:rPr>
          <w:rFonts w:ascii="仿宋" w:hAnsi="仿宋" w:eastAsia="仿宋" w:cs="仿宋"/>
          <w:bCs/>
          <w:color w:val="auto"/>
          <w:sz w:val="28"/>
          <w:szCs w:val="28"/>
        </w:rPr>
      </w:pPr>
      <w:r>
        <w:rPr>
          <w:rFonts w:hint="eastAsia" w:ascii="仿宋" w:hAnsi="仿宋" w:eastAsia="仿宋" w:cs="仿宋"/>
          <w:bCs/>
          <w:color w:val="auto"/>
          <w:sz w:val="28"/>
          <w:szCs w:val="28"/>
        </w:rPr>
        <w:t>4210(10核，2.2HZ)处理器</w:t>
      </w:r>
    </w:p>
    <w:p>
      <w:pPr>
        <w:numPr>
          <w:ilvl w:val="0"/>
          <w:numId w:val="70"/>
        </w:numPr>
        <w:spacing w:line="500" w:lineRule="exact"/>
        <w:rPr>
          <w:rFonts w:ascii="仿宋" w:hAnsi="仿宋" w:eastAsia="仿宋" w:cs="仿宋"/>
          <w:bCs/>
          <w:color w:val="auto"/>
          <w:sz w:val="28"/>
          <w:szCs w:val="28"/>
        </w:rPr>
      </w:pPr>
      <w:r>
        <w:rPr>
          <w:rFonts w:hint="eastAsia" w:ascii="仿宋" w:hAnsi="仿宋" w:eastAsia="仿宋" w:cs="仿宋"/>
          <w:bCs/>
          <w:color w:val="auto"/>
          <w:sz w:val="28"/>
          <w:szCs w:val="28"/>
        </w:rPr>
        <w:t xml:space="preserve">256GB 内存 </w:t>
      </w:r>
    </w:p>
    <w:p>
      <w:pPr>
        <w:numPr>
          <w:ilvl w:val="0"/>
          <w:numId w:val="70"/>
        </w:numPr>
        <w:spacing w:line="500" w:lineRule="exact"/>
        <w:rPr>
          <w:rFonts w:ascii="仿宋" w:hAnsi="仿宋" w:eastAsia="仿宋" w:cs="仿宋"/>
          <w:bCs/>
          <w:color w:val="auto"/>
          <w:sz w:val="28"/>
          <w:szCs w:val="28"/>
        </w:rPr>
      </w:pPr>
      <w:r>
        <w:rPr>
          <w:rFonts w:hint="eastAsia" w:ascii="仿宋" w:hAnsi="仿宋" w:eastAsia="仿宋" w:cs="仿宋"/>
          <w:bCs/>
          <w:color w:val="auto"/>
          <w:sz w:val="28"/>
          <w:szCs w:val="28"/>
        </w:rPr>
        <w:t>2T*4热插拔SAS硬盘 ,480GSSD</w:t>
      </w:r>
    </w:p>
    <w:p>
      <w:pPr>
        <w:numPr>
          <w:ilvl w:val="0"/>
          <w:numId w:val="70"/>
        </w:numPr>
        <w:spacing w:line="500" w:lineRule="exact"/>
        <w:rPr>
          <w:rFonts w:ascii="仿宋" w:hAnsi="仿宋" w:eastAsia="仿宋" w:cs="仿宋"/>
          <w:bCs/>
          <w:color w:val="auto"/>
          <w:sz w:val="28"/>
          <w:szCs w:val="28"/>
        </w:rPr>
      </w:pPr>
      <w:r>
        <w:rPr>
          <w:rFonts w:hint="eastAsia" w:ascii="仿宋" w:hAnsi="仿宋" w:eastAsia="仿宋" w:cs="仿宋"/>
          <w:bCs/>
          <w:color w:val="auto"/>
          <w:sz w:val="28"/>
          <w:szCs w:val="28"/>
        </w:rPr>
        <w:t>万兆双网卡</w:t>
      </w:r>
    </w:p>
    <w:p>
      <w:pPr>
        <w:numPr>
          <w:ilvl w:val="0"/>
          <w:numId w:val="70"/>
        </w:numPr>
        <w:spacing w:line="500" w:lineRule="exact"/>
        <w:rPr>
          <w:rFonts w:ascii="仿宋" w:hAnsi="仿宋" w:eastAsia="仿宋" w:cs="仿宋"/>
          <w:bCs/>
          <w:color w:val="auto"/>
          <w:sz w:val="28"/>
          <w:szCs w:val="28"/>
        </w:rPr>
      </w:pPr>
      <w:r>
        <w:rPr>
          <w:rFonts w:hint="eastAsia" w:ascii="仿宋" w:hAnsi="仿宋" w:eastAsia="仿宋" w:cs="仿宋"/>
          <w:bCs/>
          <w:color w:val="auto"/>
          <w:sz w:val="28"/>
          <w:szCs w:val="28"/>
        </w:rPr>
        <w:t>冗余电源</w:t>
      </w:r>
    </w:p>
    <w:p>
      <w:pPr>
        <w:pStyle w:val="4"/>
        <w:tabs>
          <w:tab w:val="clear" w:pos="0"/>
        </w:tabs>
        <w:spacing w:line="500" w:lineRule="exact"/>
        <w:rPr>
          <w:rFonts w:ascii="仿宋" w:hAnsi="仿宋" w:eastAsia="仿宋" w:cs="仿宋"/>
          <w:color w:val="auto"/>
          <w:szCs w:val="28"/>
        </w:rPr>
      </w:pPr>
      <w:bookmarkStart w:id="205" w:name="_Toc45025511"/>
      <w:r>
        <w:rPr>
          <w:rFonts w:hint="eastAsia" w:ascii="仿宋" w:hAnsi="仿宋" w:eastAsia="仿宋" w:cs="仿宋"/>
          <w:color w:val="auto"/>
          <w:szCs w:val="28"/>
        </w:rPr>
        <w:t>机柜</w:t>
      </w:r>
      <w:bookmarkEnd w:id="205"/>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42U立式机柜。</w:t>
      </w:r>
    </w:p>
    <w:p>
      <w:pPr>
        <w:pStyle w:val="4"/>
        <w:tabs>
          <w:tab w:val="clear" w:pos="0"/>
        </w:tabs>
        <w:spacing w:line="500" w:lineRule="exact"/>
        <w:rPr>
          <w:rFonts w:ascii="仿宋" w:hAnsi="仿宋" w:eastAsia="仿宋" w:cs="仿宋"/>
          <w:color w:val="auto"/>
          <w:szCs w:val="28"/>
        </w:rPr>
      </w:pPr>
      <w:bookmarkStart w:id="206" w:name="_Toc45025512"/>
      <w:r>
        <w:rPr>
          <w:rFonts w:hint="eastAsia" w:ascii="仿宋" w:hAnsi="仿宋" w:eastAsia="仿宋" w:cs="仿宋"/>
          <w:color w:val="auto"/>
          <w:szCs w:val="28"/>
        </w:rPr>
        <w:t>条码打印机</w:t>
      </w:r>
      <w:bookmarkEnd w:id="206"/>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一维码热敏不干胶打印机。</w:t>
      </w:r>
    </w:p>
    <w:p>
      <w:pPr>
        <w:pStyle w:val="4"/>
        <w:tabs>
          <w:tab w:val="clear" w:pos="0"/>
        </w:tabs>
        <w:spacing w:line="500" w:lineRule="exact"/>
        <w:rPr>
          <w:rFonts w:ascii="仿宋" w:hAnsi="仿宋" w:eastAsia="仿宋" w:cs="仿宋"/>
          <w:color w:val="auto"/>
          <w:szCs w:val="28"/>
        </w:rPr>
      </w:pPr>
      <w:bookmarkStart w:id="207" w:name="_Toc45025513"/>
      <w:r>
        <w:rPr>
          <w:rFonts w:hint="eastAsia" w:ascii="仿宋" w:hAnsi="仿宋" w:eastAsia="仿宋" w:cs="仿宋"/>
          <w:color w:val="auto"/>
          <w:szCs w:val="28"/>
        </w:rPr>
        <w:t>条码扫描仪</w:t>
      </w:r>
      <w:bookmarkEnd w:id="207"/>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一维码无线扫描枪商品条码枪。</w:t>
      </w:r>
    </w:p>
    <w:p>
      <w:pPr>
        <w:pStyle w:val="2"/>
        <w:tabs>
          <w:tab w:val="clear" w:pos="576"/>
          <w:tab w:val="clear" w:pos="1296"/>
        </w:tabs>
        <w:spacing w:line="500" w:lineRule="exact"/>
        <w:rPr>
          <w:rFonts w:ascii="仿宋" w:hAnsi="仿宋" w:eastAsia="仿宋" w:cs="仿宋"/>
          <w:color w:val="auto"/>
          <w:szCs w:val="28"/>
        </w:rPr>
      </w:pPr>
      <w:bookmarkStart w:id="208" w:name="_Toc39852509"/>
      <w:bookmarkStart w:id="209" w:name="_Toc45025514"/>
      <w:r>
        <w:rPr>
          <w:rFonts w:hint="eastAsia" w:ascii="仿宋" w:hAnsi="仿宋" w:eastAsia="仿宋" w:cs="仿宋"/>
          <w:color w:val="auto"/>
          <w:szCs w:val="28"/>
        </w:rPr>
        <w:t>售后服务：</w:t>
      </w:r>
      <w:bookmarkEnd w:id="208"/>
      <w:bookmarkEnd w:id="209"/>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三年质保期内，一律免费对软件维修或维护。质保期满后,医院若购买软件维护服务，服务费不得高于中标价的10% 。</w:t>
      </w:r>
    </w:p>
    <w:p>
      <w:pPr>
        <w:rPr>
          <w:rStyle w:val="32"/>
          <w:rFonts w:hint="eastAsia" w:ascii="仿宋" w:hAnsi="仿宋" w:eastAsia="仿宋" w:cs="仿宋"/>
          <w:color w:val="auto"/>
          <w:sz w:val="36"/>
          <w:szCs w:val="36"/>
          <w:lang w:val="en-US" w:eastAsia="zh-CN"/>
        </w:rPr>
      </w:pPr>
      <w:r>
        <w:rPr>
          <w:rStyle w:val="32"/>
          <w:rFonts w:hint="eastAsia" w:ascii="仿宋" w:hAnsi="仿宋" w:eastAsia="仿宋" w:cs="仿宋"/>
          <w:color w:val="auto"/>
          <w:sz w:val="36"/>
          <w:szCs w:val="36"/>
          <w:lang w:val="en-US" w:eastAsia="zh-CN"/>
        </w:rPr>
        <w:br w:type="page"/>
      </w:r>
    </w:p>
    <w:p>
      <w:pPr>
        <w:jc w:val="center"/>
        <w:rPr>
          <w:rStyle w:val="32"/>
          <w:rFonts w:hint="eastAsia" w:ascii="仿宋" w:hAnsi="仿宋" w:eastAsia="仿宋" w:cs="仿宋"/>
          <w:color w:val="auto"/>
          <w:sz w:val="36"/>
          <w:szCs w:val="36"/>
          <w:lang w:val="en-US" w:eastAsia="zh-CN"/>
        </w:rPr>
      </w:pPr>
      <w:r>
        <w:rPr>
          <w:rStyle w:val="32"/>
          <w:rFonts w:hint="eastAsia" w:ascii="仿宋" w:hAnsi="仿宋" w:eastAsia="仿宋" w:cs="仿宋"/>
          <w:color w:val="auto"/>
          <w:sz w:val="36"/>
          <w:szCs w:val="36"/>
          <w:lang w:val="en-US" w:eastAsia="zh-CN"/>
        </w:rPr>
        <w:t>第四包技术参数</w:t>
      </w:r>
    </w:p>
    <w:p>
      <w:pPr>
        <w:widowControl/>
        <w:jc w:val="left"/>
        <w:rPr>
          <w:rFonts w:ascii="仿宋" w:hAnsi="仿宋" w:eastAsia="仿宋" w:cs="仿宋"/>
          <w:b/>
          <w:color w:val="auto"/>
          <w:sz w:val="28"/>
          <w:szCs w:val="28"/>
        </w:rPr>
      </w:pPr>
      <w:r>
        <w:rPr>
          <w:rFonts w:hint="eastAsia" w:ascii="宋体" w:hAnsi="宋体" w:cs="宋体"/>
          <w:b/>
          <w:color w:val="auto"/>
          <w:kern w:val="0"/>
          <w:sz w:val="32"/>
          <w:szCs w:val="32"/>
        </w:rPr>
        <w:t>PCR实验室建设：</w:t>
      </w:r>
    </w:p>
    <w:p>
      <w:pPr>
        <w:jc w:val="left"/>
        <w:rPr>
          <w:rFonts w:ascii="仿宋" w:hAnsi="仿宋" w:eastAsia="仿宋" w:cs="仿宋"/>
          <w:b/>
          <w:color w:val="auto"/>
          <w:sz w:val="28"/>
          <w:szCs w:val="28"/>
        </w:rPr>
      </w:pPr>
      <w:r>
        <w:rPr>
          <w:rFonts w:hint="eastAsia" w:ascii="仿宋" w:hAnsi="仿宋" w:eastAsia="仿宋" w:cs="仿宋"/>
          <w:b/>
          <w:color w:val="auto"/>
          <w:sz w:val="28"/>
          <w:szCs w:val="28"/>
        </w:rPr>
        <w:t>一、核心设备参数：</w:t>
      </w:r>
    </w:p>
    <w:tbl>
      <w:tblPr>
        <w:tblStyle w:val="20"/>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769"/>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名称</w:t>
            </w:r>
          </w:p>
        </w:tc>
        <w:tc>
          <w:tcPr>
            <w:tcW w:w="769" w:type="dxa"/>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数量</w:t>
            </w:r>
          </w:p>
        </w:tc>
        <w:tc>
          <w:tcPr>
            <w:tcW w:w="6034" w:type="dxa"/>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组合式空调处理器</w:t>
            </w:r>
          </w:p>
        </w:tc>
        <w:tc>
          <w:tcPr>
            <w:tcW w:w="769"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1台</w:t>
            </w:r>
          </w:p>
        </w:tc>
        <w:tc>
          <w:tcPr>
            <w:tcW w:w="6034"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1、风量3500m³/h。</w:t>
            </w:r>
          </w:p>
          <w:p>
            <w:pPr>
              <w:jc w:val="left"/>
              <w:rPr>
                <w:rFonts w:ascii="仿宋" w:hAnsi="仿宋" w:eastAsia="仿宋" w:cs="仿宋"/>
                <w:color w:val="auto"/>
                <w:sz w:val="24"/>
                <w:szCs w:val="24"/>
              </w:rPr>
            </w:pPr>
            <w:r>
              <w:rPr>
                <w:rFonts w:hint="eastAsia" w:ascii="仿宋" w:hAnsi="仿宋" w:eastAsia="仿宋" w:cs="仿宋"/>
                <w:color w:val="auto"/>
                <w:sz w:val="24"/>
                <w:szCs w:val="24"/>
              </w:rPr>
              <w:t>2、机外余压：500pa。</w:t>
            </w:r>
          </w:p>
          <w:p>
            <w:pPr>
              <w:jc w:val="left"/>
              <w:rPr>
                <w:rFonts w:ascii="仿宋" w:hAnsi="仿宋" w:eastAsia="仿宋" w:cs="仿宋"/>
                <w:color w:val="auto"/>
                <w:sz w:val="24"/>
                <w:szCs w:val="24"/>
              </w:rPr>
            </w:pPr>
            <w:r>
              <w:rPr>
                <w:rFonts w:hint="eastAsia" w:ascii="仿宋" w:hAnsi="仿宋" w:eastAsia="仿宋" w:cs="仿宋"/>
                <w:color w:val="auto"/>
                <w:sz w:val="24"/>
                <w:szCs w:val="24"/>
              </w:rPr>
              <w:t>3、制冷量：12、5kw。</w:t>
            </w:r>
          </w:p>
          <w:p>
            <w:pPr>
              <w:jc w:val="left"/>
              <w:rPr>
                <w:rFonts w:ascii="仿宋" w:hAnsi="仿宋" w:eastAsia="仿宋" w:cs="仿宋"/>
                <w:color w:val="auto"/>
                <w:sz w:val="24"/>
                <w:szCs w:val="24"/>
              </w:rPr>
            </w:pPr>
            <w:r>
              <w:rPr>
                <w:rFonts w:hint="eastAsia" w:ascii="仿宋" w:hAnsi="仿宋" w:eastAsia="仿宋" w:cs="仿宋"/>
                <w:color w:val="auto"/>
                <w:sz w:val="24"/>
                <w:szCs w:val="24"/>
              </w:rPr>
              <w:t>4、机组功率：2、0kw。</w:t>
            </w:r>
          </w:p>
          <w:p>
            <w:pPr>
              <w:jc w:val="left"/>
              <w:rPr>
                <w:rFonts w:ascii="仿宋" w:hAnsi="仿宋" w:eastAsia="仿宋" w:cs="仿宋"/>
                <w:color w:val="auto"/>
                <w:sz w:val="24"/>
                <w:szCs w:val="24"/>
              </w:rPr>
            </w:pPr>
            <w:r>
              <w:rPr>
                <w:rFonts w:hint="eastAsia" w:ascii="仿宋" w:hAnsi="仿宋" w:eastAsia="仿宋" w:cs="仿宋"/>
                <w:color w:val="auto"/>
                <w:sz w:val="24"/>
                <w:szCs w:val="24"/>
              </w:rPr>
              <w:t>5、功能段：混合段、初效段、表冷加热段、风机段、中效段、出风段。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排风机组</w:t>
            </w:r>
          </w:p>
        </w:tc>
        <w:tc>
          <w:tcPr>
            <w:tcW w:w="769"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1台</w:t>
            </w:r>
          </w:p>
        </w:tc>
        <w:tc>
          <w:tcPr>
            <w:tcW w:w="6034"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1、风量4500m³/h。</w:t>
            </w:r>
          </w:p>
          <w:p>
            <w:pPr>
              <w:jc w:val="left"/>
              <w:rPr>
                <w:rFonts w:ascii="仿宋" w:hAnsi="仿宋" w:eastAsia="仿宋" w:cs="仿宋"/>
                <w:color w:val="auto"/>
                <w:sz w:val="24"/>
                <w:szCs w:val="24"/>
              </w:rPr>
            </w:pPr>
            <w:r>
              <w:rPr>
                <w:rFonts w:hint="eastAsia" w:ascii="仿宋" w:hAnsi="仿宋" w:eastAsia="仿宋" w:cs="仿宋"/>
                <w:color w:val="auto"/>
                <w:sz w:val="24"/>
                <w:szCs w:val="24"/>
              </w:rPr>
              <w:t>2、机组功率：2、5kw。</w:t>
            </w:r>
          </w:p>
          <w:p>
            <w:pPr>
              <w:jc w:val="left"/>
              <w:rPr>
                <w:rFonts w:ascii="仿宋" w:hAnsi="仿宋" w:eastAsia="仿宋" w:cs="仿宋"/>
                <w:color w:val="auto"/>
                <w:sz w:val="24"/>
                <w:szCs w:val="24"/>
              </w:rPr>
            </w:pPr>
            <w:r>
              <w:rPr>
                <w:rFonts w:hint="eastAsia" w:ascii="仿宋" w:hAnsi="仿宋" w:eastAsia="仿宋" w:cs="仿宋"/>
                <w:color w:val="auto"/>
                <w:sz w:val="24"/>
                <w:szCs w:val="24"/>
              </w:rPr>
              <w:t>3、功能段：混合段、风机段、中效段、出风段。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管道式新风空调机</w:t>
            </w:r>
          </w:p>
        </w:tc>
        <w:tc>
          <w:tcPr>
            <w:tcW w:w="769"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1台</w:t>
            </w:r>
          </w:p>
        </w:tc>
        <w:tc>
          <w:tcPr>
            <w:tcW w:w="6034"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1、制冷外机功率：3、5kw。</w:t>
            </w:r>
          </w:p>
          <w:p>
            <w:pPr>
              <w:jc w:val="left"/>
              <w:rPr>
                <w:rFonts w:ascii="仿宋" w:hAnsi="仿宋" w:eastAsia="仿宋" w:cs="仿宋"/>
                <w:color w:val="auto"/>
                <w:sz w:val="24"/>
                <w:szCs w:val="24"/>
              </w:rPr>
            </w:pPr>
            <w:r>
              <w:rPr>
                <w:rFonts w:hint="eastAsia" w:ascii="仿宋" w:hAnsi="仿宋" w:eastAsia="仿宋" w:cs="仿宋"/>
                <w:color w:val="auto"/>
                <w:sz w:val="24"/>
                <w:szCs w:val="24"/>
              </w:rPr>
              <w:t>2、制冷量12、5kw。</w:t>
            </w:r>
          </w:p>
          <w:p>
            <w:pPr>
              <w:jc w:val="left"/>
              <w:rPr>
                <w:rFonts w:ascii="仿宋" w:hAnsi="仿宋" w:eastAsia="仿宋" w:cs="仿宋"/>
                <w:color w:val="auto"/>
                <w:sz w:val="24"/>
                <w:szCs w:val="24"/>
              </w:rPr>
            </w:pPr>
            <w:r>
              <w:rPr>
                <w:rFonts w:hint="eastAsia" w:ascii="仿宋" w:hAnsi="仿宋" w:eastAsia="仿宋" w:cs="仿宋"/>
                <w:color w:val="auto"/>
                <w:sz w:val="24"/>
                <w:szCs w:val="24"/>
              </w:rPr>
              <w:t>3、制热量：14kw。</w:t>
            </w:r>
          </w:p>
        </w:tc>
      </w:tr>
    </w:tbl>
    <w:p>
      <w:pPr>
        <w:pStyle w:val="19"/>
        <w:ind w:firstLine="480"/>
        <w:rPr>
          <w:color w:val="auto"/>
        </w:rPr>
      </w:pPr>
    </w:p>
    <w:p>
      <w:pPr>
        <w:pStyle w:val="19"/>
        <w:ind w:firstLine="480"/>
        <w:rPr>
          <w:color w:val="auto"/>
        </w:rPr>
      </w:pPr>
    </w:p>
    <w:p>
      <w:pPr>
        <w:pStyle w:val="19"/>
        <w:ind w:firstLine="480"/>
        <w:rPr>
          <w:color w:val="auto"/>
        </w:rPr>
      </w:pPr>
    </w:p>
    <w:p>
      <w:pPr>
        <w:pStyle w:val="19"/>
        <w:ind w:firstLine="480"/>
        <w:rPr>
          <w:color w:val="auto"/>
        </w:rPr>
      </w:pPr>
    </w:p>
    <w:p>
      <w:pPr>
        <w:pStyle w:val="19"/>
        <w:ind w:firstLine="480"/>
        <w:rPr>
          <w:color w:val="auto"/>
        </w:rPr>
      </w:pPr>
    </w:p>
    <w:p>
      <w:pPr>
        <w:pStyle w:val="19"/>
        <w:ind w:firstLine="480"/>
        <w:rPr>
          <w:color w:val="auto"/>
        </w:rPr>
      </w:pPr>
    </w:p>
    <w:p>
      <w:pPr>
        <w:pStyle w:val="19"/>
        <w:ind w:firstLine="480"/>
        <w:rPr>
          <w:color w:val="auto"/>
        </w:rPr>
      </w:pPr>
    </w:p>
    <w:p>
      <w:pPr>
        <w:pStyle w:val="19"/>
        <w:ind w:firstLine="480"/>
        <w:rPr>
          <w:color w:val="auto"/>
        </w:rPr>
      </w:pPr>
    </w:p>
    <w:p>
      <w:pPr>
        <w:pStyle w:val="19"/>
        <w:ind w:firstLine="480"/>
        <w:rPr>
          <w:color w:val="auto"/>
        </w:rPr>
      </w:pPr>
    </w:p>
    <w:p>
      <w:pPr>
        <w:pStyle w:val="19"/>
        <w:ind w:firstLine="480"/>
        <w:rPr>
          <w:color w:val="auto"/>
        </w:rPr>
      </w:pPr>
    </w:p>
    <w:p>
      <w:pPr>
        <w:pStyle w:val="19"/>
        <w:ind w:firstLine="480"/>
        <w:rPr>
          <w:color w:val="auto"/>
        </w:rPr>
      </w:pPr>
    </w:p>
    <w:p>
      <w:pPr>
        <w:pStyle w:val="19"/>
        <w:ind w:firstLine="480"/>
        <w:rPr>
          <w:color w:val="auto"/>
        </w:rPr>
      </w:pPr>
    </w:p>
    <w:p>
      <w:pPr>
        <w:pStyle w:val="19"/>
        <w:ind w:firstLine="480"/>
        <w:rPr>
          <w:color w:val="auto"/>
        </w:rPr>
      </w:pPr>
    </w:p>
    <w:p>
      <w:pPr>
        <w:pStyle w:val="19"/>
        <w:ind w:firstLine="480"/>
        <w:rPr>
          <w:color w:val="auto"/>
        </w:rPr>
      </w:pPr>
    </w:p>
    <w:p>
      <w:pPr>
        <w:jc w:val="left"/>
        <w:rPr>
          <w:rFonts w:hint="eastAsia" w:ascii="仿宋" w:hAnsi="仿宋" w:eastAsia="仿宋" w:cs="仿宋"/>
          <w:b/>
          <w:color w:val="auto"/>
          <w:sz w:val="30"/>
          <w:szCs w:val="30"/>
        </w:rPr>
      </w:pPr>
    </w:p>
    <w:p>
      <w:pPr>
        <w:jc w:val="left"/>
        <w:rPr>
          <w:rFonts w:hint="eastAsia" w:ascii="仿宋" w:hAnsi="仿宋" w:eastAsia="仿宋" w:cs="仿宋"/>
          <w:b/>
          <w:color w:val="auto"/>
          <w:sz w:val="30"/>
          <w:szCs w:val="30"/>
        </w:rPr>
      </w:pPr>
    </w:p>
    <w:tbl>
      <w:tblPr>
        <w:tblStyle w:val="20"/>
        <w:tblpPr w:leftFromText="180" w:rightFromText="180" w:vertAnchor="text" w:horzAnchor="page" w:tblpX="1185" w:tblpY="10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2274"/>
        <w:gridCol w:w="5075"/>
        <w:gridCol w:w="618"/>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b/>
                <w:bCs/>
                <w:color w:val="auto"/>
                <w:sz w:val="24"/>
                <w:szCs w:val="24"/>
              </w:rPr>
            </w:pPr>
            <w:r>
              <w:rPr>
                <w:rFonts w:hint="eastAsia" w:ascii="仿宋" w:hAnsi="仿宋" w:eastAsia="仿宋" w:cs="仿宋"/>
                <w:b/>
                <w:color w:val="auto"/>
                <w:sz w:val="30"/>
                <w:szCs w:val="30"/>
              </w:rPr>
              <w:t>二、工程量清单：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tcBorders>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428" w:type="dxa"/>
            <w:tcBorders>
              <w:top w:val="single" w:color="auto" w:sz="4" w:space="0"/>
            </w:tcBorders>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材料名称</w:t>
            </w:r>
          </w:p>
        </w:tc>
        <w:tc>
          <w:tcPr>
            <w:tcW w:w="5374" w:type="dxa"/>
            <w:tcBorders>
              <w:top w:val="single" w:color="auto" w:sz="4" w:space="0"/>
            </w:tcBorders>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规格型号</w:t>
            </w:r>
          </w:p>
        </w:tc>
        <w:tc>
          <w:tcPr>
            <w:tcW w:w="634" w:type="dxa"/>
            <w:tcBorders>
              <w:top w:val="single" w:color="auto" w:sz="4" w:space="0"/>
            </w:tcBorders>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784" w:type="dxa"/>
            <w:tcBorders>
              <w:top w:val="single" w:color="auto" w:sz="4" w:space="0"/>
            </w:tcBorders>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b/>
                <w:bCs/>
                <w:color w:val="auto"/>
                <w:sz w:val="24"/>
                <w:szCs w:val="24"/>
              </w:rPr>
              <w:t>一</w:t>
            </w:r>
          </w:p>
        </w:tc>
        <w:tc>
          <w:tcPr>
            <w:tcW w:w="2428" w:type="dxa"/>
            <w:vAlign w:val="center"/>
          </w:tcPr>
          <w:p>
            <w:pPr>
              <w:rPr>
                <w:rFonts w:ascii="仿宋" w:hAnsi="仿宋" w:eastAsia="仿宋" w:cs="仿宋"/>
                <w:b/>
                <w:bCs/>
                <w:color w:val="auto"/>
                <w:sz w:val="24"/>
                <w:szCs w:val="24"/>
              </w:rPr>
            </w:pPr>
            <w:r>
              <w:rPr>
                <w:rFonts w:hint="eastAsia" w:ascii="仿宋" w:hAnsi="仿宋" w:eastAsia="仿宋" w:cs="仿宋"/>
                <w:b/>
                <w:bCs/>
                <w:color w:val="auto"/>
                <w:sz w:val="24"/>
                <w:szCs w:val="24"/>
              </w:rPr>
              <w:t>装饰部分</w:t>
            </w:r>
          </w:p>
        </w:tc>
        <w:tc>
          <w:tcPr>
            <w:tcW w:w="537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硫氧镁净化彩钢板吊顶</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∫＝50mm企口型钢板厚为　∫＝0、426mm</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吊顶加强吊顶</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专用件</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岩棉净化彩钢板隔墙</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∫＝50mm企口型钢板厚为　∫＝0、426mm</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断桥隔热铝合金型材隔断</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铝合金连接件</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R50mm</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传递窗</w:t>
            </w:r>
          </w:p>
        </w:tc>
        <w:tc>
          <w:tcPr>
            <w:tcW w:w="5374" w:type="dxa"/>
            <w:vAlign w:val="center"/>
          </w:tcPr>
          <w:p>
            <w:pPr>
              <w:numPr>
                <w:ilvl w:val="0"/>
                <w:numId w:val="71"/>
              </w:numPr>
              <w:rPr>
                <w:rFonts w:ascii="仿宋" w:hAnsi="仿宋" w:eastAsia="仿宋" w:cs="仿宋"/>
                <w:color w:val="auto"/>
                <w:sz w:val="24"/>
                <w:szCs w:val="24"/>
              </w:rPr>
            </w:pPr>
            <w:r>
              <w:rPr>
                <w:rFonts w:hint="eastAsia" w:ascii="仿宋" w:hAnsi="仿宋" w:eastAsia="仿宋" w:cs="仿宋"/>
                <w:color w:val="auto"/>
                <w:sz w:val="24"/>
                <w:szCs w:val="24"/>
              </w:rPr>
              <w:t>全不锈钢机械互锁。</w:t>
            </w:r>
          </w:p>
          <w:p>
            <w:pPr>
              <w:numPr>
                <w:ilvl w:val="0"/>
                <w:numId w:val="71"/>
              </w:numPr>
              <w:rPr>
                <w:rFonts w:ascii="仿宋" w:hAnsi="仿宋" w:eastAsia="仿宋" w:cs="仿宋"/>
                <w:color w:val="auto"/>
                <w:sz w:val="24"/>
                <w:szCs w:val="24"/>
              </w:rPr>
            </w:pPr>
            <w:r>
              <w:rPr>
                <w:rFonts w:hint="eastAsia" w:ascii="仿宋" w:hAnsi="仿宋" w:eastAsia="仿宋" w:cs="仿宋"/>
                <w:color w:val="auto"/>
                <w:sz w:val="24"/>
                <w:szCs w:val="24"/>
              </w:rPr>
              <w:t>规格、型号：600*600*600mm。</w:t>
            </w:r>
          </w:p>
          <w:p>
            <w:pPr>
              <w:numPr>
                <w:ilvl w:val="0"/>
                <w:numId w:val="71"/>
              </w:numPr>
              <w:rPr>
                <w:rFonts w:ascii="仿宋" w:hAnsi="仿宋" w:eastAsia="仿宋" w:cs="仿宋"/>
                <w:color w:val="auto"/>
                <w:sz w:val="24"/>
                <w:szCs w:val="24"/>
              </w:rPr>
            </w:pPr>
            <w:r>
              <w:rPr>
                <w:rFonts w:hint="eastAsia" w:ascii="仿宋" w:hAnsi="仿宋" w:eastAsia="仿宋" w:cs="仿宋"/>
                <w:color w:val="auto"/>
                <w:sz w:val="24"/>
                <w:szCs w:val="24"/>
              </w:rPr>
              <w:t>注： 两门互锁、内部安装紫外线杀，菌灯。</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固定观察窗</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1500*1200mm、5mm厚钢化玻璃。</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成品钢制门</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1、门代号及洞口尺寸：钢制单门 900*2100mm。</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2、开启方式：平开。</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3、门框或扇外围尺寸：钢制。</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4、门材质：钢质门。</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5、玻璃品种、厚度：5mm厚玻璃。</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6、闭门器：安装35kg闭门器。</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7、注：含门把手及五金。</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成品钢制门</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1、门代号及洞口尺寸：钢制单门 1000*2100mm。</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2、开启方式：平开。</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3、门框或扇外围尺寸：钢制。</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4、门材质：钢质门。</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5、玻璃品种、厚度：5mm厚玻璃。</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6、闭门器：安装35kg闭门器。</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7、注：含门把手及五金。</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断桥隔热型材门</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1500*2100mm</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设备门</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1、门代号及洞口尺寸：M4单开门 1200*2100mm。</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2、门材质：铝合金门框+洁净板门体。</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门封头</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铝合金制</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PVC抗菌板地面</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厚∫＝2、0mm（带自流平水泥砂浆）</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土建墙体拆除及恢复</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项</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土建墙体开洞及垃圾清运</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项</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二</w:t>
            </w:r>
          </w:p>
        </w:tc>
        <w:tc>
          <w:tcPr>
            <w:tcW w:w="2428" w:type="dxa"/>
            <w:vAlign w:val="center"/>
          </w:tcPr>
          <w:p>
            <w:pPr>
              <w:rPr>
                <w:rFonts w:ascii="仿宋" w:hAnsi="仿宋" w:eastAsia="仿宋" w:cs="仿宋"/>
                <w:b/>
                <w:bCs/>
                <w:color w:val="auto"/>
                <w:sz w:val="24"/>
                <w:szCs w:val="24"/>
              </w:rPr>
            </w:pPr>
            <w:r>
              <w:rPr>
                <w:rFonts w:hint="eastAsia" w:ascii="仿宋" w:hAnsi="仿宋" w:eastAsia="仿宋" w:cs="仿宋"/>
                <w:b/>
                <w:bCs/>
                <w:color w:val="auto"/>
                <w:sz w:val="24"/>
                <w:szCs w:val="24"/>
              </w:rPr>
              <w:t>净化产品</w:t>
            </w:r>
          </w:p>
        </w:tc>
        <w:tc>
          <w:tcPr>
            <w:tcW w:w="5374" w:type="dxa"/>
            <w:vAlign w:val="center"/>
          </w:tcPr>
          <w:p>
            <w:pPr>
              <w:rPr>
                <w:rFonts w:ascii="仿宋" w:hAnsi="仿宋" w:eastAsia="仿宋" w:cs="仿宋"/>
                <w:color w:val="auto"/>
                <w:sz w:val="24"/>
                <w:szCs w:val="24"/>
              </w:rPr>
            </w:pPr>
          </w:p>
        </w:tc>
        <w:tc>
          <w:tcPr>
            <w:tcW w:w="634" w:type="dxa"/>
            <w:vAlign w:val="center"/>
          </w:tcPr>
          <w:p>
            <w:pPr>
              <w:jc w:val="center"/>
              <w:rPr>
                <w:rFonts w:ascii="仿宋" w:hAnsi="仿宋" w:eastAsia="仿宋" w:cs="仿宋"/>
                <w:color w:val="auto"/>
                <w:sz w:val="24"/>
                <w:szCs w:val="24"/>
              </w:rPr>
            </w:pPr>
          </w:p>
        </w:tc>
        <w:tc>
          <w:tcPr>
            <w:tcW w:w="784" w:type="dxa"/>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高效过滤器</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GKF-5A、额定风量500m³/h</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铝合金送风散流器</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320*320</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铝合金格式回风口</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320*320</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铝合金侧排风口</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400*250带阻尼网</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铝合金侧排风口</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320*250带阻尼网</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铝合金新风百叶</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600*600</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铝合金防雨百叶</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500*500</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三</w:t>
            </w:r>
          </w:p>
        </w:tc>
        <w:tc>
          <w:tcPr>
            <w:tcW w:w="2428" w:type="dxa"/>
            <w:vAlign w:val="center"/>
          </w:tcPr>
          <w:p>
            <w:pPr>
              <w:rPr>
                <w:rFonts w:ascii="仿宋" w:hAnsi="仿宋" w:eastAsia="仿宋" w:cs="仿宋"/>
                <w:b/>
                <w:bCs/>
                <w:color w:val="auto"/>
                <w:sz w:val="24"/>
                <w:szCs w:val="24"/>
              </w:rPr>
            </w:pPr>
            <w:r>
              <w:rPr>
                <w:rFonts w:hint="eastAsia" w:ascii="仿宋" w:hAnsi="仿宋" w:eastAsia="仿宋" w:cs="仿宋"/>
                <w:b/>
                <w:bCs/>
                <w:color w:val="auto"/>
                <w:sz w:val="24"/>
                <w:szCs w:val="24"/>
              </w:rPr>
              <w:t>电气照明控制部分</w:t>
            </w:r>
          </w:p>
        </w:tc>
        <w:tc>
          <w:tcPr>
            <w:tcW w:w="5374" w:type="dxa"/>
            <w:vAlign w:val="center"/>
          </w:tcPr>
          <w:p>
            <w:pPr>
              <w:rPr>
                <w:rFonts w:ascii="仿宋" w:hAnsi="仿宋" w:eastAsia="仿宋" w:cs="仿宋"/>
                <w:color w:val="auto"/>
                <w:sz w:val="24"/>
                <w:szCs w:val="24"/>
              </w:rPr>
            </w:pPr>
          </w:p>
        </w:tc>
        <w:tc>
          <w:tcPr>
            <w:tcW w:w="634" w:type="dxa"/>
            <w:vAlign w:val="center"/>
          </w:tcPr>
          <w:p>
            <w:pPr>
              <w:jc w:val="center"/>
              <w:rPr>
                <w:rFonts w:ascii="仿宋" w:hAnsi="仿宋" w:eastAsia="仿宋" w:cs="仿宋"/>
                <w:color w:val="auto"/>
                <w:sz w:val="24"/>
                <w:szCs w:val="24"/>
              </w:rPr>
            </w:pPr>
          </w:p>
        </w:tc>
        <w:tc>
          <w:tcPr>
            <w:tcW w:w="784" w:type="dxa"/>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电气控制箱</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台</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LED平板净化灯</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48W</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盏</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LED平板净化灯</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36W</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盏</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LED平板净化灯</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24W</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盏</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紫外线杀菌灯</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1*30W悬挂式不锈钢制</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盏</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紫外线杀菌灯</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1*20W悬挂式不锈钢制</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盏</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工作中指示灯</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LED</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双联开关</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10A</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五孔插座</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10A</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五孔插座</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16A</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电缆线</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YJV-5*16mm</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电线</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ZR-BVR-2、5mm</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电线</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ZR-BVR-4mm</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穿线管</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JDG20-JDG25</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四</w:t>
            </w:r>
          </w:p>
        </w:tc>
        <w:tc>
          <w:tcPr>
            <w:tcW w:w="2428" w:type="dxa"/>
            <w:vAlign w:val="center"/>
          </w:tcPr>
          <w:p>
            <w:pPr>
              <w:rPr>
                <w:rFonts w:ascii="仿宋" w:hAnsi="仿宋" w:eastAsia="仿宋" w:cs="仿宋"/>
                <w:b/>
                <w:bCs/>
                <w:color w:val="auto"/>
                <w:sz w:val="24"/>
                <w:szCs w:val="24"/>
              </w:rPr>
            </w:pPr>
            <w:r>
              <w:rPr>
                <w:rFonts w:hint="eastAsia" w:ascii="仿宋" w:hAnsi="仿宋" w:eastAsia="仿宋" w:cs="仿宋"/>
                <w:b/>
                <w:bCs/>
                <w:color w:val="auto"/>
                <w:sz w:val="24"/>
                <w:szCs w:val="24"/>
              </w:rPr>
              <w:t xml:space="preserve">通风管道部分     </w:t>
            </w:r>
          </w:p>
        </w:tc>
        <w:tc>
          <w:tcPr>
            <w:tcW w:w="5374" w:type="dxa"/>
            <w:vAlign w:val="center"/>
          </w:tcPr>
          <w:p>
            <w:pPr>
              <w:jc w:val="center"/>
              <w:rPr>
                <w:rFonts w:ascii="仿宋" w:hAnsi="仿宋" w:eastAsia="仿宋" w:cs="仿宋"/>
                <w:color w:val="auto"/>
                <w:sz w:val="24"/>
                <w:szCs w:val="24"/>
              </w:rPr>
            </w:pPr>
          </w:p>
        </w:tc>
        <w:tc>
          <w:tcPr>
            <w:tcW w:w="634" w:type="dxa"/>
            <w:vAlign w:val="center"/>
          </w:tcPr>
          <w:p>
            <w:pPr>
              <w:jc w:val="center"/>
              <w:rPr>
                <w:rFonts w:ascii="仿宋" w:hAnsi="仿宋" w:eastAsia="仿宋" w:cs="仿宋"/>
                <w:color w:val="auto"/>
                <w:sz w:val="24"/>
                <w:szCs w:val="24"/>
              </w:rPr>
            </w:pPr>
          </w:p>
        </w:tc>
        <w:tc>
          <w:tcPr>
            <w:tcW w:w="784" w:type="dxa"/>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镀锌钢板</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∫＝0、6mm</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xml:space="preserve">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圆钢、角钢</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25*25-30*30</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支</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圆钢、角钢</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40*40</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支</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PEF保温板</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∫＝25mm</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xml:space="preserve">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防火漆</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kg</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胶水</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kg</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防火阀</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400*400容断型70℃</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防火阀</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400*320容断型70℃</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止回阀</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400*400钢制</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风量调节阀</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400*400钢制</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风量调节阀</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400*320钢制</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风量调节阀</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320*200钢制</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风量调节阀</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250*200钢制</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风量调节阀</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200*200钢制</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只</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五</w:t>
            </w:r>
          </w:p>
        </w:tc>
        <w:tc>
          <w:tcPr>
            <w:tcW w:w="2428" w:type="dxa"/>
            <w:vAlign w:val="center"/>
          </w:tcPr>
          <w:p>
            <w:pPr>
              <w:jc w:val="left"/>
              <w:rPr>
                <w:rFonts w:ascii="仿宋" w:hAnsi="仿宋" w:eastAsia="仿宋" w:cs="仿宋"/>
                <w:b/>
                <w:bCs/>
                <w:color w:val="auto"/>
                <w:sz w:val="24"/>
                <w:szCs w:val="24"/>
              </w:rPr>
            </w:pPr>
            <w:r>
              <w:rPr>
                <w:rFonts w:hint="eastAsia" w:ascii="仿宋" w:hAnsi="仿宋" w:eastAsia="仿宋" w:cs="仿宋"/>
                <w:b/>
                <w:bCs/>
                <w:color w:val="auto"/>
                <w:sz w:val="24"/>
                <w:szCs w:val="24"/>
              </w:rPr>
              <w:t>其它</w:t>
            </w:r>
          </w:p>
        </w:tc>
        <w:tc>
          <w:tcPr>
            <w:tcW w:w="537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铜管及保温</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1、名称：空调铜管。</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2、安装形式：包含一根12mm高压铜管和一根19mm低压铜管。</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3、绝热材料品种：阻燃橡塑。</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4、绝热厚度：25mm。</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电子连锁</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红外线感应、双门电子互锁、断电后自动关闭</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实验室对讲系统</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1拖1</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压差计</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60Pa</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设备吊装减震器</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阻尼减震器</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门禁设备</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实验室边台</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全钢结构</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2428"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更衣柜</w:t>
            </w:r>
          </w:p>
        </w:tc>
        <w:tc>
          <w:tcPr>
            <w:tcW w:w="5374"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铝木结构</w:t>
            </w:r>
          </w:p>
        </w:tc>
        <w:tc>
          <w:tcPr>
            <w:tcW w:w="63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78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bl>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第五包技术参数</w:t>
      </w:r>
    </w:p>
    <w:p>
      <w:pPr>
        <w:widowControl/>
        <w:jc w:val="left"/>
        <w:rPr>
          <w:rFonts w:ascii="仿宋" w:hAnsi="仿宋" w:eastAsia="仿宋" w:cs="仿宋"/>
          <w:color w:val="auto"/>
          <w:kern w:val="0"/>
          <w:sz w:val="30"/>
          <w:szCs w:val="30"/>
        </w:rPr>
      </w:pPr>
      <w:r>
        <w:rPr>
          <w:rFonts w:hint="eastAsia" w:ascii="仿宋" w:hAnsi="仿宋" w:eastAsia="仿宋" w:cs="仿宋"/>
          <w:b/>
          <w:color w:val="auto"/>
          <w:kern w:val="0"/>
          <w:sz w:val="30"/>
          <w:szCs w:val="30"/>
        </w:rPr>
        <w:t>计划生育手术室建设</w:t>
      </w:r>
    </w:p>
    <w:p>
      <w:pPr>
        <w:jc w:val="left"/>
        <w:rPr>
          <w:rFonts w:ascii="仿宋" w:hAnsi="仿宋" w:eastAsia="仿宋" w:cs="仿宋"/>
          <w:b/>
          <w:color w:val="auto"/>
          <w:sz w:val="28"/>
          <w:szCs w:val="28"/>
        </w:rPr>
      </w:pPr>
      <w:r>
        <w:rPr>
          <w:rFonts w:hint="eastAsia" w:ascii="仿宋" w:hAnsi="仿宋" w:eastAsia="仿宋" w:cs="仿宋"/>
          <w:b/>
          <w:color w:val="auto"/>
          <w:sz w:val="28"/>
          <w:szCs w:val="28"/>
        </w:rPr>
        <w:t>一、核心设备参数：</w:t>
      </w:r>
    </w:p>
    <w:tbl>
      <w:tblPr>
        <w:tblStyle w:val="20"/>
        <w:tblpPr w:leftFromText="180" w:rightFromText="180" w:vertAnchor="text" w:tblpX="1" w:tblpY="1"/>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614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名称</w:t>
            </w:r>
          </w:p>
        </w:tc>
        <w:tc>
          <w:tcPr>
            <w:tcW w:w="6147" w:type="dxa"/>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技术参数及要求</w:t>
            </w:r>
          </w:p>
        </w:tc>
        <w:tc>
          <w:tcPr>
            <w:tcW w:w="722" w:type="dxa"/>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洁净送风天花</w:t>
            </w:r>
          </w:p>
          <w:p>
            <w:pPr>
              <w:rPr>
                <w:rFonts w:ascii="仿宋" w:hAnsi="仿宋" w:eastAsia="仿宋" w:cs="仿宋"/>
                <w:color w:val="auto"/>
                <w:sz w:val="24"/>
                <w:szCs w:val="24"/>
              </w:rPr>
            </w:pPr>
          </w:p>
        </w:tc>
        <w:tc>
          <w:tcPr>
            <w:tcW w:w="6147"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1：1400*2600*500mm。</w:t>
            </w:r>
          </w:p>
          <w:p>
            <w:pPr>
              <w:rPr>
                <w:rFonts w:ascii="仿宋" w:hAnsi="仿宋" w:eastAsia="仿宋" w:cs="仿宋"/>
                <w:color w:val="auto"/>
                <w:sz w:val="24"/>
                <w:szCs w:val="24"/>
              </w:rPr>
            </w:pPr>
            <w:r>
              <w:rPr>
                <w:rFonts w:hint="eastAsia" w:ascii="仿宋" w:hAnsi="仿宋" w:eastAsia="仿宋" w:cs="仿宋"/>
                <w:color w:val="auto"/>
                <w:sz w:val="24"/>
                <w:szCs w:val="24"/>
              </w:rPr>
              <w:t>2：高效过滤器：8个。</w:t>
            </w:r>
          </w:p>
          <w:p>
            <w:pPr>
              <w:rPr>
                <w:rFonts w:ascii="仿宋" w:hAnsi="仿宋" w:eastAsia="仿宋" w:cs="仿宋"/>
                <w:color w:val="auto"/>
                <w:sz w:val="24"/>
                <w:szCs w:val="24"/>
              </w:rPr>
            </w:pPr>
            <w:r>
              <w:rPr>
                <w:rFonts w:hint="eastAsia" w:ascii="仿宋" w:hAnsi="仿宋" w:eastAsia="仿宋" w:cs="仿宋"/>
                <w:color w:val="auto"/>
                <w:sz w:val="24"/>
                <w:szCs w:val="24"/>
              </w:rPr>
              <w:t>3：中间预留吊塔、无影灯安装孔。</w:t>
            </w:r>
          </w:p>
        </w:tc>
        <w:tc>
          <w:tcPr>
            <w:tcW w:w="722"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空调室外机</w:t>
            </w:r>
          </w:p>
          <w:p>
            <w:pPr>
              <w:rPr>
                <w:rFonts w:ascii="仿宋" w:hAnsi="仿宋" w:eastAsia="仿宋" w:cs="仿宋"/>
                <w:color w:val="auto"/>
                <w:sz w:val="24"/>
                <w:szCs w:val="24"/>
              </w:rPr>
            </w:pPr>
          </w:p>
        </w:tc>
        <w:tc>
          <w:tcPr>
            <w:tcW w:w="6147" w:type="dxa"/>
          </w:tcPr>
          <w:p>
            <w:pPr>
              <w:rPr>
                <w:rFonts w:ascii="仿宋" w:hAnsi="仿宋" w:eastAsia="仿宋" w:cs="仿宋"/>
                <w:color w:val="auto"/>
                <w:sz w:val="24"/>
                <w:szCs w:val="24"/>
              </w:rPr>
            </w:pPr>
            <w:r>
              <w:rPr>
                <w:rFonts w:hint="eastAsia" w:ascii="仿宋" w:hAnsi="仿宋" w:eastAsia="仿宋" w:cs="仿宋"/>
                <w:color w:val="auto"/>
                <w:sz w:val="24"/>
                <w:szCs w:val="24"/>
              </w:rPr>
              <w:t>1:制冷外机功率：13.5kw。</w:t>
            </w:r>
          </w:p>
          <w:p>
            <w:pPr>
              <w:rPr>
                <w:rFonts w:ascii="仿宋" w:hAnsi="仿宋" w:eastAsia="仿宋" w:cs="仿宋"/>
                <w:color w:val="auto"/>
                <w:sz w:val="24"/>
                <w:szCs w:val="24"/>
              </w:rPr>
            </w:pPr>
            <w:r>
              <w:rPr>
                <w:rFonts w:hint="eastAsia" w:ascii="仿宋" w:hAnsi="仿宋" w:eastAsia="仿宋" w:cs="仿宋"/>
                <w:color w:val="auto"/>
                <w:sz w:val="24"/>
                <w:szCs w:val="24"/>
              </w:rPr>
              <w:t>2:制冷量35kw。</w:t>
            </w:r>
          </w:p>
          <w:p>
            <w:pPr>
              <w:rPr>
                <w:rFonts w:ascii="仿宋" w:hAnsi="仿宋" w:eastAsia="仿宋" w:cs="仿宋"/>
                <w:color w:val="auto"/>
                <w:sz w:val="24"/>
                <w:szCs w:val="24"/>
              </w:rPr>
            </w:pPr>
            <w:r>
              <w:rPr>
                <w:rFonts w:hint="eastAsia" w:ascii="仿宋" w:hAnsi="仿宋" w:eastAsia="仿宋" w:cs="仿宋"/>
                <w:color w:val="auto"/>
                <w:sz w:val="24"/>
                <w:szCs w:val="24"/>
              </w:rPr>
              <w:t>3:制热量：38kw。</w:t>
            </w:r>
          </w:p>
        </w:tc>
        <w:tc>
          <w:tcPr>
            <w:tcW w:w="722" w:type="dxa"/>
          </w:tcPr>
          <w:p>
            <w:pPr>
              <w:jc w:val="center"/>
              <w:rPr>
                <w:rFonts w:ascii="仿宋" w:hAnsi="仿宋" w:eastAsia="仿宋" w:cs="仿宋"/>
                <w:color w:val="auto"/>
                <w:sz w:val="24"/>
                <w:szCs w:val="24"/>
              </w:rPr>
            </w:pPr>
            <w:r>
              <w:rPr>
                <w:rFonts w:hint="eastAsia" w:ascii="仿宋" w:hAnsi="仿宋" w:eastAsia="仿宋" w:cs="仿宋"/>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空调室外机</w:t>
            </w:r>
          </w:p>
          <w:p>
            <w:pPr>
              <w:rPr>
                <w:rFonts w:ascii="仿宋" w:hAnsi="仿宋" w:eastAsia="仿宋" w:cs="仿宋"/>
                <w:color w:val="auto"/>
                <w:sz w:val="24"/>
                <w:szCs w:val="24"/>
              </w:rPr>
            </w:pPr>
          </w:p>
        </w:tc>
        <w:tc>
          <w:tcPr>
            <w:tcW w:w="6147"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1：制冷外机功率：3.5kw。</w:t>
            </w:r>
          </w:p>
          <w:p>
            <w:pPr>
              <w:rPr>
                <w:rFonts w:ascii="仿宋" w:hAnsi="仿宋" w:eastAsia="仿宋" w:cs="仿宋"/>
                <w:color w:val="auto"/>
                <w:sz w:val="24"/>
                <w:szCs w:val="24"/>
              </w:rPr>
            </w:pPr>
            <w:r>
              <w:rPr>
                <w:rFonts w:hint="eastAsia" w:ascii="仿宋" w:hAnsi="仿宋" w:eastAsia="仿宋" w:cs="仿宋"/>
                <w:color w:val="auto"/>
                <w:sz w:val="24"/>
                <w:szCs w:val="24"/>
              </w:rPr>
              <w:t>2：制冷量12.5kw。</w:t>
            </w:r>
          </w:p>
          <w:p>
            <w:pPr>
              <w:rPr>
                <w:rFonts w:ascii="仿宋" w:hAnsi="仿宋" w:eastAsia="仿宋" w:cs="仿宋"/>
                <w:color w:val="auto"/>
                <w:sz w:val="24"/>
                <w:szCs w:val="24"/>
              </w:rPr>
            </w:pPr>
            <w:r>
              <w:rPr>
                <w:rFonts w:hint="eastAsia" w:ascii="仿宋" w:hAnsi="仿宋" w:eastAsia="仿宋" w:cs="仿宋"/>
                <w:color w:val="auto"/>
                <w:sz w:val="24"/>
                <w:szCs w:val="24"/>
              </w:rPr>
              <w:t>3：制热量：14kw。</w:t>
            </w:r>
          </w:p>
        </w:tc>
        <w:tc>
          <w:tcPr>
            <w:tcW w:w="722"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空调室外机</w:t>
            </w:r>
          </w:p>
          <w:p>
            <w:pPr>
              <w:rPr>
                <w:rFonts w:ascii="仿宋" w:hAnsi="仿宋" w:eastAsia="仿宋" w:cs="仿宋"/>
                <w:color w:val="auto"/>
                <w:sz w:val="24"/>
                <w:szCs w:val="24"/>
              </w:rPr>
            </w:pPr>
          </w:p>
        </w:tc>
        <w:tc>
          <w:tcPr>
            <w:tcW w:w="6147"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1：制冷外机功率：1.5kw。</w:t>
            </w:r>
          </w:p>
          <w:p>
            <w:pPr>
              <w:rPr>
                <w:rFonts w:ascii="仿宋" w:hAnsi="仿宋" w:eastAsia="仿宋" w:cs="仿宋"/>
                <w:color w:val="auto"/>
                <w:sz w:val="24"/>
                <w:szCs w:val="24"/>
              </w:rPr>
            </w:pPr>
            <w:r>
              <w:rPr>
                <w:rFonts w:hint="eastAsia" w:ascii="仿宋" w:hAnsi="仿宋" w:eastAsia="仿宋" w:cs="仿宋"/>
                <w:color w:val="auto"/>
                <w:sz w:val="24"/>
                <w:szCs w:val="24"/>
              </w:rPr>
              <w:t>2：制冷量6.5kw。</w:t>
            </w:r>
          </w:p>
          <w:p>
            <w:pPr>
              <w:rPr>
                <w:rFonts w:ascii="仿宋" w:hAnsi="仿宋" w:eastAsia="仿宋" w:cs="仿宋"/>
                <w:color w:val="auto"/>
                <w:sz w:val="24"/>
                <w:szCs w:val="24"/>
              </w:rPr>
            </w:pPr>
            <w:r>
              <w:rPr>
                <w:rFonts w:hint="eastAsia" w:ascii="仿宋" w:hAnsi="仿宋" w:eastAsia="仿宋" w:cs="仿宋"/>
                <w:color w:val="auto"/>
                <w:sz w:val="24"/>
                <w:szCs w:val="24"/>
              </w:rPr>
              <w:t>3：制热量：7.5kw。</w:t>
            </w:r>
          </w:p>
        </w:tc>
        <w:tc>
          <w:tcPr>
            <w:tcW w:w="722"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组合式空气净化机组AHU1</w:t>
            </w:r>
          </w:p>
          <w:p>
            <w:pPr>
              <w:rPr>
                <w:rFonts w:ascii="仿宋" w:hAnsi="仿宋" w:eastAsia="仿宋" w:cs="仿宋"/>
                <w:color w:val="auto"/>
                <w:sz w:val="24"/>
                <w:szCs w:val="24"/>
              </w:rPr>
            </w:pPr>
          </w:p>
        </w:tc>
        <w:tc>
          <w:tcPr>
            <w:tcW w:w="6147"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1：风量8000m³/h。</w:t>
            </w:r>
          </w:p>
          <w:p>
            <w:pPr>
              <w:rPr>
                <w:rFonts w:ascii="仿宋" w:hAnsi="仿宋" w:eastAsia="仿宋" w:cs="仿宋"/>
                <w:color w:val="auto"/>
                <w:sz w:val="24"/>
                <w:szCs w:val="24"/>
              </w:rPr>
            </w:pPr>
            <w:r>
              <w:rPr>
                <w:rFonts w:hint="eastAsia" w:ascii="仿宋" w:hAnsi="仿宋" w:eastAsia="仿宋" w:cs="仿宋"/>
                <w:color w:val="auto"/>
                <w:sz w:val="24"/>
                <w:szCs w:val="24"/>
              </w:rPr>
              <w:t>2：机外余压：800pa。</w:t>
            </w:r>
          </w:p>
          <w:p>
            <w:pPr>
              <w:rPr>
                <w:rFonts w:ascii="仿宋" w:hAnsi="仿宋" w:eastAsia="仿宋" w:cs="仿宋"/>
                <w:color w:val="auto"/>
                <w:sz w:val="24"/>
                <w:szCs w:val="24"/>
              </w:rPr>
            </w:pPr>
            <w:r>
              <w:rPr>
                <w:rFonts w:hint="eastAsia" w:ascii="仿宋" w:hAnsi="仿宋" w:eastAsia="仿宋" w:cs="仿宋"/>
                <w:color w:val="auto"/>
                <w:sz w:val="24"/>
                <w:szCs w:val="24"/>
              </w:rPr>
              <w:t>3：制冷量：35kw。</w:t>
            </w:r>
          </w:p>
          <w:p>
            <w:pPr>
              <w:rPr>
                <w:rFonts w:ascii="仿宋" w:hAnsi="仿宋" w:eastAsia="仿宋" w:cs="仿宋"/>
                <w:color w:val="auto"/>
                <w:sz w:val="24"/>
                <w:szCs w:val="24"/>
              </w:rPr>
            </w:pPr>
            <w:r>
              <w:rPr>
                <w:rFonts w:hint="eastAsia" w:ascii="仿宋" w:hAnsi="仿宋" w:eastAsia="仿宋" w:cs="仿宋"/>
                <w:color w:val="auto"/>
                <w:sz w:val="24"/>
                <w:szCs w:val="24"/>
              </w:rPr>
              <w:t>4：机组功率：5.5kw。</w:t>
            </w:r>
          </w:p>
          <w:p>
            <w:pPr>
              <w:rPr>
                <w:rFonts w:ascii="仿宋" w:hAnsi="仿宋" w:eastAsia="仿宋" w:cs="仿宋"/>
                <w:color w:val="auto"/>
                <w:sz w:val="24"/>
                <w:szCs w:val="24"/>
              </w:rPr>
            </w:pPr>
            <w:r>
              <w:rPr>
                <w:rFonts w:hint="eastAsia" w:ascii="仿宋" w:hAnsi="仿宋" w:eastAsia="仿宋" w:cs="仿宋"/>
                <w:color w:val="auto"/>
                <w:sz w:val="24"/>
                <w:szCs w:val="24"/>
              </w:rPr>
              <w:t>5：功能段：混合段、初效段、表冷加热段、风机段、中效段、出风段。</w:t>
            </w:r>
          </w:p>
        </w:tc>
        <w:tc>
          <w:tcPr>
            <w:tcW w:w="722"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组合式空气净化机组AHU2</w:t>
            </w:r>
          </w:p>
          <w:p>
            <w:pPr>
              <w:rPr>
                <w:rFonts w:ascii="仿宋" w:hAnsi="仿宋" w:eastAsia="仿宋" w:cs="仿宋"/>
                <w:color w:val="auto"/>
                <w:sz w:val="24"/>
                <w:szCs w:val="24"/>
              </w:rPr>
            </w:pPr>
          </w:p>
        </w:tc>
        <w:tc>
          <w:tcPr>
            <w:tcW w:w="6147"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1：风量3000m³/h。</w:t>
            </w:r>
          </w:p>
          <w:p>
            <w:pPr>
              <w:rPr>
                <w:rFonts w:ascii="仿宋" w:hAnsi="仿宋" w:eastAsia="仿宋" w:cs="仿宋"/>
                <w:color w:val="auto"/>
                <w:sz w:val="24"/>
                <w:szCs w:val="24"/>
              </w:rPr>
            </w:pPr>
            <w:r>
              <w:rPr>
                <w:rFonts w:hint="eastAsia" w:ascii="仿宋" w:hAnsi="仿宋" w:eastAsia="仿宋" w:cs="仿宋"/>
                <w:color w:val="auto"/>
                <w:sz w:val="24"/>
                <w:szCs w:val="24"/>
              </w:rPr>
              <w:t>2：机外余压：500pa。</w:t>
            </w:r>
          </w:p>
          <w:p>
            <w:pPr>
              <w:rPr>
                <w:rFonts w:ascii="仿宋" w:hAnsi="仿宋" w:eastAsia="仿宋" w:cs="仿宋"/>
                <w:color w:val="auto"/>
                <w:sz w:val="24"/>
                <w:szCs w:val="24"/>
              </w:rPr>
            </w:pPr>
            <w:r>
              <w:rPr>
                <w:rFonts w:hint="eastAsia" w:ascii="仿宋" w:hAnsi="仿宋" w:eastAsia="仿宋" w:cs="仿宋"/>
                <w:color w:val="auto"/>
                <w:sz w:val="24"/>
                <w:szCs w:val="24"/>
              </w:rPr>
              <w:t>3：制冷量：12.5kw。</w:t>
            </w:r>
          </w:p>
          <w:p>
            <w:pPr>
              <w:rPr>
                <w:rFonts w:ascii="仿宋" w:hAnsi="仿宋" w:eastAsia="仿宋" w:cs="仿宋"/>
                <w:color w:val="auto"/>
                <w:sz w:val="24"/>
                <w:szCs w:val="24"/>
              </w:rPr>
            </w:pPr>
            <w:r>
              <w:rPr>
                <w:rFonts w:hint="eastAsia" w:ascii="仿宋" w:hAnsi="仿宋" w:eastAsia="仿宋" w:cs="仿宋"/>
                <w:color w:val="auto"/>
                <w:sz w:val="24"/>
                <w:szCs w:val="24"/>
              </w:rPr>
              <w:t>4：机组功率：15kw。</w:t>
            </w:r>
          </w:p>
          <w:p>
            <w:pPr>
              <w:rPr>
                <w:rFonts w:ascii="仿宋" w:hAnsi="仿宋" w:eastAsia="仿宋" w:cs="仿宋"/>
                <w:color w:val="auto"/>
                <w:sz w:val="24"/>
                <w:szCs w:val="24"/>
              </w:rPr>
            </w:pPr>
            <w:r>
              <w:rPr>
                <w:rFonts w:hint="eastAsia" w:ascii="仿宋" w:hAnsi="仿宋" w:eastAsia="仿宋" w:cs="仿宋"/>
                <w:color w:val="auto"/>
                <w:sz w:val="24"/>
                <w:szCs w:val="24"/>
              </w:rPr>
              <w:t>5：功能段：混合段、初效段、表冷加热段、电加热段、电加湿段、风机段、中效段、出风段。</w:t>
            </w:r>
          </w:p>
        </w:tc>
        <w:tc>
          <w:tcPr>
            <w:tcW w:w="722"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组合式空气净化机组AHU3</w:t>
            </w:r>
          </w:p>
          <w:p>
            <w:pPr>
              <w:rPr>
                <w:rFonts w:ascii="仿宋" w:hAnsi="仿宋" w:eastAsia="仿宋" w:cs="仿宋"/>
                <w:color w:val="auto"/>
                <w:sz w:val="24"/>
                <w:szCs w:val="24"/>
              </w:rPr>
            </w:pPr>
          </w:p>
        </w:tc>
        <w:tc>
          <w:tcPr>
            <w:tcW w:w="6147"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1：风量1500m³/h。</w:t>
            </w:r>
          </w:p>
          <w:p>
            <w:pPr>
              <w:rPr>
                <w:rFonts w:ascii="仿宋" w:hAnsi="仿宋" w:eastAsia="仿宋" w:cs="仿宋"/>
                <w:color w:val="auto"/>
                <w:sz w:val="24"/>
                <w:szCs w:val="24"/>
              </w:rPr>
            </w:pPr>
            <w:r>
              <w:rPr>
                <w:rFonts w:hint="eastAsia" w:ascii="仿宋" w:hAnsi="仿宋" w:eastAsia="仿宋" w:cs="仿宋"/>
                <w:color w:val="auto"/>
                <w:sz w:val="24"/>
                <w:szCs w:val="24"/>
              </w:rPr>
              <w:t>2：机外余压：400pa。</w:t>
            </w:r>
          </w:p>
          <w:p>
            <w:pPr>
              <w:rPr>
                <w:rFonts w:ascii="仿宋" w:hAnsi="仿宋" w:eastAsia="仿宋" w:cs="仿宋"/>
                <w:color w:val="auto"/>
                <w:sz w:val="24"/>
                <w:szCs w:val="24"/>
              </w:rPr>
            </w:pPr>
            <w:r>
              <w:rPr>
                <w:rFonts w:hint="eastAsia" w:ascii="仿宋" w:hAnsi="仿宋" w:eastAsia="仿宋" w:cs="仿宋"/>
                <w:color w:val="auto"/>
                <w:sz w:val="24"/>
                <w:szCs w:val="24"/>
              </w:rPr>
              <w:t>3：制冷量：6.5kw。</w:t>
            </w:r>
          </w:p>
          <w:p>
            <w:pPr>
              <w:rPr>
                <w:rFonts w:ascii="仿宋" w:hAnsi="仿宋" w:eastAsia="仿宋" w:cs="仿宋"/>
                <w:color w:val="auto"/>
                <w:sz w:val="24"/>
                <w:szCs w:val="24"/>
              </w:rPr>
            </w:pPr>
            <w:r>
              <w:rPr>
                <w:rFonts w:hint="eastAsia" w:ascii="仿宋" w:hAnsi="仿宋" w:eastAsia="仿宋" w:cs="仿宋"/>
                <w:color w:val="auto"/>
                <w:sz w:val="24"/>
                <w:szCs w:val="24"/>
              </w:rPr>
              <w:t>4：机组功率：1.5kw。</w:t>
            </w:r>
          </w:p>
          <w:p>
            <w:pPr>
              <w:rPr>
                <w:rFonts w:ascii="仿宋" w:hAnsi="仿宋" w:eastAsia="仿宋" w:cs="仿宋"/>
                <w:color w:val="auto"/>
                <w:sz w:val="24"/>
                <w:szCs w:val="24"/>
              </w:rPr>
            </w:pPr>
            <w:r>
              <w:rPr>
                <w:rFonts w:hint="eastAsia" w:ascii="仿宋" w:hAnsi="仿宋" w:eastAsia="仿宋" w:cs="仿宋"/>
                <w:color w:val="auto"/>
                <w:sz w:val="24"/>
                <w:szCs w:val="24"/>
              </w:rPr>
              <w:t>5：功能段：混合段、初效段、表冷加热段、风机段、中效段、出风段。</w:t>
            </w:r>
          </w:p>
        </w:tc>
        <w:tc>
          <w:tcPr>
            <w:tcW w:w="722"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低噪音排风机</w:t>
            </w:r>
          </w:p>
          <w:p>
            <w:pPr>
              <w:rPr>
                <w:rFonts w:ascii="仿宋" w:hAnsi="仿宋" w:eastAsia="仿宋" w:cs="仿宋"/>
                <w:color w:val="auto"/>
                <w:sz w:val="24"/>
                <w:szCs w:val="24"/>
              </w:rPr>
            </w:pPr>
          </w:p>
        </w:tc>
        <w:tc>
          <w:tcPr>
            <w:tcW w:w="6147"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1：风量300m³/h。</w:t>
            </w:r>
          </w:p>
          <w:p>
            <w:pPr>
              <w:rPr>
                <w:rFonts w:ascii="仿宋" w:hAnsi="仿宋" w:eastAsia="仿宋" w:cs="仿宋"/>
                <w:color w:val="auto"/>
                <w:sz w:val="24"/>
                <w:szCs w:val="24"/>
              </w:rPr>
            </w:pPr>
            <w:r>
              <w:rPr>
                <w:rFonts w:hint="eastAsia" w:ascii="仿宋" w:hAnsi="仿宋" w:eastAsia="仿宋" w:cs="仿宋"/>
                <w:color w:val="auto"/>
                <w:sz w:val="24"/>
                <w:szCs w:val="24"/>
              </w:rPr>
              <w:t>2：全压：350pa。</w:t>
            </w:r>
          </w:p>
          <w:p>
            <w:pPr>
              <w:rPr>
                <w:rFonts w:ascii="仿宋" w:hAnsi="仿宋" w:eastAsia="仿宋" w:cs="仿宋"/>
                <w:color w:val="auto"/>
                <w:sz w:val="24"/>
                <w:szCs w:val="24"/>
              </w:rPr>
            </w:pPr>
            <w:r>
              <w:rPr>
                <w:rFonts w:hint="eastAsia" w:ascii="仿宋" w:hAnsi="仿宋" w:eastAsia="仿宋" w:cs="仿宋"/>
                <w:color w:val="auto"/>
                <w:sz w:val="24"/>
                <w:szCs w:val="24"/>
              </w:rPr>
              <w:t>3：功率：0.15kw。</w:t>
            </w:r>
          </w:p>
        </w:tc>
        <w:tc>
          <w:tcPr>
            <w:tcW w:w="722"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3台</w:t>
            </w:r>
          </w:p>
        </w:tc>
      </w:tr>
    </w:tbl>
    <w:p>
      <w:pPr>
        <w:jc w:val="left"/>
        <w:rPr>
          <w:rFonts w:ascii="仿宋" w:hAnsi="仿宋" w:eastAsia="仿宋" w:cs="仿宋"/>
          <w:b/>
          <w:color w:val="auto"/>
          <w:sz w:val="24"/>
          <w:szCs w:val="24"/>
        </w:rPr>
      </w:pPr>
    </w:p>
    <w:p>
      <w:pPr>
        <w:jc w:val="left"/>
        <w:rPr>
          <w:rFonts w:ascii="仿宋" w:hAnsi="仿宋" w:eastAsia="仿宋" w:cs="仿宋"/>
          <w:b/>
          <w:color w:val="auto"/>
          <w:sz w:val="24"/>
          <w:szCs w:val="24"/>
        </w:rPr>
      </w:pPr>
    </w:p>
    <w:p>
      <w:pPr>
        <w:jc w:val="left"/>
        <w:rPr>
          <w:rFonts w:ascii="仿宋" w:hAnsi="仿宋" w:eastAsia="仿宋" w:cs="仿宋"/>
          <w:b/>
          <w:color w:val="auto"/>
          <w:sz w:val="24"/>
          <w:szCs w:val="24"/>
        </w:rPr>
      </w:pPr>
    </w:p>
    <w:p>
      <w:pPr>
        <w:jc w:val="left"/>
        <w:rPr>
          <w:rFonts w:ascii="仿宋" w:hAnsi="仿宋" w:eastAsia="仿宋" w:cs="仿宋"/>
          <w:b/>
          <w:color w:val="auto"/>
          <w:sz w:val="24"/>
          <w:szCs w:val="24"/>
        </w:rPr>
        <w:sectPr>
          <w:headerReference r:id="rId4" w:type="default"/>
          <w:footerReference r:id="rId5" w:type="default"/>
          <w:pgSz w:w="11906" w:h="16838"/>
          <w:pgMar w:top="1440" w:right="1800" w:bottom="1440" w:left="960" w:header="851" w:footer="992" w:gutter="0"/>
          <w:pgNumType w:fmt="numberInDash" w:start="1"/>
          <w:cols w:space="720" w:num="1"/>
          <w:docGrid w:type="lines" w:linePitch="317" w:charSpace="609"/>
        </w:sectPr>
      </w:pPr>
    </w:p>
    <w:p>
      <w:pPr>
        <w:jc w:val="left"/>
        <w:rPr>
          <w:rFonts w:ascii="仿宋" w:hAnsi="仿宋" w:eastAsia="仿宋" w:cs="仿宋"/>
          <w:b/>
          <w:color w:val="auto"/>
          <w:sz w:val="24"/>
          <w:szCs w:val="24"/>
        </w:rPr>
      </w:pPr>
    </w:p>
    <w:p>
      <w:pPr>
        <w:jc w:val="left"/>
        <w:rPr>
          <w:rFonts w:ascii="仿宋" w:hAnsi="仿宋" w:eastAsia="仿宋" w:cs="仿宋"/>
          <w:b/>
          <w:color w:val="auto"/>
          <w:sz w:val="28"/>
          <w:szCs w:val="28"/>
        </w:rPr>
      </w:pPr>
      <w:r>
        <w:rPr>
          <w:rFonts w:hint="eastAsia" w:ascii="仿宋" w:hAnsi="仿宋" w:eastAsia="仿宋" w:cs="仿宋"/>
          <w:b/>
          <w:color w:val="auto"/>
          <w:sz w:val="28"/>
          <w:szCs w:val="28"/>
        </w:rPr>
        <w:t>二、工程量清单：</w:t>
      </w:r>
    </w:p>
    <w:tbl>
      <w:tblPr>
        <w:tblStyle w:val="20"/>
        <w:tblpPr w:leftFromText="180" w:rightFromText="180" w:vertAnchor="text" w:tblpX="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131"/>
        <w:gridCol w:w="4415"/>
        <w:gridCol w:w="698"/>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131" w:type="dxa"/>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工程费用名称</w:t>
            </w:r>
          </w:p>
        </w:tc>
        <w:tc>
          <w:tcPr>
            <w:tcW w:w="4415" w:type="dxa"/>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规格型号</w:t>
            </w:r>
          </w:p>
        </w:tc>
        <w:tc>
          <w:tcPr>
            <w:tcW w:w="0" w:type="auto"/>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0" w:type="auto"/>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一</w:t>
            </w:r>
          </w:p>
        </w:tc>
        <w:tc>
          <w:tcPr>
            <w:tcW w:w="2131" w:type="dxa"/>
            <w:vAlign w:val="center"/>
          </w:tcPr>
          <w:p>
            <w:pPr>
              <w:rPr>
                <w:rFonts w:ascii="仿宋" w:hAnsi="仿宋" w:eastAsia="仿宋" w:cs="仿宋"/>
                <w:b/>
                <w:bCs/>
                <w:color w:val="auto"/>
                <w:sz w:val="24"/>
                <w:szCs w:val="24"/>
              </w:rPr>
            </w:pPr>
            <w:r>
              <w:rPr>
                <w:rFonts w:hint="eastAsia" w:ascii="仿宋" w:hAnsi="仿宋" w:eastAsia="仿宋" w:cs="仿宋"/>
                <w:b/>
                <w:bCs/>
                <w:color w:val="auto"/>
                <w:sz w:val="24"/>
                <w:szCs w:val="24"/>
              </w:rPr>
              <w:t>手术室及辅助房间装修装饰</w:t>
            </w:r>
          </w:p>
        </w:tc>
        <w:tc>
          <w:tcPr>
            <w:tcW w:w="4415"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机制岩棉彩钢板隔墙（手术室及辅房）</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彩钢夹芯板50mm，0.426mm</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936.00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洁净复合彩钢板吊顶 （手术室及辅房）</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彩钢夹芯板50mm，0.426mm</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配套铝合金型材</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铝合金阴阳角圆弧过渡、阴阳角，底槽等配套件</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1282.00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吊顶、隔墙密封</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边角密封处理，设备开孔密封处理</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1282.00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回风竖井</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进口PVC卷材地面（手术室）</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防静电防菌耐磨吸音塑料卷材δ2.6mm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自流平/界面处理剂δ2mm（手术室）</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流动找平性极佳</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医用气密封自动门(手术室)</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DTM1521(1400*2100mm) 感应门并可手动开启, 单扇电动自动推,可手动开启包控制器与电机、轨道、门板、红外线安全退回装置、非接触感应开关带电锁,铝塑板饰面,带防撞带, 带400*600观察窗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樘</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气密封双开门</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钢制边框,1500*2100</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樘</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气密封单开手动门</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钢制边框,800*2100</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樘</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不锈钢刷手池三位(含感应水龙头，带独立镜灯）</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国标</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安装辅材</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五金件、连接件等</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项</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二</w:t>
            </w:r>
          </w:p>
        </w:tc>
        <w:tc>
          <w:tcPr>
            <w:tcW w:w="2131" w:type="dxa"/>
            <w:vAlign w:val="center"/>
          </w:tcPr>
          <w:p>
            <w:pPr>
              <w:rPr>
                <w:rFonts w:ascii="仿宋" w:hAnsi="仿宋" w:eastAsia="仿宋" w:cs="仿宋"/>
                <w:b/>
                <w:bCs/>
                <w:color w:val="auto"/>
                <w:sz w:val="24"/>
                <w:szCs w:val="24"/>
              </w:rPr>
            </w:pPr>
            <w:r>
              <w:rPr>
                <w:rFonts w:hint="eastAsia" w:ascii="仿宋" w:hAnsi="仿宋" w:eastAsia="仿宋" w:cs="仿宋"/>
                <w:b/>
                <w:bCs/>
                <w:color w:val="auto"/>
                <w:sz w:val="24"/>
                <w:szCs w:val="24"/>
              </w:rPr>
              <w:t>手术室基本配置设备</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不锈钢自动亮灯书写台</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600*400 嵌入式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观片灯</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四联</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不锈钢麻醉柜</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1、900*1700*350     </w:t>
            </w:r>
          </w:p>
          <w:p>
            <w:pPr>
              <w:rPr>
                <w:rFonts w:ascii="仿宋" w:hAnsi="仿宋" w:eastAsia="仿宋" w:cs="仿宋"/>
                <w:color w:val="auto"/>
                <w:sz w:val="24"/>
                <w:szCs w:val="24"/>
              </w:rPr>
            </w:pPr>
            <w:r>
              <w:rPr>
                <w:rFonts w:hint="eastAsia" w:ascii="仿宋" w:hAnsi="仿宋" w:eastAsia="仿宋" w:cs="仿宋"/>
                <w:color w:val="auto"/>
                <w:sz w:val="24"/>
                <w:szCs w:val="24"/>
              </w:rPr>
              <w:t xml:space="preserve">2、四门开启，柜体采用进口磨砂白钢板,嵌入式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不锈钢器械柜</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1、900*1700*350     </w:t>
            </w:r>
          </w:p>
          <w:p>
            <w:pPr>
              <w:rPr>
                <w:rFonts w:ascii="仿宋" w:hAnsi="仿宋" w:eastAsia="仿宋" w:cs="仿宋"/>
                <w:color w:val="auto"/>
                <w:sz w:val="24"/>
                <w:szCs w:val="24"/>
              </w:rPr>
            </w:pPr>
            <w:r>
              <w:rPr>
                <w:rFonts w:hint="eastAsia" w:ascii="仿宋" w:hAnsi="仿宋" w:eastAsia="仿宋" w:cs="仿宋"/>
                <w:color w:val="auto"/>
                <w:sz w:val="24"/>
                <w:szCs w:val="24"/>
              </w:rPr>
              <w:t xml:space="preserve">2、四门开启，柜体采用进口磨砂白钢板, 嵌入式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不锈钢药品柜</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1、900*1700*350     </w:t>
            </w:r>
          </w:p>
          <w:p>
            <w:pPr>
              <w:rPr>
                <w:rFonts w:ascii="仿宋" w:hAnsi="仿宋" w:eastAsia="仿宋" w:cs="仿宋"/>
                <w:color w:val="auto"/>
                <w:sz w:val="24"/>
                <w:szCs w:val="24"/>
              </w:rPr>
            </w:pPr>
            <w:r>
              <w:rPr>
                <w:rFonts w:hint="eastAsia" w:ascii="仿宋" w:hAnsi="仿宋" w:eastAsia="仿宋" w:cs="仿宋"/>
                <w:color w:val="auto"/>
                <w:sz w:val="24"/>
                <w:szCs w:val="24"/>
              </w:rPr>
              <w:t xml:space="preserve">2、四门开启，柜体采用进口磨砂白钢板,中间带抽屉， 嵌入式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组合式插座箱</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不锈钢框，嵌入式安装，万能插座</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医用气体终端</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氧气、空气、负压吸引</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多功能情报面板 </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等电位接线端子</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不锈钢框，嵌入式安装</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三</w:t>
            </w:r>
          </w:p>
        </w:tc>
        <w:tc>
          <w:tcPr>
            <w:tcW w:w="2131" w:type="dxa"/>
            <w:vAlign w:val="center"/>
          </w:tcPr>
          <w:p>
            <w:pPr>
              <w:rPr>
                <w:rFonts w:ascii="仿宋" w:hAnsi="仿宋" w:eastAsia="仿宋" w:cs="仿宋"/>
                <w:b/>
                <w:bCs/>
                <w:color w:val="auto"/>
                <w:sz w:val="24"/>
                <w:szCs w:val="24"/>
              </w:rPr>
            </w:pPr>
            <w:r>
              <w:rPr>
                <w:rFonts w:hint="eastAsia" w:ascii="仿宋" w:hAnsi="仿宋" w:eastAsia="仿宋" w:cs="仿宋"/>
                <w:b/>
                <w:bCs/>
                <w:color w:val="auto"/>
                <w:sz w:val="24"/>
                <w:szCs w:val="24"/>
              </w:rPr>
              <w:t>净化设备</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净化镀锌钢板风管（含法兰及吊架）</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0.6mm</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净化镀锌钢板风管（含法兰及吊架）</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0.75mm</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保温棉</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B1级,PEF板材 δ=20mm</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卫生型微穿孔板消声器</w:t>
            </w:r>
          </w:p>
        </w:tc>
        <w:tc>
          <w:tcPr>
            <w:tcW w:w="4415" w:type="dxa"/>
            <w:vAlign w:val="bottom"/>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台</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高效送风口带高效过滤器</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G15</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台</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高效送风口带高效过滤器</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G10</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台</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高效送风口带高效过滤器</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G5</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台</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回风口带调节阀(带过滤网)</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上排风百叶</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 70℃防火阀</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止回阀</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200*200</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风量调节阀</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320*200</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风量调节阀</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200*200</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新风百叶</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300*300</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四</w:t>
            </w:r>
          </w:p>
        </w:tc>
        <w:tc>
          <w:tcPr>
            <w:tcW w:w="2131" w:type="dxa"/>
            <w:vAlign w:val="center"/>
          </w:tcPr>
          <w:p>
            <w:pPr>
              <w:rPr>
                <w:rFonts w:ascii="仿宋" w:hAnsi="仿宋" w:eastAsia="仿宋" w:cs="仿宋"/>
                <w:b/>
                <w:bCs/>
                <w:color w:val="auto"/>
                <w:sz w:val="24"/>
                <w:szCs w:val="24"/>
              </w:rPr>
            </w:pPr>
            <w:r>
              <w:rPr>
                <w:rFonts w:hint="eastAsia" w:ascii="仿宋" w:hAnsi="仿宋" w:eastAsia="仿宋" w:cs="仿宋"/>
                <w:b/>
                <w:bCs/>
                <w:color w:val="auto"/>
                <w:sz w:val="24"/>
                <w:szCs w:val="24"/>
              </w:rPr>
              <w:t>电气工程</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铜芯电缆       </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（3*35+2*16） ZRBV</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铜芯电缆       </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（5*16)  ZRBV</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铜芯电缆       </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（5*10)  ZRBV</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铜芯电线         </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2.5mm2  ZRBVR-500V</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铜芯电线         </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4.0mm2  ZRBVR-500V</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铜芯电线         </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6.0mm2  ZRBVR-500V</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m</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空调控制箱至机组布线/控制线</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AHU</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净化灯具（LED）</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48W</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盏</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净化灯具（LED）</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38W</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盏</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净化灯具（LED）</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28W</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盏</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LED平板灯</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300*300</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盏</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手术中指示灯</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照明开关           </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220V 10A</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插座</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220V 10A</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配电箱</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台</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16</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线管                 </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Φ20</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米</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xml:space="preserve">线管                 </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Φ32</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米</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五</w:t>
            </w:r>
          </w:p>
        </w:tc>
        <w:tc>
          <w:tcPr>
            <w:tcW w:w="2131" w:type="dxa"/>
            <w:vAlign w:val="center"/>
          </w:tcPr>
          <w:p>
            <w:pPr>
              <w:rPr>
                <w:rFonts w:ascii="仿宋" w:hAnsi="仿宋" w:eastAsia="仿宋" w:cs="仿宋"/>
                <w:b/>
                <w:bCs/>
                <w:color w:val="auto"/>
                <w:sz w:val="24"/>
                <w:szCs w:val="24"/>
              </w:rPr>
            </w:pPr>
            <w:r>
              <w:rPr>
                <w:rFonts w:hint="eastAsia" w:ascii="仿宋" w:hAnsi="仿宋" w:eastAsia="仿宋" w:cs="仿宋"/>
                <w:b/>
                <w:bCs/>
                <w:color w:val="auto"/>
                <w:sz w:val="24"/>
                <w:szCs w:val="24"/>
              </w:rPr>
              <w:t>给排水系统</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131"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给排水管件及配件</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国产</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套</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六</w:t>
            </w:r>
          </w:p>
        </w:tc>
        <w:tc>
          <w:tcPr>
            <w:tcW w:w="2131" w:type="dxa"/>
            <w:vAlign w:val="center"/>
          </w:tcPr>
          <w:p>
            <w:pPr>
              <w:rPr>
                <w:rFonts w:ascii="仿宋" w:hAnsi="仿宋" w:eastAsia="仿宋" w:cs="仿宋"/>
                <w:b/>
                <w:bCs/>
                <w:color w:val="auto"/>
                <w:sz w:val="24"/>
                <w:szCs w:val="24"/>
              </w:rPr>
            </w:pPr>
            <w:r>
              <w:rPr>
                <w:rFonts w:hint="eastAsia" w:ascii="仿宋" w:hAnsi="仿宋" w:eastAsia="仿宋" w:cs="仿宋"/>
                <w:b/>
                <w:bCs/>
                <w:color w:val="auto"/>
                <w:sz w:val="24"/>
                <w:szCs w:val="24"/>
              </w:rPr>
              <w:t>其他</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131"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墙体拆除及清运</w:t>
            </w:r>
          </w:p>
        </w:tc>
        <w:tc>
          <w:tcPr>
            <w:tcW w:w="4415"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　</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项</w:t>
            </w:r>
          </w:p>
        </w:tc>
        <w:tc>
          <w:tcPr>
            <w:tcW w:w="0" w:type="auto"/>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bl>
    <w:p>
      <w:pPr>
        <w:jc w:val="center"/>
        <w:rPr>
          <w:rFonts w:hint="default" w:ascii="仿宋" w:hAnsi="仿宋" w:eastAsia="仿宋" w:cs="仿宋"/>
          <w:b/>
          <w:bCs/>
          <w:color w:val="auto"/>
          <w:sz w:val="32"/>
          <w:szCs w:val="32"/>
          <w:lang w:val="en-US" w:eastAsia="zh-CN"/>
        </w:rPr>
        <w:sectPr>
          <w:footerReference r:id="rId8" w:type="first"/>
          <w:headerReference r:id="rId6" w:type="default"/>
          <w:footerReference r:id="rId7" w:type="default"/>
          <w:pgSz w:w="11906" w:h="16838"/>
          <w:pgMar w:top="1247" w:right="1134" w:bottom="1247" w:left="1134" w:header="851" w:footer="851" w:gutter="0"/>
          <w:pgNumType w:fmt="numberInDash"/>
          <w:cols w:space="720" w:num="1"/>
          <w:titlePg/>
          <w:docGrid w:type="linesAndChars" w:linePitch="312" w:charSpace="0"/>
        </w:sectPr>
      </w:pPr>
    </w:p>
    <w:p>
      <w:pPr>
        <w:tabs>
          <w:tab w:val="left" w:pos="420"/>
        </w:tabs>
        <w:kinsoku w:val="0"/>
        <w:jc w:val="center"/>
        <w:rPr>
          <w:rFonts w:hint="eastAsia" w:ascii="仿宋" w:hAnsi="仿宋" w:eastAsia="仿宋" w:cs="仿宋"/>
          <w:color w:val="auto"/>
          <w:sz w:val="28"/>
          <w:szCs w:val="28"/>
        </w:rPr>
      </w:pPr>
      <w:r>
        <w:rPr>
          <w:rStyle w:val="32"/>
          <w:rFonts w:hint="eastAsia" w:ascii="仿宋" w:hAnsi="仿宋" w:eastAsia="仿宋" w:cs="仿宋"/>
          <w:color w:val="auto"/>
          <w:sz w:val="36"/>
          <w:szCs w:val="36"/>
        </w:rPr>
        <w:t>第四章  合同主要条款</w:t>
      </w:r>
      <w:bookmarkEnd w:id="8"/>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 质量要求、技术标准及卖方对质量负责的条件期限。</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1.1 卖方应严格按照系统制造国家标准和行业标准进行制造。出厂前卖方的质量检验部门应按照产品原产地国家制定的各项规定进行产品质量检验，检验合格后出具质量证明书后，方能出厂。</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1.2 卖方对系统制造质量负责，在买方按照使用维护说明书的规定正确的安装维护及存放的情况下，卖方应保证所供系统自正式投入运行之日起24个月内无故障，如确因设计和制造质量不良而发生损坏或并非因维护操作不当导致不能正常使用，卖方应按国务院发布的《工业产品质量责任条例》在接到买方通知之日起1日内派人抵达系统使用现场处理，并承担相应的经济责任。</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1.3卖方应对所供应系统的外协、外购件质量负责，其负责期限和责任范围等同于1.2条款的约定。卖方在交货时应提供外购件的使用维护说明书及证明文件。</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1.4 卖方单位所提供产品的技术应是最新的,并且已有运行3年以上的成功经验,并附有证明文件。</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2. 运输方式、交货地点及到达项目现场费用负担</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2.1 运输方式由卖方决定、由卖方办理，运杂费用由卖方承担，产品包装应符合国家有关要求。</w:t>
      </w:r>
    </w:p>
    <w:p>
      <w:pPr>
        <w:pStyle w:val="25"/>
        <w:spacing w:line="520" w:lineRule="exact"/>
        <w:ind w:firstLine="562"/>
        <w:rPr>
          <w:rFonts w:hint="eastAsia" w:ascii="仿宋" w:hAnsi="仿宋" w:eastAsia="仿宋" w:cs="仿宋"/>
          <w:b/>
          <w:bCs/>
          <w:color w:val="auto"/>
          <w:szCs w:val="22"/>
        </w:rPr>
      </w:pPr>
      <w:r>
        <w:rPr>
          <w:rFonts w:hint="eastAsia" w:ascii="仿宋" w:hAnsi="仿宋" w:eastAsia="仿宋" w:cs="仿宋"/>
          <w:b/>
          <w:bCs/>
          <w:color w:val="auto"/>
        </w:rPr>
        <w:t>交货地点</w:t>
      </w:r>
      <w:r>
        <w:rPr>
          <w:rFonts w:hint="eastAsia" w:ascii="仿宋" w:hAnsi="仿宋" w:eastAsia="仿宋" w:cs="仿宋"/>
          <w:color w:val="auto"/>
          <w:szCs w:val="22"/>
        </w:rPr>
        <w:t>：</w:t>
      </w:r>
      <w:r>
        <w:rPr>
          <w:rFonts w:hint="eastAsia" w:ascii="仿宋" w:hAnsi="仿宋" w:eastAsia="仿宋" w:cs="仿宋"/>
          <w:b/>
          <w:bCs/>
          <w:color w:val="auto"/>
          <w:szCs w:val="22"/>
        </w:rPr>
        <w:t>昌吉市妇幼保健计划生育服务中心</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2.2 买方负责接收货物。卖方应将领货凭证及时交寄给收货人。因卖方未能及时准确地将领货凭证递交收货人而给买方造成的损失由卖方按实际数额赔偿。</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3. 安装及验收</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3.1 卖方须按标书规定的技术需要提供产品，产品必须是按相应的国际标准和中国政府国家标准以及有关政府部门的规范完成制造和安装的全新产品。投标文件是合同书不可分割的组成部分，其内容相互补充。</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3.2 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3.3 安装验收合格后，卖方应向买方提供以下技术资料：</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（1）系统安装图；</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（2）系统及系统原理图；</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（3）电气系统及系统安装图；</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（4）构件、机械安装图；</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（5）安装手册；</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（6）操作手册；</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（7）维修保养手册；</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（8）制造、安装标准和技术规范；</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（9）安装及验收报告</w:t>
      </w:r>
    </w:p>
    <w:p>
      <w:pPr>
        <w:pStyle w:val="25"/>
        <w:spacing w:line="520" w:lineRule="exact"/>
        <w:ind w:firstLine="560"/>
        <w:rPr>
          <w:rFonts w:hint="eastAsia" w:ascii="仿宋" w:hAnsi="仿宋" w:eastAsia="仿宋" w:cs="仿宋"/>
          <w:color w:val="auto"/>
          <w:u w:val="single"/>
        </w:rPr>
      </w:pPr>
      <w:r>
        <w:rPr>
          <w:rFonts w:hint="eastAsia" w:ascii="仿宋" w:hAnsi="仿宋" w:eastAsia="仿宋" w:cs="仿宋"/>
          <w:color w:val="auto"/>
        </w:rPr>
        <w:t>（10）产品出厂合格证</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4. 结算方式</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4.1 本合同使用的货币种类为：人民币。</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4.2 本合同的付款方式采用：支票、电汇或汇票。</w:t>
      </w:r>
    </w:p>
    <w:p>
      <w:pPr>
        <w:pStyle w:val="25"/>
        <w:spacing w:line="520" w:lineRule="exact"/>
        <w:ind w:firstLine="562"/>
        <w:rPr>
          <w:rFonts w:hint="eastAsia" w:ascii="仿宋" w:hAnsi="仿宋" w:eastAsia="仿宋" w:cs="仿宋"/>
          <w:b/>
          <w:bCs/>
          <w:color w:val="auto"/>
        </w:rPr>
      </w:pPr>
      <w:r>
        <w:rPr>
          <w:rFonts w:hint="eastAsia" w:ascii="仿宋" w:hAnsi="仿宋" w:eastAsia="仿宋" w:cs="仿宋"/>
          <w:b/>
          <w:bCs/>
          <w:color w:val="auto"/>
        </w:rPr>
        <w:t>4.3 货款的支付</w:t>
      </w:r>
    </w:p>
    <w:p>
      <w:pPr>
        <w:pStyle w:val="25"/>
        <w:spacing w:line="520" w:lineRule="exact"/>
        <w:ind w:firstLine="562"/>
        <w:rPr>
          <w:rFonts w:hint="eastAsia" w:ascii="仿宋" w:hAnsi="仿宋" w:eastAsia="仿宋" w:cs="仿宋"/>
          <w:b/>
          <w:color w:val="auto"/>
        </w:rPr>
      </w:pPr>
      <w:r>
        <w:rPr>
          <w:rFonts w:hint="eastAsia" w:ascii="仿宋" w:hAnsi="仿宋" w:eastAsia="仿宋" w:cs="仿宋"/>
          <w:b/>
          <w:color w:val="auto"/>
        </w:rPr>
        <w:t>4.3.1按该项目资金实际到位情况进行相应货款的支付，甲方按国家招标采购法相关要求和所采购货物使用的需求情况决定支付方案，若发生项目资金实际到位数额与预算资金数额不足情况，乙方应配合甲方暂缓货物供给或废除招标结果。</w:t>
      </w:r>
    </w:p>
    <w:p>
      <w:pPr>
        <w:pStyle w:val="25"/>
        <w:spacing w:line="520" w:lineRule="exact"/>
        <w:ind w:firstLine="562"/>
        <w:rPr>
          <w:rFonts w:hint="eastAsia" w:ascii="仿宋" w:hAnsi="仿宋" w:eastAsia="仿宋" w:cs="仿宋"/>
          <w:b/>
          <w:color w:val="auto"/>
        </w:rPr>
      </w:pPr>
      <w:r>
        <w:rPr>
          <w:rFonts w:hint="eastAsia" w:ascii="仿宋" w:hAnsi="仿宋" w:eastAsia="仿宋" w:cs="仿宋"/>
          <w:b/>
          <w:color w:val="auto"/>
        </w:rPr>
        <w:t>4.3.2正常情况下，根据地债资金到位情况，双方协议决定。</w:t>
      </w:r>
    </w:p>
    <w:p>
      <w:pPr>
        <w:pStyle w:val="25"/>
        <w:spacing w:line="520" w:lineRule="exact"/>
        <w:ind w:firstLine="560"/>
        <w:rPr>
          <w:rFonts w:hint="eastAsia" w:ascii="仿宋" w:hAnsi="仿宋" w:eastAsia="仿宋" w:cs="仿宋"/>
          <w:b/>
          <w:bCs/>
          <w:color w:val="auto"/>
        </w:rPr>
      </w:pPr>
      <w:r>
        <w:rPr>
          <w:rFonts w:hint="eastAsia" w:ascii="仿宋" w:hAnsi="仿宋" w:eastAsia="仿宋" w:cs="仿宋"/>
          <w:bCs/>
          <w:color w:val="auto"/>
        </w:rPr>
        <w:t>4.3.</w:t>
      </w:r>
      <w:r>
        <w:rPr>
          <w:rFonts w:hint="eastAsia" w:ascii="仿宋" w:hAnsi="仿宋" w:eastAsia="仿宋" w:cs="仿宋"/>
          <w:bCs/>
          <w:color w:val="auto"/>
          <w:lang w:val="en-US" w:eastAsia="zh-CN"/>
        </w:rPr>
        <w:t>3</w:t>
      </w:r>
      <w:r>
        <w:rPr>
          <w:rFonts w:hint="eastAsia" w:ascii="仿宋" w:hAnsi="仿宋" w:eastAsia="仿宋" w:cs="仿宋"/>
          <w:bCs/>
          <w:color w:val="auto"/>
        </w:rPr>
        <w:t xml:space="preserve"> 买方将鼓励供应商提出更有利于买方的结算方式</w:t>
      </w:r>
      <w:r>
        <w:rPr>
          <w:rFonts w:hint="eastAsia" w:ascii="仿宋" w:hAnsi="仿宋" w:eastAsia="仿宋" w:cs="仿宋"/>
          <w:b/>
          <w:bCs/>
          <w:color w:val="auto"/>
        </w:rPr>
        <w:t>。</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en-US" w:eastAsia="zh-CN"/>
        </w:rPr>
        <w:t>4</w:t>
      </w:r>
      <w:r>
        <w:rPr>
          <w:rFonts w:hint="eastAsia" w:ascii="仿宋" w:hAnsi="仿宋" w:eastAsia="仿宋" w:cs="仿宋"/>
          <w:color w:val="auto"/>
        </w:rPr>
        <w:t xml:space="preserve"> 卖方应把下列单据提交给买方，买方审核后付款：</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（1）全额发票；</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（2）验收文件。</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5. 合同的生效</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5.1 合同经签字盖章生效，并按第4条款的付款方式履行合同。</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5.2 若买卖双方发生纠纷，应首先友好协商解决，如不能达成一致意见，任何一方可将争端提交给合同履约地的法院提出诉讼。</w:t>
      </w:r>
    </w:p>
    <w:p>
      <w:pPr>
        <w:pStyle w:val="25"/>
        <w:spacing w:line="520" w:lineRule="exact"/>
        <w:ind w:firstLine="562"/>
        <w:rPr>
          <w:rFonts w:hint="eastAsia" w:ascii="仿宋" w:hAnsi="仿宋" w:eastAsia="仿宋" w:cs="仿宋"/>
          <w:bCs/>
          <w:color w:val="auto"/>
        </w:rPr>
      </w:pPr>
      <w:r>
        <w:rPr>
          <w:rFonts w:hint="eastAsia" w:ascii="仿宋" w:hAnsi="仿宋" w:eastAsia="仿宋" w:cs="仿宋"/>
          <w:b/>
          <w:color w:val="auto"/>
        </w:rPr>
        <w:t>6. 交货期： 国产设备:20个工作日;进口设备:60天。</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7. 变更指示及合同修改</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7.1 买方在任何时候都可以向卖方发出书面指示，在合同总体范围内提出变更，如变更导致了卖方履行合同项下任何部分义务的费用或所需时间的增减，卖方应在到买方变更指示的3日内提出书面调整要求。</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7.2 无论何方欲对合同条款做出任何改动或偏离,均须合同双方签署书面的合同修改书。</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8．技术培训要求</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8.1 卖方负责对买方的操作、维护人员进行系统安装、操作、维护和保养的技术培训，实践操作在本地区的安装现场。培训标准应达到能维护系统的常规运行、检测并排除小型故障. 须提供技术培训，包括系统管理维护培训和系统使用培训。系统正常使用后，在半年内派专人维护保证系统正常运行。</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9. 售后服务</w:t>
      </w:r>
    </w:p>
    <w:p>
      <w:pPr>
        <w:pStyle w:val="25"/>
        <w:spacing w:line="520" w:lineRule="exact"/>
        <w:ind w:firstLine="562"/>
        <w:rPr>
          <w:rFonts w:hint="eastAsia" w:ascii="仿宋" w:hAnsi="仿宋" w:eastAsia="仿宋" w:cs="仿宋"/>
          <w:b/>
          <w:bCs/>
          <w:color w:val="auto"/>
        </w:rPr>
      </w:pPr>
      <w:r>
        <w:rPr>
          <w:rFonts w:hint="eastAsia" w:ascii="仿宋" w:hAnsi="仿宋" w:eastAsia="仿宋" w:cs="仿宋"/>
          <w:b/>
          <w:bCs/>
          <w:color w:val="auto"/>
        </w:rPr>
        <w:t>9.1质保期：≥3年。</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9.2 产品安装后双方按国际和国家标准及本章第3条款的要求进行质量验收。卖方应向买方提供详细的验收标准、验收手册，免费提供验收所需的仪器，买方在验收合格后将仪器归还卖方。</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9.3 自产品验收合格之日起2年内提供所涉软件的免费升级服务，如“第三章招标内容及技术要求”中技术参数中有特别要求的请根据文件要求。</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9.4 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10. 备品备件</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10.1 应保证终身提供该系统的所有维修零备件。</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10.2 卖方须提供备件的名称、价格及有效期，保证供货期等。</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11．质保</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11.1质保期即自全部工程验收合格正式运行之日算起，详细质保时间参照相应要求。如出现质量问题，卖方在质保期内免费更换部件及维修。如果由于卖方责任致使系统不能验收，此质保期顺延。</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12. 其它事项</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12.1 本合同所确定的价格为最终价格,已包含包装费、运杂费、保险费、卖方的现场验收、安装调试费、现场服务费等各项费用。</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12.2 在系统明显位置装有固定金属铭牌，铭牌至少应载明以下内容：</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A、制造厂名称</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B、系统名称和型号规格</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C、制造厂产品编号</w:t>
      </w:r>
    </w:p>
    <w:p>
      <w:pPr>
        <w:pStyle w:val="25"/>
        <w:spacing w:line="520" w:lineRule="exact"/>
        <w:ind w:firstLine="560"/>
        <w:rPr>
          <w:rFonts w:hint="eastAsia" w:ascii="仿宋" w:hAnsi="仿宋" w:eastAsia="仿宋" w:cs="仿宋"/>
          <w:color w:val="auto"/>
        </w:rPr>
      </w:pPr>
      <w:r>
        <w:rPr>
          <w:rFonts w:hint="eastAsia" w:ascii="仿宋" w:hAnsi="仿宋" w:eastAsia="仿宋" w:cs="仿宋"/>
          <w:color w:val="auto"/>
        </w:rPr>
        <w:t>D、出厂日期</w:t>
      </w:r>
    </w:p>
    <w:p>
      <w:pPr>
        <w:rPr>
          <w:rFonts w:hint="eastAsia" w:ascii="仿宋" w:hAnsi="仿宋" w:eastAsia="仿宋" w:cs="仿宋"/>
          <w:b/>
          <w:color w:val="auto"/>
          <w:sz w:val="36"/>
        </w:rPr>
      </w:pPr>
      <w:r>
        <w:rPr>
          <w:rFonts w:hint="eastAsia" w:ascii="仿宋" w:hAnsi="仿宋" w:eastAsia="仿宋" w:cs="仿宋"/>
          <w:b/>
          <w:color w:val="auto"/>
          <w:sz w:val="36"/>
        </w:rPr>
        <w:br w:type="page"/>
      </w:r>
    </w:p>
    <w:p>
      <w:pPr>
        <w:jc w:val="center"/>
        <w:rPr>
          <w:rFonts w:hint="eastAsia" w:ascii="仿宋" w:hAnsi="仿宋" w:eastAsia="仿宋" w:cs="仿宋"/>
          <w:b/>
          <w:color w:val="auto"/>
        </w:rPr>
      </w:pPr>
      <w:r>
        <w:rPr>
          <w:rFonts w:hint="eastAsia" w:ascii="仿宋" w:hAnsi="仿宋" w:eastAsia="仿宋" w:cs="仿宋"/>
          <w:b/>
          <w:color w:val="auto"/>
          <w:sz w:val="36"/>
        </w:rPr>
        <w:t>附件：投标书格式</w:t>
      </w:r>
    </w:p>
    <w:p>
      <w:pPr>
        <w:pStyle w:val="28"/>
        <w:spacing w:line="360" w:lineRule="auto"/>
        <w:ind w:firstLine="1400" w:firstLineChars="200"/>
        <w:jc w:val="both"/>
        <w:rPr>
          <w:rFonts w:hint="eastAsia" w:ascii="仿宋" w:hAnsi="仿宋" w:eastAsia="仿宋" w:cs="仿宋"/>
          <w:color w:val="auto"/>
          <w:sz w:val="70"/>
        </w:rPr>
      </w:pPr>
    </w:p>
    <w:p>
      <w:pPr>
        <w:spacing w:line="360" w:lineRule="atLeast"/>
        <w:jc w:val="right"/>
        <w:rPr>
          <w:rFonts w:hint="eastAsia" w:ascii="仿宋" w:hAnsi="仿宋" w:eastAsia="仿宋" w:cs="仿宋"/>
          <w:b/>
          <w:color w:val="auto"/>
          <w:sz w:val="72"/>
        </w:rPr>
      </w:pPr>
      <w:r>
        <w:rPr>
          <w:rFonts w:hint="eastAsia" w:ascii="仿宋" w:hAnsi="仿宋" w:eastAsia="仿宋" w:cs="仿宋"/>
          <w:b/>
          <w:color w:val="auto"/>
          <w:sz w:val="52"/>
          <w:szCs w:val="52"/>
          <w:u w:val="single"/>
        </w:rPr>
        <w:t xml:space="preserve"> </w:t>
      </w:r>
      <w:r>
        <w:rPr>
          <w:rFonts w:hint="eastAsia" w:ascii="仿宋" w:hAnsi="仿宋" w:eastAsia="仿宋" w:cs="仿宋"/>
          <w:b/>
          <w:color w:val="auto"/>
          <w:sz w:val="72"/>
          <w:u w:val="single"/>
        </w:rPr>
        <w:t xml:space="preserve">              </w:t>
      </w:r>
      <w:r>
        <w:rPr>
          <w:rFonts w:hint="eastAsia" w:ascii="仿宋" w:hAnsi="仿宋" w:eastAsia="仿宋" w:cs="仿宋"/>
          <w:b/>
          <w:color w:val="auto"/>
          <w:sz w:val="72"/>
        </w:rPr>
        <w:t>项目</w:t>
      </w:r>
    </w:p>
    <w:p>
      <w:pPr>
        <w:spacing w:line="360" w:lineRule="atLeast"/>
        <w:jc w:val="center"/>
        <w:rPr>
          <w:rFonts w:hint="eastAsia" w:ascii="仿宋" w:hAnsi="仿宋" w:eastAsia="仿宋" w:cs="仿宋"/>
          <w:color w:val="auto"/>
        </w:rPr>
      </w:pPr>
      <w:r>
        <w:rPr>
          <w:rFonts w:hint="eastAsia" w:ascii="仿宋" w:hAnsi="仿宋" w:eastAsia="仿宋" w:cs="仿宋"/>
          <w:b/>
          <w:color w:val="auto"/>
          <w:sz w:val="72"/>
        </w:rPr>
        <w:t>投标书</w:t>
      </w:r>
    </w:p>
    <w:p>
      <w:pPr>
        <w:spacing w:line="360" w:lineRule="atLeast"/>
        <w:rPr>
          <w:rFonts w:hint="eastAsia" w:ascii="仿宋" w:hAnsi="仿宋" w:eastAsia="仿宋" w:cs="仿宋"/>
          <w:color w:val="auto"/>
        </w:rPr>
      </w:pPr>
    </w:p>
    <w:p>
      <w:pPr>
        <w:spacing w:line="360" w:lineRule="atLeast"/>
        <w:ind w:firstLine="420"/>
        <w:rPr>
          <w:rFonts w:hint="eastAsia" w:ascii="仿宋" w:hAnsi="仿宋" w:eastAsia="仿宋" w:cs="仿宋"/>
          <w:color w:val="auto"/>
        </w:rPr>
      </w:pPr>
    </w:p>
    <w:p>
      <w:pPr>
        <w:spacing w:line="360" w:lineRule="atLeast"/>
        <w:ind w:firstLine="880" w:firstLineChars="200"/>
        <w:rPr>
          <w:rFonts w:hint="eastAsia" w:ascii="仿宋" w:hAnsi="仿宋" w:eastAsia="仿宋" w:cs="仿宋"/>
          <w:color w:val="auto"/>
          <w:sz w:val="44"/>
        </w:rPr>
      </w:pPr>
      <w:r>
        <w:rPr>
          <w:rFonts w:hint="eastAsia" w:ascii="仿宋" w:hAnsi="仿宋" w:eastAsia="仿宋" w:cs="仿宋"/>
          <w:color w:val="auto"/>
          <w:sz w:val="44"/>
        </w:rPr>
        <w:t>项目名称：</w:t>
      </w:r>
    </w:p>
    <w:p>
      <w:pPr>
        <w:spacing w:line="360" w:lineRule="atLeast"/>
        <w:ind w:firstLine="880"/>
        <w:rPr>
          <w:rFonts w:hint="eastAsia" w:ascii="仿宋" w:hAnsi="仿宋" w:eastAsia="仿宋" w:cs="仿宋"/>
          <w:color w:val="auto"/>
          <w:sz w:val="44"/>
        </w:rPr>
      </w:pPr>
    </w:p>
    <w:p>
      <w:pPr>
        <w:spacing w:line="360" w:lineRule="atLeast"/>
        <w:ind w:firstLine="880"/>
        <w:rPr>
          <w:rFonts w:hint="eastAsia" w:ascii="仿宋" w:hAnsi="仿宋" w:eastAsia="仿宋" w:cs="仿宋"/>
          <w:color w:val="auto"/>
          <w:sz w:val="44"/>
        </w:rPr>
      </w:pPr>
      <w:r>
        <w:rPr>
          <w:rFonts w:hint="eastAsia" w:ascii="仿宋" w:hAnsi="仿宋" w:eastAsia="仿宋" w:cs="仿宋"/>
          <w:color w:val="auto"/>
          <w:sz w:val="44"/>
        </w:rPr>
        <w:t>供应商名称：</w:t>
      </w:r>
    </w:p>
    <w:p>
      <w:pPr>
        <w:spacing w:line="360" w:lineRule="atLeast"/>
        <w:ind w:firstLine="880"/>
        <w:rPr>
          <w:rFonts w:hint="eastAsia" w:ascii="仿宋" w:hAnsi="仿宋" w:eastAsia="仿宋" w:cs="仿宋"/>
          <w:color w:val="auto"/>
          <w:sz w:val="44"/>
        </w:rPr>
      </w:pPr>
    </w:p>
    <w:p>
      <w:pPr>
        <w:spacing w:line="360" w:lineRule="atLeast"/>
        <w:ind w:firstLine="880"/>
        <w:rPr>
          <w:rFonts w:hint="eastAsia" w:ascii="仿宋" w:hAnsi="仿宋" w:eastAsia="仿宋" w:cs="仿宋"/>
          <w:color w:val="auto"/>
        </w:rPr>
      </w:pPr>
      <w:r>
        <w:rPr>
          <w:rFonts w:hint="eastAsia" w:ascii="仿宋" w:hAnsi="仿宋" w:eastAsia="仿宋" w:cs="仿宋"/>
          <w:color w:val="auto"/>
          <w:sz w:val="44"/>
        </w:rPr>
        <w:t>供应商全权代表：</w:t>
      </w:r>
    </w:p>
    <w:p>
      <w:pPr>
        <w:spacing w:line="360" w:lineRule="atLeast"/>
        <w:ind w:firstLine="640"/>
        <w:rPr>
          <w:rFonts w:hint="eastAsia" w:ascii="仿宋" w:hAnsi="仿宋" w:eastAsia="仿宋" w:cs="仿宋"/>
          <w:color w:val="auto"/>
          <w:sz w:val="32"/>
        </w:rPr>
      </w:pPr>
    </w:p>
    <w:p>
      <w:pPr>
        <w:spacing w:line="360" w:lineRule="atLeast"/>
        <w:ind w:firstLine="640"/>
        <w:rPr>
          <w:rFonts w:hint="eastAsia" w:ascii="仿宋" w:hAnsi="仿宋" w:eastAsia="仿宋" w:cs="仿宋"/>
          <w:color w:val="auto"/>
          <w:sz w:val="32"/>
        </w:rPr>
      </w:pPr>
    </w:p>
    <w:p>
      <w:pPr>
        <w:spacing w:line="360" w:lineRule="atLeast"/>
        <w:ind w:firstLine="720"/>
        <w:jc w:val="center"/>
        <w:rPr>
          <w:rFonts w:hint="eastAsia" w:ascii="仿宋" w:hAnsi="仿宋" w:eastAsia="仿宋" w:cs="仿宋"/>
          <w:color w:val="auto"/>
          <w:sz w:val="36"/>
        </w:rPr>
      </w:pPr>
      <w:r>
        <w:rPr>
          <w:rFonts w:hint="eastAsia" w:ascii="仿宋" w:hAnsi="仿宋" w:eastAsia="仿宋" w:cs="仿宋"/>
          <w:color w:val="auto"/>
          <w:sz w:val="36"/>
        </w:rPr>
        <w:t>年      月      日</w:t>
      </w:r>
    </w:p>
    <w:p>
      <w:pPr>
        <w:spacing w:line="360" w:lineRule="atLeast"/>
        <w:ind w:firstLine="720"/>
        <w:jc w:val="right"/>
        <w:rPr>
          <w:rFonts w:hint="eastAsia" w:ascii="仿宋" w:hAnsi="仿宋" w:eastAsia="仿宋" w:cs="仿宋"/>
          <w:color w:val="auto"/>
          <w:sz w:val="28"/>
        </w:rPr>
      </w:pPr>
      <w:r>
        <w:rPr>
          <w:rFonts w:hint="eastAsia" w:ascii="仿宋" w:hAnsi="仿宋" w:eastAsia="仿宋" w:cs="仿宋"/>
          <w:color w:val="auto"/>
          <w:sz w:val="36"/>
        </w:rPr>
        <w:br w:type="page"/>
      </w:r>
      <w:r>
        <w:rPr>
          <w:rFonts w:hint="eastAsia" w:ascii="仿宋" w:hAnsi="仿宋" w:eastAsia="仿宋" w:cs="仿宋"/>
          <w:color w:val="auto"/>
          <w:sz w:val="28"/>
        </w:rPr>
        <w:t>附件一</w:t>
      </w:r>
    </w:p>
    <w:p>
      <w:pPr>
        <w:pStyle w:val="2"/>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仿宋"/>
          <w:bCs/>
          <w:color w:val="auto"/>
          <w:sz w:val="44"/>
          <w:szCs w:val="44"/>
        </w:rPr>
      </w:pPr>
      <w:r>
        <w:rPr>
          <w:rFonts w:hint="eastAsia" w:ascii="仿宋" w:hAnsi="仿宋" w:eastAsia="仿宋" w:cs="仿宋"/>
          <w:bCs/>
          <w:color w:val="auto"/>
          <w:sz w:val="44"/>
          <w:szCs w:val="44"/>
        </w:rPr>
        <w:t>投  标  书</w:t>
      </w:r>
    </w:p>
    <w:p>
      <w:pPr>
        <w:pStyle w:val="29"/>
        <w:ind w:firstLine="0" w:firstLineChars="0"/>
        <w:jc w:val="both"/>
        <w:rPr>
          <w:rFonts w:hint="eastAsia" w:ascii="仿宋" w:hAnsi="仿宋" w:eastAsia="仿宋" w:cs="仿宋"/>
          <w:color w:val="auto"/>
        </w:rPr>
      </w:pPr>
      <w:r>
        <w:rPr>
          <w:rFonts w:hint="eastAsia" w:ascii="仿宋" w:hAnsi="仿宋" w:eastAsia="仿宋" w:cs="仿宋"/>
          <w:color w:val="auto"/>
        </w:rPr>
        <w:t>新疆新之建工程咨询有限公司：</w:t>
      </w:r>
    </w:p>
    <w:p>
      <w:pPr>
        <w:spacing w:line="360" w:lineRule="atLeast"/>
        <w:ind w:firstLine="420"/>
        <w:rPr>
          <w:rFonts w:hint="eastAsia" w:ascii="仿宋" w:hAnsi="仿宋" w:eastAsia="仿宋" w:cs="仿宋"/>
          <w:color w:val="auto"/>
        </w:rPr>
      </w:pP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我们收到你们</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号招标文件，经认真研究，我们决定参加投标。</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 xml:space="preserve">⒈按照招标文件中的一切要求，提供招标货物、安装及技术服务，投标总价 </w:t>
      </w:r>
      <w:r>
        <w:rPr>
          <w:rFonts w:hint="eastAsia" w:ascii="仿宋" w:hAnsi="仿宋" w:eastAsia="仿宋" w:cs="仿宋"/>
          <w:color w:val="auto"/>
          <w:sz w:val="28"/>
          <w:u w:val="single"/>
        </w:rPr>
        <w:t xml:space="preserve">                       </w:t>
      </w:r>
      <w:r>
        <w:rPr>
          <w:rFonts w:hint="eastAsia" w:ascii="仿宋" w:hAnsi="仿宋" w:eastAsia="仿宋" w:cs="仿宋"/>
          <w:color w:val="auto"/>
          <w:sz w:val="28"/>
        </w:rPr>
        <w:t>万元（人民币大写）￥：</w:t>
      </w:r>
      <w:r>
        <w:rPr>
          <w:rFonts w:hint="eastAsia" w:ascii="仿宋" w:hAnsi="仿宋" w:eastAsia="仿宋" w:cs="仿宋"/>
          <w:color w:val="auto"/>
          <w:sz w:val="28"/>
          <w:u w:val="single"/>
        </w:rPr>
        <w:t xml:space="preserve">          </w:t>
      </w:r>
      <w:r>
        <w:rPr>
          <w:rFonts w:hint="eastAsia" w:ascii="仿宋" w:hAnsi="仿宋" w:eastAsia="仿宋" w:cs="仿宋"/>
          <w:color w:val="auto"/>
          <w:sz w:val="28"/>
        </w:rPr>
        <w:t>万元（用阿拉伯数字书写）人民币，明细见投标产品名称数量报价表。</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⒉如果我们的投标书被接受，我们将履行招标文件中规定的每一项要求，按期、按质、按量完成交货和完工任务。</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⒊我们同意按招标文件的规定，本投标书的有效期为开标后</w:t>
      </w:r>
      <w:r>
        <w:rPr>
          <w:rFonts w:hint="eastAsia" w:ascii="仿宋" w:hAnsi="仿宋" w:eastAsia="仿宋" w:cs="仿宋"/>
          <w:color w:val="auto"/>
          <w:sz w:val="28"/>
          <w:u w:val="single"/>
        </w:rPr>
        <w:t xml:space="preserve"> </w:t>
      </w:r>
      <w:r>
        <w:rPr>
          <w:rFonts w:hint="eastAsia" w:ascii="仿宋" w:hAnsi="仿宋" w:eastAsia="仿宋" w:cs="仿宋"/>
          <w:b/>
          <w:color w:val="auto"/>
          <w:sz w:val="28"/>
          <w:u w:val="single"/>
        </w:rPr>
        <w:t>90</w:t>
      </w:r>
      <w:r>
        <w:rPr>
          <w:rFonts w:hint="eastAsia" w:ascii="仿宋" w:hAnsi="仿宋" w:eastAsia="仿宋" w:cs="仿宋"/>
          <w:color w:val="auto"/>
          <w:sz w:val="28"/>
          <w:u w:val="single"/>
        </w:rPr>
        <w:t xml:space="preserve"> </w:t>
      </w:r>
      <w:r>
        <w:rPr>
          <w:rFonts w:hint="eastAsia" w:ascii="仿宋" w:hAnsi="仿宋" w:eastAsia="仿宋" w:cs="仿宋"/>
          <w:color w:val="auto"/>
          <w:sz w:val="28"/>
        </w:rPr>
        <w:t>天。</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⒋我们愿意提供采购人在招标文件中要求的所有资料。</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⒌我们认为你们有选择或拒绝任何投标者中标的权力。我们理解，最低报价不是中标的唯一条件。</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⒍我们愿按合同法履行自己的全部责任。</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⒎我方愿意遵守国家有关规定及招标文件中规定的收费标准，承付中标服务费。</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⒏该项投标在开标后的全过程中保持有效，不作任何更改和变动。</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⒐我们同意按招标文件规定，交纳</w:t>
      </w:r>
      <w:r>
        <w:rPr>
          <w:rFonts w:hint="eastAsia" w:ascii="仿宋" w:hAnsi="仿宋" w:eastAsia="仿宋" w:cs="仿宋"/>
          <w:color w:val="auto"/>
          <w:sz w:val="28"/>
          <w:u w:val="single"/>
        </w:rPr>
        <w:t xml:space="preserve">             </w:t>
      </w:r>
      <w:r>
        <w:rPr>
          <w:rFonts w:hint="eastAsia" w:ascii="仿宋" w:hAnsi="仿宋" w:eastAsia="仿宋" w:cs="仿宋"/>
          <w:color w:val="auto"/>
          <w:sz w:val="28"/>
        </w:rPr>
        <w:t>元的投标保证金。并同意在确定最终中标人、发出中标通知书之后5个工作日内退还我公司的投标保证金。（如因特殊原因，在投标有效期之后确定中标人，本承诺依然有效。）</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⒑综合说明：</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（1）材料的详细技术参数、技术条件、技术标准、拟达到的质量标准和保险期限。</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（2）易损件、配件及供应方式。</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（3）工程安装计划、组织机构及人员安排。</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（5）技术服务。</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（6）运输方式。</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（7）要求项目单位提供的配合。</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（8）对招标文件内容有不同意见的偏离说明。</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（9）其它。</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11.所有有关本标书的函电，请按下列地址联系：</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单       位：</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地       址：</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电       话：</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传       真：</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邮 政 编 码：</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联  系  人：</w:t>
      </w:r>
    </w:p>
    <w:p>
      <w:pPr>
        <w:spacing w:line="360" w:lineRule="atLeast"/>
        <w:ind w:firstLine="560"/>
        <w:rPr>
          <w:rFonts w:hint="eastAsia" w:ascii="仿宋" w:hAnsi="仿宋" w:eastAsia="仿宋" w:cs="仿宋"/>
          <w:color w:val="auto"/>
          <w:sz w:val="28"/>
        </w:rPr>
      </w:pP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投标单位：（公章）</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auto"/>
          <w:sz w:val="28"/>
        </w:rPr>
        <w:t>授权代表签字：</w:t>
      </w:r>
    </w:p>
    <w:p>
      <w:pPr>
        <w:spacing w:line="360" w:lineRule="atLeast"/>
        <w:ind w:firstLine="560"/>
        <w:rPr>
          <w:rFonts w:hint="eastAsia" w:ascii="仿宋" w:hAnsi="仿宋" w:eastAsia="仿宋" w:cs="仿宋"/>
          <w:color w:val="auto"/>
          <w:sz w:val="28"/>
        </w:rPr>
      </w:pPr>
    </w:p>
    <w:p>
      <w:pPr>
        <w:spacing w:line="360" w:lineRule="atLeast"/>
        <w:ind w:firstLine="4877" w:firstLineChars="1742"/>
        <w:rPr>
          <w:rFonts w:hint="eastAsia" w:ascii="仿宋" w:hAnsi="仿宋" w:eastAsia="仿宋" w:cs="仿宋"/>
          <w:color w:val="auto"/>
          <w:sz w:val="28"/>
        </w:rPr>
      </w:pPr>
      <w:r>
        <w:rPr>
          <w:rFonts w:hint="eastAsia" w:ascii="仿宋" w:hAnsi="仿宋" w:eastAsia="仿宋" w:cs="仿宋"/>
          <w:color w:val="auto"/>
          <w:sz w:val="28"/>
        </w:rPr>
        <w:t>年   月    日</w:t>
      </w:r>
    </w:p>
    <w:p>
      <w:pPr>
        <w:ind w:firstLine="562"/>
        <w:jc w:val="right"/>
        <w:rPr>
          <w:rFonts w:hint="eastAsia" w:ascii="仿宋" w:hAnsi="仿宋" w:eastAsia="仿宋" w:cs="仿宋"/>
          <w:b/>
          <w:color w:val="auto"/>
          <w:sz w:val="28"/>
        </w:rPr>
      </w:pPr>
      <w:r>
        <w:rPr>
          <w:rFonts w:hint="eastAsia" w:ascii="仿宋" w:hAnsi="仿宋" w:eastAsia="仿宋" w:cs="仿宋"/>
          <w:b/>
          <w:color w:val="auto"/>
          <w:sz w:val="28"/>
        </w:rPr>
        <w:br w:type="page"/>
      </w:r>
      <w:r>
        <w:rPr>
          <w:rFonts w:hint="eastAsia" w:ascii="仿宋" w:hAnsi="仿宋" w:eastAsia="仿宋" w:cs="仿宋"/>
          <w:color w:val="auto"/>
          <w:sz w:val="28"/>
        </w:rPr>
        <w:t>附件二</w:t>
      </w:r>
    </w:p>
    <w:p>
      <w:pPr>
        <w:pStyle w:val="2"/>
        <w:spacing w:line="500" w:lineRule="exact"/>
        <w:jc w:val="center"/>
        <w:rPr>
          <w:rFonts w:hint="eastAsia" w:ascii="仿宋" w:hAnsi="仿宋" w:eastAsia="仿宋" w:cs="仿宋"/>
          <w:color w:val="auto"/>
          <w:sz w:val="32"/>
        </w:rPr>
      </w:pPr>
      <w:r>
        <w:rPr>
          <w:rFonts w:hint="eastAsia" w:ascii="仿宋" w:hAnsi="仿宋" w:eastAsia="仿宋" w:cs="仿宋"/>
          <w:color w:val="auto"/>
          <w:sz w:val="32"/>
        </w:rPr>
        <w:t>法定代表人资格证明书（格式）</w:t>
      </w:r>
    </w:p>
    <w:p>
      <w:pPr>
        <w:spacing w:line="500" w:lineRule="exact"/>
        <w:rPr>
          <w:rFonts w:hint="eastAsia" w:ascii="仿宋" w:hAnsi="仿宋" w:eastAsia="仿宋" w:cs="仿宋"/>
          <w:color w:val="auto"/>
          <w:szCs w:val="21"/>
        </w:rPr>
      </w:pPr>
    </w:p>
    <w:p>
      <w:pPr>
        <w:pStyle w:val="25"/>
        <w:spacing w:line="580" w:lineRule="exact"/>
        <w:ind w:firstLine="560"/>
        <w:rPr>
          <w:rFonts w:hint="eastAsia" w:ascii="仿宋" w:hAnsi="仿宋" w:eastAsia="仿宋" w:cs="仿宋"/>
          <w:color w:val="auto"/>
          <w:u w:val="single"/>
        </w:rPr>
      </w:pPr>
      <w:r>
        <w:rPr>
          <w:rFonts w:hint="eastAsia" w:ascii="仿宋" w:hAnsi="仿宋" w:eastAsia="仿宋" w:cs="仿宋"/>
          <w:color w:val="auto"/>
        </w:rPr>
        <w:t>单位名称：</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地    址：</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姓    名：</w:t>
      </w:r>
      <w:r>
        <w:rPr>
          <w:rFonts w:hint="eastAsia" w:ascii="仿宋" w:hAnsi="仿宋" w:eastAsia="仿宋" w:cs="仿宋"/>
          <w:color w:val="auto"/>
          <w:u w:val="single"/>
        </w:rPr>
        <w:t xml:space="preserve">           </w:t>
      </w:r>
      <w:r>
        <w:rPr>
          <w:rFonts w:hint="eastAsia" w:ascii="仿宋" w:hAnsi="仿宋" w:eastAsia="仿宋" w:cs="仿宋"/>
          <w:color w:val="auto"/>
        </w:rPr>
        <w:t>性别：</w:t>
      </w:r>
      <w:r>
        <w:rPr>
          <w:rFonts w:hint="eastAsia" w:ascii="仿宋" w:hAnsi="仿宋" w:eastAsia="仿宋" w:cs="仿宋"/>
          <w:color w:val="auto"/>
          <w:u w:val="single"/>
        </w:rPr>
        <w:t xml:space="preserve">      </w:t>
      </w:r>
      <w:r>
        <w:rPr>
          <w:rFonts w:hint="eastAsia" w:ascii="仿宋" w:hAnsi="仿宋" w:eastAsia="仿宋" w:cs="仿宋"/>
          <w:color w:val="auto"/>
        </w:rPr>
        <w:t>年龄：</w:t>
      </w:r>
      <w:r>
        <w:rPr>
          <w:rFonts w:hint="eastAsia" w:ascii="仿宋" w:hAnsi="仿宋" w:eastAsia="仿宋" w:cs="仿宋"/>
          <w:color w:val="auto"/>
          <w:u w:val="single"/>
        </w:rPr>
        <w:t xml:space="preserve">      </w:t>
      </w:r>
      <w:r>
        <w:rPr>
          <w:rFonts w:hint="eastAsia" w:ascii="仿宋" w:hAnsi="仿宋" w:eastAsia="仿宋" w:cs="仿宋"/>
          <w:color w:val="auto"/>
        </w:rPr>
        <w:t>职务：</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该同志系</w:t>
      </w:r>
      <w:r>
        <w:rPr>
          <w:rFonts w:hint="eastAsia" w:ascii="仿宋" w:hAnsi="仿宋" w:eastAsia="仿宋" w:cs="仿宋"/>
          <w:color w:val="auto"/>
          <w:u w:val="single"/>
        </w:rPr>
        <w:t xml:space="preserve">                                  公司</w:t>
      </w:r>
      <w:r>
        <w:rPr>
          <w:rFonts w:hint="eastAsia" w:ascii="仿宋" w:hAnsi="仿宋" w:eastAsia="仿宋" w:cs="仿宋"/>
          <w:color w:val="auto"/>
        </w:rPr>
        <w:t>的法定代表人。为参加本项目，签署上述的投标文件、进行合同谈判、签署合同和处理与之有关的一切事务。</w:t>
      </w:r>
    </w:p>
    <w:p>
      <w:pPr>
        <w:pStyle w:val="25"/>
        <w:spacing w:line="580" w:lineRule="exact"/>
        <w:ind w:firstLine="560"/>
        <w:rPr>
          <w:rFonts w:hint="eastAsia" w:ascii="仿宋" w:hAnsi="仿宋" w:eastAsia="仿宋" w:cs="仿宋"/>
          <w:color w:val="auto"/>
        </w:rPr>
      </w:pP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特此证明</w:t>
      </w:r>
    </w:p>
    <w:p>
      <w:pPr>
        <w:pStyle w:val="25"/>
        <w:ind w:firstLine="560"/>
        <w:rPr>
          <w:rFonts w:hint="eastAsia" w:ascii="仿宋" w:hAnsi="仿宋" w:eastAsia="仿宋" w:cs="仿宋"/>
          <w:color w:val="auto"/>
        </w:rPr>
      </w:pPr>
    </w:p>
    <w:p>
      <w:pPr>
        <w:pStyle w:val="25"/>
        <w:ind w:firstLine="560"/>
        <w:rPr>
          <w:rFonts w:hint="eastAsia" w:ascii="仿宋" w:hAnsi="仿宋" w:eastAsia="仿宋" w:cs="仿宋"/>
          <w:color w:val="auto"/>
        </w:rPr>
      </w:pPr>
    </w:p>
    <w:p>
      <w:pPr>
        <w:pStyle w:val="25"/>
        <w:ind w:firstLine="4200" w:firstLineChars="1500"/>
        <w:rPr>
          <w:rFonts w:hint="eastAsia" w:ascii="仿宋" w:hAnsi="仿宋" w:eastAsia="仿宋" w:cs="仿宋"/>
          <w:color w:val="auto"/>
        </w:rPr>
      </w:pPr>
      <w:r>
        <w:rPr>
          <w:rFonts w:hint="eastAsia" w:ascii="仿宋" w:hAnsi="仿宋" w:eastAsia="仿宋" w:cs="仿宋"/>
          <w:color w:val="auto"/>
        </w:rPr>
        <w:t>供应商：</w:t>
      </w:r>
      <w:r>
        <w:rPr>
          <w:rFonts w:hint="eastAsia" w:ascii="仿宋" w:hAnsi="仿宋" w:eastAsia="仿宋" w:cs="仿宋"/>
          <w:color w:val="auto"/>
          <w:u w:val="single"/>
        </w:rPr>
        <w:t xml:space="preserve">                     </w:t>
      </w:r>
      <w:r>
        <w:rPr>
          <w:rFonts w:hint="eastAsia" w:ascii="仿宋" w:hAnsi="仿宋" w:eastAsia="仿宋" w:cs="仿宋"/>
          <w:color w:val="auto"/>
        </w:rPr>
        <w:t>（公章）</w:t>
      </w:r>
    </w:p>
    <w:p>
      <w:pPr>
        <w:pStyle w:val="25"/>
        <w:ind w:firstLine="4200" w:firstLineChars="1500"/>
        <w:rPr>
          <w:rFonts w:hint="eastAsia" w:ascii="仿宋" w:hAnsi="仿宋" w:eastAsia="仿宋" w:cs="仿宋"/>
          <w:color w:val="auto"/>
        </w:rPr>
      </w:pPr>
      <w:r>
        <w:rPr>
          <w:rFonts w:hint="eastAsia" w:ascii="仿宋" w:hAnsi="仿宋" w:eastAsia="仿宋" w:cs="仿宋"/>
          <w:color w:val="auto"/>
        </w:rPr>
        <w:t>法定代表人签名：</w:t>
      </w:r>
      <w:r>
        <w:rPr>
          <w:rFonts w:hint="eastAsia" w:ascii="仿宋" w:hAnsi="仿宋" w:eastAsia="仿宋" w:cs="仿宋"/>
          <w:color w:val="auto"/>
          <w:u w:val="single"/>
        </w:rPr>
        <w:t xml:space="preserve">              </w:t>
      </w:r>
    </w:p>
    <w:p>
      <w:pPr>
        <w:pStyle w:val="25"/>
        <w:ind w:firstLine="4200" w:firstLineChars="1500"/>
        <w:rPr>
          <w:rFonts w:hint="eastAsia" w:ascii="仿宋" w:hAnsi="仿宋" w:eastAsia="仿宋" w:cs="仿宋"/>
          <w:color w:val="auto"/>
        </w:rPr>
      </w:pPr>
      <w:r>
        <w:rPr>
          <w:rFonts w:hint="eastAsia" w:ascii="仿宋" w:hAnsi="仿宋" w:eastAsia="仿宋" w:cs="仿宋"/>
          <w:color w:val="auto"/>
        </w:rPr>
        <w:t>日  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ind w:firstLine="562"/>
        <w:jc w:val="right"/>
        <w:rPr>
          <w:rFonts w:hint="eastAsia" w:ascii="仿宋" w:hAnsi="仿宋" w:eastAsia="仿宋" w:cs="仿宋"/>
          <w:color w:val="auto"/>
        </w:rPr>
      </w:pPr>
      <w:r>
        <w:rPr>
          <w:rFonts w:hint="eastAsia" w:ascii="仿宋" w:hAnsi="仿宋" w:eastAsia="仿宋" w:cs="仿宋"/>
          <w:b/>
          <w:bCs/>
          <w:color w:val="auto"/>
          <w:sz w:val="24"/>
          <w:szCs w:val="21"/>
        </w:rPr>
        <w:br w:type="page"/>
      </w:r>
      <w:r>
        <w:rPr>
          <w:rFonts w:hint="eastAsia" w:ascii="仿宋" w:hAnsi="仿宋" w:eastAsia="仿宋" w:cs="仿宋"/>
          <w:b/>
          <w:bCs/>
          <w:color w:val="auto"/>
          <w:sz w:val="24"/>
          <w:szCs w:val="21"/>
        </w:rPr>
        <w:t xml:space="preserve">                                                       </w:t>
      </w:r>
    </w:p>
    <w:p>
      <w:pPr>
        <w:rPr>
          <w:rFonts w:hint="eastAsia" w:ascii="仿宋" w:hAnsi="仿宋" w:eastAsia="仿宋" w:cs="仿宋"/>
          <w:color w:val="auto"/>
        </w:rPr>
      </w:pPr>
    </w:p>
    <w:p>
      <w:pPr>
        <w:pStyle w:val="2"/>
        <w:spacing w:line="500" w:lineRule="exact"/>
        <w:jc w:val="center"/>
        <w:rPr>
          <w:rFonts w:hint="eastAsia" w:ascii="仿宋" w:hAnsi="仿宋" w:eastAsia="仿宋" w:cs="仿宋"/>
          <w:color w:val="auto"/>
          <w:sz w:val="32"/>
        </w:rPr>
      </w:pPr>
      <w:r>
        <w:rPr>
          <w:rFonts w:hint="eastAsia" w:ascii="仿宋" w:hAnsi="仿宋" w:eastAsia="仿宋" w:cs="仿宋"/>
          <w:color w:val="auto"/>
          <w:sz w:val="32"/>
        </w:rPr>
        <w:t>法定代表人授权委托书（格式）</w:t>
      </w:r>
    </w:p>
    <w:p>
      <w:pPr>
        <w:spacing w:line="500" w:lineRule="exact"/>
        <w:rPr>
          <w:rFonts w:hint="eastAsia" w:ascii="仿宋" w:hAnsi="仿宋" w:eastAsia="仿宋" w:cs="仿宋"/>
          <w:color w:val="auto"/>
          <w:szCs w:val="21"/>
        </w:rPr>
      </w:pP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本授权委托书声明：我</w:t>
      </w:r>
      <w:r>
        <w:rPr>
          <w:rFonts w:hint="eastAsia" w:ascii="仿宋" w:hAnsi="仿宋" w:eastAsia="仿宋" w:cs="仿宋"/>
          <w:color w:val="auto"/>
          <w:u w:val="single"/>
        </w:rPr>
        <w:t xml:space="preserve">           </w:t>
      </w:r>
      <w:r>
        <w:rPr>
          <w:rFonts w:hint="eastAsia" w:ascii="仿宋" w:hAnsi="仿宋" w:eastAsia="仿宋" w:cs="仿宋"/>
          <w:color w:val="auto"/>
        </w:rPr>
        <w:t>（姓名）系</w:t>
      </w:r>
      <w:r>
        <w:rPr>
          <w:rFonts w:hint="eastAsia" w:ascii="仿宋" w:hAnsi="仿宋" w:eastAsia="仿宋" w:cs="仿宋"/>
          <w:color w:val="auto"/>
          <w:u w:val="single"/>
        </w:rPr>
        <w:t xml:space="preserve">                  </w:t>
      </w:r>
      <w:r>
        <w:rPr>
          <w:rFonts w:hint="eastAsia" w:ascii="仿宋" w:hAnsi="仿宋" w:eastAsia="仿宋" w:cs="仿宋"/>
          <w:color w:val="auto"/>
        </w:rPr>
        <w:t>（供应商名称）的法定代表人，现授权委托</w:t>
      </w:r>
      <w:r>
        <w:rPr>
          <w:rFonts w:hint="eastAsia" w:ascii="仿宋" w:hAnsi="仿宋" w:eastAsia="仿宋" w:cs="仿宋"/>
          <w:color w:val="auto"/>
          <w:u w:val="single"/>
        </w:rPr>
        <w:t xml:space="preserve">                        </w:t>
      </w:r>
      <w:r>
        <w:rPr>
          <w:rFonts w:hint="eastAsia" w:ascii="仿宋" w:hAnsi="仿宋" w:eastAsia="仿宋" w:cs="仿宋"/>
          <w:color w:val="auto"/>
        </w:rPr>
        <w:t>（单位名称）的</w:t>
      </w:r>
      <w:r>
        <w:rPr>
          <w:rFonts w:hint="eastAsia" w:ascii="仿宋" w:hAnsi="仿宋" w:eastAsia="仿宋" w:cs="仿宋"/>
          <w:color w:val="auto"/>
          <w:u w:val="single"/>
        </w:rPr>
        <w:t xml:space="preserve">              </w:t>
      </w:r>
      <w:r>
        <w:rPr>
          <w:rFonts w:hint="eastAsia" w:ascii="仿宋" w:hAnsi="仿宋" w:eastAsia="仿宋" w:cs="仿宋"/>
          <w:color w:val="auto"/>
        </w:rPr>
        <w:t>（姓名）为我公司签署本项目投票文件的法定代表人授权委托代理人，全权代表我单位处理本次谈判的有关事宜。代理人所签署的一切有关文件，我单位均予承认。</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代理人无转委托权，特此声明！</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pStyle w:val="25"/>
        <w:spacing w:line="580" w:lineRule="exact"/>
        <w:ind w:firstLine="560"/>
        <w:rPr>
          <w:rFonts w:hint="eastAsia" w:ascii="仿宋" w:hAnsi="仿宋" w:eastAsia="仿宋" w:cs="仿宋"/>
          <w:color w:val="auto"/>
        </w:rPr>
      </w:pPr>
    </w:p>
    <w:p>
      <w:pPr>
        <w:pStyle w:val="25"/>
        <w:spacing w:line="580" w:lineRule="exact"/>
        <w:ind w:firstLine="560"/>
        <w:rPr>
          <w:rFonts w:hint="eastAsia" w:ascii="仿宋" w:hAnsi="仿宋" w:eastAsia="仿宋" w:cs="仿宋"/>
          <w:color w:val="auto"/>
        </w:rPr>
      </w:pP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代理人：姓名：</w:t>
      </w:r>
      <w:r>
        <w:rPr>
          <w:rFonts w:hint="eastAsia" w:ascii="仿宋" w:hAnsi="仿宋" w:eastAsia="仿宋" w:cs="仿宋"/>
          <w:color w:val="auto"/>
          <w:u w:val="single"/>
        </w:rPr>
        <w:t xml:space="preserve">           </w:t>
      </w:r>
      <w:r>
        <w:rPr>
          <w:rFonts w:hint="eastAsia" w:ascii="仿宋" w:hAnsi="仿宋" w:eastAsia="仿宋" w:cs="仿宋"/>
          <w:color w:val="auto"/>
        </w:rPr>
        <w:t>性别：</w:t>
      </w:r>
      <w:r>
        <w:rPr>
          <w:rFonts w:hint="eastAsia" w:ascii="仿宋" w:hAnsi="仿宋" w:eastAsia="仿宋" w:cs="仿宋"/>
          <w:color w:val="auto"/>
          <w:u w:val="single"/>
        </w:rPr>
        <w:t xml:space="preserve">       </w:t>
      </w:r>
      <w:r>
        <w:rPr>
          <w:rFonts w:hint="eastAsia" w:ascii="仿宋" w:hAnsi="仿宋" w:eastAsia="仿宋" w:cs="仿宋"/>
          <w:color w:val="auto"/>
        </w:rPr>
        <w:t>年龄：</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身份证号码：</w:t>
      </w:r>
      <w:r>
        <w:rPr>
          <w:rFonts w:hint="eastAsia" w:ascii="仿宋" w:hAnsi="仿宋" w:eastAsia="仿宋" w:cs="仿宋"/>
          <w:color w:val="auto"/>
          <w:u w:val="single"/>
        </w:rPr>
        <w:t xml:space="preserve">                        </w:t>
      </w:r>
      <w:r>
        <w:rPr>
          <w:rFonts w:hint="eastAsia" w:ascii="仿宋" w:hAnsi="仿宋" w:eastAsia="仿宋" w:cs="仿宋"/>
          <w:color w:val="auto"/>
        </w:rPr>
        <w:t>职务：</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供应商：</w:t>
      </w:r>
      <w:r>
        <w:rPr>
          <w:rFonts w:hint="eastAsia" w:ascii="仿宋" w:hAnsi="仿宋" w:eastAsia="仿宋" w:cs="仿宋"/>
          <w:color w:val="auto"/>
          <w:u w:val="single"/>
        </w:rPr>
        <w:t xml:space="preserve">                          </w:t>
      </w:r>
      <w:r>
        <w:rPr>
          <w:rFonts w:hint="eastAsia" w:ascii="仿宋" w:hAnsi="仿宋" w:eastAsia="仿宋" w:cs="仿宋"/>
          <w:color w:val="auto"/>
        </w:rPr>
        <w:t>（盖章）</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法定代表人：</w:t>
      </w:r>
      <w:r>
        <w:rPr>
          <w:rFonts w:hint="eastAsia" w:ascii="仿宋" w:hAnsi="仿宋" w:eastAsia="仿宋" w:cs="仿宋"/>
          <w:color w:val="auto"/>
          <w:u w:val="single"/>
        </w:rPr>
        <w:t xml:space="preserve">                      </w:t>
      </w:r>
      <w:r>
        <w:rPr>
          <w:rFonts w:hint="eastAsia" w:ascii="仿宋" w:hAnsi="仿宋" w:eastAsia="仿宋" w:cs="仿宋"/>
          <w:color w:val="auto"/>
        </w:rPr>
        <w:t>（签字）</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授权委托日期：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pStyle w:val="25"/>
        <w:spacing w:line="580" w:lineRule="exact"/>
        <w:ind w:firstLine="560"/>
        <w:rPr>
          <w:rFonts w:hint="eastAsia" w:ascii="仿宋" w:hAnsi="仿宋" w:eastAsia="仿宋" w:cs="仿宋"/>
          <w:color w:val="auto"/>
        </w:rPr>
      </w:pPr>
    </w:p>
    <w:p>
      <w:pPr>
        <w:pStyle w:val="25"/>
        <w:spacing w:line="580" w:lineRule="exact"/>
        <w:ind w:firstLine="560"/>
        <w:rPr>
          <w:rFonts w:hint="eastAsia" w:ascii="仿宋" w:hAnsi="仿宋" w:eastAsia="仿宋" w:cs="仿宋"/>
          <w:color w:val="auto"/>
        </w:rPr>
      </w:pPr>
    </w:p>
    <w:p>
      <w:pPr>
        <w:pStyle w:val="25"/>
        <w:spacing w:line="580" w:lineRule="exact"/>
        <w:ind w:firstLine="560"/>
        <w:rPr>
          <w:rFonts w:hint="eastAsia" w:ascii="仿宋" w:hAnsi="仿宋" w:eastAsia="仿宋" w:cs="仿宋"/>
          <w:color w:val="auto"/>
        </w:rPr>
      </w:pPr>
    </w:p>
    <w:p>
      <w:pPr>
        <w:ind w:firstLine="562"/>
        <w:jc w:val="right"/>
        <w:rPr>
          <w:rFonts w:hint="eastAsia" w:ascii="仿宋" w:hAnsi="仿宋" w:eastAsia="仿宋" w:cs="仿宋"/>
          <w:color w:val="auto"/>
          <w:sz w:val="28"/>
        </w:rPr>
      </w:pPr>
      <w:r>
        <w:rPr>
          <w:rFonts w:hint="eastAsia" w:ascii="仿宋" w:hAnsi="仿宋" w:eastAsia="仿宋" w:cs="仿宋"/>
          <w:color w:val="auto"/>
          <w:sz w:val="28"/>
        </w:rPr>
        <w:br w:type="page"/>
      </w:r>
      <w:r>
        <w:rPr>
          <w:rFonts w:hint="eastAsia" w:ascii="仿宋" w:hAnsi="仿宋" w:eastAsia="仿宋" w:cs="仿宋"/>
          <w:color w:val="auto"/>
          <w:sz w:val="28"/>
        </w:rPr>
        <w:t>附件三</w:t>
      </w:r>
    </w:p>
    <w:p>
      <w:pPr>
        <w:rPr>
          <w:rFonts w:hint="eastAsia" w:ascii="仿宋" w:hAnsi="仿宋" w:eastAsia="仿宋" w:cs="仿宋"/>
          <w:color w:val="auto"/>
        </w:rPr>
      </w:pPr>
    </w:p>
    <w:p>
      <w:pPr>
        <w:jc w:val="center"/>
        <w:rPr>
          <w:rFonts w:hint="eastAsia" w:ascii="仿宋" w:hAnsi="仿宋" w:eastAsia="仿宋" w:cs="仿宋"/>
          <w:color w:val="auto"/>
        </w:rPr>
      </w:pPr>
    </w:p>
    <w:p>
      <w:pPr>
        <w:pStyle w:val="2"/>
        <w:spacing w:line="500" w:lineRule="exact"/>
        <w:jc w:val="center"/>
        <w:rPr>
          <w:rFonts w:hint="eastAsia" w:ascii="仿宋" w:hAnsi="仿宋" w:eastAsia="仿宋" w:cs="仿宋"/>
          <w:color w:val="auto"/>
          <w:sz w:val="36"/>
          <w:szCs w:val="36"/>
        </w:rPr>
      </w:pPr>
      <w:r>
        <w:rPr>
          <w:rFonts w:hint="eastAsia" w:ascii="仿宋" w:hAnsi="仿宋" w:eastAsia="仿宋" w:cs="仿宋"/>
          <w:color w:val="auto"/>
          <w:sz w:val="36"/>
          <w:szCs w:val="36"/>
        </w:rPr>
        <w:t>供应商关于投标文件的声明函</w:t>
      </w:r>
    </w:p>
    <w:p>
      <w:pPr>
        <w:adjustRightInd w:val="0"/>
        <w:snapToGrid w:val="0"/>
        <w:spacing w:line="360" w:lineRule="auto"/>
        <w:ind w:firstLine="560" w:firstLineChars="200"/>
        <w:rPr>
          <w:rFonts w:hint="eastAsia" w:ascii="仿宋" w:hAnsi="仿宋" w:eastAsia="仿宋" w:cs="仿宋"/>
          <w:color w:val="auto"/>
          <w:sz w:val="28"/>
          <w:szCs w:val="28"/>
          <w:highlight w:val="yellow"/>
        </w:rPr>
      </w:pP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致：新疆新之建工程咨询有限公司：</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为响应你方    年    月   日的           投标邀请，下述签字人自愿参与投标，提供招标文件技术需求书中规定的         项目，提交下述文件并声明全部说明是真实的和正确的。下述签字人将就下述文件中存在的虚假或不真实内容对招标代理机构和招标人承担法律责任。</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1）我方的资格声明，各有  份正本，  份副本。</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2）下述签字人证明本资格文件中的内容是真实的和正确的，同时附上我公司近二年的财务报表。</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下述签字人知道，招标人可能要求其提供进一步的资格材料并同意按招标人的要求提交。</w:t>
      </w:r>
    </w:p>
    <w:p>
      <w:pPr>
        <w:pStyle w:val="25"/>
        <w:spacing w:line="580" w:lineRule="exact"/>
        <w:ind w:firstLine="560"/>
        <w:rPr>
          <w:rFonts w:hint="eastAsia" w:ascii="仿宋" w:hAnsi="仿宋" w:eastAsia="仿宋" w:cs="仿宋"/>
          <w:color w:val="auto"/>
        </w:rPr>
      </w:pP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 xml:space="preserve">供应商：    （公章）  </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 xml:space="preserve">法人代表或其被授权人：      （签字或盖章）    </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日期：   年   月   日</w:t>
      </w:r>
    </w:p>
    <w:p>
      <w:pPr>
        <w:ind w:firstLine="562"/>
        <w:jc w:val="right"/>
        <w:rPr>
          <w:rFonts w:hint="eastAsia" w:ascii="仿宋" w:hAnsi="仿宋" w:eastAsia="仿宋" w:cs="仿宋"/>
          <w:color w:val="auto"/>
          <w:sz w:val="28"/>
          <w:highlight w:val="yellow"/>
        </w:rPr>
      </w:pPr>
      <w:r>
        <w:rPr>
          <w:rFonts w:hint="eastAsia" w:ascii="仿宋" w:hAnsi="仿宋" w:eastAsia="仿宋" w:cs="仿宋"/>
          <w:color w:val="auto"/>
          <w:highlight w:val="yellow"/>
        </w:rPr>
        <w:br w:type="page"/>
      </w:r>
      <w:r>
        <w:rPr>
          <w:rFonts w:hint="eastAsia" w:ascii="仿宋" w:hAnsi="仿宋" w:eastAsia="仿宋" w:cs="仿宋"/>
          <w:color w:val="auto"/>
          <w:sz w:val="28"/>
        </w:rPr>
        <w:t>附件四</w:t>
      </w:r>
    </w:p>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供应商诚信投标承诺书</w:t>
      </w:r>
    </w:p>
    <w:p>
      <w:pPr>
        <w:jc w:val="center"/>
        <w:rPr>
          <w:rFonts w:hint="eastAsia" w:ascii="仿宋" w:hAnsi="仿宋" w:eastAsia="仿宋" w:cs="仿宋"/>
          <w:b/>
          <w:color w:val="auto"/>
          <w:sz w:val="10"/>
          <w:szCs w:val="10"/>
          <w:highlight w:val="yellow"/>
        </w:rPr>
      </w:pP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本人以企业法定代表人的身份郑重承诺：</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一、投标文件中所提供的一切材料都是真实、有效、合法的；</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二、不以他人名义投标或者以其他方式弄虚作假，骗取中标；</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三、不与其他供应商互相串通投标，不排挤其他供应商的公平竞争，不损害招标人的合法权益；</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四、不与招标人或者招标代理机构串通投标，损害国家利益、社会公共利益或者他人的合法权益；</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五、不向招标人或者评标委员会成员行贿以牟取中标；</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供应商：（公章）</w:t>
      </w:r>
    </w:p>
    <w:p>
      <w:pPr>
        <w:pStyle w:val="25"/>
        <w:spacing w:line="580" w:lineRule="exact"/>
        <w:ind w:firstLine="560"/>
        <w:rPr>
          <w:rFonts w:hint="eastAsia" w:ascii="仿宋" w:hAnsi="仿宋" w:eastAsia="仿宋" w:cs="仿宋"/>
          <w:color w:val="auto"/>
        </w:rPr>
      </w:pPr>
    </w:p>
    <w:p>
      <w:pPr>
        <w:pStyle w:val="25"/>
        <w:spacing w:line="580" w:lineRule="exact"/>
        <w:ind w:firstLine="560"/>
        <w:rPr>
          <w:rFonts w:hint="eastAsia" w:ascii="仿宋" w:hAnsi="仿宋" w:eastAsia="仿宋" w:cs="仿宋"/>
          <w:color w:val="auto"/>
        </w:rPr>
      </w:pPr>
      <w:r>
        <w:rPr>
          <w:rFonts w:hint="eastAsia" w:ascii="仿宋" w:hAnsi="仿宋" w:eastAsia="仿宋" w:cs="仿宋"/>
          <w:color w:val="auto"/>
        </w:rPr>
        <w:t>法定代表人：（签字）       法定代表授权委托人：（签字）</w:t>
      </w:r>
    </w:p>
    <w:p>
      <w:pPr>
        <w:ind w:firstLine="562"/>
        <w:jc w:val="right"/>
        <w:rPr>
          <w:rFonts w:hint="eastAsia" w:ascii="仿宋" w:hAnsi="仿宋" w:eastAsia="仿宋" w:cs="仿宋"/>
          <w:color w:val="auto"/>
          <w:sz w:val="28"/>
          <w:highlight w:val="yellow"/>
        </w:rPr>
      </w:pPr>
      <w:r>
        <w:rPr>
          <w:rFonts w:hint="eastAsia" w:ascii="仿宋" w:hAnsi="仿宋" w:eastAsia="仿宋" w:cs="仿宋"/>
          <w:color w:val="auto"/>
          <w:sz w:val="28"/>
          <w:szCs w:val="28"/>
          <w:highlight w:val="yellow"/>
        </w:rPr>
        <w:br w:type="page"/>
      </w:r>
      <w:bookmarkStart w:id="210" w:name="_Toc435087575"/>
      <w:r>
        <w:rPr>
          <w:rFonts w:hint="eastAsia" w:ascii="仿宋" w:hAnsi="仿宋" w:eastAsia="仿宋" w:cs="仿宋"/>
          <w:color w:val="auto"/>
          <w:sz w:val="28"/>
        </w:rPr>
        <w:t>附件</w:t>
      </w:r>
      <w:bookmarkEnd w:id="210"/>
      <w:r>
        <w:rPr>
          <w:rFonts w:hint="eastAsia" w:ascii="仿宋" w:hAnsi="仿宋" w:eastAsia="仿宋" w:cs="仿宋"/>
          <w:color w:val="auto"/>
          <w:sz w:val="28"/>
        </w:rPr>
        <w:t>五</w:t>
      </w: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供应商反商业贿赂承诺书</w:t>
      </w:r>
    </w:p>
    <w:p>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lang w:val="zh-CN"/>
        </w:rPr>
      </w:pPr>
    </w:p>
    <w:p>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号（</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项目）招标活动中，我公司承诺如下 ：</w:t>
      </w:r>
    </w:p>
    <w:p>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2、不与投标人相互勾结私下协议，弄虚作假，搞假招标、陪标、串通投标，明招暗定，暗箱操作。</w:t>
      </w:r>
    </w:p>
    <w:p>
      <w:pPr>
        <w:snapToGrid w:val="0"/>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3、我公司法人及项目参与人员有亲戚担任业主方副科级以上领导职务时，自愿放弃此次投标权。</w:t>
      </w:r>
    </w:p>
    <w:p>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如有上述行为，一经发现，我公司及项目参与人员愿意按照《政府采购法》、《招投标法》、《反不正当竞争法》的有关规定接受处罚。</w:t>
      </w:r>
    </w:p>
    <w:p>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rPr>
      </w:pPr>
    </w:p>
    <w:p>
      <w:pPr>
        <w:autoSpaceDE w:val="0"/>
        <w:autoSpaceDN w:val="0"/>
        <w:adjustRightInd w:val="0"/>
        <w:spacing w:line="360" w:lineRule="auto"/>
        <w:ind w:left="221"/>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公司法人代表：（签字）</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autoSpaceDE w:val="0"/>
        <w:autoSpaceDN w:val="0"/>
        <w:adjustRightInd w:val="0"/>
        <w:spacing w:line="360" w:lineRule="auto"/>
        <w:ind w:left="221"/>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法人授权代表：（签字）</w:t>
      </w:r>
      <w:r>
        <w:rPr>
          <w:rFonts w:hint="eastAsia" w:ascii="仿宋" w:hAnsi="仿宋" w:eastAsia="仿宋" w:cs="仿宋"/>
          <w:color w:val="auto"/>
          <w:kern w:val="0"/>
          <w:sz w:val="24"/>
          <w:szCs w:val="24"/>
          <w:u w:val="single"/>
        </w:rPr>
        <w:t xml:space="preserve">                    .</w:t>
      </w:r>
    </w:p>
    <w:p>
      <w:pPr>
        <w:autoSpaceDE w:val="0"/>
        <w:autoSpaceDN w:val="0"/>
        <w:adjustRightInd w:val="0"/>
        <w:spacing w:line="360" w:lineRule="auto"/>
        <w:ind w:left="221"/>
        <w:rPr>
          <w:rFonts w:hint="eastAsia" w:ascii="仿宋" w:hAnsi="仿宋" w:eastAsia="仿宋" w:cs="仿宋"/>
          <w:color w:val="auto"/>
          <w:kern w:val="0"/>
          <w:sz w:val="28"/>
          <w:szCs w:val="28"/>
        </w:rPr>
      </w:pPr>
      <w:r>
        <w:rPr>
          <w:rFonts w:hint="eastAsia" w:ascii="仿宋" w:hAnsi="仿宋" w:eastAsia="仿宋" w:cs="仿宋"/>
          <w:color w:val="auto"/>
          <w:kern w:val="0"/>
          <w:sz w:val="24"/>
          <w:szCs w:val="24"/>
        </w:rPr>
        <w:t>项 目 经 理： （签字）</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8"/>
          <w:szCs w:val="28"/>
          <w:u w:val="single"/>
        </w:rPr>
        <w:t xml:space="preserve">        .</w:t>
      </w:r>
    </w:p>
    <w:p>
      <w:pPr>
        <w:autoSpaceDE w:val="0"/>
        <w:autoSpaceDN w:val="0"/>
        <w:adjustRightInd w:val="0"/>
        <w:spacing w:line="360" w:lineRule="auto"/>
        <w:ind w:left="221"/>
        <w:rPr>
          <w:rFonts w:hint="eastAsia" w:ascii="仿宋" w:hAnsi="仿宋" w:eastAsia="仿宋" w:cs="仿宋"/>
          <w:color w:val="auto"/>
          <w:kern w:val="0"/>
          <w:sz w:val="28"/>
          <w:szCs w:val="28"/>
        </w:rPr>
      </w:pPr>
    </w:p>
    <w:p>
      <w:pPr>
        <w:autoSpaceDE w:val="0"/>
        <w:autoSpaceDN w:val="0"/>
        <w:adjustRightInd w:val="0"/>
        <w:spacing w:line="360" w:lineRule="auto"/>
        <w:jc w:val="right"/>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       公司签章       .</w:t>
      </w:r>
    </w:p>
    <w:p>
      <w:pPr>
        <w:pStyle w:val="25"/>
        <w:spacing w:line="580" w:lineRule="exact"/>
        <w:ind w:firstLine="560"/>
        <w:jc w:val="right"/>
        <w:rPr>
          <w:rFonts w:hint="eastAsia" w:ascii="仿宋" w:hAnsi="仿宋" w:eastAsia="仿宋" w:cs="仿宋"/>
          <w:color w:val="auto"/>
          <w:kern w:val="0"/>
          <w:szCs w:val="28"/>
        </w:rPr>
      </w:pPr>
      <w:r>
        <w:rPr>
          <w:rFonts w:hint="eastAsia" w:ascii="仿宋" w:hAnsi="仿宋" w:eastAsia="仿宋" w:cs="仿宋"/>
          <w:color w:val="auto"/>
          <w:kern w:val="0"/>
          <w:szCs w:val="28"/>
        </w:rPr>
        <w:t>年      月     日</w:t>
      </w:r>
    </w:p>
    <w:p>
      <w:pPr>
        <w:pStyle w:val="25"/>
        <w:spacing w:line="580" w:lineRule="exact"/>
        <w:ind w:firstLine="560"/>
        <w:rPr>
          <w:rFonts w:hint="eastAsia" w:ascii="仿宋" w:hAnsi="仿宋" w:eastAsia="仿宋" w:cs="仿宋"/>
          <w:color w:val="auto"/>
        </w:rPr>
      </w:pPr>
    </w:p>
    <w:p>
      <w:pPr>
        <w:ind w:firstLine="622"/>
        <w:rPr>
          <w:rFonts w:hint="eastAsia" w:ascii="仿宋" w:hAnsi="仿宋" w:eastAsia="仿宋" w:cs="仿宋"/>
          <w:b/>
          <w:color w:val="auto"/>
          <w:sz w:val="31"/>
        </w:rPr>
        <w:sectPr>
          <w:headerReference r:id="rId9" w:type="default"/>
          <w:footerReference r:id="rId10" w:type="default"/>
          <w:pgSz w:w="11906" w:h="16838"/>
          <w:pgMar w:top="1247" w:right="1134" w:bottom="1247" w:left="1134" w:header="851" w:footer="851" w:gutter="0"/>
          <w:pgNumType w:fmt="numberInDash"/>
          <w:cols w:space="720" w:num="1"/>
          <w:titlePg/>
          <w:docGrid w:type="linesAndChars" w:linePitch="312" w:charSpace="0"/>
        </w:sectPr>
      </w:pPr>
    </w:p>
    <w:p>
      <w:pPr>
        <w:ind w:firstLine="560"/>
        <w:jc w:val="right"/>
        <w:rPr>
          <w:rFonts w:hint="eastAsia" w:ascii="仿宋" w:hAnsi="仿宋" w:eastAsia="仿宋" w:cs="仿宋"/>
          <w:b/>
          <w:color w:val="auto"/>
          <w:sz w:val="28"/>
        </w:rPr>
      </w:pPr>
      <w:r>
        <w:rPr>
          <w:rFonts w:hint="eastAsia" w:ascii="仿宋" w:hAnsi="仿宋" w:eastAsia="仿宋" w:cs="仿宋"/>
          <w:color w:val="auto"/>
          <w:sz w:val="28"/>
        </w:rPr>
        <w:t>附件六</w:t>
      </w:r>
    </w:p>
    <w:p>
      <w:pPr>
        <w:tabs>
          <w:tab w:val="center" w:pos="7115"/>
          <w:tab w:val="right" w:pos="14230"/>
        </w:tabs>
        <w:ind w:firstLine="723"/>
        <w:jc w:val="center"/>
        <w:rPr>
          <w:rFonts w:hint="eastAsia" w:ascii="仿宋" w:hAnsi="仿宋" w:eastAsia="仿宋" w:cs="仿宋"/>
          <w:b/>
          <w:color w:val="auto"/>
          <w:sz w:val="36"/>
        </w:rPr>
      </w:pPr>
      <w:r>
        <w:rPr>
          <w:rFonts w:hint="eastAsia" w:ascii="仿宋" w:hAnsi="仿宋" w:eastAsia="仿宋" w:cs="仿宋"/>
          <w:b/>
          <w:color w:val="auto"/>
          <w:sz w:val="36"/>
        </w:rPr>
        <w:t>开   标   一   览   表</w:t>
      </w:r>
    </w:p>
    <w:p>
      <w:pPr>
        <w:tabs>
          <w:tab w:val="center" w:pos="7115"/>
          <w:tab w:val="right" w:pos="14230"/>
        </w:tabs>
        <w:ind w:firstLine="140" w:firstLineChars="50"/>
        <w:rPr>
          <w:rFonts w:hint="eastAsia" w:ascii="仿宋" w:hAnsi="仿宋" w:eastAsia="仿宋" w:cs="仿宋"/>
          <w:color w:val="auto"/>
          <w:sz w:val="28"/>
          <w:szCs w:val="28"/>
        </w:rPr>
      </w:pPr>
      <w:r>
        <w:rPr>
          <w:rFonts w:hint="eastAsia" w:ascii="仿宋" w:hAnsi="仿宋" w:eastAsia="仿宋" w:cs="仿宋"/>
          <w:color w:val="auto"/>
          <w:sz w:val="28"/>
          <w:szCs w:val="28"/>
        </w:rPr>
        <w:t>供应商名称：                                                                               单位：元</w:t>
      </w:r>
    </w:p>
    <w:p>
      <w:pPr>
        <w:spacing w:line="360" w:lineRule="exact"/>
        <w:ind w:firstLine="140" w:firstLineChars="5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昌吉市中医院综合项目</w:t>
      </w:r>
      <w:r>
        <w:rPr>
          <w:rFonts w:hint="eastAsia" w:ascii="仿宋" w:hAnsi="仿宋" w:eastAsia="仿宋" w:cs="仿宋"/>
          <w:color w:val="auto"/>
          <w:sz w:val="28"/>
          <w:szCs w:val="28"/>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项目</w:t>
      </w:r>
      <w:r>
        <w:rPr>
          <w:rFonts w:hint="eastAsia" w:ascii="仿宋" w:hAnsi="仿宋" w:eastAsia="仿宋" w:cs="仿宋"/>
          <w:color w:val="000000" w:themeColor="text1"/>
          <w:sz w:val="28"/>
          <w:szCs w:val="28"/>
          <w14:textFill>
            <w14:solidFill>
              <w14:schemeClr w14:val="tx1"/>
            </w14:solidFill>
          </w14:textFill>
        </w:rPr>
        <w:t>编号：</w:t>
      </w:r>
    </w:p>
    <w:tbl>
      <w:tblPr>
        <w:tblStyle w:val="20"/>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2759"/>
        <w:gridCol w:w="1706"/>
        <w:gridCol w:w="956"/>
        <w:gridCol w:w="3432"/>
        <w:gridCol w:w="1425"/>
        <w:gridCol w:w="1489"/>
        <w:gridCol w:w="133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0" w:hRule="exact"/>
          <w:jc w:val="center"/>
        </w:trPr>
        <w:tc>
          <w:tcPr>
            <w:tcW w:w="779"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759"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设备名称</w:t>
            </w:r>
          </w:p>
        </w:tc>
        <w:tc>
          <w:tcPr>
            <w:tcW w:w="1706"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规格和型号</w:t>
            </w:r>
          </w:p>
        </w:tc>
        <w:tc>
          <w:tcPr>
            <w:tcW w:w="956"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c>
          <w:tcPr>
            <w:tcW w:w="3432"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制造商名称及国籍、地区</w:t>
            </w:r>
          </w:p>
        </w:tc>
        <w:tc>
          <w:tcPr>
            <w:tcW w:w="1425"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设备单价</w:t>
            </w:r>
          </w:p>
        </w:tc>
        <w:tc>
          <w:tcPr>
            <w:tcW w:w="1489"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设备总价</w:t>
            </w:r>
          </w:p>
        </w:tc>
        <w:tc>
          <w:tcPr>
            <w:tcW w:w="1335"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交货期</w:t>
            </w:r>
          </w:p>
        </w:tc>
        <w:tc>
          <w:tcPr>
            <w:tcW w:w="1125"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3" w:hRule="atLeast"/>
          <w:jc w:val="center"/>
        </w:trPr>
        <w:tc>
          <w:tcPr>
            <w:tcW w:w="779" w:type="dxa"/>
            <w:vMerge w:val="restart"/>
            <w:vAlign w:val="center"/>
          </w:tcPr>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759" w:type="dxa"/>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kern w:val="0"/>
                <w:sz w:val="24"/>
                <w:szCs w:val="24"/>
              </w:rPr>
              <w:t>全自动血凝仪</w:t>
            </w:r>
          </w:p>
        </w:tc>
        <w:tc>
          <w:tcPr>
            <w:tcW w:w="1706" w:type="dxa"/>
            <w:vAlign w:val="center"/>
          </w:tcPr>
          <w:p>
            <w:pPr>
              <w:snapToGrid w:val="0"/>
              <w:jc w:val="center"/>
              <w:rPr>
                <w:rFonts w:hint="eastAsia" w:ascii="仿宋" w:hAnsi="仿宋" w:eastAsia="仿宋" w:cs="仿宋"/>
                <w:color w:val="auto"/>
                <w:sz w:val="28"/>
                <w:szCs w:val="28"/>
              </w:rPr>
            </w:pPr>
          </w:p>
        </w:tc>
        <w:tc>
          <w:tcPr>
            <w:tcW w:w="956" w:type="dxa"/>
            <w:vAlign w:val="center"/>
          </w:tcPr>
          <w:p>
            <w:pPr>
              <w:snapToGrid w:val="0"/>
              <w:jc w:val="center"/>
              <w:rPr>
                <w:rFonts w:hint="eastAsia" w:ascii="仿宋" w:hAnsi="仿宋" w:eastAsia="仿宋" w:cs="仿宋"/>
                <w:color w:val="auto"/>
                <w:sz w:val="28"/>
                <w:szCs w:val="28"/>
              </w:rPr>
            </w:pPr>
          </w:p>
        </w:tc>
        <w:tc>
          <w:tcPr>
            <w:tcW w:w="3432" w:type="dxa"/>
            <w:vAlign w:val="center"/>
          </w:tcPr>
          <w:p>
            <w:pPr>
              <w:snapToGrid w:val="0"/>
              <w:jc w:val="center"/>
              <w:rPr>
                <w:rFonts w:hint="eastAsia" w:ascii="仿宋" w:hAnsi="仿宋" w:eastAsia="仿宋" w:cs="仿宋"/>
                <w:color w:val="auto"/>
                <w:sz w:val="28"/>
                <w:szCs w:val="28"/>
              </w:rPr>
            </w:pPr>
          </w:p>
        </w:tc>
        <w:tc>
          <w:tcPr>
            <w:tcW w:w="1425" w:type="dxa"/>
            <w:vAlign w:val="center"/>
          </w:tcPr>
          <w:p>
            <w:pPr>
              <w:snapToGrid w:val="0"/>
              <w:jc w:val="center"/>
              <w:rPr>
                <w:rFonts w:hint="eastAsia" w:ascii="仿宋" w:hAnsi="仿宋" w:eastAsia="仿宋" w:cs="仿宋"/>
                <w:color w:val="auto"/>
                <w:sz w:val="28"/>
                <w:szCs w:val="28"/>
              </w:rPr>
            </w:pPr>
          </w:p>
        </w:tc>
        <w:tc>
          <w:tcPr>
            <w:tcW w:w="1489" w:type="dxa"/>
            <w:vAlign w:val="center"/>
          </w:tcPr>
          <w:p>
            <w:pPr>
              <w:snapToGrid w:val="0"/>
              <w:jc w:val="center"/>
              <w:rPr>
                <w:rFonts w:hint="eastAsia" w:ascii="仿宋" w:hAnsi="仿宋" w:eastAsia="仿宋" w:cs="仿宋"/>
                <w:color w:val="auto"/>
                <w:sz w:val="28"/>
                <w:szCs w:val="28"/>
              </w:rPr>
            </w:pPr>
          </w:p>
        </w:tc>
        <w:tc>
          <w:tcPr>
            <w:tcW w:w="1335" w:type="dxa"/>
            <w:vAlign w:val="center"/>
          </w:tcPr>
          <w:p>
            <w:pPr>
              <w:snapToGrid w:val="0"/>
              <w:jc w:val="center"/>
              <w:rPr>
                <w:rFonts w:hint="eastAsia" w:ascii="仿宋" w:hAnsi="仿宋" w:eastAsia="仿宋" w:cs="仿宋"/>
                <w:color w:val="auto"/>
                <w:sz w:val="28"/>
                <w:szCs w:val="28"/>
              </w:rPr>
            </w:pPr>
          </w:p>
        </w:tc>
        <w:tc>
          <w:tcPr>
            <w:tcW w:w="1125" w:type="dxa"/>
            <w:vAlign w:val="center"/>
          </w:tcPr>
          <w:p>
            <w:pPr>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1" w:hRule="atLeast"/>
          <w:jc w:val="center"/>
        </w:trPr>
        <w:tc>
          <w:tcPr>
            <w:tcW w:w="779" w:type="dxa"/>
            <w:vMerge w:val="continue"/>
            <w:vAlign w:val="center"/>
          </w:tcPr>
          <w:p>
            <w:pPr>
              <w:snapToGrid w:val="0"/>
              <w:jc w:val="center"/>
              <w:rPr>
                <w:rFonts w:hint="eastAsia" w:ascii="仿宋" w:hAnsi="仿宋" w:eastAsia="仿宋" w:cs="仿宋"/>
                <w:color w:val="auto"/>
                <w:sz w:val="28"/>
                <w:szCs w:val="28"/>
              </w:rPr>
            </w:pPr>
          </w:p>
        </w:tc>
        <w:tc>
          <w:tcPr>
            <w:tcW w:w="2759" w:type="dxa"/>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kern w:val="0"/>
                <w:sz w:val="24"/>
                <w:szCs w:val="24"/>
              </w:rPr>
              <w:t>发光仪</w:t>
            </w:r>
          </w:p>
        </w:tc>
        <w:tc>
          <w:tcPr>
            <w:tcW w:w="1706" w:type="dxa"/>
            <w:vAlign w:val="center"/>
          </w:tcPr>
          <w:p>
            <w:pPr>
              <w:snapToGrid w:val="0"/>
              <w:jc w:val="center"/>
              <w:rPr>
                <w:rFonts w:hint="eastAsia" w:ascii="仿宋" w:hAnsi="仿宋" w:eastAsia="仿宋" w:cs="仿宋"/>
                <w:color w:val="auto"/>
                <w:sz w:val="28"/>
                <w:szCs w:val="28"/>
              </w:rPr>
            </w:pPr>
          </w:p>
        </w:tc>
        <w:tc>
          <w:tcPr>
            <w:tcW w:w="956" w:type="dxa"/>
            <w:vAlign w:val="center"/>
          </w:tcPr>
          <w:p>
            <w:pPr>
              <w:snapToGrid w:val="0"/>
              <w:jc w:val="center"/>
              <w:rPr>
                <w:rFonts w:hint="eastAsia" w:ascii="仿宋" w:hAnsi="仿宋" w:eastAsia="仿宋" w:cs="仿宋"/>
                <w:color w:val="auto"/>
                <w:sz w:val="28"/>
                <w:szCs w:val="28"/>
              </w:rPr>
            </w:pPr>
          </w:p>
        </w:tc>
        <w:tc>
          <w:tcPr>
            <w:tcW w:w="3432" w:type="dxa"/>
            <w:vAlign w:val="center"/>
          </w:tcPr>
          <w:p>
            <w:pPr>
              <w:snapToGrid w:val="0"/>
              <w:jc w:val="center"/>
              <w:rPr>
                <w:rFonts w:hint="eastAsia" w:ascii="仿宋" w:hAnsi="仿宋" w:eastAsia="仿宋" w:cs="仿宋"/>
                <w:color w:val="auto"/>
                <w:sz w:val="28"/>
                <w:szCs w:val="28"/>
              </w:rPr>
            </w:pPr>
          </w:p>
        </w:tc>
        <w:tc>
          <w:tcPr>
            <w:tcW w:w="1425" w:type="dxa"/>
            <w:vAlign w:val="center"/>
          </w:tcPr>
          <w:p>
            <w:pPr>
              <w:snapToGrid w:val="0"/>
              <w:jc w:val="center"/>
              <w:rPr>
                <w:rFonts w:hint="eastAsia" w:ascii="仿宋" w:hAnsi="仿宋" w:eastAsia="仿宋" w:cs="仿宋"/>
                <w:color w:val="auto"/>
                <w:sz w:val="28"/>
                <w:szCs w:val="28"/>
              </w:rPr>
            </w:pPr>
          </w:p>
        </w:tc>
        <w:tc>
          <w:tcPr>
            <w:tcW w:w="1489" w:type="dxa"/>
            <w:vAlign w:val="center"/>
          </w:tcPr>
          <w:p>
            <w:pPr>
              <w:snapToGrid w:val="0"/>
              <w:jc w:val="center"/>
              <w:rPr>
                <w:rFonts w:hint="eastAsia" w:ascii="仿宋" w:hAnsi="仿宋" w:eastAsia="仿宋" w:cs="仿宋"/>
                <w:color w:val="auto"/>
                <w:sz w:val="28"/>
                <w:szCs w:val="28"/>
              </w:rPr>
            </w:pPr>
          </w:p>
        </w:tc>
        <w:tc>
          <w:tcPr>
            <w:tcW w:w="1335" w:type="dxa"/>
            <w:vAlign w:val="center"/>
          </w:tcPr>
          <w:p>
            <w:pPr>
              <w:snapToGrid w:val="0"/>
              <w:jc w:val="center"/>
              <w:rPr>
                <w:rFonts w:hint="eastAsia" w:ascii="仿宋" w:hAnsi="仿宋" w:eastAsia="仿宋" w:cs="仿宋"/>
                <w:color w:val="auto"/>
                <w:sz w:val="28"/>
                <w:szCs w:val="28"/>
              </w:rPr>
            </w:pPr>
          </w:p>
        </w:tc>
        <w:tc>
          <w:tcPr>
            <w:tcW w:w="1125" w:type="dxa"/>
            <w:vAlign w:val="center"/>
          </w:tcPr>
          <w:p>
            <w:pPr>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7" w:hRule="atLeast"/>
          <w:jc w:val="center"/>
        </w:trPr>
        <w:tc>
          <w:tcPr>
            <w:tcW w:w="779" w:type="dxa"/>
            <w:vMerge w:val="continue"/>
            <w:vAlign w:val="center"/>
          </w:tcPr>
          <w:p>
            <w:pPr>
              <w:snapToGrid w:val="0"/>
              <w:jc w:val="center"/>
              <w:rPr>
                <w:rFonts w:hint="eastAsia" w:ascii="仿宋" w:hAnsi="仿宋" w:eastAsia="仿宋" w:cs="仿宋"/>
                <w:color w:val="auto"/>
                <w:sz w:val="28"/>
                <w:szCs w:val="28"/>
              </w:rPr>
            </w:pPr>
          </w:p>
        </w:tc>
        <w:tc>
          <w:tcPr>
            <w:tcW w:w="2759" w:type="dxa"/>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kern w:val="0"/>
                <w:sz w:val="24"/>
                <w:szCs w:val="24"/>
              </w:rPr>
              <w:t>全自动血细胞分析仪</w:t>
            </w:r>
          </w:p>
        </w:tc>
        <w:tc>
          <w:tcPr>
            <w:tcW w:w="1706" w:type="dxa"/>
            <w:vAlign w:val="center"/>
          </w:tcPr>
          <w:p>
            <w:pPr>
              <w:snapToGrid w:val="0"/>
              <w:jc w:val="center"/>
              <w:rPr>
                <w:rFonts w:hint="eastAsia" w:ascii="仿宋" w:hAnsi="仿宋" w:eastAsia="仿宋" w:cs="仿宋"/>
                <w:color w:val="auto"/>
                <w:sz w:val="28"/>
                <w:szCs w:val="28"/>
              </w:rPr>
            </w:pPr>
          </w:p>
        </w:tc>
        <w:tc>
          <w:tcPr>
            <w:tcW w:w="956" w:type="dxa"/>
            <w:vAlign w:val="center"/>
          </w:tcPr>
          <w:p>
            <w:pPr>
              <w:snapToGrid w:val="0"/>
              <w:jc w:val="center"/>
              <w:rPr>
                <w:rFonts w:hint="eastAsia" w:ascii="仿宋" w:hAnsi="仿宋" w:eastAsia="仿宋" w:cs="仿宋"/>
                <w:color w:val="auto"/>
                <w:sz w:val="28"/>
                <w:szCs w:val="28"/>
              </w:rPr>
            </w:pPr>
          </w:p>
        </w:tc>
        <w:tc>
          <w:tcPr>
            <w:tcW w:w="3432" w:type="dxa"/>
            <w:vAlign w:val="center"/>
          </w:tcPr>
          <w:p>
            <w:pPr>
              <w:snapToGrid w:val="0"/>
              <w:jc w:val="center"/>
              <w:rPr>
                <w:rFonts w:hint="eastAsia" w:ascii="仿宋" w:hAnsi="仿宋" w:eastAsia="仿宋" w:cs="仿宋"/>
                <w:color w:val="auto"/>
                <w:sz w:val="28"/>
                <w:szCs w:val="28"/>
              </w:rPr>
            </w:pPr>
          </w:p>
        </w:tc>
        <w:tc>
          <w:tcPr>
            <w:tcW w:w="1425" w:type="dxa"/>
            <w:vAlign w:val="center"/>
          </w:tcPr>
          <w:p>
            <w:pPr>
              <w:snapToGrid w:val="0"/>
              <w:jc w:val="center"/>
              <w:rPr>
                <w:rFonts w:hint="eastAsia" w:ascii="仿宋" w:hAnsi="仿宋" w:eastAsia="仿宋" w:cs="仿宋"/>
                <w:color w:val="auto"/>
                <w:sz w:val="28"/>
                <w:szCs w:val="28"/>
              </w:rPr>
            </w:pPr>
          </w:p>
        </w:tc>
        <w:tc>
          <w:tcPr>
            <w:tcW w:w="1489" w:type="dxa"/>
            <w:vAlign w:val="center"/>
          </w:tcPr>
          <w:p>
            <w:pPr>
              <w:snapToGrid w:val="0"/>
              <w:jc w:val="center"/>
              <w:rPr>
                <w:rFonts w:hint="eastAsia" w:ascii="仿宋" w:hAnsi="仿宋" w:eastAsia="仿宋" w:cs="仿宋"/>
                <w:color w:val="auto"/>
                <w:sz w:val="28"/>
                <w:szCs w:val="28"/>
              </w:rPr>
            </w:pPr>
          </w:p>
        </w:tc>
        <w:tc>
          <w:tcPr>
            <w:tcW w:w="1335" w:type="dxa"/>
            <w:vAlign w:val="center"/>
          </w:tcPr>
          <w:p>
            <w:pPr>
              <w:snapToGrid w:val="0"/>
              <w:jc w:val="center"/>
              <w:rPr>
                <w:rFonts w:hint="eastAsia" w:ascii="仿宋" w:hAnsi="仿宋" w:eastAsia="仿宋" w:cs="仿宋"/>
                <w:color w:val="auto"/>
                <w:sz w:val="28"/>
                <w:szCs w:val="28"/>
              </w:rPr>
            </w:pPr>
          </w:p>
        </w:tc>
        <w:tc>
          <w:tcPr>
            <w:tcW w:w="1125" w:type="dxa"/>
            <w:vAlign w:val="center"/>
          </w:tcPr>
          <w:p>
            <w:pPr>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5" w:hRule="atLeast"/>
          <w:jc w:val="center"/>
        </w:trPr>
        <w:tc>
          <w:tcPr>
            <w:tcW w:w="3538" w:type="dxa"/>
            <w:gridSpan w:val="2"/>
            <w:vAlign w:val="center"/>
          </w:tcPr>
          <w:p>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投标总价</w:t>
            </w:r>
          </w:p>
        </w:tc>
        <w:tc>
          <w:tcPr>
            <w:tcW w:w="11468" w:type="dxa"/>
            <w:gridSpan w:val="7"/>
            <w:vAlign w:val="center"/>
          </w:tcPr>
          <w:p>
            <w:pPr>
              <w:snapToGrid w:val="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小写：                             大写： </w:t>
            </w:r>
          </w:p>
        </w:tc>
      </w:tr>
    </w:tbl>
    <w:p>
      <w:pPr>
        <w:ind w:firstLine="480"/>
        <w:rPr>
          <w:rFonts w:hint="eastAsia" w:ascii="仿宋" w:hAnsi="仿宋" w:eastAsia="仿宋" w:cs="仿宋"/>
          <w:color w:val="auto"/>
          <w:sz w:val="24"/>
          <w:szCs w:val="24"/>
        </w:rPr>
      </w:pPr>
    </w:p>
    <w:p>
      <w:pPr>
        <w:spacing w:line="400" w:lineRule="exact"/>
        <w:ind w:firstLine="551" w:firstLineChars="196"/>
        <w:rPr>
          <w:rFonts w:hint="eastAsia" w:ascii="仿宋" w:hAnsi="仿宋" w:eastAsia="仿宋" w:cs="仿宋"/>
          <w:b/>
          <w:bCs/>
          <w:color w:val="auto"/>
          <w:sz w:val="28"/>
        </w:rPr>
      </w:pPr>
      <w:r>
        <w:rPr>
          <w:rFonts w:hint="eastAsia" w:ascii="仿宋" w:hAnsi="仿宋" w:eastAsia="仿宋" w:cs="仿宋"/>
          <w:b/>
          <w:bCs/>
          <w:color w:val="auto"/>
          <w:sz w:val="28"/>
        </w:rPr>
        <w:t>注：1、请单独封装一份在信袋内。</w:t>
      </w:r>
    </w:p>
    <w:p>
      <w:pPr>
        <w:spacing w:line="400" w:lineRule="exact"/>
        <w:ind w:firstLine="562"/>
        <w:rPr>
          <w:rFonts w:hint="eastAsia" w:ascii="仿宋" w:hAnsi="仿宋" w:eastAsia="仿宋" w:cs="仿宋"/>
          <w:b/>
          <w:color w:val="auto"/>
          <w:sz w:val="28"/>
        </w:rPr>
      </w:pPr>
      <w:r>
        <w:rPr>
          <w:rFonts w:hint="eastAsia" w:ascii="仿宋" w:hAnsi="仿宋" w:eastAsia="仿宋" w:cs="仿宋"/>
          <w:b/>
          <w:color w:val="auto"/>
          <w:sz w:val="28"/>
        </w:rPr>
        <w:t xml:space="preserve">    2、在开标一览表中，按第二章投标须知10.2条款的规定不允许出现两种报价，否则其投标将被拒绝。</w:t>
      </w:r>
    </w:p>
    <w:p>
      <w:pPr>
        <w:spacing w:line="400" w:lineRule="exact"/>
        <w:ind w:firstLine="562"/>
        <w:rPr>
          <w:rFonts w:hint="eastAsia" w:ascii="仿宋" w:hAnsi="仿宋" w:eastAsia="仿宋" w:cs="仿宋"/>
          <w:b/>
          <w:color w:val="auto"/>
          <w:sz w:val="28"/>
        </w:rPr>
      </w:pPr>
      <w:r>
        <w:rPr>
          <w:rFonts w:hint="eastAsia" w:ascii="仿宋" w:hAnsi="仿宋" w:eastAsia="仿宋" w:cs="仿宋"/>
          <w:b/>
          <w:color w:val="auto"/>
          <w:sz w:val="28"/>
        </w:rPr>
        <w:t xml:space="preserve">    3、详细清单参照附件七自制。</w:t>
      </w:r>
    </w:p>
    <w:p>
      <w:pPr>
        <w:spacing w:line="400" w:lineRule="exact"/>
        <w:ind w:firstLine="562"/>
        <w:rPr>
          <w:rFonts w:hint="eastAsia" w:ascii="仿宋" w:hAnsi="仿宋" w:eastAsia="仿宋" w:cs="仿宋"/>
          <w:b/>
          <w:color w:val="auto"/>
          <w:sz w:val="28"/>
        </w:rPr>
      </w:pPr>
    </w:p>
    <w:p>
      <w:pPr>
        <w:spacing w:line="400" w:lineRule="exact"/>
        <w:ind w:firstLine="562"/>
        <w:rPr>
          <w:rFonts w:hint="eastAsia" w:ascii="仿宋" w:hAnsi="仿宋" w:eastAsia="仿宋" w:cs="仿宋"/>
          <w:b/>
          <w:color w:val="auto"/>
          <w:sz w:val="28"/>
        </w:rPr>
      </w:pPr>
    </w:p>
    <w:p>
      <w:pPr>
        <w:ind w:firstLine="537" w:firstLineChars="192"/>
        <w:rPr>
          <w:rFonts w:hint="eastAsia" w:ascii="仿宋" w:hAnsi="仿宋" w:eastAsia="仿宋" w:cs="仿宋"/>
          <w:b/>
          <w:color w:val="auto"/>
          <w:sz w:val="28"/>
        </w:rPr>
      </w:pPr>
      <w:r>
        <w:rPr>
          <w:rFonts w:hint="eastAsia" w:ascii="仿宋" w:hAnsi="仿宋" w:eastAsia="仿宋" w:cs="仿宋"/>
          <w:color w:val="auto"/>
          <w:sz w:val="28"/>
          <w:szCs w:val="28"/>
        </w:rPr>
        <w:t>投标单位授权代表签字：                                             投标单位公章：</w:t>
      </w:r>
    </w:p>
    <w:p>
      <w:pPr>
        <w:spacing w:line="400" w:lineRule="exact"/>
        <w:ind w:right="560"/>
        <w:jc w:val="right"/>
        <w:rPr>
          <w:rFonts w:hint="eastAsia" w:ascii="仿宋" w:hAnsi="仿宋" w:eastAsia="仿宋" w:cs="仿宋"/>
          <w:color w:val="auto"/>
          <w:sz w:val="28"/>
        </w:rPr>
      </w:pPr>
    </w:p>
    <w:p>
      <w:pPr>
        <w:spacing w:line="400" w:lineRule="exact"/>
        <w:ind w:right="560"/>
        <w:jc w:val="right"/>
        <w:rPr>
          <w:rFonts w:hint="eastAsia" w:ascii="仿宋" w:hAnsi="仿宋" w:eastAsia="仿宋" w:cs="仿宋"/>
          <w:color w:val="auto"/>
          <w:sz w:val="28"/>
        </w:rPr>
      </w:pPr>
      <w:r>
        <w:rPr>
          <w:rFonts w:hint="eastAsia" w:ascii="仿宋" w:hAnsi="仿宋" w:eastAsia="仿宋" w:cs="仿宋"/>
          <w:color w:val="auto"/>
          <w:sz w:val="28"/>
        </w:rPr>
        <w:t>附件七</w:t>
      </w:r>
    </w:p>
    <w:p>
      <w:pPr>
        <w:tabs>
          <w:tab w:val="center" w:pos="7115"/>
          <w:tab w:val="right" w:pos="14230"/>
        </w:tabs>
        <w:ind w:firstLine="723"/>
        <w:jc w:val="center"/>
        <w:rPr>
          <w:rFonts w:hint="eastAsia" w:ascii="仿宋" w:hAnsi="仿宋" w:eastAsia="仿宋" w:cs="仿宋"/>
          <w:b/>
          <w:color w:val="auto"/>
          <w:sz w:val="36"/>
        </w:rPr>
      </w:pPr>
      <w:r>
        <w:rPr>
          <w:rFonts w:hint="eastAsia" w:ascii="仿宋" w:hAnsi="仿宋" w:eastAsia="仿宋" w:cs="仿宋"/>
          <w:b/>
          <w:color w:val="auto"/>
          <w:sz w:val="36"/>
        </w:rPr>
        <w:t>投标产品名称、数量、规格明细报价表</w:t>
      </w:r>
    </w:p>
    <w:p>
      <w:pPr>
        <w:pStyle w:val="25"/>
        <w:spacing w:after="156" w:afterLines="50"/>
        <w:ind w:firstLine="560"/>
        <w:rPr>
          <w:rFonts w:hint="eastAsia" w:ascii="仿宋" w:hAnsi="仿宋" w:eastAsia="仿宋" w:cs="仿宋"/>
          <w:color w:val="auto"/>
          <w:sz w:val="44"/>
          <w:lang w:eastAsia="zh-CN"/>
        </w:rPr>
      </w:pPr>
      <w:r>
        <w:rPr>
          <w:rFonts w:hint="eastAsia" w:ascii="仿宋" w:hAnsi="仿宋" w:eastAsia="仿宋" w:cs="仿宋"/>
          <w:color w:val="auto"/>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s="仿宋"/>
          <w:color w:val="auto"/>
          <w:lang w:val="en-US" w:eastAsia="zh-CN"/>
        </w:rPr>
        <w:t>项目</w:t>
      </w:r>
      <w:r>
        <w:rPr>
          <w:rFonts w:hint="eastAsia" w:ascii="仿宋" w:hAnsi="仿宋" w:eastAsia="仿宋" w:cs="仿宋"/>
          <w:color w:val="auto"/>
          <w:szCs w:val="28"/>
        </w:rPr>
        <w:t>编号：</w:t>
      </w:r>
    </w:p>
    <w:tbl>
      <w:tblPr>
        <w:tblStyle w:val="20"/>
        <w:tblW w:w="1412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90"/>
        <w:gridCol w:w="1417"/>
        <w:gridCol w:w="1985"/>
        <w:gridCol w:w="1403"/>
        <w:gridCol w:w="1635"/>
        <w:gridCol w:w="21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883"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3190" w:type="dxa"/>
            <w:vAlign w:val="center"/>
          </w:tcPr>
          <w:p>
            <w:pPr>
              <w:spacing w:line="420" w:lineRule="exact"/>
              <w:ind w:firstLine="480"/>
              <w:jc w:val="center"/>
              <w:rPr>
                <w:rFonts w:hint="eastAsia" w:ascii="仿宋" w:hAnsi="仿宋" w:eastAsia="仿宋" w:cs="仿宋"/>
                <w:color w:val="auto"/>
                <w:sz w:val="24"/>
              </w:rPr>
            </w:pPr>
            <w:r>
              <w:rPr>
                <w:rFonts w:hint="eastAsia" w:ascii="仿宋" w:hAnsi="仿宋" w:eastAsia="仿宋" w:cs="仿宋"/>
                <w:color w:val="auto"/>
                <w:sz w:val="24"/>
              </w:rPr>
              <w:t>名 称</w:t>
            </w:r>
          </w:p>
        </w:tc>
        <w:tc>
          <w:tcPr>
            <w:tcW w:w="1417" w:type="dxa"/>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1985"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数量（标明单位）</w:t>
            </w:r>
          </w:p>
        </w:tc>
        <w:tc>
          <w:tcPr>
            <w:tcW w:w="1403"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单价（元）</w:t>
            </w:r>
          </w:p>
        </w:tc>
        <w:tc>
          <w:tcPr>
            <w:tcW w:w="1635"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总价（元）</w:t>
            </w:r>
          </w:p>
        </w:tc>
        <w:tc>
          <w:tcPr>
            <w:tcW w:w="2160"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生产厂家及品牌</w:t>
            </w:r>
          </w:p>
        </w:tc>
        <w:tc>
          <w:tcPr>
            <w:tcW w:w="1454" w:type="dxa"/>
            <w:vAlign w:val="center"/>
          </w:tcPr>
          <w:p>
            <w:pPr>
              <w:spacing w:line="42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190"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（所投的全部货物内容）</w:t>
            </w:r>
          </w:p>
        </w:tc>
        <w:tc>
          <w:tcPr>
            <w:tcW w:w="1417" w:type="dxa"/>
            <w:vAlign w:val="center"/>
          </w:tcPr>
          <w:p>
            <w:pPr>
              <w:spacing w:line="420" w:lineRule="exact"/>
              <w:ind w:firstLine="480"/>
              <w:jc w:val="center"/>
              <w:rPr>
                <w:rFonts w:hint="eastAsia" w:ascii="仿宋" w:hAnsi="仿宋" w:eastAsia="仿宋" w:cs="仿宋"/>
                <w:color w:val="auto"/>
                <w:sz w:val="24"/>
              </w:rPr>
            </w:pPr>
          </w:p>
        </w:tc>
        <w:tc>
          <w:tcPr>
            <w:tcW w:w="1985" w:type="dxa"/>
            <w:vAlign w:val="center"/>
          </w:tcPr>
          <w:p>
            <w:pPr>
              <w:spacing w:line="420" w:lineRule="exact"/>
              <w:ind w:firstLine="480"/>
              <w:jc w:val="center"/>
              <w:rPr>
                <w:rFonts w:hint="eastAsia" w:ascii="仿宋" w:hAnsi="仿宋" w:eastAsia="仿宋" w:cs="仿宋"/>
                <w:color w:val="auto"/>
                <w:sz w:val="24"/>
              </w:rPr>
            </w:pPr>
          </w:p>
        </w:tc>
        <w:tc>
          <w:tcPr>
            <w:tcW w:w="1403" w:type="dxa"/>
            <w:vAlign w:val="center"/>
          </w:tcPr>
          <w:p>
            <w:pPr>
              <w:spacing w:line="420" w:lineRule="exact"/>
              <w:ind w:firstLine="480"/>
              <w:jc w:val="center"/>
              <w:rPr>
                <w:rFonts w:hint="eastAsia" w:ascii="仿宋" w:hAnsi="仿宋" w:eastAsia="仿宋" w:cs="仿宋"/>
                <w:color w:val="auto"/>
                <w:sz w:val="24"/>
              </w:rPr>
            </w:pPr>
          </w:p>
        </w:tc>
        <w:tc>
          <w:tcPr>
            <w:tcW w:w="1635" w:type="dxa"/>
            <w:vAlign w:val="center"/>
          </w:tcPr>
          <w:p>
            <w:pPr>
              <w:spacing w:line="420" w:lineRule="exact"/>
              <w:ind w:firstLine="480"/>
              <w:jc w:val="center"/>
              <w:rPr>
                <w:rFonts w:hint="eastAsia" w:ascii="仿宋" w:hAnsi="仿宋" w:eastAsia="仿宋" w:cs="仿宋"/>
                <w:color w:val="auto"/>
                <w:sz w:val="24"/>
              </w:rPr>
            </w:pPr>
          </w:p>
        </w:tc>
        <w:tc>
          <w:tcPr>
            <w:tcW w:w="2160" w:type="dxa"/>
            <w:vAlign w:val="center"/>
          </w:tcPr>
          <w:p>
            <w:pPr>
              <w:spacing w:line="420" w:lineRule="exact"/>
              <w:ind w:firstLine="480"/>
              <w:jc w:val="center"/>
              <w:rPr>
                <w:rFonts w:hint="eastAsia" w:ascii="仿宋" w:hAnsi="仿宋" w:eastAsia="仿宋" w:cs="仿宋"/>
                <w:color w:val="auto"/>
                <w:sz w:val="24"/>
              </w:rPr>
            </w:pPr>
          </w:p>
        </w:tc>
        <w:tc>
          <w:tcPr>
            <w:tcW w:w="1454" w:type="dxa"/>
            <w:vAlign w:val="center"/>
          </w:tcPr>
          <w:p>
            <w:pPr>
              <w:spacing w:line="420" w:lineRule="exact"/>
              <w:ind w:firstLine="4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190" w:type="dxa"/>
            <w:vAlign w:val="center"/>
          </w:tcPr>
          <w:p>
            <w:pPr>
              <w:spacing w:line="420" w:lineRule="exact"/>
              <w:ind w:firstLine="480"/>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pacing w:line="420" w:lineRule="exact"/>
              <w:ind w:firstLine="480"/>
              <w:jc w:val="center"/>
              <w:rPr>
                <w:rFonts w:hint="eastAsia" w:ascii="仿宋" w:hAnsi="仿宋" w:eastAsia="仿宋" w:cs="仿宋"/>
                <w:color w:val="auto"/>
                <w:sz w:val="24"/>
              </w:rPr>
            </w:pPr>
          </w:p>
        </w:tc>
        <w:tc>
          <w:tcPr>
            <w:tcW w:w="1985" w:type="dxa"/>
            <w:vAlign w:val="center"/>
          </w:tcPr>
          <w:p>
            <w:pPr>
              <w:spacing w:line="420" w:lineRule="exact"/>
              <w:ind w:firstLine="480"/>
              <w:jc w:val="center"/>
              <w:rPr>
                <w:rFonts w:hint="eastAsia" w:ascii="仿宋" w:hAnsi="仿宋" w:eastAsia="仿宋" w:cs="仿宋"/>
                <w:color w:val="auto"/>
                <w:sz w:val="24"/>
              </w:rPr>
            </w:pPr>
          </w:p>
        </w:tc>
        <w:tc>
          <w:tcPr>
            <w:tcW w:w="1403" w:type="dxa"/>
            <w:vAlign w:val="center"/>
          </w:tcPr>
          <w:p>
            <w:pPr>
              <w:spacing w:line="420" w:lineRule="exact"/>
              <w:ind w:firstLine="480"/>
              <w:jc w:val="center"/>
              <w:rPr>
                <w:rFonts w:hint="eastAsia" w:ascii="仿宋" w:hAnsi="仿宋" w:eastAsia="仿宋" w:cs="仿宋"/>
                <w:color w:val="auto"/>
                <w:sz w:val="24"/>
              </w:rPr>
            </w:pPr>
          </w:p>
        </w:tc>
        <w:tc>
          <w:tcPr>
            <w:tcW w:w="1635" w:type="dxa"/>
            <w:vAlign w:val="center"/>
          </w:tcPr>
          <w:p>
            <w:pPr>
              <w:spacing w:line="420" w:lineRule="exact"/>
              <w:ind w:firstLine="480"/>
              <w:jc w:val="center"/>
              <w:rPr>
                <w:rFonts w:hint="eastAsia" w:ascii="仿宋" w:hAnsi="仿宋" w:eastAsia="仿宋" w:cs="仿宋"/>
                <w:color w:val="auto"/>
                <w:sz w:val="24"/>
              </w:rPr>
            </w:pPr>
          </w:p>
        </w:tc>
        <w:tc>
          <w:tcPr>
            <w:tcW w:w="2160" w:type="dxa"/>
            <w:vAlign w:val="center"/>
          </w:tcPr>
          <w:p>
            <w:pPr>
              <w:spacing w:line="420" w:lineRule="exact"/>
              <w:ind w:firstLine="480"/>
              <w:jc w:val="center"/>
              <w:rPr>
                <w:rFonts w:hint="eastAsia" w:ascii="仿宋" w:hAnsi="仿宋" w:eastAsia="仿宋" w:cs="仿宋"/>
                <w:color w:val="auto"/>
                <w:sz w:val="24"/>
              </w:rPr>
            </w:pPr>
          </w:p>
        </w:tc>
        <w:tc>
          <w:tcPr>
            <w:tcW w:w="1454" w:type="dxa"/>
            <w:vAlign w:val="center"/>
          </w:tcPr>
          <w:p>
            <w:pPr>
              <w:spacing w:line="420" w:lineRule="exact"/>
              <w:ind w:firstLine="4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3190" w:type="dxa"/>
            <w:vAlign w:val="center"/>
          </w:tcPr>
          <w:p>
            <w:pPr>
              <w:spacing w:line="420" w:lineRule="exact"/>
              <w:ind w:firstLine="480"/>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pacing w:line="420" w:lineRule="exact"/>
              <w:ind w:firstLine="480"/>
              <w:jc w:val="center"/>
              <w:rPr>
                <w:rFonts w:hint="eastAsia" w:ascii="仿宋" w:hAnsi="仿宋" w:eastAsia="仿宋" w:cs="仿宋"/>
                <w:color w:val="auto"/>
                <w:sz w:val="24"/>
              </w:rPr>
            </w:pPr>
          </w:p>
        </w:tc>
        <w:tc>
          <w:tcPr>
            <w:tcW w:w="1985" w:type="dxa"/>
            <w:vAlign w:val="center"/>
          </w:tcPr>
          <w:p>
            <w:pPr>
              <w:spacing w:line="420" w:lineRule="exact"/>
              <w:ind w:firstLine="480"/>
              <w:jc w:val="center"/>
              <w:rPr>
                <w:rFonts w:hint="eastAsia" w:ascii="仿宋" w:hAnsi="仿宋" w:eastAsia="仿宋" w:cs="仿宋"/>
                <w:color w:val="auto"/>
                <w:sz w:val="24"/>
              </w:rPr>
            </w:pPr>
          </w:p>
        </w:tc>
        <w:tc>
          <w:tcPr>
            <w:tcW w:w="1403" w:type="dxa"/>
            <w:vAlign w:val="center"/>
          </w:tcPr>
          <w:p>
            <w:pPr>
              <w:spacing w:line="420" w:lineRule="exact"/>
              <w:ind w:firstLine="480"/>
              <w:jc w:val="center"/>
              <w:rPr>
                <w:rFonts w:hint="eastAsia" w:ascii="仿宋" w:hAnsi="仿宋" w:eastAsia="仿宋" w:cs="仿宋"/>
                <w:color w:val="auto"/>
                <w:sz w:val="24"/>
              </w:rPr>
            </w:pPr>
          </w:p>
        </w:tc>
        <w:tc>
          <w:tcPr>
            <w:tcW w:w="1635" w:type="dxa"/>
            <w:vAlign w:val="center"/>
          </w:tcPr>
          <w:p>
            <w:pPr>
              <w:spacing w:line="420" w:lineRule="exact"/>
              <w:ind w:firstLine="480"/>
              <w:jc w:val="center"/>
              <w:rPr>
                <w:rFonts w:hint="eastAsia" w:ascii="仿宋" w:hAnsi="仿宋" w:eastAsia="仿宋" w:cs="仿宋"/>
                <w:color w:val="auto"/>
                <w:sz w:val="24"/>
              </w:rPr>
            </w:pPr>
          </w:p>
        </w:tc>
        <w:tc>
          <w:tcPr>
            <w:tcW w:w="2160" w:type="dxa"/>
            <w:vAlign w:val="center"/>
          </w:tcPr>
          <w:p>
            <w:pPr>
              <w:spacing w:line="420" w:lineRule="exact"/>
              <w:ind w:firstLine="480"/>
              <w:jc w:val="center"/>
              <w:rPr>
                <w:rFonts w:hint="eastAsia" w:ascii="仿宋" w:hAnsi="仿宋" w:eastAsia="仿宋" w:cs="仿宋"/>
                <w:color w:val="auto"/>
                <w:sz w:val="24"/>
              </w:rPr>
            </w:pPr>
          </w:p>
        </w:tc>
        <w:tc>
          <w:tcPr>
            <w:tcW w:w="1454" w:type="dxa"/>
            <w:vAlign w:val="center"/>
          </w:tcPr>
          <w:p>
            <w:pPr>
              <w:spacing w:line="420" w:lineRule="exact"/>
              <w:ind w:firstLine="4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3190" w:type="dxa"/>
            <w:vAlign w:val="center"/>
          </w:tcPr>
          <w:p>
            <w:pPr>
              <w:spacing w:line="420" w:lineRule="exact"/>
              <w:ind w:firstLine="480"/>
              <w:jc w:val="center"/>
              <w:rPr>
                <w:rFonts w:hint="eastAsia" w:ascii="仿宋" w:hAnsi="仿宋" w:eastAsia="仿宋" w:cs="仿宋"/>
                <w:color w:val="auto"/>
                <w:sz w:val="24"/>
              </w:rPr>
            </w:pPr>
            <w:r>
              <w:rPr>
                <w:rFonts w:hint="eastAsia" w:ascii="仿宋" w:hAnsi="仿宋" w:eastAsia="仿宋" w:cs="仿宋"/>
                <w:color w:val="auto"/>
                <w:sz w:val="24"/>
              </w:rPr>
              <w:t>备品备件</w:t>
            </w:r>
          </w:p>
        </w:tc>
        <w:tc>
          <w:tcPr>
            <w:tcW w:w="10054" w:type="dxa"/>
            <w:gridSpan w:val="6"/>
            <w:vAlign w:val="center"/>
          </w:tcPr>
          <w:p>
            <w:pPr>
              <w:spacing w:line="420" w:lineRule="exact"/>
              <w:ind w:firstLine="4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3190" w:type="dxa"/>
            <w:vAlign w:val="center"/>
          </w:tcPr>
          <w:p>
            <w:pPr>
              <w:spacing w:line="420" w:lineRule="exact"/>
              <w:ind w:firstLine="480"/>
              <w:jc w:val="center"/>
              <w:rPr>
                <w:rFonts w:hint="eastAsia" w:ascii="仿宋" w:hAnsi="仿宋" w:eastAsia="仿宋" w:cs="仿宋"/>
                <w:color w:val="auto"/>
                <w:sz w:val="24"/>
              </w:rPr>
            </w:pPr>
            <w:r>
              <w:rPr>
                <w:rFonts w:hint="eastAsia" w:ascii="仿宋" w:hAnsi="仿宋" w:eastAsia="仿宋" w:cs="仿宋"/>
                <w:color w:val="auto"/>
                <w:sz w:val="24"/>
              </w:rPr>
              <w:t>专用工具</w:t>
            </w:r>
          </w:p>
        </w:tc>
        <w:tc>
          <w:tcPr>
            <w:tcW w:w="10054" w:type="dxa"/>
            <w:gridSpan w:val="6"/>
            <w:vAlign w:val="center"/>
          </w:tcPr>
          <w:p>
            <w:pPr>
              <w:spacing w:line="420" w:lineRule="exact"/>
              <w:ind w:firstLine="4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8</w:t>
            </w:r>
          </w:p>
        </w:tc>
        <w:tc>
          <w:tcPr>
            <w:tcW w:w="3190" w:type="dxa"/>
            <w:vAlign w:val="center"/>
          </w:tcPr>
          <w:p>
            <w:pPr>
              <w:spacing w:line="420" w:lineRule="exact"/>
              <w:ind w:firstLine="480"/>
              <w:jc w:val="center"/>
              <w:rPr>
                <w:rFonts w:hint="eastAsia" w:ascii="仿宋" w:hAnsi="仿宋" w:eastAsia="仿宋" w:cs="仿宋"/>
                <w:color w:val="auto"/>
                <w:sz w:val="24"/>
              </w:rPr>
            </w:pPr>
            <w:r>
              <w:rPr>
                <w:rFonts w:hint="eastAsia" w:ascii="仿宋" w:hAnsi="仿宋" w:eastAsia="仿宋" w:cs="仿宋"/>
                <w:color w:val="auto"/>
                <w:sz w:val="24"/>
              </w:rPr>
              <w:t>安装调试费</w:t>
            </w:r>
          </w:p>
        </w:tc>
        <w:tc>
          <w:tcPr>
            <w:tcW w:w="10054" w:type="dxa"/>
            <w:gridSpan w:val="6"/>
            <w:vAlign w:val="center"/>
          </w:tcPr>
          <w:p>
            <w:pPr>
              <w:spacing w:line="420" w:lineRule="exact"/>
              <w:ind w:firstLine="4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9</w:t>
            </w:r>
          </w:p>
        </w:tc>
        <w:tc>
          <w:tcPr>
            <w:tcW w:w="3190" w:type="dxa"/>
            <w:vAlign w:val="center"/>
          </w:tcPr>
          <w:p>
            <w:pPr>
              <w:spacing w:line="420" w:lineRule="exact"/>
              <w:ind w:firstLine="480"/>
              <w:jc w:val="center"/>
              <w:rPr>
                <w:rFonts w:hint="eastAsia" w:ascii="仿宋" w:hAnsi="仿宋" w:eastAsia="仿宋" w:cs="仿宋"/>
                <w:color w:val="auto"/>
                <w:sz w:val="24"/>
              </w:rPr>
            </w:pPr>
            <w:r>
              <w:rPr>
                <w:rFonts w:hint="eastAsia" w:ascii="仿宋" w:hAnsi="仿宋" w:eastAsia="仿宋" w:cs="仿宋"/>
                <w:color w:val="auto"/>
                <w:sz w:val="24"/>
              </w:rPr>
              <w:t>运杂费</w:t>
            </w:r>
          </w:p>
        </w:tc>
        <w:tc>
          <w:tcPr>
            <w:tcW w:w="10054" w:type="dxa"/>
            <w:gridSpan w:val="6"/>
            <w:vAlign w:val="center"/>
          </w:tcPr>
          <w:p>
            <w:pPr>
              <w:spacing w:line="420" w:lineRule="exact"/>
              <w:ind w:firstLine="4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pPr>
              <w:spacing w:line="420" w:lineRule="exact"/>
              <w:jc w:val="center"/>
              <w:rPr>
                <w:rFonts w:hint="eastAsia" w:ascii="仿宋" w:hAnsi="仿宋" w:eastAsia="仿宋" w:cs="仿宋"/>
                <w:color w:val="auto"/>
                <w:sz w:val="24"/>
              </w:rPr>
            </w:pPr>
          </w:p>
        </w:tc>
        <w:tc>
          <w:tcPr>
            <w:tcW w:w="3190" w:type="dxa"/>
            <w:vAlign w:val="center"/>
          </w:tcPr>
          <w:p>
            <w:pPr>
              <w:spacing w:line="420" w:lineRule="exact"/>
              <w:ind w:firstLine="480"/>
              <w:jc w:val="center"/>
              <w:rPr>
                <w:rFonts w:hint="eastAsia" w:ascii="仿宋" w:hAnsi="仿宋" w:eastAsia="仿宋" w:cs="仿宋"/>
                <w:color w:val="auto"/>
                <w:sz w:val="24"/>
              </w:rPr>
            </w:pPr>
            <w:r>
              <w:rPr>
                <w:rFonts w:hint="eastAsia" w:ascii="仿宋" w:hAnsi="仿宋" w:eastAsia="仿宋" w:cs="仿宋"/>
                <w:color w:val="auto"/>
                <w:sz w:val="24"/>
              </w:rPr>
              <w:t>…</w:t>
            </w:r>
          </w:p>
        </w:tc>
        <w:tc>
          <w:tcPr>
            <w:tcW w:w="10054" w:type="dxa"/>
            <w:gridSpan w:val="6"/>
            <w:vAlign w:val="center"/>
          </w:tcPr>
          <w:p>
            <w:pPr>
              <w:spacing w:line="420" w:lineRule="exact"/>
              <w:ind w:firstLine="48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073" w:type="dxa"/>
            <w:gridSpan w:val="2"/>
            <w:vAlign w:val="center"/>
          </w:tcPr>
          <w:p>
            <w:pPr>
              <w:spacing w:line="420" w:lineRule="exact"/>
              <w:ind w:firstLine="480"/>
              <w:jc w:val="center"/>
              <w:rPr>
                <w:rFonts w:hint="eastAsia" w:ascii="仿宋" w:hAnsi="仿宋" w:eastAsia="仿宋" w:cs="仿宋"/>
                <w:color w:val="auto"/>
                <w:sz w:val="24"/>
              </w:rPr>
            </w:pPr>
            <w:r>
              <w:rPr>
                <w:rFonts w:hint="eastAsia" w:ascii="仿宋" w:hAnsi="仿宋" w:eastAsia="仿宋" w:cs="仿宋"/>
                <w:color w:val="auto"/>
                <w:sz w:val="24"/>
              </w:rPr>
              <w:t>合计总价（万元）</w:t>
            </w:r>
          </w:p>
        </w:tc>
        <w:tc>
          <w:tcPr>
            <w:tcW w:w="10054" w:type="dxa"/>
            <w:gridSpan w:val="6"/>
            <w:vAlign w:val="center"/>
          </w:tcPr>
          <w:p>
            <w:pPr>
              <w:spacing w:line="420" w:lineRule="exact"/>
              <w:ind w:firstLine="480"/>
              <w:jc w:val="center"/>
              <w:rPr>
                <w:rFonts w:hint="eastAsia" w:ascii="仿宋" w:hAnsi="仿宋" w:eastAsia="仿宋" w:cs="仿宋"/>
                <w:color w:val="auto"/>
                <w:sz w:val="24"/>
              </w:rPr>
            </w:pPr>
          </w:p>
        </w:tc>
      </w:tr>
    </w:tbl>
    <w:p>
      <w:pPr>
        <w:spacing w:before="156" w:beforeLines="50" w:line="460" w:lineRule="exact"/>
        <w:rPr>
          <w:rFonts w:hint="eastAsia" w:ascii="仿宋" w:hAnsi="仿宋" w:eastAsia="仿宋" w:cs="仿宋"/>
          <w:color w:val="auto"/>
          <w:sz w:val="28"/>
        </w:rPr>
      </w:pPr>
      <w:r>
        <w:rPr>
          <w:rFonts w:hint="eastAsia" w:ascii="仿宋" w:hAnsi="仿宋" w:eastAsia="仿宋" w:cs="仿宋"/>
          <w:b/>
          <w:color w:val="auto"/>
          <w:sz w:val="28"/>
        </w:rPr>
        <w:t>注</w:t>
      </w:r>
      <w:r>
        <w:rPr>
          <w:rFonts w:hint="eastAsia" w:ascii="仿宋" w:hAnsi="仿宋" w:eastAsia="仿宋" w:cs="仿宋"/>
          <w:color w:val="auto"/>
          <w:sz w:val="28"/>
        </w:rPr>
        <w:t>：1、如果按单价计算的结果与总价不一致，以单价为准修正总价。</w:t>
      </w:r>
    </w:p>
    <w:p>
      <w:pPr>
        <w:pStyle w:val="13"/>
        <w:spacing w:line="460" w:lineRule="exact"/>
        <w:ind w:right="-15" w:firstLine="562" w:firstLineChars="200"/>
        <w:rPr>
          <w:rFonts w:hint="eastAsia" w:ascii="仿宋" w:hAnsi="仿宋" w:eastAsia="仿宋" w:cs="仿宋"/>
          <w:b/>
          <w:color w:val="auto"/>
          <w:sz w:val="28"/>
        </w:rPr>
      </w:pPr>
      <w:r>
        <w:rPr>
          <w:rFonts w:hint="eastAsia" w:ascii="仿宋" w:hAnsi="仿宋" w:eastAsia="仿宋" w:cs="仿宋"/>
          <w:b/>
          <w:color w:val="auto"/>
          <w:sz w:val="28"/>
        </w:rPr>
        <w:t>2、供应商须参照第三章各包所列明的内容全部报价。如果不提供详细分项报价视为未实质性响应招标文件。</w:t>
      </w:r>
    </w:p>
    <w:p>
      <w:pPr>
        <w:pStyle w:val="13"/>
        <w:spacing w:line="460" w:lineRule="exact"/>
        <w:ind w:right="-15" w:firstLine="562" w:firstLineChars="200"/>
        <w:rPr>
          <w:rFonts w:hint="eastAsia" w:ascii="仿宋" w:hAnsi="仿宋" w:eastAsia="仿宋" w:cs="仿宋"/>
          <w:b/>
          <w:color w:val="auto"/>
          <w:sz w:val="28"/>
        </w:rPr>
      </w:pPr>
    </w:p>
    <w:p>
      <w:pPr>
        <w:pStyle w:val="13"/>
        <w:spacing w:line="460" w:lineRule="exact"/>
        <w:ind w:right="-15" w:firstLine="1120" w:firstLineChars="400"/>
        <w:rPr>
          <w:rFonts w:hint="eastAsia" w:ascii="仿宋" w:hAnsi="仿宋" w:eastAsia="仿宋" w:cs="仿宋"/>
          <w:color w:val="auto"/>
        </w:rPr>
      </w:pPr>
      <w:r>
        <w:rPr>
          <w:rFonts w:hint="eastAsia" w:ascii="仿宋" w:hAnsi="仿宋" w:eastAsia="仿宋" w:cs="仿宋"/>
          <w:color w:val="auto"/>
          <w:sz w:val="28"/>
        </w:rPr>
        <w:t xml:space="preserve">投标单位授权代表人签字：                                            投标单位公章：                          </w:t>
      </w:r>
      <w:r>
        <w:rPr>
          <w:rFonts w:hint="eastAsia" w:ascii="仿宋" w:hAnsi="仿宋" w:eastAsia="仿宋" w:cs="仿宋"/>
          <w:color w:val="auto"/>
        </w:rPr>
        <w:br w:type="page"/>
      </w:r>
      <w:r>
        <w:rPr>
          <w:rFonts w:hint="eastAsia" w:ascii="仿宋" w:hAnsi="仿宋" w:eastAsia="仿宋" w:cs="仿宋"/>
          <w:color w:val="auto"/>
          <w:sz w:val="28"/>
        </w:rPr>
        <w:t>附件八</w:t>
      </w:r>
    </w:p>
    <w:p>
      <w:pPr>
        <w:spacing w:line="360" w:lineRule="atLeast"/>
        <w:ind w:firstLine="723"/>
        <w:jc w:val="center"/>
        <w:rPr>
          <w:rFonts w:hint="eastAsia" w:ascii="仿宋" w:hAnsi="仿宋" w:eastAsia="仿宋" w:cs="仿宋"/>
          <w:color w:val="auto"/>
          <w:sz w:val="36"/>
        </w:rPr>
      </w:pPr>
      <w:r>
        <w:rPr>
          <w:rFonts w:hint="eastAsia" w:ascii="仿宋" w:hAnsi="仿宋" w:eastAsia="仿宋" w:cs="仿宋"/>
          <w:b/>
          <w:color w:val="auto"/>
          <w:sz w:val="36"/>
        </w:rPr>
        <w:t>技 术 规 格 偏 离 表</w:t>
      </w:r>
    </w:p>
    <w:p>
      <w:pPr>
        <w:spacing w:line="360" w:lineRule="atLeast"/>
        <w:ind w:firstLine="560"/>
        <w:jc w:val="distribute"/>
        <w:rPr>
          <w:rFonts w:hint="eastAsia" w:ascii="仿宋" w:hAnsi="仿宋" w:eastAsia="仿宋" w:cs="仿宋"/>
          <w:color w:val="auto"/>
          <w:sz w:val="28"/>
        </w:rPr>
      </w:pPr>
      <w:r>
        <w:rPr>
          <w:rFonts w:hint="eastAsia" w:ascii="仿宋" w:hAnsi="仿宋" w:eastAsia="仿宋" w:cs="仿宋"/>
          <w:color w:val="auto"/>
          <w:sz w:val="28"/>
          <w:lang w:val="en-US" w:eastAsia="zh-CN"/>
        </w:rPr>
        <w:t>项目</w:t>
      </w:r>
      <w:r>
        <w:rPr>
          <w:rFonts w:hint="eastAsia" w:ascii="仿宋" w:hAnsi="仿宋" w:eastAsia="仿宋" w:cs="仿宋"/>
          <w:color w:val="auto"/>
          <w:sz w:val="28"/>
        </w:rPr>
        <w:t>编号：                                                年     月    日</w:t>
      </w:r>
    </w:p>
    <w:tbl>
      <w:tblPr>
        <w:tblStyle w:val="20"/>
        <w:tblW w:w="0" w:type="auto"/>
        <w:jc w:val="center"/>
        <w:tblLayout w:type="fixed"/>
        <w:tblCellMar>
          <w:top w:w="0" w:type="dxa"/>
          <w:left w:w="108" w:type="dxa"/>
          <w:bottom w:w="0" w:type="dxa"/>
          <w:right w:w="108" w:type="dxa"/>
        </w:tblCellMar>
      </w:tblPr>
      <w:tblGrid>
        <w:gridCol w:w="918"/>
        <w:gridCol w:w="3762"/>
        <w:gridCol w:w="3865"/>
        <w:gridCol w:w="3060"/>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hint="eastAsia" w:ascii="仿宋" w:hAnsi="仿宋" w:eastAsia="仿宋" w:cs="仿宋"/>
                <w:color w:val="auto"/>
                <w:sz w:val="28"/>
              </w:rPr>
            </w:pPr>
            <w:r>
              <w:rPr>
                <w:rFonts w:hint="eastAsia" w:ascii="仿宋" w:hAnsi="仿宋" w:eastAsia="仿宋" w:cs="仿宋"/>
                <w:color w:val="auto"/>
                <w:sz w:val="28"/>
              </w:rPr>
              <w:t>序号</w:t>
            </w:r>
          </w:p>
        </w:tc>
        <w:tc>
          <w:tcPr>
            <w:tcW w:w="37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8"/>
              </w:rPr>
            </w:pPr>
            <w:r>
              <w:rPr>
                <w:rFonts w:hint="eastAsia" w:ascii="仿宋" w:hAnsi="仿宋" w:eastAsia="仿宋" w:cs="仿宋"/>
                <w:color w:val="auto"/>
                <w:sz w:val="28"/>
              </w:rPr>
              <w:t>招标规格</w:t>
            </w:r>
          </w:p>
        </w:tc>
        <w:tc>
          <w:tcPr>
            <w:tcW w:w="386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8"/>
              </w:rPr>
            </w:pPr>
            <w:r>
              <w:rPr>
                <w:rFonts w:hint="eastAsia" w:ascii="仿宋" w:hAnsi="仿宋" w:eastAsia="仿宋" w:cs="仿宋"/>
                <w:color w:val="auto"/>
                <w:sz w:val="28"/>
              </w:rPr>
              <w:t>投标规格</w:t>
            </w:r>
          </w:p>
        </w:tc>
        <w:tc>
          <w:tcPr>
            <w:tcW w:w="306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color w:val="auto"/>
                <w:sz w:val="28"/>
              </w:rPr>
            </w:pPr>
            <w:r>
              <w:rPr>
                <w:rFonts w:hint="eastAsia" w:ascii="仿宋" w:hAnsi="仿宋" w:eastAsia="仿宋" w:cs="仿宋"/>
                <w:color w:val="auto"/>
                <w:sz w:val="28"/>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color w:val="auto"/>
                <w:sz w:val="28"/>
              </w:rPr>
            </w:pPr>
            <w:r>
              <w:rPr>
                <w:rFonts w:hint="eastAsia" w:ascii="仿宋" w:hAnsi="仿宋" w:eastAsia="仿宋" w:cs="仿宋"/>
                <w:color w:val="auto"/>
                <w:sz w:val="28"/>
              </w:rPr>
              <w:t>响应/偏离</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bl>
    <w:p>
      <w:pPr>
        <w:ind w:firstLine="562"/>
        <w:rPr>
          <w:rFonts w:hint="eastAsia" w:ascii="仿宋" w:hAnsi="仿宋" w:eastAsia="仿宋" w:cs="仿宋"/>
          <w:b/>
          <w:color w:val="auto"/>
          <w:sz w:val="28"/>
        </w:rPr>
      </w:pPr>
      <w:r>
        <w:rPr>
          <w:rFonts w:hint="eastAsia" w:ascii="仿宋" w:hAnsi="仿宋" w:eastAsia="仿宋" w:cs="仿宋"/>
          <w:b/>
          <w:color w:val="auto"/>
          <w:sz w:val="28"/>
        </w:rPr>
        <w:t>（供应商须对第三章所有技术参数条款逐条列明是否响应，如有偏离，须一一列明）</w:t>
      </w:r>
    </w:p>
    <w:p>
      <w:pPr>
        <w:ind w:firstLine="562"/>
        <w:rPr>
          <w:rFonts w:hint="eastAsia" w:ascii="仿宋" w:hAnsi="仿宋" w:eastAsia="仿宋" w:cs="仿宋"/>
          <w:color w:val="auto"/>
          <w:kern w:val="0"/>
          <w:sz w:val="24"/>
        </w:rPr>
      </w:pPr>
    </w:p>
    <w:p>
      <w:pPr>
        <w:ind w:right="848"/>
        <w:jc w:val="right"/>
        <w:rPr>
          <w:rFonts w:hint="eastAsia" w:ascii="仿宋" w:hAnsi="仿宋" w:eastAsia="仿宋" w:cs="仿宋"/>
          <w:color w:val="auto"/>
          <w:sz w:val="28"/>
        </w:rPr>
      </w:pPr>
      <w:r>
        <w:rPr>
          <w:rFonts w:hint="eastAsia" w:ascii="仿宋" w:hAnsi="仿宋" w:eastAsia="仿宋" w:cs="仿宋"/>
          <w:color w:val="auto"/>
          <w:sz w:val="28"/>
        </w:rPr>
        <w:t>投标单位授权代表人签字：                                                  投标单位公章：</w:t>
      </w:r>
      <w:r>
        <w:rPr>
          <w:rFonts w:hint="eastAsia" w:ascii="仿宋" w:hAnsi="仿宋" w:eastAsia="仿宋" w:cs="仿宋"/>
          <w:b/>
          <w:color w:val="auto"/>
          <w:sz w:val="42"/>
        </w:rPr>
        <w:br w:type="page"/>
      </w:r>
      <w:r>
        <w:rPr>
          <w:rFonts w:hint="eastAsia" w:ascii="仿宋" w:hAnsi="仿宋" w:eastAsia="仿宋" w:cs="仿宋"/>
          <w:color w:val="auto"/>
          <w:sz w:val="28"/>
        </w:rPr>
        <w:t>附件九</w:t>
      </w:r>
    </w:p>
    <w:p>
      <w:pPr>
        <w:spacing w:line="360" w:lineRule="atLeast"/>
        <w:ind w:firstLine="723"/>
        <w:jc w:val="center"/>
        <w:rPr>
          <w:rFonts w:hint="eastAsia" w:ascii="仿宋" w:hAnsi="仿宋" w:eastAsia="仿宋" w:cs="仿宋"/>
          <w:color w:val="auto"/>
          <w:sz w:val="36"/>
        </w:rPr>
      </w:pPr>
      <w:r>
        <w:rPr>
          <w:rFonts w:hint="eastAsia" w:ascii="仿宋" w:hAnsi="仿宋" w:eastAsia="仿宋" w:cs="仿宋"/>
          <w:b/>
          <w:color w:val="auto"/>
          <w:sz w:val="36"/>
        </w:rPr>
        <w:t>商 务 条 款 偏 离 表</w:t>
      </w:r>
    </w:p>
    <w:p>
      <w:pPr>
        <w:spacing w:line="360" w:lineRule="atLeast"/>
        <w:ind w:right="352" w:firstLine="560"/>
        <w:jc w:val="distribute"/>
        <w:rPr>
          <w:rFonts w:hint="eastAsia" w:ascii="仿宋" w:hAnsi="仿宋" w:eastAsia="仿宋" w:cs="仿宋"/>
          <w:color w:val="auto"/>
          <w:sz w:val="28"/>
        </w:rPr>
      </w:pPr>
      <w:r>
        <w:rPr>
          <w:rFonts w:hint="eastAsia" w:ascii="仿宋" w:hAnsi="仿宋" w:eastAsia="仿宋" w:cs="仿宋"/>
          <w:color w:val="auto"/>
          <w:sz w:val="28"/>
          <w:lang w:val="en-US" w:eastAsia="zh-CN"/>
        </w:rPr>
        <w:t>项目</w:t>
      </w:r>
      <w:r>
        <w:rPr>
          <w:rFonts w:hint="eastAsia" w:ascii="仿宋" w:hAnsi="仿宋" w:eastAsia="仿宋" w:cs="仿宋"/>
          <w:color w:val="auto"/>
          <w:sz w:val="28"/>
        </w:rPr>
        <w:t xml:space="preserve">编号：                                                   年   月   日 </w:t>
      </w:r>
    </w:p>
    <w:tbl>
      <w:tblPr>
        <w:tblStyle w:val="20"/>
        <w:tblW w:w="0" w:type="auto"/>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140" w:firstLineChars="50"/>
              <w:rPr>
                <w:rFonts w:hint="eastAsia" w:ascii="仿宋" w:hAnsi="仿宋" w:eastAsia="仿宋" w:cs="仿宋"/>
                <w:color w:val="auto"/>
                <w:sz w:val="28"/>
              </w:rPr>
            </w:pPr>
            <w:r>
              <w:rPr>
                <w:rFonts w:hint="eastAsia" w:ascii="仿宋" w:hAnsi="仿宋" w:eastAsia="仿宋" w:cs="仿宋"/>
                <w:color w:val="auto"/>
                <w:sz w:val="28"/>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ind w:firstLine="280" w:firstLineChars="100"/>
              <w:rPr>
                <w:rFonts w:hint="eastAsia" w:ascii="仿宋" w:hAnsi="仿宋" w:eastAsia="仿宋" w:cs="仿宋"/>
                <w:color w:val="auto"/>
                <w:sz w:val="28"/>
              </w:rPr>
            </w:pPr>
            <w:r>
              <w:rPr>
                <w:rFonts w:hint="eastAsia" w:ascii="仿宋" w:hAnsi="仿宋" w:eastAsia="仿宋" w:cs="仿宋"/>
                <w:color w:val="auto"/>
                <w:sz w:val="28"/>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ind w:firstLine="560"/>
              <w:jc w:val="center"/>
              <w:rPr>
                <w:rFonts w:hint="eastAsia" w:ascii="仿宋" w:hAnsi="仿宋" w:eastAsia="仿宋" w:cs="仿宋"/>
                <w:color w:val="auto"/>
                <w:sz w:val="28"/>
              </w:rPr>
            </w:pPr>
            <w:r>
              <w:rPr>
                <w:rFonts w:hint="eastAsia" w:ascii="仿宋" w:hAnsi="仿宋" w:eastAsia="仿宋" w:cs="仿宋"/>
                <w:color w:val="auto"/>
                <w:sz w:val="28"/>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hint="eastAsia" w:ascii="仿宋" w:hAnsi="仿宋" w:eastAsia="仿宋" w:cs="仿宋"/>
                <w:color w:val="auto"/>
                <w:sz w:val="28"/>
              </w:rPr>
            </w:pPr>
            <w:r>
              <w:rPr>
                <w:rFonts w:hint="eastAsia" w:ascii="仿宋" w:hAnsi="仿宋" w:eastAsia="仿宋" w:cs="仿宋"/>
                <w:color w:val="auto"/>
                <w:sz w:val="28"/>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hint="eastAsia" w:ascii="仿宋" w:hAnsi="仿宋" w:eastAsia="仿宋" w:cs="仿宋"/>
                <w:color w:val="auto"/>
                <w:sz w:val="28"/>
              </w:rPr>
            </w:pPr>
            <w:r>
              <w:rPr>
                <w:rFonts w:hint="eastAsia" w:ascii="仿宋" w:hAnsi="仿宋" w:eastAsia="仿宋" w:cs="仿宋"/>
                <w:color w:val="auto"/>
                <w:sz w:val="28"/>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bl>
    <w:p>
      <w:pPr>
        <w:ind w:firstLine="620"/>
        <w:rPr>
          <w:rFonts w:hint="eastAsia" w:ascii="仿宋" w:hAnsi="仿宋" w:eastAsia="仿宋" w:cs="仿宋"/>
          <w:color w:val="auto"/>
          <w:sz w:val="31"/>
        </w:rPr>
      </w:pPr>
    </w:p>
    <w:p>
      <w:pPr>
        <w:ind w:right="10" w:firstLine="560"/>
        <w:rPr>
          <w:b/>
          <w:color w:val="auto"/>
          <w:szCs w:val="30"/>
        </w:rPr>
      </w:pPr>
      <w:r>
        <w:rPr>
          <w:rFonts w:hint="eastAsia" w:ascii="仿宋" w:hAnsi="仿宋" w:eastAsia="仿宋" w:cs="仿宋"/>
          <w:color w:val="auto"/>
          <w:sz w:val="28"/>
        </w:rPr>
        <w:t>投标单位授权代表人签字：                                                  投标单位公章：</w:t>
      </w:r>
      <w:r>
        <w:rPr>
          <w:rFonts w:hint="eastAsia" w:ascii="仿宋" w:hAnsi="仿宋" w:eastAsia="仿宋"/>
          <w:color w:val="auto"/>
          <w:sz w:val="28"/>
        </w:rPr>
        <w:br w:type="page"/>
      </w:r>
      <w:r>
        <w:rPr>
          <w:rFonts w:hint="eastAsia" w:ascii="仿宋" w:hAnsi="仿宋" w:eastAsia="仿宋"/>
          <w:color w:val="auto"/>
          <w:sz w:val="28"/>
        </w:rPr>
        <w:t>附件十</w:t>
      </w:r>
    </w:p>
    <w:p>
      <w:pPr>
        <w:spacing w:line="360" w:lineRule="atLeast"/>
        <w:ind w:firstLine="723"/>
        <w:jc w:val="center"/>
        <w:rPr>
          <w:rFonts w:ascii="仿宋" w:hAnsi="仿宋" w:eastAsia="仿宋"/>
          <w:b/>
          <w:color w:val="auto"/>
          <w:sz w:val="36"/>
        </w:rPr>
      </w:pPr>
      <w:r>
        <w:rPr>
          <w:rFonts w:hint="eastAsia" w:ascii="仿宋" w:hAnsi="仿宋" w:eastAsia="仿宋"/>
          <w:b/>
          <w:color w:val="auto"/>
          <w:sz w:val="36"/>
          <w:lang w:val="en-US" w:eastAsia="zh-CN"/>
        </w:rPr>
        <w:t>第四包</w:t>
      </w:r>
      <w:r>
        <w:rPr>
          <w:rFonts w:hint="eastAsia" w:ascii="仿宋" w:hAnsi="仿宋" w:eastAsia="仿宋"/>
          <w:b/>
          <w:color w:val="auto"/>
          <w:sz w:val="36"/>
        </w:rPr>
        <w:t>工程量清单：</w:t>
      </w:r>
    </w:p>
    <w:p>
      <w:pPr>
        <w:spacing w:line="360" w:lineRule="atLeast"/>
        <w:ind w:right="352" w:firstLine="560"/>
        <w:jc w:val="distribute"/>
        <w:rPr>
          <w:color w:val="auto"/>
        </w:rPr>
      </w:pPr>
      <w:r>
        <w:rPr>
          <w:rFonts w:hint="eastAsia" w:ascii="仿宋" w:hAnsi="仿宋" w:eastAsia="仿宋"/>
          <w:color w:val="auto"/>
          <w:sz w:val="28"/>
          <w:lang w:val="en-US" w:eastAsia="zh-CN"/>
        </w:rPr>
        <w:t>项目</w:t>
      </w:r>
      <w:r>
        <w:rPr>
          <w:rFonts w:hint="eastAsia" w:ascii="仿宋" w:hAnsi="仿宋" w:eastAsia="仿宋"/>
          <w:color w:val="auto"/>
          <w:sz w:val="28"/>
        </w:rPr>
        <w:t>编号：</w:t>
      </w:r>
      <w:r>
        <w:rPr>
          <w:rFonts w:hint="eastAsia" w:ascii="仿宋" w:hAnsi="仿宋" w:eastAsia="仿宋"/>
          <w:color w:val="auto"/>
          <w:sz w:val="28"/>
          <w:szCs w:val="28"/>
          <w:lang w:eastAsia="zh-CN"/>
        </w:rPr>
        <w:t>2041xzjk034</w:t>
      </w:r>
      <w:r>
        <w:rPr>
          <w:rFonts w:hint="eastAsia" w:ascii="仿宋" w:hAnsi="仿宋" w:eastAsia="仿宋"/>
          <w:color w:val="auto"/>
          <w:sz w:val="28"/>
          <w:szCs w:val="28"/>
        </w:rPr>
        <w:t>/04</w:t>
      </w:r>
      <w:r>
        <w:rPr>
          <w:rFonts w:hint="eastAsia" w:ascii="仿宋" w:hAnsi="仿宋" w:eastAsia="仿宋"/>
          <w:color w:val="auto"/>
          <w:sz w:val="28"/>
        </w:rPr>
        <w:t xml:space="preserve">                                                   年   月   日 </w:t>
      </w:r>
    </w:p>
    <w:tbl>
      <w:tblPr>
        <w:tblStyle w:val="2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5"/>
        <w:gridCol w:w="5445"/>
        <w:gridCol w:w="1155"/>
        <w:gridCol w:w="975"/>
        <w:gridCol w:w="1080"/>
        <w:gridCol w:w="111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_GB2312" w:hAnsi="宋体" w:eastAsia="仿宋_GB2312" w:cs="宋体"/>
                <w:b/>
                <w:bCs/>
                <w:color w:val="auto"/>
              </w:rPr>
            </w:pPr>
            <w:r>
              <w:rPr>
                <w:rFonts w:hint="eastAsia" w:ascii="仿宋_GB2312" w:eastAsia="仿宋_GB2312"/>
                <w:b/>
                <w:bCs/>
                <w:color w:val="auto"/>
              </w:rPr>
              <w:t>序号</w:t>
            </w:r>
          </w:p>
        </w:tc>
        <w:tc>
          <w:tcPr>
            <w:tcW w:w="2265" w:type="dxa"/>
            <w:vAlign w:val="center"/>
          </w:tcPr>
          <w:p>
            <w:pPr>
              <w:jc w:val="center"/>
              <w:rPr>
                <w:rFonts w:ascii="仿宋_GB2312" w:hAnsi="宋体" w:eastAsia="仿宋_GB2312" w:cs="宋体"/>
                <w:b/>
                <w:bCs/>
                <w:color w:val="auto"/>
              </w:rPr>
            </w:pPr>
            <w:r>
              <w:rPr>
                <w:rFonts w:hint="eastAsia" w:ascii="仿宋_GB2312" w:eastAsia="仿宋_GB2312"/>
                <w:b/>
                <w:bCs/>
                <w:color w:val="auto"/>
              </w:rPr>
              <w:t>材料名称</w:t>
            </w:r>
          </w:p>
        </w:tc>
        <w:tc>
          <w:tcPr>
            <w:tcW w:w="5445" w:type="dxa"/>
            <w:vAlign w:val="center"/>
          </w:tcPr>
          <w:p>
            <w:pPr>
              <w:jc w:val="center"/>
              <w:rPr>
                <w:rFonts w:ascii="仿宋_GB2312" w:hAnsi="宋体" w:eastAsia="仿宋_GB2312" w:cs="宋体"/>
                <w:b/>
                <w:bCs/>
                <w:color w:val="auto"/>
              </w:rPr>
            </w:pPr>
            <w:r>
              <w:rPr>
                <w:rFonts w:hint="eastAsia" w:ascii="仿宋_GB2312" w:eastAsia="仿宋_GB2312"/>
                <w:b/>
                <w:bCs/>
                <w:color w:val="auto"/>
              </w:rPr>
              <w:t>规格型号</w:t>
            </w:r>
          </w:p>
        </w:tc>
        <w:tc>
          <w:tcPr>
            <w:tcW w:w="1155" w:type="dxa"/>
            <w:vAlign w:val="center"/>
          </w:tcPr>
          <w:p>
            <w:pPr>
              <w:jc w:val="center"/>
              <w:rPr>
                <w:rFonts w:ascii="仿宋_GB2312" w:hAnsi="宋体" w:eastAsia="仿宋_GB2312" w:cs="宋体"/>
                <w:b/>
                <w:bCs/>
                <w:color w:val="auto"/>
              </w:rPr>
            </w:pPr>
            <w:r>
              <w:rPr>
                <w:rFonts w:hint="eastAsia" w:ascii="仿宋_GB2312" w:eastAsia="仿宋_GB2312"/>
                <w:b/>
                <w:bCs/>
                <w:color w:val="auto"/>
              </w:rPr>
              <w:t>单位</w:t>
            </w:r>
          </w:p>
        </w:tc>
        <w:tc>
          <w:tcPr>
            <w:tcW w:w="975" w:type="dxa"/>
            <w:vAlign w:val="center"/>
          </w:tcPr>
          <w:p>
            <w:pPr>
              <w:jc w:val="center"/>
              <w:rPr>
                <w:rFonts w:ascii="仿宋_GB2312" w:hAnsi="宋体" w:eastAsia="仿宋_GB2312" w:cs="宋体"/>
                <w:b/>
                <w:bCs/>
                <w:color w:val="auto"/>
              </w:rPr>
            </w:pPr>
            <w:r>
              <w:rPr>
                <w:rFonts w:hint="eastAsia" w:ascii="仿宋_GB2312" w:eastAsia="仿宋_GB2312"/>
                <w:b/>
                <w:bCs/>
                <w:color w:val="auto"/>
              </w:rPr>
              <w:t>数量</w:t>
            </w:r>
          </w:p>
        </w:tc>
        <w:tc>
          <w:tcPr>
            <w:tcW w:w="1080" w:type="dxa"/>
            <w:vAlign w:val="center"/>
          </w:tcPr>
          <w:p>
            <w:pPr>
              <w:jc w:val="center"/>
              <w:rPr>
                <w:rFonts w:ascii="仿宋_GB2312" w:hAnsi="宋体" w:eastAsia="仿宋_GB2312" w:cs="宋体"/>
                <w:b/>
                <w:bCs/>
                <w:color w:val="auto"/>
              </w:rPr>
            </w:pPr>
            <w:r>
              <w:rPr>
                <w:rFonts w:hint="eastAsia" w:ascii="仿宋_GB2312" w:eastAsia="仿宋_GB2312"/>
                <w:b/>
                <w:bCs/>
                <w:color w:val="auto"/>
              </w:rPr>
              <w:t>单价(元)</w:t>
            </w:r>
          </w:p>
        </w:tc>
        <w:tc>
          <w:tcPr>
            <w:tcW w:w="1110" w:type="dxa"/>
            <w:vAlign w:val="center"/>
          </w:tcPr>
          <w:p>
            <w:pPr>
              <w:jc w:val="center"/>
              <w:rPr>
                <w:rFonts w:ascii="仿宋_GB2312" w:hAnsi="宋体" w:eastAsia="仿宋_GB2312" w:cs="宋体"/>
                <w:b/>
                <w:bCs/>
                <w:color w:val="auto"/>
              </w:rPr>
            </w:pPr>
            <w:r>
              <w:rPr>
                <w:rFonts w:hint="eastAsia" w:ascii="仿宋_GB2312" w:eastAsia="仿宋_GB2312"/>
                <w:b/>
                <w:bCs/>
                <w:color w:val="auto"/>
              </w:rPr>
              <w:t>总价(元)</w:t>
            </w:r>
          </w:p>
        </w:tc>
        <w:tc>
          <w:tcPr>
            <w:tcW w:w="990" w:type="dxa"/>
            <w:vAlign w:val="center"/>
          </w:tcPr>
          <w:p>
            <w:pPr>
              <w:jc w:val="center"/>
              <w:rPr>
                <w:rFonts w:ascii="仿宋_GB2312" w:hAnsi="宋体" w:eastAsia="仿宋_GB2312" w:cs="宋体"/>
                <w:b/>
                <w:bCs/>
                <w:color w:val="auto"/>
              </w:rPr>
            </w:pPr>
            <w:r>
              <w:rPr>
                <w:rFonts w:hint="eastAsia" w:ascii="仿宋_GB2312" w:eastAsia="仿宋_GB2312"/>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rPr>
            </w:pPr>
            <w:r>
              <w:rPr>
                <w:rFonts w:hint="eastAsia"/>
                <w:color w:val="auto"/>
              </w:rPr>
              <w:t>一</w:t>
            </w:r>
          </w:p>
        </w:tc>
        <w:tc>
          <w:tcPr>
            <w:tcW w:w="2265" w:type="dxa"/>
            <w:vAlign w:val="center"/>
          </w:tcPr>
          <w:p>
            <w:pPr>
              <w:rPr>
                <w:rFonts w:ascii="宋体" w:hAnsi="宋体" w:cs="宋体"/>
                <w:b/>
                <w:bCs/>
                <w:color w:val="auto"/>
              </w:rPr>
            </w:pPr>
            <w:r>
              <w:rPr>
                <w:rFonts w:hint="eastAsia"/>
                <w:b/>
                <w:bCs/>
                <w:color w:val="auto"/>
              </w:rPr>
              <w:t>装饰部分</w:t>
            </w:r>
          </w:p>
        </w:tc>
        <w:tc>
          <w:tcPr>
            <w:tcW w:w="5445" w:type="dxa"/>
            <w:vAlign w:val="center"/>
          </w:tcPr>
          <w:p>
            <w:pPr>
              <w:jc w:val="center"/>
              <w:rPr>
                <w:rFonts w:ascii="宋体" w:hAnsi="宋体" w:cs="宋体"/>
                <w:color w:val="auto"/>
              </w:rPr>
            </w:pPr>
            <w:r>
              <w:rPr>
                <w:rFonts w:hint="eastAsia"/>
                <w:color w:val="auto"/>
              </w:rPr>
              <w:t>　</w:t>
            </w:r>
          </w:p>
        </w:tc>
        <w:tc>
          <w:tcPr>
            <w:tcW w:w="1155" w:type="dxa"/>
            <w:vAlign w:val="center"/>
          </w:tcPr>
          <w:p>
            <w:pPr>
              <w:jc w:val="center"/>
              <w:rPr>
                <w:rFonts w:ascii="宋体" w:hAnsi="宋体" w:cs="宋体"/>
                <w:color w:val="auto"/>
              </w:rPr>
            </w:pPr>
            <w:r>
              <w:rPr>
                <w:rFonts w:hint="eastAsia"/>
                <w:color w:val="auto"/>
              </w:rPr>
              <w:t>　</w:t>
            </w:r>
          </w:p>
        </w:tc>
        <w:tc>
          <w:tcPr>
            <w:tcW w:w="975" w:type="dxa"/>
            <w:vAlign w:val="center"/>
          </w:tcPr>
          <w:p>
            <w:pPr>
              <w:jc w:val="center"/>
              <w:rPr>
                <w:rFonts w:ascii="宋体" w:hAnsi="宋体" w:cs="宋体"/>
                <w:color w:val="auto"/>
              </w:rPr>
            </w:pPr>
            <w:r>
              <w:rPr>
                <w:rFonts w:hint="eastAsia"/>
                <w:color w:val="auto"/>
              </w:rPr>
              <w:t>　</w:t>
            </w:r>
          </w:p>
        </w:tc>
        <w:tc>
          <w:tcPr>
            <w:tcW w:w="1080" w:type="dxa"/>
            <w:vAlign w:val="center"/>
          </w:tcPr>
          <w:p>
            <w:pPr>
              <w:rPr>
                <w:rFonts w:ascii="宋体" w:hAnsi="宋体" w:cs="宋体"/>
                <w:color w:val="auto"/>
              </w:rPr>
            </w:pPr>
            <w:r>
              <w:rPr>
                <w:rFonts w:hint="eastAsia"/>
                <w:color w:val="auto"/>
              </w:rPr>
              <w:t>　</w:t>
            </w:r>
          </w:p>
        </w:tc>
        <w:tc>
          <w:tcPr>
            <w:tcW w:w="1110" w:type="dxa"/>
            <w:vAlign w:val="center"/>
          </w:tcPr>
          <w:p>
            <w:pPr>
              <w:rPr>
                <w:rFonts w:ascii="宋体" w:hAnsi="宋体" w:cs="宋体"/>
                <w:color w:val="auto"/>
              </w:rPr>
            </w:pPr>
            <w:r>
              <w:rPr>
                <w:rFonts w:hint="eastAsia"/>
                <w:color w:val="auto"/>
              </w:rPr>
              <w:t>　</w:t>
            </w:r>
          </w:p>
        </w:tc>
        <w:tc>
          <w:tcPr>
            <w:tcW w:w="990" w:type="dxa"/>
            <w:vAlign w:val="center"/>
          </w:tcPr>
          <w:p>
            <w:pPr>
              <w:jc w:val="center"/>
              <w:rPr>
                <w:rFonts w:ascii="宋体" w:hAnsi="宋体" w:cs="宋体"/>
                <w:color w:val="auto"/>
              </w:rPr>
            </w:pPr>
            <w:r>
              <w:rPr>
                <w:rFonts w:hint="eastAsia"/>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1</w:t>
            </w:r>
          </w:p>
        </w:tc>
        <w:tc>
          <w:tcPr>
            <w:tcW w:w="2265" w:type="dxa"/>
            <w:vAlign w:val="center"/>
          </w:tcPr>
          <w:p>
            <w:pPr>
              <w:rPr>
                <w:rFonts w:ascii="宋体" w:hAnsi="宋体" w:cs="宋体"/>
                <w:color w:val="auto"/>
                <w:sz w:val="20"/>
              </w:rPr>
            </w:pPr>
            <w:r>
              <w:rPr>
                <w:rFonts w:hint="eastAsia"/>
                <w:color w:val="auto"/>
                <w:sz w:val="20"/>
              </w:rPr>
              <w:t>硫氧镁净化彩钢板吊顶</w:t>
            </w:r>
          </w:p>
        </w:tc>
        <w:tc>
          <w:tcPr>
            <w:tcW w:w="5445" w:type="dxa"/>
            <w:vAlign w:val="center"/>
          </w:tcPr>
          <w:p>
            <w:pPr>
              <w:rPr>
                <w:rFonts w:ascii="宋体" w:hAnsi="宋体" w:cs="宋体"/>
                <w:color w:val="auto"/>
                <w:sz w:val="20"/>
              </w:rPr>
            </w:pPr>
            <w:r>
              <w:rPr>
                <w:rFonts w:hint="eastAsia"/>
                <w:color w:val="auto"/>
                <w:sz w:val="20"/>
              </w:rPr>
              <w:t>∫＝50mm企口型钢板厚为　∫＝0.426mm</w:t>
            </w:r>
          </w:p>
        </w:tc>
        <w:tc>
          <w:tcPr>
            <w:tcW w:w="1155" w:type="dxa"/>
            <w:vAlign w:val="center"/>
          </w:tcPr>
          <w:p>
            <w:pPr>
              <w:jc w:val="center"/>
              <w:rPr>
                <w:rFonts w:ascii="宋体" w:hAnsi="宋体" w:cs="宋体"/>
                <w:color w:val="auto"/>
                <w:sz w:val="20"/>
              </w:rPr>
            </w:pPr>
            <w:r>
              <w:rPr>
                <w:rFonts w:hint="eastAsia"/>
                <w:color w:val="auto"/>
                <w:sz w:val="20"/>
              </w:rPr>
              <w:t>m</w:t>
            </w:r>
            <w:r>
              <w:rPr>
                <w:rFonts w:hint="eastAsia"/>
                <w:color w:val="auto"/>
                <w:sz w:val="20"/>
                <w:vertAlign w:val="superscript"/>
              </w:rPr>
              <w:t>2</w:t>
            </w:r>
          </w:p>
        </w:tc>
        <w:tc>
          <w:tcPr>
            <w:tcW w:w="975" w:type="dxa"/>
            <w:vAlign w:val="center"/>
          </w:tcPr>
          <w:p>
            <w:pPr>
              <w:jc w:val="center"/>
              <w:rPr>
                <w:rFonts w:ascii="宋体" w:hAnsi="宋体" w:cs="宋体"/>
                <w:color w:val="auto"/>
                <w:sz w:val="20"/>
              </w:rPr>
            </w:pPr>
            <w:r>
              <w:rPr>
                <w:rFonts w:hint="eastAsia"/>
                <w:color w:val="auto"/>
                <w:sz w:val="20"/>
              </w:rPr>
              <w:t>75</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2</w:t>
            </w:r>
          </w:p>
        </w:tc>
        <w:tc>
          <w:tcPr>
            <w:tcW w:w="2265" w:type="dxa"/>
            <w:vAlign w:val="center"/>
          </w:tcPr>
          <w:p>
            <w:pPr>
              <w:rPr>
                <w:rFonts w:ascii="宋体" w:hAnsi="宋体" w:cs="宋体"/>
                <w:color w:val="auto"/>
                <w:sz w:val="20"/>
              </w:rPr>
            </w:pPr>
            <w:r>
              <w:rPr>
                <w:rFonts w:hint="eastAsia"/>
                <w:color w:val="auto"/>
                <w:sz w:val="20"/>
              </w:rPr>
              <w:t>吊顶加强吊顶</w:t>
            </w:r>
          </w:p>
        </w:tc>
        <w:tc>
          <w:tcPr>
            <w:tcW w:w="5445" w:type="dxa"/>
            <w:vAlign w:val="center"/>
          </w:tcPr>
          <w:p>
            <w:pPr>
              <w:rPr>
                <w:rFonts w:ascii="宋体" w:hAnsi="宋体" w:cs="宋体"/>
                <w:color w:val="auto"/>
                <w:sz w:val="20"/>
              </w:rPr>
            </w:pPr>
            <w:r>
              <w:rPr>
                <w:rFonts w:hint="eastAsia"/>
                <w:color w:val="auto"/>
                <w:sz w:val="20"/>
              </w:rPr>
              <w:t>专用件</w:t>
            </w:r>
          </w:p>
        </w:tc>
        <w:tc>
          <w:tcPr>
            <w:tcW w:w="1155" w:type="dxa"/>
            <w:vAlign w:val="center"/>
          </w:tcPr>
          <w:p>
            <w:pPr>
              <w:jc w:val="center"/>
              <w:rPr>
                <w:rFonts w:ascii="宋体" w:hAnsi="宋体" w:cs="宋体"/>
                <w:color w:val="auto"/>
                <w:sz w:val="20"/>
              </w:rPr>
            </w:pPr>
            <w:r>
              <w:rPr>
                <w:rFonts w:hint="eastAsia"/>
                <w:color w:val="auto"/>
                <w:sz w:val="20"/>
              </w:rPr>
              <w:t>m</w:t>
            </w:r>
            <w:r>
              <w:rPr>
                <w:rFonts w:hint="eastAsia"/>
                <w:color w:val="auto"/>
                <w:sz w:val="20"/>
                <w:vertAlign w:val="superscript"/>
              </w:rPr>
              <w:t>2</w:t>
            </w:r>
          </w:p>
        </w:tc>
        <w:tc>
          <w:tcPr>
            <w:tcW w:w="975" w:type="dxa"/>
            <w:vAlign w:val="center"/>
          </w:tcPr>
          <w:p>
            <w:pPr>
              <w:jc w:val="center"/>
              <w:rPr>
                <w:rFonts w:ascii="宋体" w:hAnsi="宋体" w:cs="宋体"/>
                <w:color w:val="auto"/>
                <w:sz w:val="20"/>
              </w:rPr>
            </w:pPr>
            <w:r>
              <w:rPr>
                <w:rFonts w:hint="eastAsia"/>
                <w:color w:val="auto"/>
                <w:sz w:val="20"/>
              </w:rPr>
              <w:t>75</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3</w:t>
            </w:r>
          </w:p>
        </w:tc>
        <w:tc>
          <w:tcPr>
            <w:tcW w:w="2265" w:type="dxa"/>
            <w:vAlign w:val="center"/>
          </w:tcPr>
          <w:p>
            <w:pPr>
              <w:rPr>
                <w:rFonts w:ascii="宋体" w:hAnsi="宋体" w:cs="宋体"/>
                <w:color w:val="auto"/>
                <w:sz w:val="20"/>
              </w:rPr>
            </w:pPr>
            <w:r>
              <w:rPr>
                <w:rFonts w:hint="eastAsia"/>
                <w:color w:val="auto"/>
                <w:sz w:val="20"/>
              </w:rPr>
              <w:t>岩棉净化彩钢板隔墙</w:t>
            </w:r>
          </w:p>
        </w:tc>
        <w:tc>
          <w:tcPr>
            <w:tcW w:w="5445" w:type="dxa"/>
            <w:vAlign w:val="center"/>
          </w:tcPr>
          <w:p>
            <w:pPr>
              <w:rPr>
                <w:rFonts w:ascii="宋体" w:hAnsi="宋体" w:cs="宋体"/>
                <w:color w:val="auto"/>
                <w:sz w:val="20"/>
              </w:rPr>
            </w:pPr>
            <w:r>
              <w:rPr>
                <w:rFonts w:hint="eastAsia"/>
                <w:color w:val="auto"/>
                <w:sz w:val="20"/>
              </w:rPr>
              <w:t>∫＝50mm企口型钢板厚为　∫＝0.426mm</w:t>
            </w:r>
          </w:p>
        </w:tc>
        <w:tc>
          <w:tcPr>
            <w:tcW w:w="1155" w:type="dxa"/>
            <w:vAlign w:val="center"/>
          </w:tcPr>
          <w:p>
            <w:pPr>
              <w:jc w:val="center"/>
              <w:rPr>
                <w:rFonts w:ascii="宋体" w:hAnsi="宋体" w:cs="宋体"/>
                <w:color w:val="auto"/>
                <w:sz w:val="20"/>
              </w:rPr>
            </w:pPr>
            <w:r>
              <w:rPr>
                <w:rFonts w:hint="eastAsia"/>
                <w:color w:val="auto"/>
                <w:sz w:val="20"/>
              </w:rPr>
              <w:t>m</w:t>
            </w:r>
            <w:r>
              <w:rPr>
                <w:rFonts w:hint="eastAsia"/>
                <w:color w:val="auto"/>
                <w:sz w:val="20"/>
                <w:vertAlign w:val="superscript"/>
              </w:rPr>
              <w:t>2</w:t>
            </w:r>
          </w:p>
        </w:tc>
        <w:tc>
          <w:tcPr>
            <w:tcW w:w="975" w:type="dxa"/>
            <w:vAlign w:val="center"/>
          </w:tcPr>
          <w:p>
            <w:pPr>
              <w:jc w:val="center"/>
              <w:rPr>
                <w:rFonts w:ascii="宋体" w:hAnsi="宋体" w:cs="宋体"/>
                <w:color w:val="auto"/>
                <w:sz w:val="20"/>
              </w:rPr>
            </w:pPr>
            <w:r>
              <w:rPr>
                <w:rFonts w:hint="eastAsia"/>
                <w:color w:val="auto"/>
                <w:sz w:val="20"/>
              </w:rPr>
              <w:t>243</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4</w:t>
            </w:r>
          </w:p>
        </w:tc>
        <w:tc>
          <w:tcPr>
            <w:tcW w:w="2265" w:type="dxa"/>
            <w:vAlign w:val="center"/>
          </w:tcPr>
          <w:p>
            <w:pPr>
              <w:rPr>
                <w:rFonts w:ascii="宋体" w:hAnsi="宋体" w:cs="宋体"/>
                <w:color w:val="auto"/>
                <w:sz w:val="20"/>
              </w:rPr>
            </w:pPr>
            <w:r>
              <w:rPr>
                <w:rFonts w:hint="eastAsia"/>
                <w:color w:val="auto"/>
                <w:sz w:val="20"/>
              </w:rPr>
              <w:t>断桥隔热铝合金型材隔断</w:t>
            </w:r>
          </w:p>
        </w:tc>
        <w:tc>
          <w:tcPr>
            <w:tcW w:w="5445" w:type="dxa"/>
            <w:vAlign w:val="center"/>
          </w:tcPr>
          <w:p>
            <w:pP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m</w:t>
            </w:r>
            <w:r>
              <w:rPr>
                <w:rFonts w:hint="eastAsia"/>
                <w:color w:val="auto"/>
                <w:sz w:val="20"/>
                <w:vertAlign w:val="superscript"/>
              </w:rPr>
              <w:t>2</w:t>
            </w:r>
          </w:p>
        </w:tc>
        <w:tc>
          <w:tcPr>
            <w:tcW w:w="975" w:type="dxa"/>
            <w:vAlign w:val="center"/>
          </w:tcPr>
          <w:p>
            <w:pPr>
              <w:jc w:val="center"/>
              <w:rPr>
                <w:rFonts w:ascii="宋体" w:hAnsi="宋体" w:cs="宋体"/>
                <w:color w:val="auto"/>
                <w:sz w:val="20"/>
              </w:rPr>
            </w:pPr>
            <w:r>
              <w:rPr>
                <w:rFonts w:hint="eastAsia"/>
                <w:color w:val="auto"/>
                <w:sz w:val="20"/>
              </w:rPr>
              <w:t>11.7</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5</w:t>
            </w:r>
          </w:p>
        </w:tc>
        <w:tc>
          <w:tcPr>
            <w:tcW w:w="2265" w:type="dxa"/>
            <w:vAlign w:val="center"/>
          </w:tcPr>
          <w:p>
            <w:pPr>
              <w:rPr>
                <w:rFonts w:ascii="宋体" w:hAnsi="宋体" w:cs="宋体"/>
                <w:color w:val="auto"/>
                <w:sz w:val="20"/>
              </w:rPr>
            </w:pPr>
            <w:r>
              <w:rPr>
                <w:rFonts w:hint="eastAsia"/>
                <w:color w:val="auto"/>
                <w:sz w:val="20"/>
              </w:rPr>
              <w:t>铝合金连接件</w:t>
            </w:r>
          </w:p>
        </w:tc>
        <w:tc>
          <w:tcPr>
            <w:tcW w:w="5445" w:type="dxa"/>
            <w:vAlign w:val="center"/>
          </w:tcPr>
          <w:p>
            <w:pPr>
              <w:rPr>
                <w:rFonts w:ascii="宋体" w:hAnsi="宋体" w:cs="宋体"/>
                <w:color w:val="auto"/>
                <w:sz w:val="20"/>
              </w:rPr>
            </w:pPr>
            <w:r>
              <w:rPr>
                <w:rFonts w:hint="eastAsia"/>
                <w:color w:val="auto"/>
                <w:sz w:val="20"/>
              </w:rPr>
              <w:t>R50mm</w:t>
            </w:r>
          </w:p>
        </w:tc>
        <w:tc>
          <w:tcPr>
            <w:tcW w:w="1155" w:type="dxa"/>
            <w:vAlign w:val="center"/>
          </w:tcPr>
          <w:p>
            <w:pPr>
              <w:jc w:val="center"/>
              <w:rPr>
                <w:rFonts w:ascii="宋体" w:hAnsi="宋体" w:cs="宋体"/>
                <w:color w:val="auto"/>
                <w:sz w:val="20"/>
              </w:rPr>
            </w:pPr>
            <w:r>
              <w:rPr>
                <w:rFonts w:hint="eastAsia"/>
                <w:color w:val="auto"/>
                <w:sz w:val="20"/>
              </w:rPr>
              <w:t>m</w:t>
            </w:r>
            <w:r>
              <w:rPr>
                <w:rFonts w:hint="eastAsia"/>
                <w:color w:val="auto"/>
                <w:sz w:val="20"/>
                <w:vertAlign w:val="superscript"/>
              </w:rPr>
              <w:t>2</w:t>
            </w:r>
          </w:p>
        </w:tc>
        <w:tc>
          <w:tcPr>
            <w:tcW w:w="975" w:type="dxa"/>
            <w:vAlign w:val="center"/>
          </w:tcPr>
          <w:p>
            <w:pPr>
              <w:jc w:val="center"/>
              <w:rPr>
                <w:rFonts w:ascii="宋体" w:hAnsi="宋体" w:cs="宋体"/>
                <w:color w:val="auto"/>
                <w:sz w:val="20"/>
              </w:rPr>
            </w:pPr>
            <w:r>
              <w:rPr>
                <w:rFonts w:hint="eastAsia"/>
                <w:color w:val="auto"/>
                <w:sz w:val="20"/>
              </w:rPr>
              <w:t>318</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6</w:t>
            </w:r>
          </w:p>
        </w:tc>
        <w:tc>
          <w:tcPr>
            <w:tcW w:w="2265" w:type="dxa"/>
            <w:vAlign w:val="center"/>
          </w:tcPr>
          <w:p>
            <w:pPr>
              <w:rPr>
                <w:rFonts w:ascii="宋体" w:hAnsi="宋体" w:cs="宋体"/>
                <w:color w:val="auto"/>
                <w:sz w:val="20"/>
              </w:rPr>
            </w:pPr>
            <w:r>
              <w:rPr>
                <w:rFonts w:hint="eastAsia"/>
                <w:color w:val="auto"/>
                <w:sz w:val="20"/>
              </w:rPr>
              <w:t>传递窗</w:t>
            </w:r>
          </w:p>
        </w:tc>
        <w:tc>
          <w:tcPr>
            <w:tcW w:w="5445" w:type="dxa"/>
            <w:vAlign w:val="center"/>
          </w:tcPr>
          <w:p>
            <w:pPr>
              <w:rPr>
                <w:rFonts w:ascii="宋体" w:hAnsi="宋体" w:cs="宋体"/>
                <w:color w:val="auto"/>
                <w:sz w:val="20"/>
              </w:rPr>
            </w:pPr>
            <w:r>
              <w:rPr>
                <w:rFonts w:hint="eastAsia"/>
                <w:color w:val="auto"/>
                <w:sz w:val="20"/>
              </w:rPr>
              <w:t>1、全不锈钢机械互锁、2.规格、型号:600*600*600mm,3.注: 两门互锁、内部安装紫外线杀菌灯</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3</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rPr>
                <w:rFonts w:ascii="宋体" w:hAnsi="宋体" w:cs="宋体"/>
                <w:color w:val="auto"/>
                <w:sz w:val="18"/>
                <w:szCs w:val="18"/>
              </w:rPr>
            </w:pPr>
            <w:r>
              <w:rPr>
                <w:rFonts w:hint="eastAsia"/>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7</w:t>
            </w:r>
          </w:p>
        </w:tc>
        <w:tc>
          <w:tcPr>
            <w:tcW w:w="2265" w:type="dxa"/>
            <w:vAlign w:val="center"/>
          </w:tcPr>
          <w:p>
            <w:pPr>
              <w:rPr>
                <w:rFonts w:ascii="宋体" w:hAnsi="宋体" w:cs="宋体"/>
                <w:color w:val="auto"/>
                <w:sz w:val="20"/>
              </w:rPr>
            </w:pPr>
            <w:r>
              <w:rPr>
                <w:rFonts w:hint="eastAsia"/>
                <w:color w:val="auto"/>
                <w:sz w:val="20"/>
              </w:rPr>
              <w:t>固定观察窗</w:t>
            </w:r>
          </w:p>
        </w:tc>
        <w:tc>
          <w:tcPr>
            <w:tcW w:w="5445" w:type="dxa"/>
            <w:vAlign w:val="center"/>
          </w:tcPr>
          <w:p>
            <w:pPr>
              <w:rPr>
                <w:rFonts w:ascii="宋体" w:hAnsi="宋体" w:cs="宋体"/>
                <w:color w:val="auto"/>
                <w:sz w:val="20"/>
              </w:rPr>
            </w:pPr>
            <w:r>
              <w:rPr>
                <w:rFonts w:hint="eastAsia"/>
                <w:color w:val="auto"/>
                <w:sz w:val="20"/>
              </w:rPr>
              <w:t>1500*1200mm、5mm厚钢化玻璃</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4</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rPr>
                <w:rFonts w:ascii="宋体" w:hAnsi="宋体" w:cs="宋体"/>
                <w:color w:val="auto"/>
                <w:sz w:val="18"/>
                <w:szCs w:val="18"/>
              </w:rPr>
            </w:pPr>
            <w:r>
              <w:rPr>
                <w:rFonts w:hint="eastAsia"/>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8</w:t>
            </w:r>
          </w:p>
        </w:tc>
        <w:tc>
          <w:tcPr>
            <w:tcW w:w="2265" w:type="dxa"/>
            <w:vAlign w:val="center"/>
          </w:tcPr>
          <w:p>
            <w:pPr>
              <w:rPr>
                <w:rFonts w:ascii="宋体" w:hAnsi="宋体" w:cs="宋体"/>
                <w:color w:val="auto"/>
                <w:sz w:val="20"/>
              </w:rPr>
            </w:pPr>
            <w:r>
              <w:rPr>
                <w:rFonts w:hint="eastAsia"/>
                <w:color w:val="auto"/>
                <w:sz w:val="20"/>
              </w:rPr>
              <w:t>成品钢制门</w:t>
            </w:r>
          </w:p>
        </w:tc>
        <w:tc>
          <w:tcPr>
            <w:tcW w:w="5445" w:type="dxa"/>
            <w:vAlign w:val="center"/>
          </w:tcPr>
          <w:p>
            <w:pPr>
              <w:rPr>
                <w:rFonts w:ascii="宋体" w:hAnsi="宋体" w:cs="宋体"/>
                <w:color w:val="auto"/>
                <w:sz w:val="20"/>
              </w:rPr>
            </w:pPr>
            <w:r>
              <w:rPr>
                <w:rFonts w:hint="eastAsia"/>
                <w:color w:val="auto"/>
                <w:sz w:val="20"/>
              </w:rPr>
              <w:t>1.门代号及洞口尺寸:钢制单门 900*2100mm</w:t>
            </w:r>
            <w:r>
              <w:rPr>
                <w:rFonts w:hint="eastAsia"/>
                <w:color w:val="auto"/>
                <w:sz w:val="20"/>
              </w:rPr>
              <w:br w:type="textWrapping"/>
            </w:r>
            <w:r>
              <w:rPr>
                <w:rFonts w:hint="eastAsia"/>
                <w:color w:val="auto"/>
                <w:sz w:val="20"/>
              </w:rPr>
              <w:t>2.开启方式:平开</w:t>
            </w:r>
            <w:r>
              <w:rPr>
                <w:rFonts w:hint="eastAsia"/>
                <w:color w:val="auto"/>
                <w:sz w:val="20"/>
              </w:rPr>
              <w:br w:type="textWrapping"/>
            </w:r>
            <w:r>
              <w:rPr>
                <w:rFonts w:hint="eastAsia"/>
                <w:color w:val="auto"/>
                <w:sz w:val="20"/>
              </w:rPr>
              <w:t>3.门框或扇外围尺寸:钢制</w:t>
            </w:r>
            <w:r>
              <w:rPr>
                <w:rFonts w:hint="eastAsia"/>
                <w:color w:val="auto"/>
                <w:sz w:val="20"/>
              </w:rPr>
              <w:br w:type="textWrapping"/>
            </w:r>
            <w:r>
              <w:rPr>
                <w:rFonts w:hint="eastAsia"/>
                <w:color w:val="auto"/>
                <w:sz w:val="20"/>
              </w:rPr>
              <w:t>4.门材质:钢质门</w:t>
            </w:r>
            <w:r>
              <w:rPr>
                <w:rFonts w:hint="eastAsia"/>
                <w:color w:val="auto"/>
                <w:sz w:val="20"/>
              </w:rPr>
              <w:br w:type="textWrapping"/>
            </w:r>
            <w:r>
              <w:rPr>
                <w:rFonts w:hint="eastAsia"/>
                <w:color w:val="auto"/>
                <w:sz w:val="20"/>
              </w:rPr>
              <w:t>5.玻璃品种、厚度:5mm厚玻璃</w:t>
            </w:r>
            <w:r>
              <w:rPr>
                <w:rFonts w:hint="eastAsia"/>
                <w:color w:val="auto"/>
                <w:sz w:val="20"/>
              </w:rPr>
              <w:br w:type="textWrapping"/>
            </w:r>
            <w:r>
              <w:rPr>
                <w:rFonts w:hint="eastAsia"/>
                <w:color w:val="auto"/>
                <w:sz w:val="20"/>
              </w:rPr>
              <w:t>6.闭门器:安装35kg闭门器</w:t>
            </w:r>
            <w:r>
              <w:rPr>
                <w:rFonts w:hint="eastAsia"/>
                <w:color w:val="auto"/>
                <w:sz w:val="20"/>
              </w:rPr>
              <w:br w:type="textWrapping"/>
            </w:r>
            <w:r>
              <w:rPr>
                <w:rFonts w:hint="eastAsia"/>
                <w:color w:val="auto"/>
                <w:sz w:val="20"/>
              </w:rPr>
              <w:t>7.注:含门把手及五金</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7</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rPr>
                <w:rFonts w:ascii="宋体" w:hAnsi="宋体" w:cs="宋体"/>
                <w:color w:val="auto"/>
                <w:sz w:val="18"/>
                <w:szCs w:val="18"/>
              </w:rPr>
            </w:pPr>
            <w:r>
              <w:rPr>
                <w:rFonts w:hint="eastAsia"/>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9</w:t>
            </w:r>
          </w:p>
        </w:tc>
        <w:tc>
          <w:tcPr>
            <w:tcW w:w="2265" w:type="dxa"/>
            <w:vAlign w:val="center"/>
          </w:tcPr>
          <w:p>
            <w:pPr>
              <w:rPr>
                <w:rFonts w:ascii="宋体" w:hAnsi="宋体" w:cs="宋体"/>
                <w:color w:val="auto"/>
                <w:sz w:val="20"/>
              </w:rPr>
            </w:pPr>
            <w:r>
              <w:rPr>
                <w:rFonts w:hint="eastAsia"/>
                <w:color w:val="auto"/>
                <w:sz w:val="20"/>
              </w:rPr>
              <w:t>成品钢制门</w:t>
            </w:r>
          </w:p>
        </w:tc>
        <w:tc>
          <w:tcPr>
            <w:tcW w:w="5445" w:type="dxa"/>
            <w:vAlign w:val="center"/>
          </w:tcPr>
          <w:p>
            <w:pPr>
              <w:rPr>
                <w:rFonts w:ascii="宋体" w:hAnsi="宋体" w:cs="宋体"/>
                <w:color w:val="auto"/>
                <w:sz w:val="20"/>
              </w:rPr>
            </w:pPr>
            <w:r>
              <w:rPr>
                <w:rFonts w:hint="eastAsia"/>
                <w:color w:val="auto"/>
                <w:sz w:val="20"/>
              </w:rPr>
              <w:t>1.门代号及洞口尺寸:钢制单门 1000*2100mm</w:t>
            </w:r>
            <w:r>
              <w:rPr>
                <w:rFonts w:hint="eastAsia"/>
                <w:color w:val="auto"/>
                <w:sz w:val="20"/>
              </w:rPr>
              <w:br w:type="textWrapping"/>
            </w:r>
            <w:r>
              <w:rPr>
                <w:rFonts w:hint="eastAsia"/>
                <w:color w:val="auto"/>
                <w:sz w:val="20"/>
              </w:rPr>
              <w:t>2.开启方式:平开</w:t>
            </w:r>
            <w:r>
              <w:rPr>
                <w:rFonts w:hint="eastAsia"/>
                <w:color w:val="auto"/>
                <w:sz w:val="20"/>
              </w:rPr>
              <w:br w:type="textWrapping"/>
            </w:r>
            <w:r>
              <w:rPr>
                <w:rFonts w:hint="eastAsia"/>
                <w:color w:val="auto"/>
                <w:sz w:val="20"/>
              </w:rPr>
              <w:t>3.门框或扇外围尺寸:钢制</w:t>
            </w:r>
            <w:r>
              <w:rPr>
                <w:rFonts w:hint="eastAsia"/>
                <w:color w:val="auto"/>
                <w:sz w:val="20"/>
              </w:rPr>
              <w:br w:type="textWrapping"/>
            </w:r>
            <w:r>
              <w:rPr>
                <w:rFonts w:hint="eastAsia"/>
                <w:color w:val="auto"/>
                <w:sz w:val="20"/>
              </w:rPr>
              <w:t>4.门材质:钢质门</w:t>
            </w:r>
            <w:r>
              <w:rPr>
                <w:rFonts w:hint="eastAsia"/>
                <w:color w:val="auto"/>
                <w:sz w:val="20"/>
              </w:rPr>
              <w:br w:type="textWrapping"/>
            </w:r>
            <w:r>
              <w:rPr>
                <w:rFonts w:hint="eastAsia"/>
                <w:color w:val="auto"/>
                <w:sz w:val="20"/>
              </w:rPr>
              <w:t>5.玻璃品种、厚度:5mm厚玻璃</w:t>
            </w:r>
            <w:r>
              <w:rPr>
                <w:rFonts w:hint="eastAsia"/>
                <w:color w:val="auto"/>
                <w:sz w:val="20"/>
              </w:rPr>
              <w:br w:type="textWrapping"/>
            </w:r>
            <w:r>
              <w:rPr>
                <w:rFonts w:hint="eastAsia"/>
                <w:color w:val="auto"/>
                <w:sz w:val="20"/>
              </w:rPr>
              <w:t>6.闭门器:安装35kg闭门器</w:t>
            </w:r>
            <w:r>
              <w:rPr>
                <w:rFonts w:hint="eastAsia"/>
                <w:color w:val="auto"/>
                <w:sz w:val="20"/>
              </w:rPr>
              <w:br w:type="textWrapping"/>
            </w:r>
            <w:r>
              <w:rPr>
                <w:rFonts w:hint="eastAsia"/>
                <w:color w:val="auto"/>
                <w:sz w:val="20"/>
              </w:rPr>
              <w:t>7.注:含门把手及五金</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rPr>
                <w:rFonts w:ascii="宋体" w:hAnsi="宋体" w:cs="宋体"/>
                <w:color w:val="auto"/>
                <w:sz w:val="18"/>
                <w:szCs w:val="18"/>
              </w:rPr>
            </w:pPr>
            <w:r>
              <w:rPr>
                <w:rFonts w:hint="eastAsia"/>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10</w:t>
            </w:r>
          </w:p>
        </w:tc>
        <w:tc>
          <w:tcPr>
            <w:tcW w:w="2265" w:type="dxa"/>
            <w:vAlign w:val="center"/>
          </w:tcPr>
          <w:p>
            <w:pPr>
              <w:rPr>
                <w:rFonts w:ascii="宋体" w:hAnsi="宋体" w:cs="宋体"/>
                <w:color w:val="auto"/>
                <w:sz w:val="20"/>
              </w:rPr>
            </w:pPr>
            <w:r>
              <w:rPr>
                <w:rFonts w:hint="eastAsia"/>
                <w:color w:val="auto"/>
                <w:sz w:val="20"/>
              </w:rPr>
              <w:t>断桥隔热型材门</w:t>
            </w:r>
          </w:p>
        </w:tc>
        <w:tc>
          <w:tcPr>
            <w:tcW w:w="5445" w:type="dxa"/>
            <w:vAlign w:val="center"/>
          </w:tcPr>
          <w:p>
            <w:pPr>
              <w:rPr>
                <w:rFonts w:ascii="宋体" w:hAnsi="宋体" w:cs="宋体"/>
                <w:color w:val="auto"/>
                <w:sz w:val="20"/>
              </w:rPr>
            </w:pPr>
            <w:r>
              <w:rPr>
                <w:rFonts w:hint="eastAsia"/>
                <w:color w:val="auto"/>
                <w:sz w:val="20"/>
              </w:rPr>
              <w:t>1500*2100mm</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rPr>
                <w:rFonts w:ascii="宋体" w:hAnsi="宋体" w:cs="宋体"/>
                <w:color w:val="auto"/>
                <w:sz w:val="18"/>
                <w:szCs w:val="18"/>
              </w:rPr>
            </w:pPr>
            <w:r>
              <w:rPr>
                <w:rFonts w:hint="eastAsia"/>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11</w:t>
            </w:r>
          </w:p>
        </w:tc>
        <w:tc>
          <w:tcPr>
            <w:tcW w:w="2265" w:type="dxa"/>
            <w:vAlign w:val="center"/>
          </w:tcPr>
          <w:p>
            <w:pPr>
              <w:rPr>
                <w:rFonts w:ascii="宋体" w:hAnsi="宋体" w:cs="宋体"/>
                <w:color w:val="auto"/>
                <w:sz w:val="20"/>
              </w:rPr>
            </w:pPr>
            <w:r>
              <w:rPr>
                <w:rFonts w:hint="eastAsia"/>
                <w:color w:val="auto"/>
                <w:sz w:val="20"/>
              </w:rPr>
              <w:t>设备门</w:t>
            </w:r>
          </w:p>
        </w:tc>
        <w:tc>
          <w:tcPr>
            <w:tcW w:w="5445" w:type="dxa"/>
            <w:vAlign w:val="center"/>
          </w:tcPr>
          <w:p>
            <w:pPr>
              <w:rPr>
                <w:rFonts w:ascii="宋体" w:hAnsi="宋体" w:cs="宋体"/>
                <w:color w:val="auto"/>
                <w:sz w:val="20"/>
              </w:rPr>
            </w:pPr>
            <w:r>
              <w:rPr>
                <w:rFonts w:hint="eastAsia"/>
                <w:color w:val="auto"/>
                <w:sz w:val="20"/>
              </w:rPr>
              <w:t>1.门代号及洞口尺寸:M4单开门 1200*2100mm</w:t>
            </w:r>
            <w:r>
              <w:rPr>
                <w:rFonts w:hint="eastAsia"/>
                <w:color w:val="auto"/>
                <w:sz w:val="20"/>
              </w:rPr>
              <w:br w:type="textWrapping"/>
            </w:r>
            <w:r>
              <w:rPr>
                <w:rFonts w:hint="eastAsia"/>
                <w:color w:val="auto"/>
                <w:sz w:val="20"/>
              </w:rPr>
              <w:t>2.门材质:铝合金门框+洁净板门体</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rPr>
                <w:rFonts w:ascii="宋体" w:hAnsi="宋体" w:cs="宋体"/>
                <w:color w:val="auto"/>
                <w:sz w:val="18"/>
                <w:szCs w:val="18"/>
              </w:rPr>
            </w:pPr>
            <w:r>
              <w:rPr>
                <w:rFonts w:hint="eastAsia"/>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12</w:t>
            </w:r>
          </w:p>
        </w:tc>
        <w:tc>
          <w:tcPr>
            <w:tcW w:w="2265" w:type="dxa"/>
            <w:vAlign w:val="center"/>
          </w:tcPr>
          <w:p>
            <w:pPr>
              <w:rPr>
                <w:rFonts w:ascii="宋体" w:hAnsi="宋体" w:cs="宋体"/>
                <w:color w:val="auto"/>
                <w:sz w:val="20"/>
              </w:rPr>
            </w:pPr>
            <w:r>
              <w:rPr>
                <w:rFonts w:hint="eastAsia"/>
                <w:color w:val="auto"/>
                <w:sz w:val="20"/>
              </w:rPr>
              <w:t>门封头</w:t>
            </w:r>
          </w:p>
        </w:tc>
        <w:tc>
          <w:tcPr>
            <w:tcW w:w="5445" w:type="dxa"/>
            <w:vAlign w:val="center"/>
          </w:tcPr>
          <w:p>
            <w:pPr>
              <w:rPr>
                <w:rFonts w:ascii="宋体" w:hAnsi="宋体" w:cs="宋体"/>
                <w:color w:val="auto"/>
                <w:sz w:val="20"/>
              </w:rPr>
            </w:pPr>
            <w:r>
              <w:rPr>
                <w:rFonts w:hint="eastAsia"/>
                <w:color w:val="auto"/>
                <w:sz w:val="20"/>
              </w:rPr>
              <w:t>铝合金制</w:t>
            </w:r>
          </w:p>
        </w:tc>
        <w:tc>
          <w:tcPr>
            <w:tcW w:w="1155" w:type="dxa"/>
            <w:vAlign w:val="center"/>
          </w:tcPr>
          <w:p>
            <w:pPr>
              <w:jc w:val="center"/>
              <w:rPr>
                <w:rFonts w:ascii="宋体" w:hAnsi="宋体" w:cs="宋体"/>
                <w:color w:val="auto"/>
                <w:sz w:val="20"/>
              </w:rPr>
            </w:pPr>
            <w:r>
              <w:rPr>
                <w:rFonts w:hint="eastAsia"/>
                <w:color w:val="auto"/>
                <w:sz w:val="20"/>
              </w:rPr>
              <w:t>只</w:t>
            </w:r>
          </w:p>
        </w:tc>
        <w:tc>
          <w:tcPr>
            <w:tcW w:w="975" w:type="dxa"/>
            <w:vAlign w:val="center"/>
          </w:tcPr>
          <w:p>
            <w:pPr>
              <w:jc w:val="center"/>
              <w:rPr>
                <w:rFonts w:ascii="宋体" w:hAnsi="宋体" w:cs="宋体"/>
                <w:color w:val="auto"/>
                <w:sz w:val="20"/>
              </w:rPr>
            </w:pPr>
            <w:r>
              <w:rPr>
                <w:rFonts w:hint="eastAsia"/>
                <w:color w:val="auto"/>
                <w:sz w:val="20"/>
              </w:rPr>
              <w:t>44</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13</w:t>
            </w:r>
          </w:p>
        </w:tc>
        <w:tc>
          <w:tcPr>
            <w:tcW w:w="2265" w:type="dxa"/>
            <w:vAlign w:val="center"/>
          </w:tcPr>
          <w:p>
            <w:pPr>
              <w:rPr>
                <w:rFonts w:ascii="宋体" w:hAnsi="宋体" w:cs="宋体"/>
                <w:color w:val="auto"/>
                <w:sz w:val="20"/>
              </w:rPr>
            </w:pPr>
            <w:r>
              <w:rPr>
                <w:rFonts w:hint="eastAsia"/>
                <w:color w:val="auto"/>
                <w:sz w:val="20"/>
              </w:rPr>
              <w:t>PVC抗菌板地面</w:t>
            </w:r>
          </w:p>
        </w:tc>
        <w:tc>
          <w:tcPr>
            <w:tcW w:w="5445" w:type="dxa"/>
            <w:vAlign w:val="center"/>
          </w:tcPr>
          <w:p>
            <w:pPr>
              <w:rPr>
                <w:rFonts w:ascii="宋体" w:hAnsi="宋体" w:cs="宋体"/>
                <w:color w:val="auto"/>
                <w:sz w:val="20"/>
              </w:rPr>
            </w:pPr>
            <w:r>
              <w:rPr>
                <w:rFonts w:hint="eastAsia"/>
                <w:color w:val="auto"/>
                <w:sz w:val="20"/>
              </w:rPr>
              <w:t>厚∫＝2.0mm（带自流平水泥砂浆）</w:t>
            </w:r>
          </w:p>
        </w:tc>
        <w:tc>
          <w:tcPr>
            <w:tcW w:w="1155" w:type="dxa"/>
            <w:vAlign w:val="center"/>
          </w:tcPr>
          <w:p>
            <w:pPr>
              <w:jc w:val="center"/>
              <w:rPr>
                <w:rFonts w:ascii="宋体" w:hAnsi="宋体" w:cs="宋体"/>
                <w:color w:val="auto"/>
                <w:sz w:val="20"/>
              </w:rPr>
            </w:pPr>
            <w:r>
              <w:rPr>
                <w:rFonts w:hint="eastAsia"/>
                <w:color w:val="auto"/>
                <w:sz w:val="20"/>
              </w:rPr>
              <w:t>m</w:t>
            </w:r>
            <w:r>
              <w:rPr>
                <w:rFonts w:hint="eastAsia"/>
                <w:color w:val="auto"/>
                <w:sz w:val="20"/>
                <w:vertAlign w:val="superscript"/>
              </w:rPr>
              <w:t>2</w:t>
            </w:r>
          </w:p>
        </w:tc>
        <w:tc>
          <w:tcPr>
            <w:tcW w:w="975" w:type="dxa"/>
            <w:vAlign w:val="center"/>
          </w:tcPr>
          <w:p>
            <w:pPr>
              <w:jc w:val="center"/>
              <w:rPr>
                <w:rFonts w:ascii="宋体" w:hAnsi="宋体" w:cs="宋体"/>
                <w:color w:val="auto"/>
                <w:sz w:val="20"/>
              </w:rPr>
            </w:pPr>
            <w:r>
              <w:rPr>
                <w:rFonts w:hint="eastAsia"/>
                <w:color w:val="auto"/>
                <w:sz w:val="20"/>
              </w:rPr>
              <w:t>75</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14</w:t>
            </w:r>
          </w:p>
        </w:tc>
        <w:tc>
          <w:tcPr>
            <w:tcW w:w="2265" w:type="dxa"/>
            <w:vAlign w:val="center"/>
          </w:tcPr>
          <w:p>
            <w:pPr>
              <w:rPr>
                <w:rFonts w:ascii="宋体" w:hAnsi="宋体" w:cs="宋体"/>
                <w:color w:val="auto"/>
                <w:sz w:val="20"/>
              </w:rPr>
            </w:pPr>
            <w:r>
              <w:rPr>
                <w:rFonts w:hint="eastAsia"/>
                <w:color w:val="auto"/>
                <w:sz w:val="20"/>
              </w:rPr>
              <w:t>土建墙体拆除及恢复</w:t>
            </w:r>
          </w:p>
        </w:tc>
        <w:tc>
          <w:tcPr>
            <w:tcW w:w="5445" w:type="dxa"/>
            <w:vAlign w:val="center"/>
          </w:tcPr>
          <w:p>
            <w:pP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项</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15</w:t>
            </w:r>
          </w:p>
        </w:tc>
        <w:tc>
          <w:tcPr>
            <w:tcW w:w="2265" w:type="dxa"/>
            <w:vAlign w:val="center"/>
          </w:tcPr>
          <w:p>
            <w:pPr>
              <w:rPr>
                <w:rFonts w:ascii="宋体" w:hAnsi="宋体" w:cs="宋体"/>
                <w:color w:val="auto"/>
                <w:sz w:val="20"/>
              </w:rPr>
            </w:pPr>
            <w:r>
              <w:rPr>
                <w:rFonts w:hint="eastAsia"/>
                <w:color w:val="auto"/>
                <w:sz w:val="20"/>
              </w:rPr>
              <w:t>土建墙体开洞及垃圾清运</w:t>
            </w:r>
          </w:p>
        </w:tc>
        <w:tc>
          <w:tcPr>
            <w:tcW w:w="5445" w:type="dxa"/>
            <w:vAlign w:val="center"/>
          </w:tcPr>
          <w:p>
            <w:pP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项</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18"/>
                <w:szCs w:val="18"/>
              </w:rPr>
            </w:pPr>
            <w:r>
              <w:rPr>
                <w:rFonts w:hint="eastAsia"/>
                <w:color w:val="auto"/>
                <w:sz w:val="18"/>
                <w:szCs w:val="18"/>
              </w:rPr>
              <w:t>二</w:t>
            </w:r>
          </w:p>
        </w:tc>
        <w:tc>
          <w:tcPr>
            <w:tcW w:w="2265" w:type="dxa"/>
            <w:vAlign w:val="center"/>
          </w:tcPr>
          <w:p>
            <w:pPr>
              <w:rPr>
                <w:rFonts w:ascii="宋体" w:hAnsi="宋体" w:cs="宋体"/>
                <w:color w:val="auto"/>
                <w:sz w:val="20"/>
              </w:rPr>
            </w:pPr>
            <w:r>
              <w:rPr>
                <w:rFonts w:hint="eastAsia"/>
                <w:color w:val="auto"/>
                <w:sz w:val="20"/>
              </w:rPr>
              <w:t>净化产品</w:t>
            </w:r>
          </w:p>
        </w:tc>
        <w:tc>
          <w:tcPr>
            <w:tcW w:w="5445" w:type="dxa"/>
            <w:vAlign w:val="center"/>
          </w:tcPr>
          <w:p>
            <w:pPr>
              <w:rPr>
                <w:rFonts w:ascii="宋体" w:hAnsi="宋体" w:cs="宋体"/>
                <w:color w:val="auto"/>
                <w:sz w:val="20"/>
              </w:rPr>
            </w:pPr>
          </w:p>
        </w:tc>
        <w:tc>
          <w:tcPr>
            <w:tcW w:w="1155" w:type="dxa"/>
            <w:vAlign w:val="center"/>
          </w:tcPr>
          <w:p>
            <w:pPr>
              <w:jc w:val="center"/>
              <w:rPr>
                <w:rFonts w:ascii="宋体" w:hAnsi="宋体" w:cs="宋体"/>
                <w:color w:val="auto"/>
                <w:sz w:val="20"/>
              </w:rPr>
            </w:pPr>
          </w:p>
        </w:tc>
        <w:tc>
          <w:tcPr>
            <w:tcW w:w="975" w:type="dxa"/>
            <w:vAlign w:val="center"/>
          </w:tcPr>
          <w:p>
            <w:pPr>
              <w:jc w:val="center"/>
              <w:rPr>
                <w:rFonts w:ascii="宋体" w:hAnsi="宋体" w:cs="宋体"/>
                <w:color w:val="auto"/>
                <w:sz w:val="20"/>
              </w:rPr>
            </w:pP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18"/>
                <w:szCs w:val="18"/>
              </w:rPr>
            </w:pPr>
            <w:r>
              <w:rPr>
                <w:color w:val="auto"/>
                <w:sz w:val="18"/>
                <w:szCs w:val="18"/>
              </w:rPr>
              <w:t>1</w:t>
            </w:r>
          </w:p>
        </w:tc>
        <w:tc>
          <w:tcPr>
            <w:tcW w:w="2265" w:type="dxa"/>
            <w:vAlign w:val="center"/>
          </w:tcPr>
          <w:p>
            <w:pPr>
              <w:rPr>
                <w:rFonts w:ascii="宋体" w:hAnsi="宋体" w:cs="宋体"/>
                <w:color w:val="auto"/>
                <w:sz w:val="20"/>
              </w:rPr>
            </w:pPr>
            <w:r>
              <w:rPr>
                <w:rFonts w:hint="eastAsia"/>
                <w:color w:val="auto"/>
                <w:sz w:val="20"/>
              </w:rPr>
              <w:t>高效过滤器</w:t>
            </w:r>
          </w:p>
        </w:tc>
        <w:tc>
          <w:tcPr>
            <w:tcW w:w="5445" w:type="dxa"/>
            <w:vAlign w:val="center"/>
          </w:tcPr>
          <w:p>
            <w:pPr>
              <w:rPr>
                <w:rFonts w:ascii="宋体" w:hAnsi="宋体" w:cs="宋体"/>
                <w:color w:val="auto"/>
                <w:sz w:val="20"/>
              </w:rPr>
            </w:pPr>
            <w:r>
              <w:rPr>
                <w:rFonts w:hint="eastAsia"/>
                <w:color w:val="auto"/>
                <w:sz w:val="20"/>
              </w:rPr>
              <w:t>GKF-5A、额定风量500m³/h</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9</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18"/>
                <w:szCs w:val="18"/>
              </w:rPr>
            </w:pPr>
            <w:r>
              <w:rPr>
                <w:color w:val="auto"/>
                <w:sz w:val="18"/>
                <w:szCs w:val="18"/>
              </w:rPr>
              <w:t>2</w:t>
            </w:r>
          </w:p>
        </w:tc>
        <w:tc>
          <w:tcPr>
            <w:tcW w:w="2265" w:type="dxa"/>
            <w:vAlign w:val="center"/>
          </w:tcPr>
          <w:p>
            <w:pPr>
              <w:rPr>
                <w:rFonts w:ascii="宋体" w:hAnsi="宋体" w:cs="宋体"/>
                <w:color w:val="auto"/>
                <w:sz w:val="20"/>
              </w:rPr>
            </w:pPr>
            <w:r>
              <w:rPr>
                <w:rFonts w:hint="eastAsia"/>
                <w:color w:val="auto"/>
                <w:sz w:val="20"/>
              </w:rPr>
              <w:t>铝合金送风散流器</w:t>
            </w:r>
          </w:p>
        </w:tc>
        <w:tc>
          <w:tcPr>
            <w:tcW w:w="5445" w:type="dxa"/>
            <w:vAlign w:val="center"/>
          </w:tcPr>
          <w:p>
            <w:pPr>
              <w:rPr>
                <w:rFonts w:ascii="宋体" w:hAnsi="宋体" w:cs="宋体"/>
                <w:color w:val="auto"/>
                <w:sz w:val="20"/>
              </w:rPr>
            </w:pPr>
            <w:r>
              <w:rPr>
                <w:rFonts w:hint="eastAsia"/>
                <w:color w:val="auto"/>
                <w:sz w:val="20"/>
              </w:rPr>
              <w:t>320*320</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18"/>
                <w:szCs w:val="18"/>
              </w:rPr>
            </w:pPr>
            <w:r>
              <w:rPr>
                <w:color w:val="auto"/>
                <w:sz w:val="18"/>
                <w:szCs w:val="18"/>
              </w:rPr>
              <w:t>3</w:t>
            </w:r>
          </w:p>
        </w:tc>
        <w:tc>
          <w:tcPr>
            <w:tcW w:w="2265" w:type="dxa"/>
            <w:vAlign w:val="center"/>
          </w:tcPr>
          <w:p>
            <w:pPr>
              <w:rPr>
                <w:rFonts w:ascii="宋体" w:hAnsi="宋体" w:cs="宋体"/>
                <w:color w:val="auto"/>
                <w:sz w:val="20"/>
              </w:rPr>
            </w:pPr>
            <w:r>
              <w:rPr>
                <w:rFonts w:hint="eastAsia"/>
                <w:color w:val="auto"/>
                <w:sz w:val="20"/>
              </w:rPr>
              <w:t>铝合金格式回风口</w:t>
            </w:r>
          </w:p>
        </w:tc>
        <w:tc>
          <w:tcPr>
            <w:tcW w:w="5445" w:type="dxa"/>
            <w:vAlign w:val="center"/>
          </w:tcPr>
          <w:p>
            <w:pPr>
              <w:rPr>
                <w:rFonts w:ascii="宋体" w:hAnsi="宋体" w:cs="宋体"/>
                <w:color w:val="auto"/>
                <w:sz w:val="20"/>
              </w:rPr>
            </w:pPr>
            <w:r>
              <w:rPr>
                <w:rFonts w:hint="eastAsia"/>
                <w:color w:val="auto"/>
                <w:sz w:val="20"/>
              </w:rPr>
              <w:t>320*320</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18"/>
                <w:szCs w:val="18"/>
              </w:rPr>
            </w:pPr>
            <w:r>
              <w:rPr>
                <w:color w:val="auto"/>
                <w:sz w:val="18"/>
                <w:szCs w:val="18"/>
              </w:rPr>
              <w:t>4</w:t>
            </w:r>
          </w:p>
        </w:tc>
        <w:tc>
          <w:tcPr>
            <w:tcW w:w="2265" w:type="dxa"/>
            <w:vAlign w:val="center"/>
          </w:tcPr>
          <w:p>
            <w:pPr>
              <w:rPr>
                <w:rFonts w:ascii="宋体" w:hAnsi="宋体" w:cs="宋体"/>
                <w:color w:val="auto"/>
                <w:sz w:val="20"/>
              </w:rPr>
            </w:pPr>
            <w:r>
              <w:rPr>
                <w:rFonts w:hint="eastAsia"/>
                <w:color w:val="auto"/>
                <w:sz w:val="20"/>
              </w:rPr>
              <w:t>铝合金侧排风口</w:t>
            </w:r>
          </w:p>
        </w:tc>
        <w:tc>
          <w:tcPr>
            <w:tcW w:w="5445" w:type="dxa"/>
            <w:vAlign w:val="center"/>
          </w:tcPr>
          <w:p>
            <w:pPr>
              <w:rPr>
                <w:rFonts w:ascii="宋体" w:hAnsi="宋体" w:cs="宋体"/>
                <w:color w:val="auto"/>
                <w:sz w:val="20"/>
              </w:rPr>
            </w:pPr>
            <w:r>
              <w:rPr>
                <w:rFonts w:hint="eastAsia"/>
                <w:color w:val="auto"/>
                <w:sz w:val="20"/>
              </w:rPr>
              <w:t>400*250带阻尼网</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6</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18"/>
                <w:szCs w:val="18"/>
              </w:rPr>
            </w:pPr>
            <w:r>
              <w:rPr>
                <w:color w:val="auto"/>
                <w:sz w:val="18"/>
                <w:szCs w:val="18"/>
              </w:rPr>
              <w:t>5</w:t>
            </w:r>
          </w:p>
        </w:tc>
        <w:tc>
          <w:tcPr>
            <w:tcW w:w="2265" w:type="dxa"/>
            <w:vAlign w:val="center"/>
          </w:tcPr>
          <w:p>
            <w:pPr>
              <w:rPr>
                <w:rFonts w:ascii="宋体" w:hAnsi="宋体" w:cs="宋体"/>
                <w:color w:val="auto"/>
                <w:sz w:val="20"/>
              </w:rPr>
            </w:pPr>
            <w:r>
              <w:rPr>
                <w:rFonts w:hint="eastAsia"/>
                <w:color w:val="auto"/>
                <w:sz w:val="20"/>
              </w:rPr>
              <w:t>铝合金侧排风口</w:t>
            </w:r>
          </w:p>
        </w:tc>
        <w:tc>
          <w:tcPr>
            <w:tcW w:w="5445" w:type="dxa"/>
            <w:vAlign w:val="center"/>
          </w:tcPr>
          <w:p>
            <w:pPr>
              <w:rPr>
                <w:rFonts w:ascii="宋体" w:hAnsi="宋体" w:cs="宋体"/>
                <w:color w:val="auto"/>
                <w:sz w:val="20"/>
              </w:rPr>
            </w:pPr>
            <w:r>
              <w:rPr>
                <w:rFonts w:hint="eastAsia"/>
                <w:color w:val="auto"/>
                <w:sz w:val="20"/>
              </w:rPr>
              <w:t>320*250带阻尼网</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3</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18"/>
                <w:szCs w:val="18"/>
              </w:rPr>
            </w:pPr>
            <w:r>
              <w:rPr>
                <w:color w:val="auto"/>
                <w:sz w:val="18"/>
                <w:szCs w:val="18"/>
              </w:rPr>
              <w:t>6</w:t>
            </w:r>
          </w:p>
        </w:tc>
        <w:tc>
          <w:tcPr>
            <w:tcW w:w="2265" w:type="dxa"/>
            <w:vAlign w:val="center"/>
          </w:tcPr>
          <w:p>
            <w:pPr>
              <w:rPr>
                <w:rFonts w:ascii="宋体" w:hAnsi="宋体" w:cs="宋体"/>
                <w:color w:val="auto"/>
                <w:sz w:val="20"/>
              </w:rPr>
            </w:pPr>
            <w:r>
              <w:rPr>
                <w:rFonts w:hint="eastAsia"/>
                <w:color w:val="auto"/>
                <w:sz w:val="20"/>
              </w:rPr>
              <w:t>铝合金新风百叶</w:t>
            </w:r>
          </w:p>
        </w:tc>
        <w:tc>
          <w:tcPr>
            <w:tcW w:w="5445" w:type="dxa"/>
            <w:vAlign w:val="center"/>
          </w:tcPr>
          <w:p>
            <w:pPr>
              <w:rPr>
                <w:rFonts w:ascii="宋体" w:hAnsi="宋体" w:cs="宋体"/>
                <w:color w:val="auto"/>
                <w:sz w:val="20"/>
              </w:rPr>
            </w:pPr>
            <w:r>
              <w:rPr>
                <w:rFonts w:hint="eastAsia"/>
                <w:color w:val="auto"/>
                <w:sz w:val="20"/>
              </w:rPr>
              <w:t>600*600</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18"/>
                <w:szCs w:val="18"/>
              </w:rPr>
            </w:pPr>
            <w:r>
              <w:rPr>
                <w:color w:val="auto"/>
                <w:sz w:val="18"/>
                <w:szCs w:val="18"/>
              </w:rPr>
              <w:t>7</w:t>
            </w:r>
          </w:p>
        </w:tc>
        <w:tc>
          <w:tcPr>
            <w:tcW w:w="2265" w:type="dxa"/>
            <w:vAlign w:val="center"/>
          </w:tcPr>
          <w:p>
            <w:pPr>
              <w:rPr>
                <w:rFonts w:ascii="宋体" w:hAnsi="宋体" w:cs="宋体"/>
                <w:color w:val="auto"/>
                <w:sz w:val="20"/>
              </w:rPr>
            </w:pPr>
            <w:r>
              <w:rPr>
                <w:rFonts w:hint="eastAsia"/>
                <w:color w:val="auto"/>
                <w:sz w:val="20"/>
              </w:rPr>
              <w:t>铝合金防雨百叶</w:t>
            </w:r>
          </w:p>
        </w:tc>
        <w:tc>
          <w:tcPr>
            <w:tcW w:w="5445" w:type="dxa"/>
            <w:vAlign w:val="center"/>
          </w:tcPr>
          <w:p>
            <w:pPr>
              <w:rPr>
                <w:rFonts w:ascii="宋体" w:hAnsi="宋体" w:cs="宋体"/>
                <w:color w:val="auto"/>
                <w:sz w:val="20"/>
              </w:rPr>
            </w:pPr>
            <w:r>
              <w:rPr>
                <w:rFonts w:hint="eastAsia"/>
                <w:color w:val="auto"/>
                <w:sz w:val="20"/>
              </w:rPr>
              <w:t>500*500</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18"/>
                <w:szCs w:val="18"/>
              </w:rPr>
            </w:pPr>
            <w:r>
              <w:rPr>
                <w:rFonts w:hint="eastAsia"/>
                <w:color w:val="auto"/>
                <w:sz w:val="18"/>
                <w:szCs w:val="18"/>
              </w:rPr>
              <w:t>三</w:t>
            </w:r>
          </w:p>
        </w:tc>
        <w:tc>
          <w:tcPr>
            <w:tcW w:w="2265" w:type="dxa"/>
            <w:vAlign w:val="center"/>
          </w:tcPr>
          <w:p>
            <w:pPr>
              <w:rPr>
                <w:rFonts w:ascii="宋体" w:hAnsi="宋体" w:cs="宋体"/>
                <w:color w:val="auto"/>
                <w:sz w:val="20"/>
              </w:rPr>
            </w:pPr>
            <w:r>
              <w:rPr>
                <w:rFonts w:hint="eastAsia"/>
                <w:color w:val="auto"/>
                <w:sz w:val="20"/>
              </w:rPr>
              <w:t>电气照明控制部分</w:t>
            </w:r>
          </w:p>
        </w:tc>
        <w:tc>
          <w:tcPr>
            <w:tcW w:w="5445" w:type="dxa"/>
            <w:vAlign w:val="center"/>
          </w:tcPr>
          <w:p>
            <w:pPr>
              <w:rPr>
                <w:rFonts w:ascii="宋体" w:hAnsi="宋体" w:cs="宋体"/>
                <w:color w:val="auto"/>
                <w:sz w:val="20"/>
              </w:rPr>
            </w:pPr>
          </w:p>
        </w:tc>
        <w:tc>
          <w:tcPr>
            <w:tcW w:w="1155" w:type="dxa"/>
            <w:vAlign w:val="center"/>
          </w:tcPr>
          <w:p>
            <w:pPr>
              <w:jc w:val="center"/>
              <w:rPr>
                <w:rFonts w:ascii="宋体" w:hAnsi="宋体" w:cs="宋体"/>
                <w:color w:val="auto"/>
                <w:sz w:val="20"/>
              </w:rPr>
            </w:pPr>
          </w:p>
        </w:tc>
        <w:tc>
          <w:tcPr>
            <w:tcW w:w="975" w:type="dxa"/>
            <w:vAlign w:val="center"/>
          </w:tcPr>
          <w:p>
            <w:pPr>
              <w:jc w:val="center"/>
              <w:rPr>
                <w:rFonts w:ascii="宋体" w:hAnsi="宋体" w:cs="宋体"/>
                <w:color w:val="auto"/>
                <w:sz w:val="20"/>
              </w:rPr>
            </w:pP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w:t>
            </w:r>
          </w:p>
        </w:tc>
        <w:tc>
          <w:tcPr>
            <w:tcW w:w="2265" w:type="dxa"/>
            <w:vAlign w:val="center"/>
          </w:tcPr>
          <w:p>
            <w:pPr>
              <w:rPr>
                <w:rFonts w:ascii="宋体" w:hAnsi="宋体" w:cs="宋体"/>
                <w:color w:val="auto"/>
                <w:sz w:val="20"/>
              </w:rPr>
            </w:pPr>
            <w:r>
              <w:rPr>
                <w:rFonts w:hint="eastAsia"/>
                <w:color w:val="auto"/>
                <w:sz w:val="20"/>
              </w:rPr>
              <w:t>电气控制箱</w:t>
            </w:r>
          </w:p>
        </w:tc>
        <w:tc>
          <w:tcPr>
            <w:tcW w:w="5445" w:type="dxa"/>
            <w:vAlign w:val="center"/>
          </w:tcPr>
          <w:p>
            <w:pP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台</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17" w:type="dxa"/>
            <w:vAlign w:val="center"/>
          </w:tcPr>
          <w:p>
            <w:pPr>
              <w:jc w:val="center"/>
              <w:rPr>
                <w:color w:val="auto"/>
                <w:sz w:val="20"/>
              </w:rPr>
            </w:pPr>
            <w:r>
              <w:rPr>
                <w:color w:val="auto"/>
                <w:sz w:val="20"/>
              </w:rPr>
              <w:t>2</w:t>
            </w:r>
          </w:p>
        </w:tc>
        <w:tc>
          <w:tcPr>
            <w:tcW w:w="2265" w:type="dxa"/>
            <w:vAlign w:val="center"/>
          </w:tcPr>
          <w:p>
            <w:pPr>
              <w:rPr>
                <w:rFonts w:ascii="宋体" w:hAnsi="宋体" w:cs="宋体"/>
                <w:color w:val="auto"/>
                <w:sz w:val="20"/>
              </w:rPr>
            </w:pPr>
            <w:r>
              <w:rPr>
                <w:rFonts w:hint="eastAsia"/>
                <w:color w:val="auto"/>
                <w:sz w:val="20"/>
              </w:rPr>
              <w:t>LED平板净化灯</w:t>
            </w:r>
          </w:p>
        </w:tc>
        <w:tc>
          <w:tcPr>
            <w:tcW w:w="5445" w:type="dxa"/>
            <w:vAlign w:val="center"/>
          </w:tcPr>
          <w:p>
            <w:pPr>
              <w:rPr>
                <w:rFonts w:ascii="宋体" w:hAnsi="宋体" w:cs="宋体"/>
                <w:color w:val="auto"/>
                <w:sz w:val="20"/>
              </w:rPr>
            </w:pPr>
            <w:r>
              <w:rPr>
                <w:rFonts w:hint="eastAsia"/>
                <w:color w:val="auto"/>
                <w:sz w:val="20"/>
              </w:rPr>
              <w:t>48W</w:t>
            </w:r>
          </w:p>
        </w:tc>
        <w:tc>
          <w:tcPr>
            <w:tcW w:w="1155" w:type="dxa"/>
            <w:vAlign w:val="center"/>
          </w:tcPr>
          <w:p>
            <w:pPr>
              <w:jc w:val="center"/>
              <w:rPr>
                <w:rFonts w:ascii="宋体" w:hAnsi="宋体" w:cs="宋体"/>
                <w:color w:val="auto"/>
                <w:sz w:val="20"/>
              </w:rPr>
            </w:pPr>
            <w:r>
              <w:rPr>
                <w:rFonts w:hint="eastAsia"/>
                <w:color w:val="auto"/>
                <w:sz w:val="20"/>
              </w:rPr>
              <w:t>盏</w:t>
            </w:r>
          </w:p>
        </w:tc>
        <w:tc>
          <w:tcPr>
            <w:tcW w:w="975" w:type="dxa"/>
            <w:vAlign w:val="center"/>
          </w:tcPr>
          <w:p>
            <w:pPr>
              <w:jc w:val="center"/>
              <w:rPr>
                <w:rFonts w:ascii="宋体" w:hAnsi="宋体" w:cs="宋体"/>
                <w:color w:val="auto"/>
                <w:sz w:val="20"/>
              </w:rPr>
            </w:pPr>
            <w:r>
              <w:rPr>
                <w:rFonts w:hint="eastAsia"/>
                <w:color w:val="auto"/>
                <w:sz w:val="20"/>
              </w:rPr>
              <w:t>6</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3</w:t>
            </w:r>
          </w:p>
        </w:tc>
        <w:tc>
          <w:tcPr>
            <w:tcW w:w="2265" w:type="dxa"/>
            <w:vAlign w:val="center"/>
          </w:tcPr>
          <w:p>
            <w:pPr>
              <w:rPr>
                <w:rFonts w:ascii="宋体" w:hAnsi="宋体" w:cs="宋体"/>
                <w:color w:val="auto"/>
                <w:sz w:val="20"/>
              </w:rPr>
            </w:pPr>
            <w:r>
              <w:rPr>
                <w:rFonts w:hint="eastAsia"/>
                <w:color w:val="auto"/>
                <w:sz w:val="20"/>
              </w:rPr>
              <w:t>LED平板净化灯</w:t>
            </w:r>
          </w:p>
        </w:tc>
        <w:tc>
          <w:tcPr>
            <w:tcW w:w="5445" w:type="dxa"/>
            <w:vAlign w:val="center"/>
          </w:tcPr>
          <w:p>
            <w:pPr>
              <w:rPr>
                <w:rFonts w:ascii="宋体" w:hAnsi="宋体" w:cs="宋体"/>
                <w:color w:val="auto"/>
                <w:sz w:val="20"/>
              </w:rPr>
            </w:pPr>
            <w:r>
              <w:rPr>
                <w:rFonts w:hint="eastAsia"/>
                <w:color w:val="auto"/>
                <w:sz w:val="20"/>
              </w:rPr>
              <w:t>36W</w:t>
            </w:r>
          </w:p>
        </w:tc>
        <w:tc>
          <w:tcPr>
            <w:tcW w:w="1155" w:type="dxa"/>
            <w:vAlign w:val="center"/>
          </w:tcPr>
          <w:p>
            <w:pPr>
              <w:jc w:val="center"/>
              <w:rPr>
                <w:rFonts w:ascii="宋体" w:hAnsi="宋体" w:cs="宋体"/>
                <w:color w:val="auto"/>
                <w:sz w:val="20"/>
              </w:rPr>
            </w:pPr>
            <w:r>
              <w:rPr>
                <w:rFonts w:hint="eastAsia"/>
                <w:color w:val="auto"/>
                <w:sz w:val="20"/>
              </w:rPr>
              <w:t>盏</w:t>
            </w:r>
          </w:p>
        </w:tc>
        <w:tc>
          <w:tcPr>
            <w:tcW w:w="975" w:type="dxa"/>
            <w:vAlign w:val="center"/>
          </w:tcPr>
          <w:p>
            <w:pPr>
              <w:jc w:val="center"/>
              <w:rPr>
                <w:rFonts w:ascii="宋体" w:hAnsi="宋体" w:cs="宋体"/>
                <w:color w:val="auto"/>
                <w:sz w:val="20"/>
              </w:rPr>
            </w:pPr>
            <w:r>
              <w:rPr>
                <w:rFonts w:hint="eastAsia"/>
                <w:color w:val="auto"/>
                <w:sz w:val="20"/>
              </w:rPr>
              <w:t>2</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4</w:t>
            </w:r>
          </w:p>
        </w:tc>
        <w:tc>
          <w:tcPr>
            <w:tcW w:w="2265" w:type="dxa"/>
            <w:vAlign w:val="center"/>
          </w:tcPr>
          <w:p>
            <w:pPr>
              <w:rPr>
                <w:rFonts w:ascii="宋体" w:hAnsi="宋体" w:cs="宋体"/>
                <w:color w:val="auto"/>
                <w:sz w:val="20"/>
              </w:rPr>
            </w:pPr>
            <w:r>
              <w:rPr>
                <w:rFonts w:hint="eastAsia"/>
                <w:color w:val="auto"/>
                <w:sz w:val="20"/>
              </w:rPr>
              <w:t>LED平板净化灯</w:t>
            </w:r>
          </w:p>
        </w:tc>
        <w:tc>
          <w:tcPr>
            <w:tcW w:w="5445" w:type="dxa"/>
            <w:vAlign w:val="center"/>
          </w:tcPr>
          <w:p>
            <w:pPr>
              <w:rPr>
                <w:rFonts w:ascii="宋体" w:hAnsi="宋体" w:cs="宋体"/>
                <w:color w:val="auto"/>
                <w:sz w:val="20"/>
              </w:rPr>
            </w:pPr>
            <w:r>
              <w:rPr>
                <w:rFonts w:hint="eastAsia"/>
                <w:color w:val="auto"/>
                <w:sz w:val="20"/>
              </w:rPr>
              <w:t>24W</w:t>
            </w:r>
          </w:p>
        </w:tc>
        <w:tc>
          <w:tcPr>
            <w:tcW w:w="1155" w:type="dxa"/>
            <w:vAlign w:val="center"/>
          </w:tcPr>
          <w:p>
            <w:pPr>
              <w:jc w:val="center"/>
              <w:rPr>
                <w:rFonts w:ascii="宋体" w:hAnsi="宋体" w:cs="宋体"/>
                <w:color w:val="auto"/>
                <w:sz w:val="20"/>
              </w:rPr>
            </w:pPr>
            <w:r>
              <w:rPr>
                <w:rFonts w:hint="eastAsia"/>
                <w:color w:val="auto"/>
                <w:sz w:val="20"/>
              </w:rPr>
              <w:t>盏</w:t>
            </w:r>
          </w:p>
        </w:tc>
        <w:tc>
          <w:tcPr>
            <w:tcW w:w="975" w:type="dxa"/>
            <w:vAlign w:val="center"/>
          </w:tcPr>
          <w:p>
            <w:pPr>
              <w:jc w:val="center"/>
              <w:rPr>
                <w:rFonts w:ascii="宋体" w:hAnsi="宋体" w:cs="宋体"/>
                <w:color w:val="auto"/>
                <w:sz w:val="20"/>
              </w:rPr>
            </w:pPr>
            <w:r>
              <w:rPr>
                <w:rFonts w:hint="eastAsia"/>
                <w:color w:val="auto"/>
                <w:sz w:val="20"/>
              </w:rPr>
              <w:t>5</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5</w:t>
            </w:r>
          </w:p>
        </w:tc>
        <w:tc>
          <w:tcPr>
            <w:tcW w:w="2265" w:type="dxa"/>
            <w:vAlign w:val="center"/>
          </w:tcPr>
          <w:p>
            <w:pPr>
              <w:rPr>
                <w:rFonts w:ascii="宋体" w:hAnsi="宋体" w:cs="宋体"/>
                <w:color w:val="auto"/>
                <w:sz w:val="20"/>
              </w:rPr>
            </w:pPr>
            <w:r>
              <w:rPr>
                <w:rFonts w:hint="eastAsia"/>
                <w:color w:val="auto"/>
                <w:sz w:val="20"/>
              </w:rPr>
              <w:t>紫外线杀菌灯</w:t>
            </w:r>
          </w:p>
        </w:tc>
        <w:tc>
          <w:tcPr>
            <w:tcW w:w="5445" w:type="dxa"/>
            <w:vAlign w:val="center"/>
          </w:tcPr>
          <w:p>
            <w:pPr>
              <w:rPr>
                <w:rFonts w:ascii="宋体" w:hAnsi="宋体" w:cs="宋体"/>
                <w:color w:val="auto"/>
                <w:sz w:val="20"/>
              </w:rPr>
            </w:pPr>
            <w:r>
              <w:rPr>
                <w:rFonts w:hint="eastAsia"/>
                <w:color w:val="auto"/>
                <w:sz w:val="20"/>
              </w:rPr>
              <w:t>1*30W悬挂式不锈钢制</w:t>
            </w:r>
          </w:p>
        </w:tc>
        <w:tc>
          <w:tcPr>
            <w:tcW w:w="1155" w:type="dxa"/>
            <w:vAlign w:val="center"/>
          </w:tcPr>
          <w:p>
            <w:pPr>
              <w:jc w:val="center"/>
              <w:rPr>
                <w:rFonts w:ascii="宋体" w:hAnsi="宋体" w:cs="宋体"/>
                <w:color w:val="auto"/>
                <w:sz w:val="20"/>
              </w:rPr>
            </w:pPr>
            <w:r>
              <w:rPr>
                <w:rFonts w:hint="eastAsia"/>
                <w:color w:val="auto"/>
                <w:sz w:val="20"/>
              </w:rPr>
              <w:t>盏</w:t>
            </w:r>
          </w:p>
        </w:tc>
        <w:tc>
          <w:tcPr>
            <w:tcW w:w="975" w:type="dxa"/>
            <w:vAlign w:val="center"/>
          </w:tcPr>
          <w:p>
            <w:pPr>
              <w:jc w:val="center"/>
              <w:rPr>
                <w:rFonts w:ascii="宋体" w:hAnsi="宋体" w:cs="宋体"/>
                <w:color w:val="auto"/>
                <w:sz w:val="20"/>
              </w:rPr>
            </w:pPr>
            <w:r>
              <w:rPr>
                <w:rFonts w:hint="eastAsia"/>
                <w:color w:val="auto"/>
                <w:sz w:val="20"/>
              </w:rPr>
              <w:t>6</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6</w:t>
            </w:r>
          </w:p>
        </w:tc>
        <w:tc>
          <w:tcPr>
            <w:tcW w:w="2265" w:type="dxa"/>
            <w:vAlign w:val="center"/>
          </w:tcPr>
          <w:p>
            <w:pPr>
              <w:rPr>
                <w:rFonts w:ascii="宋体" w:hAnsi="宋体" w:cs="宋体"/>
                <w:color w:val="auto"/>
                <w:sz w:val="20"/>
              </w:rPr>
            </w:pPr>
            <w:r>
              <w:rPr>
                <w:rFonts w:hint="eastAsia"/>
                <w:color w:val="auto"/>
                <w:sz w:val="20"/>
              </w:rPr>
              <w:t>紫外线杀菌灯</w:t>
            </w:r>
          </w:p>
        </w:tc>
        <w:tc>
          <w:tcPr>
            <w:tcW w:w="5445" w:type="dxa"/>
            <w:vAlign w:val="center"/>
          </w:tcPr>
          <w:p>
            <w:pPr>
              <w:rPr>
                <w:rFonts w:ascii="宋体" w:hAnsi="宋体" w:cs="宋体"/>
                <w:color w:val="auto"/>
                <w:sz w:val="20"/>
              </w:rPr>
            </w:pPr>
            <w:r>
              <w:rPr>
                <w:rFonts w:hint="eastAsia"/>
                <w:color w:val="auto"/>
                <w:sz w:val="20"/>
              </w:rPr>
              <w:t>1*20W悬挂式不锈钢制</w:t>
            </w:r>
          </w:p>
        </w:tc>
        <w:tc>
          <w:tcPr>
            <w:tcW w:w="1155" w:type="dxa"/>
            <w:vAlign w:val="center"/>
          </w:tcPr>
          <w:p>
            <w:pPr>
              <w:jc w:val="center"/>
              <w:rPr>
                <w:rFonts w:ascii="宋体" w:hAnsi="宋体" w:cs="宋体"/>
                <w:color w:val="auto"/>
                <w:sz w:val="20"/>
              </w:rPr>
            </w:pPr>
            <w:r>
              <w:rPr>
                <w:rFonts w:hint="eastAsia"/>
                <w:color w:val="auto"/>
                <w:sz w:val="20"/>
              </w:rPr>
              <w:t>盏</w:t>
            </w:r>
          </w:p>
        </w:tc>
        <w:tc>
          <w:tcPr>
            <w:tcW w:w="975" w:type="dxa"/>
            <w:vAlign w:val="center"/>
          </w:tcPr>
          <w:p>
            <w:pPr>
              <w:jc w:val="center"/>
              <w:rPr>
                <w:rFonts w:ascii="宋体" w:hAnsi="宋体" w:cs="宋体"/>
                <w:color w:val="auto"/>
                <w:sz w:val="20"/>
              </w:rPr>
            </w:pPr>
            <w:r>
              <w:rPr>
                <w:rFonts w:hint="eastAsia"/>
                <w:color w:val="auto"/>
                <w:sz w:val="20"/>
              </w:rPr>
              <w:t>7</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7</w:t>
            </w:r>
          </w:p>
        </w:tc>
        <w:tc>
          <w:tcPr>
            <w:tcW w:w="2265" w:type="dxa"/>
            <w:vAlign w:val="center"/>
          </w:tcPr>
          <w:p>
            <w:pPr>
              <w:rPr>
                <w:rFonts w:ascii="宋体" w:hAnsi="宋体" w:cs="宋体"/>
                <w:color w:val="auto"/>
                <w:sz w:val="20"/>
              </w:rPr>
            </w:pPr>
            <w:r>
              <w:rPr>
                <w:rFonts w:hint="eastAsia"/>
                <w:color w:val="auto"/>
                <w:sz w:val="20"/>
              </w:rPr>
              <w:t>工作中指示灯</w:t>
            </w:r>
          </w:p>
        </w:tc>
        <w:tc>
          <w:tcPr>
            <w:tcW w:w="5445" w:type="dxa"/>
            <w:vAlign w:val="center"/>
          </w:tcPr>
          <w:p>
            <w:pPr>
              <w:rPr>
                <w:rFonts w:ascii="宋体" w:hAnsi="宋体" w:cs="宋体"/>
                <w:color w:val="auto"/>
                <w:sz w:val="20"/>
              </w:rPr>
            </w:pPr>
            <w:r>
              <w:rPr>
                <w:rFonts w:hint="eastAsia"/>
                <w:color w:val="auto"/>
                <w:sz w:val="20"/>
              </w:rPr>
              <w:t>LED</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4</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8</w:t>
            </w:r>
          </w:p>
        </w:tc>
        <w:tc>
          <w:tcPr>
            <w:tcW w:w="2265" w:type="dxa"/>
            <w:vAlign w:val="center"/>
          </w:tcPr>
          <w:p>
            <w:pPr>
              <w:rPr>
                <w:rFonts w:ascii="宋体" w:hAnsi="宋体" w:cs="宋体"/>
                <w:color w:val="auto"/>
                <w:sz w:val="20"/>
              </w:rPr>
            </w:pPr>
            <w:r>
              <w:rPr>
                <w:rFonts w:hint="eastAsia"/>
                <w:color w:val="auto"/>
                <w:sz w:val="20"/>
              </w:rPr>
              <w:t>双联开关</w:t>
            </w:r>
          </w:p>
        </w:tc>
        <w:tc>
          <w:tcPr>
            <w:tcW w:w="5445" w:type="dxa"/>
            <w:vAlign w:val="center"/>
          </w:tcPr>
          <w:p>
            <w:pPr>
              <w:rPr>
                <w:rFonts w:ascii="宋体" w:hAnsi="宋体" w:cs="宋体"/>
                <w:color w:val="auto"/>
                <w:sz w:val="20"/>
              </w:rPr>
            </w:pPr>
            <w:r>
              <w:rPr>
                <w:rFonts w:hint="eastAsia"/>
                <w:color w:val="auto"/>
                <w:sz w:val="20"/>
              </w:rPr>
              <w:t>10A</w:t>
            </w:r>
          </w:p>
        </w:tc>
        <w:tc>
          <w:tcPr>
            <w:tcW w:w="1155" w:type="dxa"/>
            <w:vAlign w:val="center"/>
          </w:tcPr>
          <w:p>
            <w:pPr>
              <w:jc w:val="center"/>
              <w:rPr>
                <w:rFonts w:ascii="宋体" w:hAnsi="宋体" w:cs="宋体"/>
                <w:color w:val="auto"/>
                <w:sz w:val="20"/>
              </w:rPr>
            </w:pPr>
            <w:r>
              <w:rPr>
                <w:rFonts w:hint="eastAsia"/>
                <w:color w:val="auto"/>
                <w:sz w:val="20"/>
              </w:rPr>
              <w:t>个</w:t>
            </w:r>
          </w:p>
        </w:tc>
        <w:tc>
          <w:tcPr>
            <w:tcW w:w="975" w:type="dxa"/>
            <w:vAlign w:val="center"/>
          </w:tcPr>
          <w:p>
            <w:pPr>
              <w:jc w:val="center"/>
              <w:rPr>
                <w:rFonts w:ascii="宋体" w:hAnsi="宋体" w:cs="宋体"/>
                <w:color w:val="auto"/>
                <w:sz w:val="20"/>
              </w:rPr>
            </w:pPr>
            <w:r>
              <w:rPr>
                <w:rFonts w:hint="eastAsia"/>
                <w:color w:val="auto"/>
                <w:sz w:val="20"/>
              </w:rPr>
              <w:t>8</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9</w:t>
            </w:r>
          </w:p>
        </w:tc>
        <w:tc>
          <w:tcPr>
            <w:tcW w:w="2265" w:type="dxa"/>
            <w:vAlign w:val="center"/>
          </w:tcPr>
          <w:p>
            <w:pPr>
              <w:rPr>
                <w:rFonts w:ascii="宋体" w:hAnsi="宋体" w:cs="宋体"/>
                <w:color w:val="auto"/>
                <w:sz w:val="20"/>
              </w:rPr>
            </w:pPr>
            <w:r>
              <w:rPr>
                <w:rFonts w:hint="eastAsia"/>
                <w:color w:val="auto"/>
                <w:sz w:val="20"/>
              </w:rPr>
              <w:t>五孔插座</w:t>
            </w:r>
          </w:p>
        </w:tc>
        <w:tc>
          <w:tcPr>
            <w:tcW w:w="5445" w:type="dxa"/>
            <w:vAlign w:val="center"/>
          </w:tcPr>
          <w:p>
            <w:pPr>
              <w:rPr>
                <w:rFonts w:ascii="宋体" w:hAnsi="宋体" w:cs="宋体"/>
                <w:color w:val="auto"/>
                <w:sz w:val="20"/>
              </w:rPr>
            </w:pPr>
            <w:r>
              <w:rPr>
                <w:rFonts w:hint="eastAsia"/>
                <w:color w:val="auto"/>
                <w:sz w:val="20"/>
              </w:rPr>
              <w:t>10A</w:t>
            </w:r>
          </w:p>
        </w:tc>
        <w:tc>
          <w:tcPr>
            <w:tcW w:w="1155" w:type="dxa"/>
            <w:vAlign w:val="center"/>
          </w:tcPr>
          <w:p>
            <w:pPr>
              <w:jc w:val="center"/>
              <w:rPr>
                <w:rFonts w:ascii="宋体" w:hAnsi="宋体" w:cs="宋体"/>
                <w:color w:val="auto"/>
                <w:sz w:val="20"/>
              </w:rPr>
            </w:pPr>
            <w:r>
              <w:rPr>
                <w:rFonts w:hint="eastAsia"/>
                <w:color w:val="auto"/>
                <w:sz w:val="20"/>
              </w:rPr>
              <w:t>个</w:t>
            </w:r>
          </w:p>
        </w:tc>
        <w:tc>
          <w:tcPr>
            <w:tcW w:w="975" w:type="dxa"/>
            <w:vAlign w:val="center"/>
          </w:tcPr>
          <w:p>
            <w:pPr>
              <w:jc w:val="center"/>
              <w:rPr>
                <w:rFonts w:ascii="宋体" w:hAnsi="宋体" w:cs="宋体"/>
                <w:color w:val="auto"/>
                <w:sz w:val="20"/>
              </w:rPr>
            </w:pPr>
            <w:r>
              <w:rPr>
                <w:rFonts w:hint="eastAsia"/>
                <w:color w:val="auto"/>
                <w:sz w:val="20"/>
              </w:rPr>
              <w:t>18</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10</w:t>
            </w:r>
          </w:p>
        </w:tc>
        <w:tc>
          <w:tcPr>
            <w:tcW w:w="2265" w:type="dxa"/>
            <w:vAlign w:val="center"/>
          </w:tcPr>
          <w:p>
            <w:pPr>
              <w:rPr>
                <w:rFonts w:ascii="宋体" w:hAnsi="宋体" w:cs="宋体"/>
                <w:color w:val="auto"/>
                <w:sz w:val="20"/>
              </w:rPr>
            </w:pPr>
            <w:r>
              <w:rPr>
                <w:rFonts w:hint="eastAsia"/>
                <w:color w:val="auto"/>
                <w:sz w:val="20"/>
              </w:rPr>
              <w:t>五孔插座</w:t>
            </w:r>
          </w:p>
        </w:tc>
        <w:tc>
          <w:tcPr>
            <w:tcW w:w="5445" w:type="dxa"/>
            <w:vAlign w:val="center"/>
          </w:tcPr>
          <w:p>
            <w:pPr>
              <w:rPr>
                <w:rFonts w:ascii="宋体" w:hAnsi="宋体" w:cs="宋体"/>
                <w:color w:val="auto"/>
                <w:sz w:val="20"/>
              </w:rPr>
            </w:pPr>
            <w:r>
              <w:rPr>
                <w:rFonts w:hint="eastAsia"/>
                <w:color w:val="auto"/>
                <w:sz w:val="20"/>
              </w:rPr>
              <w:t>16A</w:t>
            </w:r>
          </w:p>
        </w:tc>
        <w:tc>
          <w:tcPr>
            <w:tcW w:w="1155" w:type="dxa"/>
            <w:vAlign w:val="center"/>
          </w:tcPr>
          <w:p>
            <w:pPr>
              <w:jc w:val="center"/>
              <w:rPr>
                <w:rFonts w:ascii="宋体" w:hAnsi="宋体" w:cs="宋体"/>
                <w:color w:val="auto"/>
                <w:sz w:val="20"/>
              </w:rPr>
            </w:pPr>
            <w:r>
              <w:rPr>
                <w:rFonts w:hint="eastAsia"/>
                <w:color w:val="auto"/>
                <w:sz w:val="20"/>
              </w:rPr>
              <w:t>个</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11</w:t>
            </w:r>
          </w:p>
        </w:tc>
        <w:tc>
          <w:tcPr>
            <w:tcW w:w="2265" w:type="dxa"/>
            <w:vAlign w:val="center"/>
          </w:tcPr>
          <w:p>
            <w:pPr>
              <w:rPr>
                <w:rFonts w:ascii="宋体" w:hAnsi="宋体" w:cs="宋体"/>
                <w:color w:val="auto"/>
                <w:sz w:val="20"/>
              </w:rPr>
            </w:pPr>
            <w:r>
              <w:rPr>
                <w:rFonts w:hint="eastAsia"/>
                <w:color w:val="auto"/>
                <w:sz w:val="20"/>
              </w:rPr>
              <w:t>电缆线</w:t>
            </w:r>
          </w:p>
        </w:tc>
        <w:tc>
          <w:tcPr>
            <w:tcW w:w="5445" w:type="dxa"/>
            <w:vAlign w:val="center"/>
          </w:tcPr>
          <w:p>
            <w:pPr>
              <w:rPr>
                <w:rFonts w:ascii="宋体" w:hAnsi="宋体" w:cs="宋体"/>
                <w:color w:val="auto"/>
                <w:sz w:val="20"/>
              </w:rPr>
            </w:pPr>
            <w:r>
              <w:rPr>
                <w:rFonts w:hint="eastAsia"/>
                <w:color w:val="auto"/>
                <w:sz w:val="20"/>
              </w:rPr>
              <w:t>YJV-5*16mm</w:t>
            </w:r>
          </w:p>
        </w:tc>
        <w:tc>
          <w:tcPr>
            <w:tcW w:w="1155" w:type="dxa"/>
            <w:vAlign w:val="center"/>
          </w:tcPr>
          <w:p>
            <w:pPr>
              <w:jc w:val="center"/>
              <w:rPr>
                <w:rFonts w:ascii="宋体" w:hAnsi="宋体" w:cs="宋体"/>
                <w:color w:val="auto"/>
                <w:sz w:val="20"/>
              </w:rPr>
            </w:pPr>
            <w:r>
              <w:rPr>
                <w:rFonts w:hint="eastAsia"/>
                <w:color w:val="auto"/>
                <w:sz w:val="20"/>
              </w:rPr>
              <w:t>M</w:t>
            </w:r>
          </w:p>
        </w:tc>
        <w:tc>
          <w:tcPr>
            <w:tcW w:w="975" w:type="dxa"/>
            <w:vAlign w:val="center"/>
          </w:tcPr>
          <w:p>
            <w:pPr>
              <w:jc w:val="center"/>
              <w:rPr>
                <w:rFonts w:ascii="宋体" w:hAnsi="宋体" w:cs="宋体"/>
                <w:color w:val="auto"/>
                <w:sz w:val="20"/>
              </w:rPr>
            </w:pPr>
            <w:r>
              <w:rPr>
                <w:rFonts w:hint="eastAsia"/>
                <w:color w:val="auto"/>
                <w:sz w:val="20"/>
              </w:rPr>
              <w:t>30</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12</w:t>
            </w:r>
          </w:p>
        </w:tc>
        <w:tc>
          <w:tcPr>
            <w:tcW w:w="2265" w:type="dxa"/>
            <w:vAlign w:val="center"/>
          </w:tcPr>
          <w:p>
            <w:pPr>
              <w:rPr>
                <w:rFonts w:ascii="宋体" w:hAnsi="宋体" w:cs="宋体"/>
                <w:color w:val="auto"/>
                <w:sz w:val="20"/>
              </w:rPr>
            </w:pPr>
            <w:r>
              <w:rPr>
                <w:rFonts w:hint="eastAsia"/>
                <w:color w:val="auto"/>
                <w:sz w:val="20"/>
              </w:rPr>
              <w:t>电线</w:t>
            </w:r>
          </w:p>
        </w:tc>
        <w:tc>
          <w:tcPr>
            <w:tcW w:w="5445" w:type="dxa"/>
            <w:vAlign w:val="center"/>
          </w:tcPr>
          <w:p>
            <w:pPr>
              <w:rPr>
                <w:rFonts w:ascii="宋体" w:hAnsi="宋体" w:cs="宋体"/>
                <w:color w:val="auto"/>
                <w:sz w:val="20"/>
              </w:rPr>
            </w:pPr>
            <w:r>
              <w:rPr>
                <w:rFonts w:hint="eastAsia"/>
                <w:color w:val="auto"/>
                <w:sz w:val="20"/>
              </w:rPr>
              <w:t>ZR-BVR-2.5mm</w:t>
            </w:r>
          </w:p>
        </w:tc>
        <w:tc>
          <w:tcPr>
            <w:tcW w:w="1155" w:type="dxa"/>
            <w:vAlign w:val="center"/>
          </w:tcPr>
          <w:p>
            <w:pPr>
              <w:jc w:val="center"/>
              <w:rPr>
                <w:rFonts w:ascii="宋体" w:hAnsi="宋体" w:cs="宋体"/>
                <w:color w:val="auto"/>
                <w:sz w:val="20"/>
              </w:rPr>
            </w:pPr>
            <w:r>
              <w:rPr>
                <w:rFonts w:hint="eastAsia"/>
                <w:color w:val="auto"/>
                <w:sz w:val="20"/>
              </w:rPr>
              <w:t>M</w:t>
            </w:r>
          </w:p>
        </w:tc>
        <w:tc>
          <w:tcPr>
            <w:tcW w:w="975" w:type="dxa"/>
            <w:vAlign w:val="center"/>
          </w:tcPr>
          <w:p>
            <w:pPr>
              <w:jc w:val="center"/>
              <w:rPr>
                <w:rFonts w:ascii="宋体" w:hAnsi="宋体" w:cs="宋体"/>
                <w:color w:val="auto"/>
                <w:sz w:val="20"/>
              </w:rPr>
            </w:pPr>
            <w:r>
              <w:rPr>
                <w:rFonts w:hint="eastAsia"/>
                <w:color w:val="auto"/>
                <w:sz w:val="20"/>
              </w:rPr>
              <w:t>450</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13</w:t>
            </w:r>
          </w:p>
        </w:tc>
        <w:tc>
          <w:tcPr>
            <w:tcW w:w="2265" w:type="dxa"/>
            <w:vAlign w:val="center"/>
          </w:tcPr>
          <w:p>
            <w:pPr>
              <w:rPr>
                <w:rFonts w:ascii="宋体" w:hAnsi="宋体" w:cs="宋体"/>
                <w:color w:val="auto"/>
                <w:sz w:val="20"/>
              </w:rPr>
            </w:pPr>
            <w:r>
              <w:rPr>
                <w:rFonts w:hint="eastAsia"/>
                <w:color w:val="auto"/>
                <w:sz w:val="20"/>
              </w:rPr>
              <w:t>电线</w:t>
            </w:r>
          </w:p>
        </w:tc>
        <w:tc>
          <w:tcPr>
            <w:tcW w:w="5445" w:type="dxa"/>
            <w:vAlign w:val="center"/>
          </w:tcPr>
          <w:p>
            <w:pPr>
              <w:rPr>
                <w:rFonts w:ascii="宋体" w:hAnsi="宋体" w:cs="宋体"/>
                <w:color w:val="auto"/>
                <w:sz w:val="20"/>
              </w:rPr>
            </w:pPr>
            <w:r>
              <w:rPr>
                <w:rFonts w:hint="eastAsia"/>
                <w:color w:val="auto"/>
                <w:sz w:val="20"/>
              </w:rPr>
              <w:t>ZR-BVR-4mm</w:t>
            </w:r>
          </w:p>
        </w:tc>
        <w:tc>
          <w:tcPr>
            <w:tcW w:w="1155" w:type="dxa"/>
            <w:vAlign w:val="center"/>
          </w:tcPr>
          <w:p>
            <w:pPr>
              <w:jc w:val="center"/>
              <w:rPr>
                <w:rFonts w:ascii="宋体" w:hAnsi="宋体" w:cs="宋体"/>
                <w:color w:val="auto"/>
                <w:sz w:val="20"/>
              </w:rPr>
            </w:pPr>
            <w:r>
              <w:rPr>
                <w:rFonts w:hint="eastAsia"/>
                <w:color w:val="auto"/>
                <w:sz w:val="20"/>
              </w:rPr>
              <w:t>M</w:t>
            </w:r>
          </w:p>
        </w:tc>
        <w:tc>
          <w:tcPr>
            <w:tcW w:w="975" w:type="dxa"/>
            <w:vAlign w:val="center"/>
          </w:tcPr>
          <w:p>
            <w:pPr>
              <w:jc w:val="center"/>
              <w:rPr>
                <w:rFonts w:ascii="宋体" w:hAnsi="宋体" w:cs="宋体"/>
                <w:color w:val="auto"/>
                <w:sz w:val="20"/>
              </w:rPr>
            </w:pPr>
            <w:r>
              <w:rPr>
                <w:rFonts w:hint="eastAsia"/>
                <w:color w:val="auto"/>
                <w:sz w:val="20"/>
              </w:rPr>
              <w:t>600</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14</w:t>
            </w:r>
          </w:p>
        </w:tc>
        <w:tc>
          <w:tcPr>
            <w:tcW w:w="2265" w:type="dxa"/>
            <w:vAlign w:val="center"/>
          </w:tcPr>
          <w:p>
            <w:pPr>
              <w:rPr>
                <w:rFonts w:ascii="宋体" w:hAnsi="宋体" w:cs="宋体"/>
                <w:color w:val="auto"/>
                <w:sz w:val="20"/>
              </w:rPr>
            </w:pPr>
            <w:r>
              <w:rPr>
                <w:rFonts w:hint="eastAsia"/>
                <w:color w:val="auto"/>
                <w:sz w:val="20"/>
              </w:rPr>
              <w:t>穿线管</w:t>
            </w:r>
          </w:p>
        </w:tc>
        <w:tc>
          <w:tcPr>
            <w:tcW w:w="5445" w:type="dxa"/>
            <w:vAlign w:val="center"/>
          </w:tcPr>
          <w:p>
            <w:pPr>
              <w:rPr>
                <w:rFonts w:ascii="宋体" w:hAnsi="宋体" w:cs="宋体"/>
                <w:color w:val="auto"/>
                <w:sz w:val="20"/>
              </w:rPr>
            </w:pPr>
            <w:r>
              <w:rPr>
                <w:rFonts w:hint="eastAsia"/>
                <w:color w:val="auto"/>
                <w:sz w:val="20"/>
              </w:rPr>
              <w:t>JDG20-JDG25</w:t>
            </w:r>
          </w:p>
        </w:tc>
        <w:tc>
          <w:tcPr>
            <w:tcW w:w="1155" w:type="dxa"/>
            <w:vAlign w:val="center"/>
          </w:tcPr>
          <w:p>
            <w:pPr>
              <w:jc w:val="center"/>
              <w:rPr>
                <w:rFonts w:ascii="宋体" w:hAnsi="宋体" w:cs="宋体"/>
                <w:color w:val="auto"/>
                <w:sz w:val="20"/>
              </w:rPr>
            </w:pPr>
            <w:r>
              <w:rPr>
                <w:rFonts w:hint="eastAsia"/>
                <w:color w:val="auto"/>
                <w:sz w:val="20"/>
              </w:rPr>
              <w:t>M</w:t>
            </w:r>
          </w:p>
        </w:tc>
        <w:tc>
          <w:tcPr>
            <w:tcW w:w="975" w:type="dxa"/>
            <w:vAlign w:val="center"/>
          </w:tcPr>
          <w:p>
            <w:pPr>
              <w:jc w:val="center"/>
              <w:rPr>
                <w:rFonts w:ascii="宋体" w:hAnsi="宋体" w:cs="宋体"/>
                <w:color w:val="auto"/>
                <w:sz w:val="20"/>
              </w:rPr>
            </w:pPr>
            <w:r>
              <w:rPr>
                <w:rFonts w:hint="eastAsia"/>
                <w:color w:val="auto"/>
                <w:sz w:val="20"/>
              </w:rPr>
              <w:t>350</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rPr>
                <w:rFonts w:ascii="宋体" w:hAnsi="宋体" w:cs="宋体"/>
                <w:color w:val="auto"/>
                <w:sz w:val="18"/>
                <w:szCs w:val="18"/>
              </w:rPr>
            </w:pPr>
            <w:r>
              <w:rPr>
                <w:rFonts w:hint="eastAsia"/>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 w:val="20"/>
              </w:rPr>
            </w:pPr>
            <w:r>
              <w:rPr>
                <w:rFonts w:hint="eastAsia"/>
                <w:color w:val="auto"/>
                <w:sz w:val="20"/>
              </w:rPr>
              <w:t>四</w:t>
            </w:r>
          </w:p>
        </w:tc>
        <w:tc>
          <w:tcPr>
            <w:tcW w:w="2265" w:type="dxa"/>
            <w:vAlign w:val="center"/>
          </w:tcPr>
          <w:p>
            <w:pPr>
              <w:rPr>
                <w:rFonts w:ascii="宋体" w:hAnsi="宋体" w:cs="宋体"/>
                <w:color w:val="auto"/>
                <w:sz w:val="20"/>
              </w:rPr>
            </w:pPr>
            <w:r>
              <w:rPr>
                <w:rFonts w:hint="eastAsia"/>
                <w:color w:val="auto"/>
                <w:sz w:val="20"/>
              </w:rPr>
              <w:t xml:space="preserve">通风管道部分     </w:t>
            </w:r>
          </w:p>
        </w:tc>
        <w:tc>
          <w:tcPr>
            <w:tcW w:w="5445" w:type="dxa"/>
            <w:vAlign w:val="center"/>
          </w:tcPr>
          <w:p>
            <w:pPr>
              <w:jc w:val="center"/>
              <w:rPr>
                <w:rFonts w:ascii="宋体" w:hAnsi="宋体" w:cs="宋体"/>
                <w:color w:val="auto"/>
                <w:sz w:val="20"/>
              </w:rPr>
            </w:pPr>
          </w:p>
        </w:tc>
        <w:tc>
          <w:tcPr>
            <w:tcW w:w="1155" w:type="dxa"/>
            <w:vAlign w:val="center"/>
          </w:tcPr>
          <w:p>
            <w:pPr>
              <w:jc w:val="center"/>
              <w:rPr>
                <w:rFonts w:ascii="宋体" w:hAnsi="宋体" w:cs="宋体"/>
                <w:color w:val="auto"/>
                <w:sz w:val="20"/>
              </w:rPr>
            </w:pPr>
          </w:p>
        </w:tc>
        <w:tc>
          <w:tcPr>
            <w:tcW w:w="975" w:type="dxa"/>
            <w:vAlign w:val="center"/>
          </w:tcPr>
          <w:p>
            <w:pPr>
              <w:jc w:val="center"/>
              <w:rPr>
                <w:rFonts w:ascii="宋体" w:hAnsi="宋体" w:cs="宋体"/>
                <w:color w:val="auto"/>
                <w:sz w:val="20"/>
              </w:rPr>
            </w:pPr>
          </w:p>
        </w:tc>
        <w:tc>
          <w:tcPr>
            <w:tcW w:w="1080" w:type="dxa"/>
            <w:vAlign w:val="center"/>
          </w:tcPr>
          <w:p>
            <w:pPr>
              <w:rPr>
                <w:rFonts w:ascii="宋体" w:hAnsi="宋体" w:cs="宋体"/>
                <w:color w:val="auto"/>
                <w:sz w:val="20"/>
              </w:rPr>
            </w:pPr>
            <w:r>
              <w:rPr>
                <w:rFonts w:hint="eastAsia"/>
                <w:color w:val="auto"/>
                <w:sz w:val="20"/>
              </w:rPr>
              <w:t>　</w:t>
            </w:r>
          </w:p>
        </w:tc>
        <w:tc>
          <w:tcPr>
            <w:tcW w:w="1110" w:type="dxa"/>
            <w:vAlign w:val="center"/>
          </w:tcPr>
          <w:p>
            <w:pP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w:t>
            </w:r>
          </w:p>
        </w:tc>
        <w:tc>
          <w:tcPr>
            <w:tcW w:w="2265" w:type="dxa"/>
            <w:vAlign w:val="center"/>
          </w:tcPr>
          <w:p>
            <w:pPr>
              <w:rPr>
                <w:rFonts w:ascii="宋体" w:hAnsi="宋体" w:cs="宋体"/>
                <w:color w:val="auto"/>
                <w:sz w:val="20"/>
              </w:rPr>
            </w:pPr>
            <w:r>
              <w:rPr>
                <w:rFonts w:hint="eastAsia"/>
                <w:color w:val="auto"/>
                <w:sz w:val="20"/>
              </w:rPr>
              <w:t>镀锌钢板</w:t>
            </w:r>
          </w:p>
        </w:tc>
        <w:tc>
          <w:tcPr>
            <w:tcW w:w="5445" w:type="dxa"/>
            <w:vAlign w:val="center"/>
          </w:tcPr>
          <w:p>
            <w:pPr>
              <w:rPr>
                <w:rFonts w:ascii="宋体" w:hAnsi="宋体" w:cs="宋体"/>
                <w:color w:val="auto"/>
                <w:sz w:val="20"/>
              </w:rPr>
            </w:pPr>
            <w:r>
              <w:rPr>
                <w:rFonts w:hint="eastAsia"/>
                <w:color w:val="auto"/>
                <w:sz w:val="20"/>
              </w:rPr>
              <w:t>∫＝0.6mm</w:t>
            </w:r>
          </w:p>
        </w:tc>
        <w:tc>
          <w:tcPr>
            <w:tcW w:w="1155" w:type="dxa"/>
            <w:vAlign w:val="center"/>
          </w:tcPr>
          <w:p>
            <w:pPr>
              <w:jc w:val="center"/>
              <w:rPr>
                <w:rFonts w:ascii="宋体" w:hAnsi="宋体" w:cs="宋体"/>
                <w:color w:val="auto"/>
                <w:sz w:val="20"/>
              </w:rPr>
            </w:pPr>
            <w:r>
              <w:rPr>
                <w:rFonts w:hint="eastAsia"/>
                <w:color w:val="auto"/>
                <w:sz w:val="20"/>
              </w:rPr>
              <w:t>m</w:t>
            </w:r>
            <w:r>
              <w:rPr>
                <w:rFonts w:hint="eastAsia"/>
                <w:color w:val="auto"/>
                <w:sz w:val="20"/>
                <w:vertAlign w:val="superscript"/>
              </w:rPr>
              <w:t>2</w:t>
            </w:r>
          </w:p>
        </w:tc>
        <w:tc>
          <w:tcPr>
            <w:tcW w:w="975" w:type="dxa"/>
            <w:vAlign w:val="center"/>
          </w:tcPr>
          <w:p>
            <w:pPr>
              <w:jc w:val="center"/>
              <w:rPr>
                <w:rFonts w:ascii="宋体" w:hAnsi="宋体" w:cs="宋体"/>
                <w:color w:val="auto"/>
                <w:sz w:val="20"/>
              </w:rPr>
            </w:pPr>
            <w:r>
              <w:rPr>
                <w:rFonts w:hint="eastAsia"/>
                <w:color w:val="auto"/>
                <w:sz w:val="20"/>
              </w:rPr>
              <w:t xml:space="preserve">145 </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2</w:t>
            </w:r>
          </w:p>
        </w:tc>
        <w:tc>
          <w:tcPr>
            <w:tcW w:w="2265" w:type="dxa"/>
            <w:vAlign w:val="center"/>
          </w:tcPr>
          <w:p>
            <w:pPr>
              <w:rPr>
                <w:rFonts w:ascii="宋体" w:hAnsi="宋体" w:cs="宋体"/>
                <w:color w:val="auto"/>
                <w:sz w:val="20"/>
              </w:rPr>
            </w:pPr>
            <w:r>
              <w:rPr>
                <w:rFonts w:hint="eastAsia"/>
                <w:color w:val="auto"/>
                <w:sz w:val="20"/>
              </w:rPr>
              <w:t>圆钢、角钢</w:t>
            </w:r>
          </w:p>
        </w:tc>
        <w:tc>
          <w:tcPr>
            <w:tcW w:w="5445" w:type="dxa"/>
            <w:vAlign w:val="center"/>
          </w:tcPr>
          <w:p>
            <w:pPr>
              <w:rPr>
                <w:rFonts w:ascii="Sylfaen" w:hAnsi="Sylfaen" w:cs="宋体"/>
                <w:color w:val="auto"/>
                <w:sz w:val="20"/>
              </w:rPr>
            </w:pPr>
            <w:r>
              <w:rPr>
                <w:rFonts w:ascii="Sylfaen" w:hAnsi="Sylfaen"/>
                <w:color w:val="auto"/>
                <w:sz w:val="20"/>
              </w:rPr>
              <w:t>25</w:t>
            </w:r>
            <w:r>
              <w:rPr>
                <w:rFonts w:hint="eastAsia"/>
                <w:color w:val="auto"/>
                <w:sz w:val="20"/>
              </w:rPr>
              <w:t>*25-30*30</w:t>
            </w:r>
          </w:p>
        </w:tc>
        <w:tc>
          <w:tcPr>
            <w:tcW w:w="1155" w:type="dxa"/>
            <w:vAlign w:val="center"/>
          </w:tcPr>
          <w:p>
            <w:pPr>
              <w:jc w:val="center"/>
              <w:rPr>
                <w:rFonts w:ascii="宋体" w:hAnsi="宋体" w:cs="宋体"/>
                <w:color w:val="auto"/>
                <w:sz w:val="20"/>
              </w:rPr>
            </w:pPr>
            <w:r>
              <w:rPr>
                <w:rFonts w:hint="eastAsia"/>
                <w:color w:val="auto"/>
                <w:sz w:val="20"/>
              </w:rPr>
              <w:t>支</w:t>
            </w:r>
          </w:p>
        </w:tc>
        <w:tc>
          <w:tcPr>
            <w:tcW w:w="975" w:type="dxa"/>
            <w:vAlign w:val="center"/>
          </w:tcPr>
          <w:p>
            <w:pPr>
              <w:jc w:val="center"/>
              <w:rPr>
                <w:rFonts w:ascii="宋体" w:hAnsi="宋体" w:cs="宋体"/>
                <w:color w:val="auto"/>
                <w:sz w:val="20"/>
              </w:rPr>
            </w:pPr>
            <w:r>
              <w:rPr>
                <w:rFonts w:hint="eastAsia"/>
                <w:color w:val="auto"/>
                <w:sz w:val="20"/>
              </w:rPr>
              <w:t>70</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3</w:t>
            </w:r>
          </w:p>
        </w:tc>
        <w:tc>
          <w:tcPr>
            <w:tcW w:w="2265" w:type="dxa"/>
            <w:vAlign w:val="center"/>
          </w:tcPr>
          <w:p>
            <w:pPr>
              <w:rPr>
                <w:rFonts w:ascii="宋体" w:hAnsi="宋体" w:cs="宋体"/>
                <w:color w:val="auto"/>
                <w:sz w:val="20"/>
              </w:rPr>
            </w:pPr>
            <w:r>
              <w:rPr>
                <w:rFonts w:hint="eastAsia"/>
                <w:color w:val="auto"/>
                <w:sz w:val="20"/>
              </w:rPr>
              <w:t>圆钢、角钢</w:t>
            </w:r>
          </w:p>
        </w:tc>
        <w:tc>
          <w:tcPr>
            <w:tcW w:w="5445" w:type="dxa"/>
            <w:vAlign w:val="center"/>
          </w:tcPr>
          <w:p>
            <w:pPr>
              <w:rPr>
                <w:rFonts w:ascii="Sylfaen" w:hAnsi="Sylfaen" w:cs="宋体"/>
                <w:color w:val="auto"/>
                <w:sz w:val="20"/>
              </w:rPr>
            </w:pPr>
            <w:r>
              <w:rPr>
                <w:rFonts w:ascii="Sylfaen" w:hAnsi="Sylfaen"/>
                <w:color w:val="auto"/>
                <w:sz w:val="20"/>
              </w:rPr>
              <w:t>40</w:t>
            </w:r>
            <w:r>
              <w:rPr>
                <w:rFonts w:hint="eastAsia"/>
                <w:color w:val="auto"/>
                <w:sz w:val="20"/>
              </w:rPr>
              <w:t>*40</w:t>
            </w:r>
          </w:p>
        </w:tc>
        <w:tc>
          <w:tcPr>
            <w:tcW w:w="1155" w:type="dxa"/>
            <w:vAlign w:val="center"/>
          </w:tcPr>
          <w:p>
            <w:pPr>
              <w:jc w:val="center"/>
              <w:rPr>
                <w:rFonts w:ascii="宋体" w:hAnsi="宋体" w:cs="宋体"/>
                <w:color w:val="auto"/>
                <w:sz w:val="20"/>
              </w:rPr>
            </w:pPr>
            <w:r>
              <w:rPr>
                <w:rFonts w:hint="eastAsia"/>
                <w:color w:val="auto"/>
                <w:sz w:val="20"/>
              </w:rPr>
              <w:t>支</w:t>
            </w:r>
          </w:p>
        </w:tc>
        <w:tc>
          <w:tcPr>
            <w:tcW w:w="975" w:type="dxa"/>
            <w:vAlign w:val="center"/>
          </w:tcPr>
          <w:p>
            <w:pPr>
              <w:jc w:val="center"/>
              <w:rPr>
                <w:rFonts w:ascii="宋体" w:hAnsi="宋体" w:cs="宋体"/>
                <w:color w:val="auto"/>
                <w:sz w:val="20"/>
              </w:rPr>
            </w:pPr>
            <w:r>
              <w:rPr>
                <w:rFonts w:hint="eastAsia"/>
                <w:color w:val="auto"/>
                <w:sz w:val="20"/>
              </w:rPr>
              <w:t>10</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4</w:t>
            </w:r>
          </w:p>
        </w:tc>
        <w:tc>
          <w:tcPr>
            <w:tcW w:w="2265" w:type="dxa"/>
            <w:vAlign w:val="center"/>
          </w:tcPr>
          <w:p>
            <w:pPr>
              <w:rPr>
                <w:color w:val="auto"/>
                <w:sz w:val="20"/>
              </w:rPr>
            </w:pPr>
            <w:r>
              <w:rPr>
                <w:color w:val="auto"/>
                <w:sz w:val="20"/>
              </w:rPr>
              <w:t>PEF</w:t>
            </w:r>
            <w:r>
              <w:rPr>
                <w:rFonts w:hint="eastAsia"/>
                <w:color w:val="auto"/>
                <w:sz w:val="20"/>
              </w:rPr>
              <w:t>保温板</w:t>
            </w:r>
          </w:p>
        </w:tc>
        <w:tc>
          <w:tcPr>
            <w:tcW w:w="5445" w:type="dxa"/>
            <w:vAlign w:val="center"/>
          </w:tcPr>
          <w:p>
            <w:pPr>
              <w:rPr>
                <w:rFonts w:ascii="宋体" w:hAnsi="宋体" w:cs="宋体"/>
                <w:color w:val="auto"/>
                <w:sz w:val="20"/>
              </w:rPr>
            </w:pPr>
            <w:r>
              <w:rPr>
                <w:rFonts w:hint="eastAsia"/>
                <w:color w:val="auto"/>
                <w:sz w:val="20"/>
              </w:rPr>
              <w:t>∫＝25mm</w:t>
            </w:r>
          </w:p>
        </w:tc>
        <w:tc>
          <w:tcPr>
            <w:tcW w:w="1155" w:type="dxa"/>
            <w:vAlign w:val="center"/>
          </w:tcPr>
          <w:p>
            <w:pPr>
              <w:jc w:val="center"/>
              <w:rPr>
                <w:rFonts w:ascii="宋体" w:hAnsi="宋体" w:cs="宋体"/>
                <w:color w:val="auto"/>
                <w:sz w:val="20"/>
              </w:rPr>
            </w:pPr>
            <w:r>
              <w:rPr>
                <w:rFonts w:hint="eastAsia"/>
                <w:color w:val="auto"/>
                <w:sz w:val="20"/>
              </w:rPr>
              <w:t>m</w:t>
            </w:r>
            <w:r>
              <w:rPr>
                <w:rFonts w:hint="eastAsia"/>
                <w:color w:val="auto"/>
                <w:sz w:val="20"/>
                <w:vertAlign w:val="superscript"/>
              </w:rPr>
              <w:t>2</w:t>
            </w:r>
          </w:p>
        </w:tc>
        <w:tc>
          <w:tcPr>
            <w:tcW w:w="975" w:type="dxa"/>
            <w:vAlign w:val="center"/>
          </w:tcPr>
          <w:p>
            <w:pPr>
              <w:jc w:val="center"/>
              <w:rPr>
                <w:rFonts w:ascii="宋体" w:hAnsi="宋体" w:cs="宋体"/>
                <w:color w:val="auto"/>
                <w:sz w:val="20"/>
              </w:rPr>
            </w:pPr>
            <w:r>
              <w:rPr>
                <w:rFonts w:hint="eastAsia"/>
                <w:color w:val="auto"/>
                <w:sz w:val="20"/>
              </w:rPr>
              <w:t xml:space="preserve">145 </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5</w:t>
            </w:r>
          </w:p>
        </w:tc>
        <w:tc>
          <w:tcPr>
            <w:tcW w:w="2265" w:type="dxa"/>
            <w:vAlign w:val="center"/>
          </w:tcPr>
          <w:p>
            <w:pPr>
              <w:rPr>
                <w:rFonts w:ascii="宋体" w:hAnsi="宋体" w:cs="宋体"/>
                <w:color w:val="auto"/>
                <w:sz w:val="20"/>
              </w:rPr>
            </w:pPr>
            <w:r>
              <w:rPr>
                <w:rFonts w:hint="eastAsia"/>
                <w:color w:val="auto"/>
                <w:sz w:val="20"/>
              </w:rPr>
              <w:t>防火漆</w:t>
            </w:r>
          </w:p>
        </w:tc>
        <w:tc>
          <w:tcPr>
            <w:tcW w:w="5445" w:type="dxa"/>
            <w:vAlign w:val="center"/>
          </w:tcPr>
          <w:p>
            <w:pP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kg</w:t>
            </w:r>
          </w:p>
        </w:tc>
        <w:tc>
          <w:tcPr>
            <w:tcW w:w="975" w:type="dxa"/>
            <w:vAlign w:val="center"/>
          </w:tcPr>
          <w:p>
            <w:pPr>
              <w:jc w:val="center"/>
              <w:rPr>
                <w:rFonts w:ascii="宋体" w:hAnsi="宋体" w:cs="宋体"/>
                <w:color w:val="auto"/>
                <w:sz w:val="20"/>
              </w:rPr>
            </w:pPr>
            <w:r>
              <w:rPr>
                <w:rFonts w:hint="eastAsia"/>
                <w:color w:val="auto"/>
                <w:sz w:val="20"/>
              </w:rPr>
              <w:t>20</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6</w:t>
            </w:r>
          </w:p>
        </w:tc>
        <w:tc>
          <w:tcPr>
            <w:tcW w:w="2265" w:type="dxa"/>
            <w:vAlign w:val="center"/>
          </w:tcPr>
          <w:p>
            <w:pPr>
              <w:rPr>
                <w:rFonts w:ascii="宋体" w:hAnsi="宋体" w:cs="宋体"/>
                <w:color w:val="auto"/>
                <w:sz w:val="20"/>
              </w:rPr>
            </w:pPr>
            <w:r>
              <w:rPr>
                <w:rFonts w:hint="eastAsia"/>
                <w:color w:val="auto"/>
                <w:sz w:val="20"/>
              </w:rPr>
              <w:t>胶水</w:t>
            </w:r>
          </w:p>
        </w:tc>
        <w:tc>
          <w:tcPr>
            <w:tcW w:w="5445" w:type="dxa"/>
            <w:vAlign w:val="center"/>
          </w:tcPr>
          <w:p>
            <w:pPr>
              <w:rPr>
                <w:color w:val="auto"/>
                <w:sz w:val="20"/>
              </w:rPr>
            </w:pPr>
            <w:r>
              <w:rPr>
                <w:color w:val="auto"/>
                <w:sz w:val="20"/>
              </w:rPr>
              <w:t>　</w:t>
            </w:r>
          </w:p>
        </w:tc>
        <w:tc>
          <w:tcPr>
            <w:tcW w:w="1155" w:type="dxa"/>
            <w:vAlign w:val="center"/>
          </w:tcPr>
          <w:p>
            <w:pPr>
              <w:jc w:val="center"/>
              <w:rPr>
                <w:color w:val="auto"/>
                <w:sz w:val="20"/>
              </w:rPr>
            </w:pPr>
            <w:r>
              <w:rPr>
                <w:color w:val="auto"/>
                <w:sz w:val="20"/>
              </w:rPr>
              <w:t>kg</w:t>
            </w:r>
          </w:p>
        </w:tc>
        <w:tc>
          <w:tcPr>
            <w:tcW w:w="975" w:type="dxa"/>
            <w:vAlign w:val="center"/>
          </w:tcPr>
          <w:p>
            <w:pPr>
              <w:jc w:val="center"/>
              <w:rPr>
                <w:rFonts w:ascii="宋体" w:hAnsi="宋体" w:cs="宋体"/>
                <w:color w:val="auto"/>
                <w:sz w:val="20"/>
              </w:rPr>
            </w:pPr>
            <w:r>
              <w:rPr>
                <w:rFonts w:hint="eastAsia"/>
                <w:color w:val="auto"/>
                <w:sz w:val="20"/>
              </w:rPr>
              <w:t xml:space="preserve">35 </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7</w:t>
            </w:r>
          </w:p>
        </w:tc>
        <w:tc>
          <w:tcPr>
            <w:tcW w:w="2265" w:type="dxa"/>
            <w:vAlign w:val="center"/>
          </w:tcPr>
          <w:p>
            <w:pPr>
              <w:rPr>
                <w:rFonts w:ascii="宋体" w:hAnsi="宋体" w:cs="宋体"/>
                <w:color w:val="auto"/>
                <w:sz w:val="20"/>
              </w:rPr>
            </w:pPr>
            <w:r>
              <w:rPr>
                <w:rFonts w:hint="eastAsia"/>
                <w:color w:val="auto"/>
                <w:sz w:val="20"/>
              </w:rPr>
              <w:t>防火阀</w:t>
            </w:r>
          </w:p>
        </w:tc>
        <w:tc>
          <w:tcPr>
            <w:tcW w:w="5445" w:type="dxa"/>
            <w:vAlign w:val="center"/>
          </w:tcPr>
          <w:p>
            <w:pPr>
              <w:rPr>
                <w:rFonts w:ascii="宋体" w:hAnsi="宋体" w:cs="宋体"/>
                <w:color w:val="auto"/>
                <w:sz w:val="20"/>
              </w:rPr>
            </w:pPr>
            <w:r>
              <w:rPr>
                <w:rFonts w:hint="eastAsia"/>
                <w:color w:val="auto"/>
                <w:sz w:val="20"/>
              </w:rPr>
              <w:t>400*400容断型70℃</w:t>
            </w:r>
          </w:p>
        </w:tc>
        <w:tc>
          <w:tcPr>
            <w:tcW w:w="1155" w:type="dxa"/>
            <w:vAlign w:val="center"/>
          </w:tcPr>
          <w:p>
            <w:pPr>
              <w:jc w:val="center"/>
              <w:rPr>
                <w:rFonts w:ascii="宋体" w:hAnsi="宋体" w:cs="宋体"/>
                <w:color w:val="auto"/>
                <w:sz w:val="20"/>
              </w:rPr>
            </w:pPr>
            <w:r>
              <w:rPr>
                <w:rFonts w:hint="eastAsia"/>
                <w:color w:val="auto"/>
                <w:sz w:val="20"/>
              </w:rPr>
              <w:t>只</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8</w:t>
            </w:r>
          </w:p>
        </w:tc>
        <w:tc>
          <w:tcPr>
            <w:tcW w:w="2265" w:type="dxa"/>
            <w:vAlign w:val="center"/>
          </w:tcPr>
          <w:p>
            <w:pPr>
              <w:rPr>
                <w:rFonts w:ascii="宋体" w:hAnsi="宋体" w:cs="宋体"/>
                <w:color w:val="auto"/>
                <w:sz w:val="20"/>
              </w:rPr>
            </w:pPr>
            <w:r>
              <w:rPr>
                <w:rFonts w:hint="eastAsia"/>
                <w:color w:val="auto"/>
                <w:sz w:val="20"/>
              </w:rPr>
              <w:t>防火阀</w:t>
            </w:r>
          </w:p>
        </w:tc>
        <w:tc>
          <w:tcPr>
            <w:tcW w:w="5445" w:type="dxa"/>
            <w:vAlign w:val="center"/>
          </w:tcPr>
          <w:p>
            <w:pPr>
              <w:rPr>
                <w:rFonts w:ascii="宋体" w:hAnsi="宋体" w:cs="宋体"/>
                <w:color w:val="auto"/>
                <w:sz w:val="20"/>
              </w:rPr>
            </w:pPr>
            <w:r>
              <w:rPr>
                <w:rFonts w:hint="eastAsia"/>
                <w:color w:val="auto"/>
                <w:sz w:val="20"/>
              </w:rPr>
              <w:t>400*320容断型70℃</w:t>
            </w:r>
          </w:p>
        </w:tc>
        <w:tc>
          <w:tcPr>
            <w:tcW w:w="1155" w:type="dxa"/>
            <w:vAlign w:val="center"/>
          </w:tcPr>
          <w:p>
            <w:pPr>
              <w:jc w:val="center"/>
              <w:rPr>
                <w:rFonts w:ascii="宋体" w:hAnsi="宋体" w:cs="宋体"/>
                <w:color w:val="auto"/>
                <w:sz w:val="20"/>
              </w:rPr>
            </w:pPr>
            <w:r>
              <w:rPr>
                <w:rFonts w:hint="eastAsia"/>
                <w:color w:val="auto"/>
                <w:sz w:val="20"/>
              </w:rPr>
              <w:t>只</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9</w:t>
            </w:r>
          </w:p>
        </w:tc>
        <w:tc>
          <w:tcPr>
            <w:tcW w:w="2265" w:type="dxa"/>
            <w:vAlign w:val="center"/>
          </w:tcPr>
          <w:p>
            <w:pPr>
              <w:rPr>
                <w:rFonts w:ascii="宋体" w:hAnsi="宋体" w:cs="宋体"/>
                <w:color w:val="auto"/>
                <w:sz w:val="20"/>
              </w:rPr>
            </w:pPr>
            <w:r>
              <w:rPr>
                <w:rFonts w:hint="eastAsia"/>
                <w:color w:val="auto"/>
                <w:sz w:val="20"/>
              </w:rPr>
              <w:t>止回阀</w:t>
            </w:r>
          </w:p>
        </w:tc>
        <w:tc>
          <w:tcPr>
            <w:tcW w:w="5445" w:type="dxa"/>
            <w:vAlign w:val="center"/>
          </w:tcPr>
          <w:p>
            <w:pPr>
              <w:rPr>
                <w:rFonts w:ascii="宋体" w:hAnsi="宋体" w:cs="宋体"/>
                <w:color w:val="auto"/>
                <w:sz w:val="20"/>
              </w:rPr>
            </w:pPr>
            <w:r>
              <w:rPr>
                <w:rFonts w:hint="eastAsia"/>
                <w:color w:val="auto"/>
                <w:sz w:val="20"/>
              </w:rPr>
              <w:t>400*400钢制</w:t>
            </w:r>
          </w:p>
        </w:tc>
        <w:tc>
          <w:tcPr>
            <w:tcW w:w="1155" w:type="dxa"/>
            <w:vAlign w:val="center"/>
          </w:tcPr>
          <w:p>
            <w:pPr>
              <w:jc w:val="center"/>
              <w:rPr>
                <w:rFonts w:ascii="宋体" w:hAnsi="宋体" w:cs="宋体"/>
                <w:color w:val="auto"/>
                <w:sz w:val="20"/>
              </w:rPr>
            </w:pPr>
            <w:r>
              <w:rPr>
                <w:rFonts w:hint="eastAsia"/>
                <w:color w:val="auto"/>
                <w:sz w:val="20"/>
              </w:rPr>
              <w:t>只</w:t>
            </w:r>
          </w:p>
        </w:tc>
        <w:tc>
          <w:tcPr>
            <w:tcW w:w="975" w:type="dxa"/>
            <w:vAlign w:val="center"/>
          </w:tcPr>
          <w:p>
            <w:pPr>
              <w:jc w:val="center"/>
              <w:rPr>
                <w:rFonts w:ascii="宋体" w:hAnsi="宋体" w:cs="宋体"/>
                <w:color w:val="auto"/>
                <w:sz w:val="20"/>
              </w:rPr>
            </w:pPr>
            <w:r>
              <w:rPr>
                <w:rFonts w:hint="eastAsia"/>
                <w:color w:val="auto"/>
                <w:sz w:val="20"/>
              </w:rPr>
              <w:t xml:space="preserve">1 </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10</w:t>
            </w:r>
          </w:p>
        </w:tc>
        <w:tc>
          <w:tcPr>
            <w:tcW w:w="2265" w:type="dxa"/>
            <w:vAlign w:val="center"/>
          </w:tcPr>
          <w:p>
            <w:pPr>
              <w:rPr>
                <w:rFonts w:ascii="宋体" w:hAnsi="宋体" w:cs="宋体"/>
                <w:color w:val="auto"/>
                <w:sz w:val="20"/>
              </w:rPr>
            </w:pPr>
            <w:r>
              <w:rPr>
                <w:rFonts w:hint="eastAsia"/>
                <w:color w:val="auto"/>
                <w:sz w:val="20"/>
              </w:rPr>
              <w:t>风量调节阀</w:t>
            </w:r>
          </w:p>
        </w:tc>
        <w:tc>
          <w:tcPr>
            <w:tcW w:w="5445" w:type="dxa"/>
            <w:vAlign w:val="center"/>
          </w:tcPr>
          <w:p>
            <w:pPr>
              <w:rPr>
                <w:rFonts w:ascii="宋体" w:hAnsi="宋体" w:cs="宋体"/>
                <w:color w:val="auto"/>
                <w:sz w:val="20"/>
              </w:rPr>
            </w:pPr>
            <w:r>
              <w:rPr>
                <w:rFonts w:hint="eastAsia"/>
                <w:color w:val="auto"/>
                <w:sz w:val="20"/>
              </w:rPr>
              <w:t>400*400钢制</w:t>
            </w:r>
          </w:p>
        </w:tc>
        <w:tc>
          <w:tcPr>
            <w:tcW w:w="1155" w:type="dxa"/>
            <w:vAlign w:val="center"/>
          </w:tcPr>
          <w:p>
            <w:pPr>
              <w:jc w:val="center"/>
              <w:rPr>
                <w:rFonts w:ascii="宋体" w:hAnsi="宋体" w:cs="宋体"/>
                <w:color w:val="auto"/>
                <w:sz w:val="20"/>
              </w:rPr>
            </w:pPr>
            <w:r>
              <w:rPr>
                <w:rFonts w:hint="eastAsia"/>
                <w:color w:val="auto"/>
                <w:sz w:val="20"/>
              </w:rPr>
              <w:t>只</w:t>
            </w:r>
          </w:p>
        </w:tc>
        <w:tc>
          <w:tcPr>
            <w:tcW w:w="975" w:type="dxa"/>
            <w:vAlign w:val="center"/>
          </w:tcPr>
          <w:p>
            <w:pPr>
              <w:jc w:val="center"/>
              <w:rPr>
                <w:rFonts w:ascii="宋体" w:hAnsi="宋体" w:cs="宋体"/>
                <w:color w:val="auto"/>
                <w:sz w:val="20"/>
              </w:rPr>
            </w:pPr>
            <w:r>
              <w:rPr>
                <w:rFonts w:hint="eastAsia"/>
                <w:color w:val="auto"/>
                <w:sz w:val="20"/>
              </w:rPr>
              <w:t xml:space="preserve">3 </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11</w:t>
            </w:r>
          </w:p>
        </w:tc>
        <w:tc>
          <w:tcPr>
            <w:tcW w:w="2265" w:type="dxa"/>
            <w:vAlign w:val="center"/>
          </w:tcPr>
          <w:p>
            <w:pPr>
              <w:rPr>
                <w:rFonts w:ascii="宋体" w:hAnsi="宋体" w:cs="宋体"/>
                <w:color w:val="auto"/>
                <w:sz w:val="20"/>
              </w:rPr>
            </w:pPr>
            <w:r>
              <w:rPr>
                <w:rFonts w:hint="eastAsia"/>
                <w:color w:val="auto"/>
                <w:sz w:val="20"/>
              </w:rPr>
              <w:t>风量调节阀</w:t>
            </w:r>
          </w:p>
        </w:tc>
        <w:tc>
          <w:tcPr>
            <w:tcW w:w="5445" w:type="dxa"/>
            <w:vAlign w:val="center"/>
          </w:tcPr>
          <w:p>
            <w:pPr>
              <w:rPr>
                <w:rFonts w:ascii="宋体" w:hAnsi="宋体" w:cs="宋体"/>
                <w:color w:val="auto"/>
                <w:sz w:val="20"/>
              </w:rPr>
            </w:pPr>
            <w:r>
              <w:rPr>
                <w:rFonts w:hint="eastAsia"/>
                <w:color w:val="auto"/>
                <w:sz w:val="20"/>
              </w:rPr>
              <w:t>400*320钢制</w:t>
            </w:r>
          </w:p>
        </w:tc>
        <w:tc>
          <w:tcPr>
            <w:tcW w:w="1155" w:type="dxa"/>
            <w:vAlign w:val="center"/>
          </w:tcPr>
          <w:p>
            <w:pPr>
              <w:jc w:val="center"/>
              <w:rPr>
                <w:rFonts w:ascii="宋体" w:hAnsi="宋体" w:cs="宋体"/>
                <w:color w:val="auto"/>
                <w:sz w:val="20"/>
              </w:rPr>
            </w:pPr>
            <w:r>
              <w:rPr>
                <w:rFonts w:hint="eastAsia"/>
                <w:color w:val="auto"/>
                <w:sz w:val="20"/>
              </w:rPr>
              <w:t>只</w:t>
            </w:r>
          </w:p>
        </w:tc>
        <w:tc>
          <w:tcPr>
            <w:tcW w:w="975" w:type="dxa"/>
            <w:vAlign w:val="center"/>
          </w:tcPr>
          <w:p>
            <w:pPr>
              <w:jc w:val="center"/>
              <w:rPr>
                <w:rFonts w:ascii="宋体" w:hAnsi="宋体" w:cs="宋体"/>
                <w:color w:val="auto"/>
                <w:sz w:val="20"/>
              </w:rPr>
            </w:pPr>
            <w:r>
              <w:rPr>
                <w:rFonts w:hint="eastAsia"/>
                <w:color w:val="auto"/>
                <w:sz w:val="20"/>
              </w:rPr>
              <w:t xml:space="preserve">1 </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12</w:t>
            </w:r>
          </w:p>
        </w:tc>
        <w:tc>
          <w:tcPr>
            <w:tcW w:w="2265" w:type="dxa"/>
            <w:vAlign w:val="center"/>
          </w:tcPr>
          <w:p>
            <w:pPr>
              <w:rPr>
                <w:rFonts w:ascii="宋体" w:hAnsi="宋体" w:cs="宋体"/>
                <w:color w:val="auto"/>
                <w:sz w:val="20"/>
              </w:rPr>
            </w:pPr>
            <w:r>
              <w:rPr>
                <w:rFonts w:hint="eastAsia"/>
                <w:color w:val="auto"/>
                <w:sz w:val="20"/>
              </w:rPr>
              <w:t>风量调节阀</w:t>
            </w:r>
          </w:p>
        </w:tc>
        <w:tc>
          <w:tcPr>
            <w:tcW w:w="5445" w:type="dxa"/>
            <w:vAlign w:val="center"/>
          </w:tcPr>
          <w:p>
            <w:pPr>
              <w:rPr>
                <w:rFonts w:ascii="宋体" w:hAnsi="宋体" w:cs="宋体"/>
                <w:color w:val="auto"/>
                <w:sz w:val="20"/>
              </w:rPr>
            </w:pPr>
            <w:r>
              <w:rPr>
                <w:rFonts w:hint="eastAsia"/>
                <w:color w:val="auto"/>
                <w:sz w:val="20"/>
              </w:rPr>
              <w:t>320*200钢制</w:t>
            </w:r>
          </w:p>
        </w:tc>
        <w:tc>
          <w:tcPr>
            <w:tcW w:w="1155" w:type="dxa"/>
            <w:vAlign w:val="center"/>
          </w:tcPr>
          <w:p>
            <w:pPr>
              <w:jc w:val="center"/>
              <w:rPr>
                <w:rFonts w:ascii="宋体" w:hAnsi="宋体" w:cs="宋体"/>
                <w:color w:val="auto"/>
                <w:sz w:val="20"/>
              </w:rPr>
            </w:pPr>
            <w:r>
              <w:rPr>
                <w:rFonts w:hint="eastAsia"/>
                <w:color w:val="auto"/>
                <w:sz w:val="20"/>
              </w:rPr>
              <w:t>只</w:t>
            </w:r>
          </w:p>
        </w:tc>
        <w:tc>
          <w:tcPr>
            <w:tcW w:w="975" w:type="dxa"/>
            <w:vAlign w:val="center"/>
          </w:tcPr>
          <w:p>
            <w:pPr>
              <w:jc w:val="center"/>
              <w:rPr>
                <w:rFonts w:ascii="宋体" w:hAnsi="宋体" w:cs="宋体"/>
                <w:color w:val="auto"/>
                <w:sz w:val="20"/>
              </w:rPr>
            </w:pPr>
            <w:r>
              <w:rPr>
                <w:rFonts w:hint="eastAsia"/>
                <w:color w:val="auto"/>
                <w:sz w:val="20"/>
              </w:rPr>
              <w:t xml:space="preserve">6 </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13</w:t>
            </w:r>
          </w:p>
        </w:tc>
        <w:tc>
          <w:tcPr>
            <w:tcW w:w="2265" w:type="dxa"/>
            <w:vAlign w:val="center"/>
          </w:tcPr>
          <w:p>
            <w:pPr>
              <w:rPr>
                <w:rFonts w:ascii="宋体" w:hAnsi="宋体" w:cs="宋体"/>
                <w:color w:val="auto"/>
                <w:sz w:val="20"/>
              </w:rPr>
            </w:pPr>
            <w:r>
              <w:rPr>
                <w:rFonts w:hint="eastAsia"/>
                <w:color w:val="auto"/>
                <w:sz w:val="20"/>
              </w:rPr>
              <w:t>风量调节阀</w:t>
            </w:r>
          </w:p>
        </w:tc>
        <w:tc>
          <w:tcPr>
            <w:tcW w:w="5445" w:type="dxa"/>
            <w:vAlign w:val="center"/>
          </w:tcPr>
          <w:p>
            <w:pPr>
              <w:rPr>
                <w:rFonts w:ascii="宋体" w:hAnsi="宋体" w:cs="宋体"/>
                <w:color w:val="auto"/>
                <w:sz w:val="20"/>
              </w:rPr>
            </w:pPr>
            <w:r>
              <w:rPr>
                <w:rFonts w:hint="eastAsia"/>
                <w:color w:val="auto"/>
                <w:sz w:val="20"/>
              </w:rPr>
              <w:t>250*200钢制</w:t>
            </w:r>
          </w:p>
        </w:tc>
        <w:tc>
          <w:tcPr>
            <w:tcW w:w="1155" w:type="dxa"/>
            <w:vAlign w:val="center"/>
          </w:tcPr>
          <w:p>
            <w:pPr>
              <w:jc w:val="center"/>
              <w:rPr>
                <w:rFonts w:ascii="宋体" w:hAnsi="宋体" w:cs="宋体"/>
                <w:color w:val="auto"/>
                <w:sz w:val="20"/>
              </w:rPr>
            </w:pPr>
            <w:r>
              <w:rPr>
                <w:rFonts w:hint="eastAsia"/>
                <w:color w:val="auto"/>
                <w:sz w:val="20"/>
              </w:rPr>
              <w:t>只</w:t>
            </w:r>
          </w:p>
        </w:tc>
        <w:tc>
          <w:tcPr>
            <w:tcW w:w="975" w:type="dxa"/>
            <w:vAlign w:val="center"/>
          </w:tcPr>
          <w:p>
            <w:pPr>
              <w:jc w:val="center"/>
              <w:rPr>
                <w:rFonts w:ascii="宋体" w:hAnsi="宋体" w:cs="宋体"/>
                <w:color w:val="auto"/>
                <w:sz w:val="20"/>
              </w:rPr>
            </w:pPr>
            <w:r>
              <w:rPr>
                <w:rFonts w:hint="eastAsia"/>
                <w:color w:val="auto"/>
                <w:sz w:val="20"/>
              </w:rPr>
              <w:t xml:space="preserve">3 </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14</w:t>
            </w:r>
          </w:p>
        </w:tc>
        <w:tc>
          <w:tcPr>
            <w:tcW w:w="2265" w:type="dxa"/>
            <w:vAlign w:val="center"/>
          </w:tcPr>
          <w:p>
            <w:pPr>
              <w:rPr>
                <w:rFonts w:ascii="宋体" w:hAnsi="宋体" w:cs="宋体"/>
                <w:color w:val="auto"/>
                <w:sz w:val="20"/>
              </w:rPr>
            </w:pPr>
            <w:r>
              <w:rPr>
                <w:rFonts w:hint="eastAsia"/>
                <w:color w:val="auto"/>
                <w:sz w:val="20"/>
              </w:rPr>
              <w:t>风量调节阀</w:t>
            </w:r>
          </w:p>
        </w:tc>
        <w:tc>
          <w:tcPr>
            <w:tcW w:w="5445" w:type="dxa"/>
            <w:vAlign w:val="center"/>
          </w:tcPr>
          <w:p>
            <w:pPr>
              <w:rPr>
                <w:rFonts w:ascii="宋体" w:hAnsi="宋体" w:cs="宋体"/>
                <w:color w:val="auto"/>
                <w:sz w:val="20"/>
              </w:rPr>
            </w:pPr>
            <w:r>
              <w:rPr>
                <w:rFonts w:hint="eastAsia"/>
                <w:color w:val="auto"/>
                <w:sz w:val="20"/>
              </w:rPr>
              <w:t>200*200钢制</w:t>
            </w:r>
          </w:p>
        </w:tc>
        <w:tc>
          <w:tcPr>
            <w:tcW w:w="1155" w:type="dxa"/>
            <w:vAlign w:val="center"/>
          </w:tcPr>
          <w:p>
            <w:pPr>
              <w:jc w:val="center"/>
              <w:rPr>
                <w:rFonts w:ascii="宋体" w:hAnsi="宋体" w:cs="宋体"/>
                <w:color w:val="auto"/>
                <w:sz w:val="20"/>
              </w:rPr>
            </w:pPr>
            <w:r>
              <w:rPr>
                <w:rFonts w:hint="eastAsia"/>
                <w:color w:val="auto"/>
                <w:sz w:val="20"/>
              </w:rPr>
              <w:t>只</w:t>
            </w:r>
          </w:p>
        </w:tc>
        <w:tc>
          <w:tcPr>
            <w:tcW w:w="975" w:type="dxa"/>
            <w:vAlign w:val="center"/>
          </w:tcPr>
          <w:p>
            <w:pPr>
              <w:jc w:val="center"/>
              <w:rPr>
                <w:rFonts w:ascii="宋体" w:hAnsi="宋体" w:cs="宋体"/>
                <w:color w:val="auto"/>
                <w:sz w:val="20"/>
              </w:rPr>
            </w:pPr>
            <w:r>
              <w:rPr>
                <w:rFonts w:hint="eastAsia"/>
                <w:color w:val="auto"/>
                <w:sz w:val="20"/>
              </w:rPr>
              <w:t xml:space="preserve">4 </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b/>
                <w:bCs/>
                <w:color w:val="auto"/>
                <w:sz w:val="20"/>
              </w:rPr>
            </w:pPr>
            <w:r>
              <w:rPr>
                <w:rFonts w:hint="eastAsia"/>
                <w:b/>
                <w:bCs/>
                <w:color w:val="auto"/>
                <w:sz w:val="20"/>
              </w:rPr>
              <w:t>五</w:t>
            </w:r>
          </w:p>
        </w:tc>
        <w:tc>
          <w:tcPr>
            <w:tcW w:w="2265" w:type="dxa"/>
            <w:vAlign w:val="center"/>
          </w:tcPr>
          <w:p>
            <w:pPr>
              <w:jc w:val="center"/>
              <w:rPr>
                <w:rFonts w:ascii="宋体" w:hAnsi="宋体" w:cs="宋体"/>
                <w:b/>
                <w:bCs/>
                <w:color w:val="auto"/>
                <w:sz w:val="20"/>
              </w:rPr>
            </w:pPr>
            <w:r>
              <w:rPr>
                <w:rFonts w:hint="eastAsia"/>
                <w:b/>
                <w:bCs/>
                <w:color w:val="auto"/>
                <w:sz w:val="20"/>
              </w:rPr>
              <w:t>其它</w:t>
            </w:r>
          </w:p>
        </w:tc>
        <w:tc>
          <w:tcPr>
            <w:tcW w:w="5445" w:type="dxa"/>
            <w:vAlign w:val="center"/>
          </w:tcPr>
          <w:p>
            <w:pPr>
              <w:jc w:val="cente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　</w:t>
            </w:r>
          </w:p>
        </w:tc>
        <w:tc>
          <w:tcPr>
            <w:tcW w:w="975" w:type="dxa"/>
            <w:vAlign w:val="center"/>
          </w:tcPr>
          <w:p>
            <w:pPr>
              <w:jc w:val="center"/>
              <w:rPr>
                <w:rFonts w:ascii="宋体" w:hAnsi="宋体" w:cs="宋体"/>
                <w:color w:val="auto"/>
                <w:sz w:val="20"/>
              </w:rPr>
            </w:pPr>
            <w:r>
              <w:rPr>
                <w:rFonts w:hint="eastAsia"/>
                <w:color w:val="auto"/>
                <w:sz w:val="20"/>
              </w:rPr>
              <w:t>　</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rFonts w:hint="eastAsia"/>
                <w:color w:val="auto"/>
                <w:sz w:val="20"/>
              </w:rPr>
              <w:t>1</w:t>
            </w:r>
          </w:p>
        </w:tc>
        <w:tc>
          <w:tcPr>
            <w:tcW w:w="2265" w:type="dxa"/>
            <w:vAlign w:val="center"/>
          </w:tcPr>
          <w:p>
            <w:pPr>
              <w:rPr>
                <w:rFonts w:ascii="宋体" w:hAnsi="宋体" w:cs="宋体"/>
                <w:color w:val="auto"/>
                <w:sz w:val="20"/>
              </w:rPr>
            </w:pPr>
            <w:r>
              <w:rPr>
                <w:rFonts w:hint="eastAsia"/>
                <w:color w:val="auto"/>
                <w:sz w:val="20"/>
              </w:rPr>
              <w:t>铜管及保温</w:t>
            </w:r>
          </w:p>
        </w:tc>
        <w:tc>
          <w:tcPr>
            <w:tcW w:w="5445" w:type="dxa"/>
            <w:vAlign w:val="center"/>
          </w:tcPr>
          <w:p>
            <w:pPr>
              <w:rPr>
                <w:rFonts w:ascii="宋体" w:hAnsi="宋体" w:cs="宋体"/>
                <w:color w:val="auto"/>
                <w:sz w:val="18"/>
                <w:szCs w:val="18"/>
              </w:rPr>
            </w:pPr>
            <w:r>
              <w:rPr>
                <w:rFonts w:hint="eastAsia"/>
                <w:color w:val="auto"/>
                <w:sz w:val="18"/>
                <w:szCs w:val="18"/>
              </w:rPr>
              <w:t>1.名称:空调铜管</w:t>
            </w:r>
            <w:r>
              <w:rPr>
                <w:rFonts w:hint="eastAsia"/>
                <w:color w:val="auto"/>
                <w:sz w:val="18"/>
                <w:szCs w:val="18"/>
              </w:rPr>
              <w:br w:type="textWrapping"/>
            </w:r>
            <w:r>
              <w:rPr>
                <w:rFonts w:hint="eastAsia"/>
                <w:color w:val="auto"/>
                <w:sz w:val="18"/>
                <w:szCs w:val="18"/>
              </w:rPr>
              <w:t>2.安装形式:包含一根12mm高压铜管和一根19mm低压铜管</w:t>
            </w:r>
            <w:r>
              <w:rPr>
                <w:rFonts w:hint="eastAsia"/>
                <w:color w:val="auto"/>
                <w:sz w:val="18"/>
                <w:szCs w:val="18"/>
              </w:rPr>
              <w:br w:type="textWrapping"/>
            </w:r>
            <w:r>
              <w:rPr>
                <w:rFonts w:hint="eastAsia"/>
                <w:color w:val="auto"/>
                <w:sz w:val="18"/>
                <w:szCs w:val="18"/>
              </w:rPr>
              <w:t>3.绝热材料品种:阻燃橡塑</w:t>
            </w:r>
            <w:r>
              <w:rPr>
                <w:rFonts w:hint="eastAsia"/>
                <w:color w:val="auto"/>
                <w:sz w:val="18"/>
                <w:szCs w:val="18"/>
              </w:rPr>
              <w:br w:type="textWrapping"/>
            </w:r>
            <w:r>
              <w:rPr>
                <w:rFonts w:hint="eastAsia"/>
                <w:color w:val="auto"/>
                <w:sz w:val="18"/>
                <w:szCs w:val="18"/>
              </w:rPr>
              <w:t>4.绝热厚度:25mm</w:t>
            </w:r>
          </w:p>
        </w:tc>
        <w:tc>
          <w:tcPr>
            <w:tcW w:w="1155" w:type="dxa"/>
            <w:vAlign w:val="center"/>
          </w:tcPr>
          <w:p>
            <w:pPr>
              <w:jc w:val="center"/>
              <w:rPr>
                <w:rFonts w:ascii="宋体" w:hAnsi="宋体" w:cs="宋体"/>
                <w:color w:val="auto"/>
                <w:sz w:val="20"/>
              </w:rPr>
            </w:pPr>
            <w:r>
              <w:rPr>
                <w:rFonts w:hint="eastAsia"/>
                <w:color w:val="auto"/>
                <w:sz w:val="20"/>
              </w:rPr>
              <w:t>M</w:t>
            </w:r>
          </w:p>
        </w:tc>
        <w:tc>
          <w:tcPr>
            <w:tcW w:w="975" w:type="dxa"/>
            <w:vAlign w:val="center"/>
          </w:tcPr>
          <w:p>
            <w:pPr>
              <w:jc w:val="center"/>
              <w:rPr>
                <w:rFonts w:ascii="宋体" w:hAnsi="宋体" w:cs="宋体"/>
                <w:color w:val="auto"/>
                <w:sz w:val="20"/>
              </w:rPr>
            </w:pPr>
            <w:r>
              <w:rPr>
                <w:rFonts w:hint="eastAsia"/>
                <w:color w:val="auto"/>
                <w:sz w:val="20"/>
              </w:rPr>
              <w:t xml:space="preserve">20 </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rPr>
                <w:rFonts w:ascii="宋体" w:hAnsi="宋体" w:cs="宋体"/>
                <w:color w:val="auto"/>
                <w:sz w:val="18"/>
                <w:szCs w:val="18"/>
              </w:rPr>
            </w:pPr>
            <w:r>
              <w:rPr>
                <w:rFonts w:hint="eastAsia"/>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rFonts w:hint="eastAsia"/>
                <w:color w:val="auto"/>
                <w:sz w:val="20"/>
              </w:rPr>
              <w:t>2</w:t>
            </w:r>
          </w:p>
        </w:tc>
        <w:tc>
          <w:tcPr>
            <w:tcW w:w="2265" w:type="dxa"/>
            <w:vAlign w:val="center"/>
          </w:tcPr>
          <w:p>
            <w:pPr>
              <w:rPr>
                <w:rFonts w:ascii="宋体" w:hAnsi="宋体" w:cs="宋体"/>
                <w:color w:val="auto"/>
                <w:sz w:val="20"/>
              </w:rPr>
            </w:pPr>
            <w:r>
              <w:rPr>
                <w:rFonts w:hint="eastAsia"/>
                <w:color w:val="auto"/>
                <w:sz w:val="20"/>
              </w:rPr>
              <w:t>电子连锁</w:t>
            </w:r>
          </w:p>
        </w:tc>
        <w:tc>
          <w:tcPr>
            <w:tcW w:w="5445" w:type="dxa"/>
            <w:vAlign w:val="center"/>
          </w:tcPr>
          <w:p>
            <w:pPr>
              <w:rPr>
                <w:rFonts w:ascii="宋体" w:hAnsi="宋体" w:cs="宋体"/>
                <w:color w:val="auto"/>
                <w:sz w:val="20"/>
              </w:rPr>
            </w:pPr>
            <w:r>
              <w:rPr>
                <w:rFonts w:hint="eastAsia"/>
                <w:color w:val="auto"/>
                <w:sz w:val="20"/>
              </w:rPr>
              <w:t>红外线感应、双门电子互锁、断电后自动关闭</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3</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rFonts w:hint="eastAsia"/>
                <w:color w:val="auto"/>
                <w:sz w:val="20"/>
              </w:rPr>
              <w:t>3</w:t>
            </w:r>
          </w:p>
        </w:tc>
        <w:tc>
          <w:tcPr>
            <w:tcW w:w="2265" w:type="dxa"/>
            <w:vAlign w:val="center"/>
          </w:tcPr>
          <w:p>
            <w:pPr>
              <w:rPr>
                <w:rFonts w:ascii="宋体" w:hAnsi="宋体" w:cs="宋体"/>
                <w:color w:val="auto"/>
                <w:sz w:val="20"/>
              </w:rPr>
            </w:pPr>
            <w:r>
              <w:rPr>
                <w:rFonts w:hint="eastAsia"/>
                <w:color w:val="auto"/>
                <w:sz w:val="20"/>
              </w:rPr>
              <w:t>实验室对讲系统</w:t>
            </w:r>
          </w:p>
        </w:tc>
        <w:tc>
          <w:tcPr>
            <w:tcW w:w="5445" w:type="dxa"/>
            <w:vAlign w:val="center"/>
          </w:tcPr>
          <w:p>
            <w:pPr>
              <w:rPr>
                <w:rFonts w:ascii="宋体" w:hAnsi="宋体" w:cs="宋体"/>
                <w:color w:val="auto"/>
                <w:sz w:val="20"/>
              </w:rPr>
            </w:pPr>
            <w:r>
              <w:rPr>
                <w:rFonts w:hint="eastAsia"/>
                <w:color w:val="auto"/>
                <w:sz w:val="20"/>
              </w:rPr>
              <w:t>1拖1</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4</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rFonts w:hint="eastAsia"/>
                <w:color w:val="auto"/>
                <w:sz w:val="20"/>
              </w:rPr>
              <w:t>4</w:t>
            </w:r>
          </w:p>
        </w:tc>
        <w:tc>
          <w:tcPr>
            <w:tcW w:w="2265" w:type="dxa"/>
            <w:vAlign w:val="center"/>
          </w:tcPr>
          <w:p>
            <w:pPr>
              <w:rPr>
                <w:rFonts w:ascii="宋体" w:hAnsi="宋体" w:cs="宋体"/>
                <w:color w:val="auto"/>
                <w:sz w:val="20"/>
              </w:rPr>
            </w:pPr>
            <w:r>
              <w:rPr>
                <w:rFonts w:hint="eastAsia"/>
                <w:color w:val="auto"/>
                <w:sz w:val="20"/>
              </w:rPr>
              <w:t>压差计</w:t>
            </w:r>
          </w:p>
        </w:tc>
        <w:tc>
          <w:tcPr>
            <w:tcW w:w="5445" w:type="dxa"/>
            <w:vAlign w:val="center"/>
          </w:tcPr>
          <w:p>
            <w:pPr>
              <w:rPr>
                <w:rFonts w:ascii="宋体" w:hAnsi="宋体" w:cs="宋体"/>
                <w:color w:val="auto"/>
                <w:sz w:val="20"/>
              </w:rPr>
            </w:pPr>
            <w:r>
              <w:rPr>
                <w:rFonts w:hint="eastAsia"/>
                <w:color w:val="auto"/>
                <w:sz w:val="20"/>
              </w:rPr>
              <w:t>60Pa</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8</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rFonts w:hint="eastAsia"/>
                <w:color w:val="auto"/>
                <w:sz w:val="20"/>
              </w:rPr>
              <w:t>5</w:t>
            </w:r>
          </w:p>
        </w:tc>
        <w:tc>
          <w:tcPr>
            <w:tcW w:w="2265" w:type="dxa"/>
            <w:vAlign w:val="center"/>
          </w:tcPr>
          <w:p>
            <w:pPr>
              <w:rPr>
                <w:rFonts w:ascii="宋体" w:hAnsi="宋体" w:cs="宋体"/>
                <w:color w:val="auto"/>
                <w:sz w:val="20"/>
              </w:rPr>
            </w:pPr>
            <w:r>
              <w:rPr>
                <w:rFonts w:hint="eastAsia"/>
                <w:color w:val="auto"/>
                <w:sz w:val="20"/>
              </w:rPr>
              <w:t>设备吊装减震器</w:t>
            </w:r>
          </w:p>
        </w:tc>
        <w:tc>
          <w:tcPr>
            <w:tcW w:w="5445" w:type="dxa"/>
            <w:vAlign w:val="center"/>
          </w:tcPr>
          <w:p>
            <w:pPr>
              <w:rPr>
                <w:rFonts w:ascii="宋体" w:hAnsi="宋体" w:cs="宋体"/>
                <w:color w:val="auto"/>
                <w:sz w:val="20"/>
              </w:rPr>
            </w:pPr>
            <w:r>
              <w:rPr>
                <w:rFonts w:hint="eastAsia"/>
                <w:color w:val="auto"/>
                <w:sz w:val="20"/>
              </w:rPr>
              <w:t>阻尼减震器</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8</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rFonts w:hint="eastAsia"/>
                <w:color w:val="auto"/>
                <w:sz w:val="20"/>
              </w:rPr>
              <w:t>6</w:t>
            </w:r>
          </w:p>
        </w:tc>
        <w:tc>
          <w:tcPr>
            <w:tcW w:w="2265" w:type="dxa"/>
            <w:vAlign w:val="center"/>
          </w:tcPr>
          <w:p>
            <w:pPr>
              <w:rPr>
                <w:rFonts w:ascii="宋体" w:hAnsi="宋体" w:cs="宋体"/>
                <w:color w:val="auto"/>
                <w:sz w:val="20"/>
              </w:rPr>
            </w:pPr>
            <w:r>
              <w:rPr>
                <w:rFonts w:hint="eastAsia"/>
                <w:color w:val="auto"/>
                <w:sz w:val="20"/>
              </w:rPr>
              <w:t>门禁设备</w:t>
            </w:r>
          </w:p>
        </w:tc>
        <w:tc>
          <w:tcPr>
            <w:tcW w:w="5445" w:type="dxa"/>
            <w:vAlign w:val="center"/>
          </w:tcPr>
          <w:p>
            <w:pP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1</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rFonts w:hint="eastAsia"/>
                <w:color w:val="auto"/>
                <w:sz w:val="20"/>
              </w:rPr>
              <w:t>7</w:t>
            </w:r>
          </w:p>
        </w:tc>
        <w:tc>
          <w:tcPr>
            <w:tcW w:w="2265" w:type="dxa"/>
            <w:vAlign w:val="center"/>
          </w:tcPr>
          <w:p>
            <w:pPr>
              <w:rPr>
                <w:rFonts w:ascii="宋体" w:hAnsi="宋体" w:cs="宋体"/>
                <w:color w:val="auto"/>
                <w:sz w:val="20"/>
              </w:rPr>
            </w:pPr>
            <w:r>
              <w:rPr>
                <w:rFonts w:hint="eastAsia"/>
                <w:color w:val="auto"/>
                <w:sz w:val="20"/>
              </w:rPr>
              <w:t>实验室边台</w:t>
            </w:r>
          </w:p>
        </w:tc>
        <w:tc>
          <w:tcPr>
            <w:tcW w:w="5445" w:type="dxa"/>
            <w:vAlign w:val="center"/>
          </w:tcPr>
          <w:p>
            <w:pPr>
              <w:rPr>
                <w:rFonts w:ascii="宋体" w:hAnsi="宋体" w:cs="宋体"/>
                <w:color w:val="auto"/>
                <w:sz w:val="20"/>
              </w:rPr>
            </w:pPr>
            <w:r>
              <w:rPr>
                <w:rFonts w:hint="eastAsia"/>
                <w:color w:val="auto"/>
                <w:sz w:val="20"/>
              </w:rPr>
              <w:t>全钢结构</w:t>
            </w:r>
          </w:p>
        </w:tc>
        <w:tc>
          <w:tcPr>
            <w:tcW w:w="1155" w:type="dxa"/>
            <w:vAlign w:val="center"/>
          </w:tcPr>
          <w:p>
            <w:pPr>
              <w:jc w:val="center"/>
              <w:rPr>
                <w:rFonts w:ascii="宋体" w:hAnsi="宋体" w:cs="宋体"/>
                <w:color w:val="auto"/>
                <w:sz w:val="20"/>
              </w:rPr>
            </w:pPr>
            <w:r>
              <w:rPr>
                <w:rFonts w:hint="eastAsia"/>
                <w:color w:val="auto"/>
                <w:sz w:val="20"/>
              </w:rPr>
              <w:t>M</w:t>
            </w:r>
          </w:p>
        </w:tc>
        <w:tc>
          <w:tcPr>
            <w:tcW w:w="975" w:type="dxa"/>
            <w:vAlign w:val="center"/>
          </w:tcPr>
          <w:p>
            <w:pPr>
              <w:jc w:val="center"/>
              <w:rPr>
                <w:rFonts w:ascii="宋体" w:hAnsi="宋体" w:cs="宋体"/>
                <w:color w:val="auto"/>
                <w:sz w:val="20"/>
              </w:rPr>
            </w:pPr>
            <w:r>
              <w:rPr>
                <w:rFonts w:hint="eastAsia"/>
                <w:color w:val="auto"/>
                <w:sz w:val="20"/>
              </w:rPr>
              <w:t>15.3</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rFonts w:hint="eastAsia"/>
                <w:color w:val="auto"/>
                <w:sz w:val="20"/>
              </w:rPr>
              <w:t>8</w:t>
            </w:r>
          </w:p>
        </w:tc>
        <w:tc>
          <w:tcPr>
            <w:tcW w:w="2265" w:type="dxa"/>
            <w:vAlign w:val="center"/>
          </w:tcPr>
          <w:p>
            <w:pPr>
              <w:rPr>
                <w:rFonts w:ascii="宋体" w:hAnsi="宋体" w:cs="宋体"/>
                <w:color w:val="auto"/>
                <w:sz w:val="20"/>
              </w:rPr>
            </w:pPr>
            <w:r>
              <w:rPr>
                <w:rFonts w:hint="eastAsia"/>
                <w:color w:val="auto"/>
                <w:sz w:val="20"/>
              </w:rPr>
              <w:t>更衣柜</w:t>
            </w:r>
          </w:p>
        </w:tc>
        <w:tc>
          <w:tcPr>
            <w:tcW w:w="5445" w:type="dxa"/>
            <w:vAlign w:val="center"/>
          </w:tcPr>
          <w:p>
            <w:pPr>
              <w:rPr>
                <w:rFonts w:ascii="宋体" w:hAnsi="宋体" w:cs="宋体"/>
                <w:color w:val="auto"/>
                <w:sz w:val="20"/>
              </w:rPr>
            </w:pPr>
            <w:r>
              <w:rPr>
                <w:rFonts w:hint="eastAsia"/>
                <w:color w:val="auto"/>
                <w:sz w:val="20"/>
              </w:rPr>
              <w:t>铝木结构</w:t>
            </w:r>
          </w:p>
        </w:tc>
        <w:tc>
          <w:tcPr>
            <w:tcW w:w="1155" w:type="dxa"/>
            <w:vAlign w:val="center"/>
          </w:tcPr>
          <w:p>
            <w:pPr>
              <w:jc w:val="center"/>
              <w:rPr>
                <w:rFonts w:ascii="宋体" w:hAnsi="宋体" w:cs="宋体"/>
                <w:color w:val="auto"/>
                <w:sz w:val="20"/>
              </w:rPr>
            </w:pPr>
            <w:r>
              <w:rPr>
                <w:rFonts w:hint="eastAsia"/>
                <w:color w:val="auto"/>
                <w:sz w:val="20"/>
              </w:rPr>
              <w:t>套</w:t>
            </w:r>
          </w:p>
        </w:tc>
        <w:tc>
          <w:tcPr>
            <w:tcW w:w="975" w:type="dxa"/>
            <w:vAlign w:val="center"/>
          </w:tcPr>
          <w:p>
            <w:pPr>
              <w:jc w:val="center"/>
              <w:rPr>
                <w:rFonts w:ascii="宋体" w:hAnsi="宋体" w:cs="宋体"/>
                <w:color w:val="auto"/>
                <w:sz w:val="20"/>
              </w:rPr>
            </w:pPr>
            <w:r>
              <w:rPr>
                <w:rFonts w:hint="eastAsia"/>
                <w:color w:val="auto"/>
                <w:sz w:val="20"/>
              </w:rPr>
              <w:t>4</w:t>
            </w:r>
          </w:p>
        </w:tc>
        <w:tc>
          <w:tcPr>
            <w:tcW w:w="1080" w:type="dxa"/>
            <w:vAlign w:val="center"/>
          </w:tcPr>
          <w:p>
            <w:pPr>
              <w:jc w:val="center"/>
              <w:rPr>
                <w:rFonts w:ascii="宋体" w:hAnsi="宋体" w:cs="宋体"/>
                <w:color w:val="auto"/>
                <w:sz w:val="20"/>
              </w:rPr>
            </w:pPr>
            <w:r>
              <w:rPr>
                <w:rFonts w:hint="eastAsia"/>
                <w:color w:val="auto"/>
                <w:sz w:val="20"/>
              </w:rPr>
              <w:t>　</w:t>
            </w:r>
          </w:p>
        </w:tc>
        <w:tc>
          <w:tcPr>
            <w:tcW w:w="1110" w:type="dxa"/>
            <w:vAlign w:val="center"/>
          </w:tcPr>
          <w:p>
            <w:pPr>
              <w:jc w:val="center"/>
              <w:rPr>
                <w:rFonts w:ascii="宋体" w:hAnsi="宋体" w:cs="宋体"/>
                <w:color w:val="auto"/>
                <w:sz w:val="20"/>
              </w:rPr>
            </w:pPr>
            <w:r>
              <w:rPr>
                <w:rFonts w:hint="eastAsia"/>
                <w:color w:val="auto"/>
                <w:sz w:val="20"/>
              </w:rPr>
              <w:t>　</w:t>
            </w: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rFonts w:hint="eastAsia"/>
                <w:color w:val="auto"/>
                <w:sz w:val="20"/>
              </w:rPr>
              <w:t>六</w:t>
            </w:r>
          </w:p>
        </w:tc>
        <w:tc>
          <w:tcPr>
            <w:tcW w:w="2265" w:type="dxa"/>
            <w:vAlign w:val="center"/>
          </w:tcPr>
          <w:p>
            <w:pPr>
              <w:rPr>
                <w:rFonts w:ascii="宋体" w:hAnsi="宋体" w:cs="宋体"/>
                <w:color w:val="auto"/>
                <w:sz w:val="20"/>
              </w:rPr>
            </w:pPr>
            <w:r>
              <w:rPr>
                <w:rFonts w:hint="eastAsia"/>
                <w:color w:val="auto"/>
                <w:sz w:val="20"/>
              </w:rPr>
              <w:t>汇总</w:t>
            </w:r>
          </w:p>
        </w:tc>
        <w:tc>
          <w:tcPr>
            <w:tcW w:w="5445" w:type="dxa"/>
            <w:vAlign w:val="center"/>
          </w:tcPr>
          <w:p>
            <w:pPr>
              <w:jc w:val="cente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　</w:t>
            </w:r>
          </w:p>
        </w:tc>
        <w:tc>
          <w:tcPr>
            <w:tcW w:w="975" w:type="dxa"/>
            <w:vAlign w:val="center"/>
          </w:tcPr>
          <w:p>
            <w:pPr>
              <w:jc w:val="center"/>
              <w:rPr>
                <w:rFonts w:ascii="宋体" w:hAnsi="宋体" w:cs="宋体"/>
                <w:color w:val="auto"/>
                <w:sz w:val="20"/>
              </w:rPr>
            </w:pPr>
            <w:r>
              <w:rPr>
                <w:rFonts w:hint="eastAsia"/>
                <w:color w:val="auto"/>
                <w:sz w:val="20"/>
              </w:rPr>
              <w:t>　</w:t>
            </w:r>
          </w:p>
        </w:tc>
        <w:tc>
          <w:tcPr>
            <w:tcW w:w="1080" w:type="dxa"/>
            <w:vAlign w:val="center"/>
          </w:tcPr>
          <w:p>
            <w:pPr>
              <w:jc w:val="center"/>
              <w:rPr>
                <w:color w:val="auto"/>
                <w:sz w:val="20"/>
              </w:rPr>
            </w:pPr>
          </w:p>
        </w:tc>
        <w:tc>
          <w:tcPr>
            <w:tcW w:w="1110" w:type="dxa"/>
            <w:vAlign w:val="center"/>
          </w:tcPr>
          <w:p>
            <w:pPr>
              <w:rPr>
                <w:rFonts w:ascii="宋体" w:hAnsi="宋体" w:cs="宋体"/>
                <w:color w:val="auto"/>
                <w:sz w:val="20"/>
              </w:rPr>
            </w:pP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1</w:t>
            </w:r>
          </w:p>
        </w:tc>
        <w:tc>
          <w:tcPr>
            <w:tcW w:w="2265" w:type="dxa"/>
            <w:vAlign w:val="center"/>
          </w:tcPr>
          <w:p>
            <w:pPr>
              <w:rPr>
                <w:rFonts w:ascii="宋体" w:hAnsi="宋体" w:cs="宋体"/>
                <w:color w:val="auto"/>
                <w:sz w:val="20"/>
              </w:rPr>
            </w:pPr>
            <w:r>
              <w:rPr>
                <w:rFonts w:hint="eastAsia"/>
                <w:color w:val="auto"/>
                <w:sz w:val="20"/>
              </w:rPr>
              <w:t>合计</w:t>
            </w:r>
          </w:p>
        </w:tc>
        <w:tc>
          <w:tcPr>
            <w:tcW w:w="5445" w:type="dxa"/>
            <w:vAlign w:val="center"/>
          </w:tcPr>
          <w:p>
            <w:pPr>
              <w:jc w:val="cente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　</w:t>
            </w:r>
          </w:p>
        </w:tc>
        <w:tc>
          <w:tcPr>
            <w:tcW w:w="975" w:type="dxa"/>
            <w:vAlign w:val="center"/>
          </w:tcPr>
          <w:p>
            <w:pPr>
              <w:jc w:val="center"/>
              <w:rPr>
                <w:rFonts w:ascii="宋体" w:hAnsi="宋体" w:cs="宋体"/>
                <w:color w:val="auto"/>
                <w:sz w:val="20"/>
              </w:rPr>
            </w:pPr>
            <w:r>
              <w:rPr>
                <w:rFonts w:hint="eastAsia"/>
                <w:color w:val="auto"/>
                <w:sz w:val="20"/>
              </w:rPr>
              <w:t>　</w:t>
            </w:r>
          </w:p>
        </w:tc>
        <w:tc>
          <w:tcPr>
            <w:tcW w:w="1080" w:type="dxa"/>
            <w:vAlign w:val="center"/>
          </w:tcPr>
          <w:p>
            <w:pPr>
              <w:jc w:val="center"/>
              <w:rPr>
                <w:color w:val="auto"/>
                <w:sz w:val="20"/>
              </w:rPr>
            </w:pPr>
          </w:p>
        </w:tc>
        <w:tc>
          <w:tcPr>
            <w:tcW w:w="1110" w:type="dxa"/>
            <w:vAlign w:val="center"/>
          </w:tcPr>
          <w:p>
            <w:pPr>
              <w:rPr>
                <w:rFonts w:ascii="宋体" w:hAnsi="宋体" w:cs="宋体"/>
                <w:color w:val="auto"/>
                <w:sz w:val="20"/>
              </w:rPr>
            </w:pP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2</w:t>
            </w:r>
          </w:p>
        </w:tc>
        <w:tc>
          <w:tcPr>
            <w:tcW w:w="2265" w:type="dxa"/>
            <w:vAlign w:val="center"/>
          </w:tcPr>
          <w:p>
            <w:pPr>
              <w:rPr>
                <w:rFonts w:ascii="宋体" w:hAnsi="宋体" w:cs="宋体"/>
                <w:color w:val="auto"/>
                <w:sz w:val="20"/>
              </w:rPr>
            </w:pPr>
            <w:r>
              <w:rPr>
                <w:rFonts w:hint="eastAsia"/>
                <w:color w:val="auto"/>
                <w:sz w:val="20"/>
              </w:rPr>
              <w:t>安装费</w:t>
            </w:r>
          </w:p>
        </w:tc>
        <w:tc>
          <w:tcPr>
            <w:tcW w:w="5445" w:type="dxa"/>
            <w:vAlign w:val="center"/>
          </w:tcPr>
          <w:p>
            <w:pPr>
              <w:jc w:val="cente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　</w:t>
            </w:r>
          </w:p>
        </w:tc>
        <w:tc>
          <w:tcPr>
            <w:tcW w:w="975" w:type="dxa"/>
            <w:vAlign w:val="center"/>
          </w:tcPr>
          <w:p>
            <w:pPr>
              <w:jc w:val="center"/>
              <w:rPr>
                <w:rFonts w:ascii="宋体" w:hAnsi="宋体" w:cs="宋体"/>
                <w:color w:val="auto"/>
                <w:sz w:val="20"/>
              </w:rPr>
            </w:pPr>
            <w:r>
              <w:rPr>
                <w:rFonts w:hint="eastAsia"/>
                <w:color w:val="auto"/>
                <w:sz w:val="20"/>
              </w:rPr>
              <w:t>　</w:t>
            </w:r>
          </w:p>
        </w:tc>
        <w:tc>
          <w:tcPr>
            <w:tcW w:w="1080" w:type="dxa"/>
            <w:vAlign w:val="center"/>
          </w:tcPr>
          <w:p>
            <w:pPr>
              <w:jc w:val="center"/>
              <w:rPr>
                <w:color w:val="auto"/>
                <w:sz w:val="20"/>
              </w:rPr>
            </w:pPr>
          </w:p>
        </w:tc>
        <w:tc>
          <w:tcPr>
            <w:tcW w:w="1110" w:type="dxa"/>
            <w:vAlign w:val="center"/>
          </w:tcPr>
          <w:p>
            <w:pPr>
              <w:rPr>
                <w:rFonts w:ascii="宋体" w:hAnsi="宋体" w:cs="宋体"/>
                <w:color w:val="auto"/>
                <w:sz w:val="20"/>
              </w:rPr>
            </w:pP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3</w:t>
            </w:r>
          </w:p>
        </w:tc>
        <w:tc>
          <w:tcPr>
            <w:tcW w:w="2265" w:type="dxa"/>
            <w:vAlign w:val="center"/>
          </w:tcPr>
          <w:p>
            <w:pPr>
              <w:rPr>
                <w:rFonts w:ascii="宋体" w:hAnsi="宋体" w:cs="宋体"/>
                <w:color w:val="auto"/>
                <w:sz w:val="20"/>
              </w:rPr>
            </w:pPr>
            <w:r>
              <w:rPr>
                <w:rFonts w:hint="eastAsia"/>
                <w:color w:val="auto"/>
                <w:sz w:val="20"/>
              </w:rPr>
              <w:t>运费</w:t>
            </w:r>
          </w:p>
        </w:tc>
        <w:tc>
          <w:tcPr>
            <w:tcW w:w="5445" w:type="dxa"/>
            <w:vAlign w:val="center"/>
          </w:tcPr>
          <w:p>
            <w:pPr>
              <w:jc w:val="cente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　</w:t>
            </w:r>
          </w:p>
        </w:tc>
        <w:tc>
          <w:tcPr>
            <w:tcW w:w="975" w:type="dxa"/>
            <w:vAlign w:val="center"/>
          </w:tcPr>
          <w:p>
            <w:pPr>
              <w:jc w:val="center"/>
              <w:rPr>
                <w:rFonts w:ascii="宋体" w:hAnsi="宋体" w:cs="宋体"/>
                <w:color w:val="auto"/>
                <w:sz w:val="20"/>
              </w:rPr>
            </w:pPr>
            <w:r>
              <w:rPr>
                <w:rFonts w:hint="eastAsia"/>
                <w:color w:val="auto"/>
                <w:sz w:val="20"/>
              </w:rPr>
              <w:t>　</w:t>
            </w:r>
          </w:p>
        </w:tc>
        <w:tc>
          <w:tcPr>
            <w:tcW w:w="1080" w:type="dxa"/>
            <w:vAlign w:val="center"/>
          </w:tcPr>
          <w:p>
            <w:pPr>
              <w:jc w:val="center"/>
              <w:rPr>
                <w:color w:val="auto"/>
                <w:sz w:val="20"/>
              </w:rPr>
            </w:pPr>
          </w:p>
        </w:tc>
        <w:tc>
          <w:tcPr>
            <w:tcW w:w="1110" w:type="dxa"/>
            <w:vAlign w:val="center"/>
          </w:tcPr>
          <w:p>
            <w:pPr>
              <w:rPr>
                <w:rFonts w:ascii="宋体" w:hAnsi="宋体" w:cs="宋体"/>
                <w:color w:val="auto"/>
                <w:sz w:val="20"/>
              </w:rPr>
            </w:pP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4</w:t>
            </w:r>
          </w:p>
        </w:tc>
        <w:tc>
          <w:tcPr>
            <w:tcW w:w="2265" w:type="dxa"/>
            <w:vAlign w:val="center"/>
          </w:tcPr>
          <w:p>
            <w:pPr>
              <w:rPr>
                <w:rFonts w:ascii="宋体" w:hAnsi="宋体" w:cs="宋体"/>
                <w:color w:val="auto"/>
                <w:sz w:val="20"/>
              </w:rPr>
            </w:pPr>
            <w:r>
              <w:rPr>
                <w:rFonts w:hint="eastAsia"/>
                <w:color w:val="auto"/>
                <w:sz w:val="20"/>
              </w:rPr>
              <w:t>税金</w:t>
            </w:r>
          </w:p>
        </w:tc>
        <w:tc>
          <w:tcPr>
            <w:tcW w:w="5445" w:type="dxa"/>
            <w:vAlign w:val="center"/>
          </w:tcPr>
          <w:p>
            <w:pPr>
              <w:jc w:val="cente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　</w:t>
            </w:r>
          </w:p>
        </w:tc>
        <w:tc>
          <w:tcPr>
            <w:tcW w:w="975" w:type="dxa"/>
            <w:vAlign w:val="center"/>
          </w:tcPr>
          <w:p>
            <w:pPr>
              <w:jc w:val="center"/>
              <w:rPr>
                <w:rFonts w:ascii="宋体" w:hAnsi="宋体" w:cs="宋体"/>
                <w:color w:val="auto"/>
                <w:sz w:val="20"/>
              </w:rPr>
            </w:pPr>
            <w:r>
              <w:rPr>
                <w:rFonts w:hint="eastAsia"/>
                <w:color w:val="auto"/>
                <w:sz w:val="20"/>
              </w:rPr>
              <w:t>　</w:t>
            </w:r>
          </w:p>
        </w:tc>
        <w:tc>
          <w:tcPr>
            <w:tcW w:w="1080" w:type="dxa"/>
            <w:vAlign w:val="center"/>
          </w:tcPr>
          <w:p>
            <w:pPr>
              <w:jc w:val="center"/>
              <w:rPr>
                <w:color w:val="auto"/>
                <w:sz w:val="20"/>
              </w:rPr>
            </w:pPr>
          </w:p>
        </w:tc>
        <w:tc>
          <w:tcPr>
            <w:tcW w:w="1110" w:type="dxa"/>
            <w:vAlign w:val="center"/>
          </w:tcPr>
          <w:p>
            <w:pPr>
              <w:rPr>
                <w:rFonts w:ascii="宋体" w:hAnsi="宋体" w:cs="宋体"/>
                <w:color w:val="auto"/>
                <w:sz w:val="20"/>
              </w:rPr>
            </w:pP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0"/>
              </w:rPr>
            </w:pPr>
            <w:r>
              <w:rPr>
                <w:color w:val="auto"/>
                <w:sz w:val="20"/>
              </w:rPr>
              <w:t>5</w:t>
            </w:r>
          </w:p>
        </w:tc>
        <w:tc>
          <w:tcPr>
            <w:tcW w:w="2265" w:type="dxa"/>
            <w:vAlign w:val="center"/>
          </w:tcPr>
          <w:p>
            <w:pPr>
              <w:rPr>
                <w:rFonts w:ascii="宋体" w:hAnsi="宋体" w:cs="宋体"/>
                <w:color w:val="auto"/>
                <w:sz w:val="20"/>
              </w:rPr>
            </w:pPr>
            <w:r>
              <w:rPr>
                <w:rFonts w:hint="eastAsia"/>
                <w:color w:val="auto"/>
                <w:sz w:val="20"/>
              </w:rPr>
              <w:t>总计</w:t>
            </w:r>
          </w:p>
        </w:tc>
        <w:tc>
          <w:tcPr>
            <w:tcW w:w="5445" w:type="dxa"/>
            <w:vAlign w:val="center"/>
          </w:tcPr>
          <w:p>
            <w:pPr>
              <w:jc w:val="center"/>
              <w:rPr>
                <w:rFonts w:ascii="宋体" w:hAnsi="宋体" w:cs="宋体"/>
                <w:color w:val="auto"/>
                <w:sz w:val="20"/>
              </w:rPr>
            </w:pPr>
            <w:r>
              <w:rPr>
                <w:rFonts w:hint="eastAsia"/>
                <w:color w:val="auto"/>
                <w:sz w:val="20"/>
              </w:rPr>
              <w:t>　</w:t>
            </w:r>
          </w:p>
        </w:tc>
        <w:tc>
          <w:tcPr>
            <w:tcW w:w="1155" w:type="dxa"/>
            <w:vAlign w:val="center"/>
          </w:tcPr>
          <w:p>
            <w:pPr>
              <w:jc w:val="center"/>
              <w:rPr>
                <w:rFonts w:ascii="宋体" w:hAnsi="宋体" w:cs="宋体"/>
                <w:color w:val="auto"/>
                <w:sz w:val="20"/>
              </w:rPr>
            </w:pPr>
            <w:r>
              <w:rPr>
                <w:rFonts w:hint="eastAsia"/>
                <w:color w:val="auto"/>
                <w:sz w:val="20"/>
              </w:rPr>
              <w:t>　</w:t>
            </w:r>
          </w:p>
        </w:tc>
        <w:tc>
          <w:tcPr>
            <w:tcW w:w="975" w:type="dxa"/>
            <w:vAlign w:val="center"/>
          </w:tcPr>
          <w:p>
            <w:pPr>
              <w:rPr>
                <w:rFonts w:ascii="宋体" w:hAnsi="宋体" w:cs="宋体"/>
                <w:color w:val="auto"/>
                <w:sz w:val="18"/>
                <w:szCs w:val="18"/>
              </w:rPr>
            </w:pPr>
            <w:r>
              <w:rPr>
                <w:rFonts w:hint="eastAsia"/>
                <w:color w:val="auto"/>
                <w:sz w:val="18"/>
                <w:szCs w:val="18"/>
              </w:rPr>
              <w:t>　</w:t>
            </w:r>
          </w:p>
        </w:tc>
        <w:tc>
          <w:tcPr>
            <w:tcW w:w="1080" w:type="dxa"/>
            <w:vAlign w:val="center"/>
          </w:tcPr>
          <w:p>
            <w:pPr>
              <w:jc w:val="center"/>
              <w:rPr>
                <w:color w:val="auto"/>
                <w:sz w:val="20"/>
              </w:rPr>
            </w:pPr>
          </w:p>
        </w:tc>
        <w:tc>
          <w:tcPr>
            <w:tcW w:w="1110" w:type="dxa"/>
            <w:vAlign w:val="center"/>
          </w:tcPr>
          <w:p>
            <w:pPr>
              <w:rPr>
                <w:rFonts w:ascii="宋体" w:hAnsi="宋体" w:cs="宋体"/>
                <w:color w:val="auto"/>
                <w:sz w:val="20"/>
              </w:rPr>
            </w:pPr>
          </w:p>
        </w:tc>
        <w:tc>
          <w:tcPr>
            <w:tcW w:w="990" w:type="dxa"/>
            <w:vAlign w:val="center"/>
          </w:tcPr>
          <w:p>
            <w:pPr>
              <w:jc w:val="center"/>
              <w:rPr>
                <w:rFonts w:ascii="宋体" w:hAnsi="宋体" w:cs="宋体"/>
                <w:color w:val="auto"/>
                <w:sz w:val="20"/>
              </w:rPr>
            </w:pPr>
            <w:r>
              <w:rPr>
                <w:rFonts w:hint="eastAsia"/>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b/>
                <w:color w:val="auto"/>
                <w:szCs w:val="30"/>
              </w:rPr>
            </w:pPr>
          </w:p>
        </w:tc>
        <w:tc>
          <w:tcPr>
            <w:tcW w:w="2265" w:type="dxa"/>
          </w:tcPr>
          <w:p>
            <w:pPr>
              <w:jc w:val="left"/>
              <w:rPr>
                <w:b/>
                <w:color w:val="auto"/>
                <w:szCs w:val="30"/>
              </w:rPr>
            </w:pPr>
          </w:p>
        </w:tc>
        <w:tc>
          <w:tcPr>
            <w:tcW w:w="5445" w:type="dxa"/>
          </w:tcPr>
          <w:p>
            <w:pPr>
              <w:jc w:val="left"/>
              <w:rPr>
                <w:b/>
                <w:color w:val="auto"/>
                <w:szCs w:val="30"/>
              </w:rPr>
            </w:pPr>
          </w:p>
        </w:tc>
        <w:tc>
          <w:tcPr>
            <w:tcW w:w="1155" w:type="dxa"/>
          </w:tcPr>
          <w:p>
            <w:pPr>
              <w:jc w:val="left"/>
              <w:rPr>
                <w:b/>
                <w:color w:val="auto"/>
                <w:szCs w:val="30"/>
              </w:rPr>
            </w:pPr>
          </w:p>
        </w:tc>
        <w:tc>
          <w:tcPr>
            <w:tcW w:w="975" w:type="dxa"/>
          </w:tcPr>
          <w:p>
            <w:pPr>
              <w:jc w:val="left"/>
              <w:rPr>
                <w:b/>
                <w:color w:val="auto"/>
                <w:szCs w:val="30"/>
              </w:rPr>
            </w:pPr>
          </w:p>
        </w:tc>
        <w:tc>
          <w:tcPr>
            <w:tcW w:w="1080" w:type="dxa"/>
          </w:tcPr>
          <w:p>
            <w:pPr>
              <w:jc w:val="left"/>
              <w:rPr>
                <w:b/>
                <w:color w:val="auto"/>
                <w:szCs w:val="30"/>
              </w:rPr>
            </w:pPr>
          </w:p>
        </w:tc>
        <w:tc>
          <w:tcPr>
            <w:tcW w:w="1110" w:type="dxa"/>
          </w:tcPr>
          <w:p>
            <w:pPr>
              <w:jc w:val="left"/>
              <w:rPr>
                <w:b/>
                <w:color w:val="auto"/>
                <w:szCs w:val="30"/>
              </w:rPr>
            </w:pPr>
          </w:p>
        </w:tc>
        <w:tc>
          <w:tcPr>
            <w:tcW w:w="990" w:type="dxa"/>
          </w:tcPr>
          <w:p>
            <w:pPr>
              <w:jc w:val="left"/>
              <w:rPr>
                <w:b/>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b/>
                <w:color w:val="auto"/>
                <w:szCs w:val="30"/>
              </w:rPr>
            </w:pPr>
          </w:p>
        </w:tc>
        <w:tc>
          <w:tcPr>
            <w:tcW w:w="2265" w:type="dxa"/>
          </w:tcPr>
          <w:p>
            <w:pPr>
              <w:jc w:val="left"/>
              <w:rPr>
                <w:b/>
                <w:color w:val="auto"/>
                <w:szCs w:val="30"/>
              </w:rPr>
            </w:pPr>
          </w:p>
        </w:tc>
        <w:tc>
          <w:tcPr>
            <w:tcW w:w="5445" w:type="dxa"/>
          </w:tcPr>
          <w:p>
            <w:pPr>
              <w:jc w:val="left"/>
              <w:rPr>
                <w:b/>
                <w:color w:val="auto"/>
                <w:szCs w:val="30"/>
              </w:rPr>
            </w:pPr>
          </w:p>
        </w:tc>
        <w:tc>
          <w:tcPr>
            <w:tcW w:w="1155" w:type="dxa"/>
          </w:tcPr>
          <w:p>
            <w:pPr>
              <w:jc w:val="left"/>
              <w:rPr>
                <w:b/>
                <w:color w:val="auto"/>
                <w:szCs w:val="30"/>
              </w:rPr>
            </w:pPr>
          </w:p>
        </w:tc>
        <w:tc>
          <w:tcPr>
            <w:tcW w:w="975" w:type="dxa"/>
          </w:tcPr>
          <w:p>
            <w:pPr>
              <w:jc w:val="left"/>
              <w:rPr>
                <w:b/>
                <w:color w:val="auto"/>
                <w:szCs w:val="30"/>
              </w:rPr>
            </w:pPr>
          </w:p>
        </w:tc>
        <w:tc>
          <w:tcPr>
            <w:tcW w:w="1080" w:type="dxa"/>
          </w:tcPr>
          <w:p>
            <w:pPr>
              <w:jc w:val="left"/>
              <w:rPr>
                <w:b/>
                <w:color w:val="auto"/>
                <w:szCs w:val="30"/>
              </w:rPr>
            </w:pPr>
          </w:p>
        </w:tc>
        <w:tc>
          <w:tcPr>
            <w:tcW w:w="1110" w:type="dxa"/>
          </w:tcPr>
          <w:p>
            <w:pPr>
              <w:jc w:val="left"/>
              <w:rPr>
                <w:b/>
                <w:color w:val="auto"/>
                <w:szCs w:val="30"/>
              </w:rPr>
            </w:pPr>
          </w:p>
        </w:tc>
        <w:tc>
          <w:tcPr>
            <w:tcW w:w="990" w:type="dxa"/>
          </w:tcPr>
          <w:p>
            <w:pPr>
              <w:jc w:val="left"/>
              <w:rPr>
                <w:b/>
                <w:color w:val="auto"/>
                <w:szCs w:val="30"/>
              </w:rPr>
            </w:pPr>
          </w:p>
        </w:tc>
      </w:tr>
    </w:tbl>
    <w:p>
      <w:pPr>
        <w:ind w:right="10" w:firstLine="560"/>
        <w:rPr>
          <w:rFonts w:ascii="仿宋" w:hAnsi="仿宋" w:eastAsia="仿宋"/>
          <w:color w:val="auto"/>
          <w:sz w:val="28"/>
        </w:rPr>
      </w:pPr>
    </w:p>
    <w:p>
      <w:pPr>
        <w:rPr>
          <w:rFonts w:hint="eastAsia" w:ascii="仿宋" w:hAnsi="仿宋" w:eastAsia="仿宋"/>
          <w:color w:val="auto"/>
          <w:sz w:val="28"/>
        </w:rPr>
      </w:pPr>
    </w:p>
    <w:p>
      <w:pPr>
        <w:rPr>
          <w:rFonts w:hint="eastAsia" w:ascii="仿宋" w:hAnsi="仿宋" w:eastAsia="仿宋"/>
          <w:color w:val="auto"/>
          <w:sz w:val="28"/>
        </w:rPr>
      </w:pPr>
      <w:r>
        <w:rPr>
          <w:rFonts w:hint="eastAsia" w:ascii="仿宋" w:hAnsi="仿宋" w:eastAsia="仿宋"/>
          <w:color w:val="auto"/>
          <w:sz w:val="28"/>
        </w:rPr>
        <w:br w:type="page"/>
      </w:r>
    </w:p>
    <w:p>
      <w:pPr>
        <w:ind w:right="848"/>
        <w:jc w:val="right"/>
        <w:rPr>
          <w:rFonts w:hint="eastAsia" w:ascii="仿宋" w:hAnsi="仿宋" w:eastAsia="仿宋"/>
          <w:color w:val="auto"/>
          <w:sz w:val="28"/>
          <w:lang w:val="en-US" w:eastAsia="zh-CN"/>
        </w:rPr>
      </w:pPr>
      <w:r>
        <w:rPr>
          <w:rFonts w:hint="eastAsia" w:ascii="仿宋" w:hAnsi="仿宋" w:eastAsia="仿宋"/>
          <w:color w:val="auto"/>
          <w:sz w:val="28"/>
        </w:rPr>
        <w:t>附件十</w:t>
      </w:r>
      <w:r>
        <w:rPr>
          <w:rFonts w:hint="eastAsia" w:ascii="仿宋" w:hAnsi="仿宋" w:eastAsia="仿宋"/>
          <w:color w:val="auto"/>
          <w:sz w:val="28"/>
          <w:lang w:val="en-US" w:eastAsia="zh-CN"/>
        </w:rPr>
        <w:t>一</w:t>
      </w:r>
    </w:p>
    <w:p>
      <w:pPr>
        <w:spacing w:line="360" w:lineRule="atLeast"/>
        <w:ind w:firstLine="723"/>
        <w:jc w:val="center"/>
        <w:rPr>
          <w:rFonts w:ascii="仿宋" w:hAnsi="仿宋" w:eastAsia="仿宋"/>
          <w:b/>
          <w:color w:val="auto"/>
          <w:sz w:val="36"/>
        </w:rPr>
      </w:pPr>
      <w:r>
        <w:rPr>
          <w:rFonts w:hint="eastAsia" w:ascii="仿宋" w:hAnsi="仿宋" w:eastAsia="仿宋"/>
          <w:b/>
          <w:color w:val="auto"/>
          <w:sz w:val="36"/>
          <w:lang w:val="en-US" w:eastAsia="zh-CN"/>
        </w:rPr>
        <w:t>第五包</w:t>
      </w:r>
      <w:r>
        <w:rPr>
          <w:rFonts w:hint="eastAsia" w:ascii="仿宋" w:hAnsi="仿宋" w:eastAsia="仿宋"/>
          <w:b/>
          <w:color w:val="auto"/>
          <w:sz w:val="36"/>
        </w:rPr>
        <w:t>工程量清单：</w:t>
      </w:r>
    </w:p>
    <w:p>
      <w:pPr>
        <w:pStyle w:val="19"/>
        <w:ind w:firstLine="560"/>
        <w:rPr>
          <w:rFonts w:hint="eastAsia"/>
          <w:color w:val="auto"/>
        </w:rPr>
      </w:pPr>
      <w:r>
        <w:rPr>
          <w:rFonts w:hint="eastAsia" w:ascii="仿宋" w:hAnsi="仿宋" w:eastAsia="仿宋"/>
          <w:color w:val="auto"/>
          <w:sz w:val="28"/>
          <w:lang w:val="en-US" w:eastAsia="zh-CN"/>
        </w:rPr>
        <w:t>项目</w:t>
      </w:r>
      <w:r>
        <w:rPr>
          <w:rFonts w:hint="eastAsia" w:ascii="仿宋" w:hAnsi="仿宋" w:eastAsia="仿宋"/>
          <w:color w:val="auto"/>
          <w:sz w:val="28"/>
        </w:rPr>
        <w:t>编号：</w:t>
      </w:r>
      <w:r>
        <w:rPr>
          <w:rFonts w:hint="eastAsia" w:ascii="仿宋" w:hAnsi="仿宋" w:eastAsia="仿宋"/>
          <w:color w:val="auto"/>
          <w:sz w:val="28"/>
          <w:szCs w:val="28"/>
          <w:lang w:eastAsia="zh-CN"/>
        </w:rPr>
        <w:t>2041xzjk034</w:t>
      </w:r>
      <w:r>
        <w:rPr>
          <w:rFonts w:hint="eastAsia" w:ascii="仿宋" w:hAnsi="仿宋" w:eastAsia="仿宋"/>
          <w:color w:val="auto"/>
          <w:sz w:val="28"/>
          <w:szCs w:val="28"/>
        </w:rPr>
        <w:t>/05</w:t>
      </w:r>
      <w:r>
        <w:rPr>
          <w:rFonts w:hint="eastAsia" w:ascii="仿宋" w:hAnsi="仿宋" w:eastAsia="仿宋"/>
          <w:color w:val="auto"/>
          <w:sz w:val="28"/>
        </w:rPr>
        <w:t xml:space="preserve">                                                   年   月   日</w:t>
      </w:r>
    </w:p>
    <w:tbl>
      <w:tblPr>
        <w:tblStyle w:val="2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40"/>
        <w:gridCol w:w="4575"/>
        <w:gridCol w:w="855"/>
        <w:gridCol w:w="1215"/>
        <w:gridCol w:w="1215"/>
        <w:gridCol w:w="124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b/>
                <w:bCs/>
                <w:color w:val="auto"/>
                <w:szCs w:val="21"/>
              </w:rPr>
            </w:pPr>
            <w:r>
              <w:rPr>
                <w:rFonts w:hint="eastAsia" w:ascii="宋体" w:hAnsi="宋体"/>
                <w:b/>
                <w:bCs/>
                <w:color w:val="auto"/>
                <w:szCs w:val="21"/>
              </w:rPr>
              <w:t>序号</w:t>
            </w:r>
          </w:p>
        </w:tc>
        <w:tc>
          <w:tcPr>
            <w:tcW w:w="2340" w:type="dxa"/>
            <w:vAlign w:val="center"/>
          </w:tcPr>
          <w:p>
            <w:pPr>
              <w:jc w:val="center"/>
              <w:rPr>
                <w:rFonts w:ascii="宋体" w:hAnsi="宋体" w:cs="宋体"/>
                <w:b/>
                <w:bCs/>
                <w:color w:val="auto"/>
                <w:szCs w:val="21"/>
              </w:rPr>
            </w:pPr>
            <w:r>
              <w:rPr>
                <w:rFonts w:hint="eastAsia" w:ascii="宋体" w:hAnsi="宋体"/>
                <w:b/>
                <w:bCs/>
                <w:color w:val="auto"/>
                <w:szCs w:val="21"/>
              </w:rPr>
              <w:t>工程费用名称</w:t>
            </w:r>
          </w:p>
        </w:tc>
        <w:tc>
          <w:tcPr>
            <w:tcW w:w="4575" w:type="dxa"/>
            <w:vAlign w:val="center"/>
          </w:tcPr>
          <w:p>
            <w:pPr>
              <w:jc w:val="center"/>
              <w:rPr>
                <w:rFonts w:ascii="宋体" w:hAnsi="宋体" w:cs="宋体"/>
                <w:b/>
                <w:bCs/>
                <w:color w:val="auto"/>
                <w:szCs w:val="21"/>
              </w:rPr>
            </w:pPr>
            <w:r>
              <w:rPr>
                <w:rFonts w:hint="eastAsia" w:ascii="宋体" w:hAnsi="宋体"/>
                <w:b/>
                <w:bCs/>
                <w:color w:val="auto"/>
                <w:szCs w:val="21"/>
              </w:rPr>
              <w:t>规格型号</w:t>
            </w:r>
          </w:p>
        </w:tc>
        <w:tc>
          <w:tcPr>
            <w:tcW w:w="855" w:type="dxa"/>
            <w:vAlign w:val="center"/>
          </w:tcPr>
          <w:p>
            <w:pPr>
              <w:jc w:val="center"/>
              <w:rPr>
                <w:rFonts w:ascii="宋体" w:hAnsi="宋体" w:cs="宋体"/>
                <w:b/>
                <w:bCs/>
                <w:color w:val="auto"/>
                <w:szCs w:val="21"/>
              </w:rPr>
            </w:pPr>
            <w:r>
              <w:rPr>
                <w:rFonts w:hint="eastAsia" w:ascii="宋体" w:hAnsi="宋体"/>
                <w:b/>
                <w:bCs/>
                <w:color w:val="auto"/>
                <w:szCs w:val="21"/>
              </w:rPr>
              <w:t>单位</w:t>
            </w:r>
          </w:p>
        </w:tc>
        <w:tc>
          <w:tcPr>
            <w:tcW w:w="1215" w:type="dxa"/>
            <w:vAlign w:val="center"/>
          </w:tcPr>
          <w:p>
            <w:pPr>
              <w:jc w:val="center"/>
              <w:rPr>
                <w:rFonts w:ascii="宋体" w:hAnsi="宋体" w:cs="宋体"/>
                <w:b/>
                <w:bCs/>
                <w:color w:val="auto"/>
                <w:szCs w:val="21"/>
              </w:rPr>
            </w:pPr>
            <w:r>
              <w:rPr>
                <w:rFonts w:hint="eastAsia" w:ascii="宋体" w:hAnsi="宋体"/>
                <w:b/>
                <w:bCs/>
                <w:color w:val="auto"/>
                <w:szCs w:val="21"/>
              </w:rPr>
              <w:t>数量</w:t>
            </w:r>
          </w:p>
        </w:tc>
        <w:tc>
          <w:tcPr>
            <w:tcW w:w="1215" w:type="dxa"/>
            <w:vAlign w:val="center"/>
          </w:tcPr>
          <w:p>
            <w:pPr>
              <w:jc w:val="center"/>
              <w:rPr>
                <w:rFonts w:ascii="宋体" w:hAnsi="宋体" w:cs="宋体"/>
                <w:b/>
                <w:bCs/>
                <w:color w:val="auto"/>
                <w:szCs w:val="21"/>
              </w:rPr>
            </w:pPr>
            <w:r>
              <w:rPr>
                <w:rFonts w:hint="eastAsia" w:ascii="宋体" w:hAnsi="宋体"/>
                <w:b/>
                <w:bCs/>
                <w:color w:val="auto"/>
                <w:szCs w:val="21"/>
              </w:rPr>
              <w:t>单价(元)</w:t>
            </w:r>
          </w:p>
        </w:tc>
        <w:tc>
          <w:tcPr>
            <w:tcW w:w="1245" w:type="dxa"/>
            <w:vAlign w:val="center"/>
          </w:tcPr>
          <w:p>
            <w:pPr>
              <w:jc w:val="center"/>
              <w:rPr>
                <w:rFonts w:ascii="宋体" w:hAnsi="宋体" w:cs="宋体"/>
                <w:b/>
                <w:bCs/>
                <w:color w:val="auto"/>
                <w:szCs w:val="21"/>
              </w:rPr>
            </w:pPr>
            <w:r>
              <w:rPr>
                <w:rFonts w:hint="eastAsia" w:ascii="宋体" w:hAnsi="宋体"/>
                <w:b/>
                <w:bCs/>
                <w:color w:val="auto"/>
                <w:szCs w:val="21"/>
              </w:rPr>
              <w:t>总价(元)</w:t>
            </w:r>
          </w:p>
        </w:tc>
        <w:tc>
          <w:tcPr>
            <w:tcW w:w="1185" w:type="dxa"/>
            <w:vAlign w:val="center"/>
          </w:tcPr>
          <w:p>
            <w:pPr>
              <w:jc w:val="center"/>
              <w:rPr>
                <w:rFonts w:ascii="宋体" w:hAnsi="宋体" w:cs="宋体"/>
                <w:b/>
                <w:bCs/>
                <w:color w:val="auto"/>
                <w:szCs w:val="21"/>
              </w:rPr>
            </w:pPr>
            <w:r>
              <w:rPr>
                <w:rFonts w:hint="eastAsia" w:ascii="宋体" w:hAnsi="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一</w:t>
            </w:r>
          </w:p>
        </w:tc>
        <w:tc>
          <w:tcPr>
            <w:tcW w:w="2340" w:type="dxa"/>
            <w:vAlign w:val="center"/>
          </w:tcPr>
          <w:p>
            <w:pPr>
              <w:rPr>
                <w:rFonts w:ascii="宋体" w:hAnsi="宋体" w:cs="宋体"/>
                <w:b/>
                <w:bCs/>
                <w:color w:val="auto"/>
                <w:szCs w:val="21"/>
              </w:rPr>
            </w:pPr>
            <w:r>
              <w:rPr>
                <w:rFonts w:hint="eastAsia" w:ascii="宋体" w:hAnsi="宋体"/>
                <w:b/>
                <w:bCs/>
                <w:color w:val="auto"/>
                <w:szCs w:val="21"/>
              </w:rPr>
              <w:t>手术室及辅助房间装修装饰</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w:t>
            </w:r>
          </w:p>
        </w:tc>
        <w:tc>
          <w:tcPr>
            <w:tcW w:w="2340" w:type="dxa"/>
            <w:vAlign w:val="center"/>
          </w:tcPr>
          <w:p>
            <w:pPr>
              <w:rPr>
                <w:rFonts w:ascii="宋体" w:hAnsi="宋体" w:cs="宋体"/>
                <w:color w:val="auto"/>
                <w:szCs w:val="21"/>
              </w:rPr>
            </w:pPr>
            <w:r>
              <w:rPr>
                <w:rFonts w:hint="eastAsia" w:ascii="宋体" w:hAnsi="宋体"/>
                <w:color w:val="auto"/>
                <w:szCs w:val="21"/>
              </w:rPr>
              <w:t>机制岩棉彩钢板隔墙（手术室及辅房）</w:t>
            </w:r>
          </w:p>
        </w:tc>
        <w:tc>
          <w:tcPr>
            <w:tcW w:w="4575" w:type="dxa"/>
            <w:vAlign w:val="center"/>
          </w:tcPr>
          <w:p>
            <w:pPr>
              <w:jc w:val="center"/>
              <w:rPr>
                <w:rFonts w:ascii="宋体" w:hAnsi="宋体" w:cs="宋体"/>
                <w:color w:val="auto"/>
                <w:szCs w:val="21"/>
              </w:rPr>
            </w:pPr>
            <w:r>
              <w:rPr>
                <w:rFonts w:hint="eastAsia" w:ascii="宋体" w:hAnsi="宋体"/>
                <w:color w:val="auto"/>
                <w:szCs w:val="21"/>
              </w:rPr>
              <w:t>彩钢夹芯板50mm，0.426mm</w:t>
            </w:r>
          </w:p>
        </w:tc>
        <w:tc>
          <w:tcPr>
            <w:tcW w:w="855" w:type="dxa"/>
            <w:vAlign w:val="center"/>
          </w:tcPr>
          <w:p>
            <w:pPr>
              <w:jc w:val="center"/>
              <w:rPr>
                <w:rFonts w:ascii="宋体" w:hAnsi="宋体" w:cs="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c>
          <w:tcPr>
            <w:tcW w:w="1215" w:type="dxa"/>
            <w:vAlign w:val="center"/>
          </w:tcPr>
          <w:p>
            <w:pPr>
              <w:jc w:val="center"/>
              <w:rPr>
                <w:rFonts w:ascii="宋体" w:hAnsi="宋体" w:cs="宋体"/>
                <w:color w:val="auto"/>
                <w:szCs w:val="21"/>
              </w:rPr>
            </w:pPr>
            <w:r>
              <w:rPr>
                <w:rFonts w:hint="eastAsia" w:ascii="宋体" w:hAnsi="宋体"/>
                <w:color w:val="auto"/>
                <w:szCs w:val="21"/>
              </w:rPr>
              <w:t>936.00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2</w:t>
            </w:r>
          </w:p>
        </w:tc>
        <w:tc>
          <w:tcPr>
            <w:tcW w:w="2340" w:type="dxa"/>
            <w:vAlign w:val="center"/>
          </w:tcPr>
          <w:p>
            <w:pPr>
              <w:rPr>
                <w:rFonts w:ascii="宋体" w:hAnsi="宋体" w:cs="宋体"/>
                <w:color w:val="auto"/>
                <w:szCs w:val="21"/>
              </w:rPr>
            </w:pPr>
            <w:r>
              <w:rPr>
                <w:rFonts w:hint="eastAsia" w:ascii="宋体" w:hAnsi="宋体"/>
                <w:color w:val="auto"/>
                <w:szCs w:val="21"/>
              </w:rPr>
              <w:t>洁净复合彩钢板吊顶 （手术室及辅房）</w:t>
            </w:r>
          </w:p>
        </w:tc>
        <w:tc>
          <w:tcPr>
            <w:tcW w:w="4575" w:type="dxa"/>
            <w:vAlign w:val="center"/>
          </w:tcPr>
          <w:p>
            <w:pPr>
              <w:jc w:val="center"/>
              <w:rPr>
                <w:rFonts w:ascii="宋体" w:hAnsi="宋体" w:cs="宋体"/>
                <w:color w:val="auto"/>
                <w:szCs w:val="21"/>
              </w:rPr>
            </w:pPr>
            <w:r>
              <w:rPr>
                <w:rFonts w:hint="eastAsia" w:ascii="宋体" w:hAnsi="宋体"/>
                <w:color w:val="auto"/>
                <w:szCs w:val="21"/>
              </w:rPr>
              <w:t>彩钢夹芯板50mm，0.426mm</w:t>
            </w:r>
          </w:p>
        </w:tc>
        <w:tc>
          <w:tcPr>
            <w:tcW w:w="855" w:type="dxa"/>
            <w:vAlign w:val="center"/>
          </w:tcPr>
          <w:p>
            <w:pPr>
              <w:jc w:val="center"/>
              <w:rPr>
                <w:rFonts w:ascii="宋体" w:hAnsi="宋体" w:cs="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c>
          <w:tcPr>
            <w:tcW w:w="1215" w:type="dxa"/>
            <w:vAlign w:val="center"/>
          </w:tcPr>
          <w:p>
            <w:pPr>
              <w:jc w:val="center"/>
              <w:rPr>
                <w:rFonts w:ascii="宋体" w:hAnsi="宋体" w:cs="宋体"/>
                <w:color w:val="auto"/>
                <w:szCs w:val="21"/>
              </w:rPr>
            </w:pPr>
            <w:r>
              <w:rPr>
                <w:rFonts w:hint="eastAsia" w:ascii="宋体" w:hAnsi="宋体"/>
                <w:color w:val="auto"/>
                <w:szCs w:val="21"/>
              </w:rPr>
              <w:t>335.00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3</w:t>
            </w:r>
          </w:p>
        </w:tc>
        <w:tc>
          <w:tcPr>
            <w:tcW w:w="2340" w:type="dxa"/>
            <w:vAlign w:val="center"/>
          </w:tcPr>
          <w:p>
            <w:pPr>
              <w:rPr>
                <w:rFonts w:ascii="宋体" w:hAnsi="宋体" w:cs="宋体"/>
                <w:color w:val="auto"/>
                <w:szCs w:val="21"/>
              </w:rPr>
            </w:pPr>
            <w:r>
              <w:rPr>
                <w:rFonts w:hint="eastAsia" w:ascii="宋体" w:hAnsi="宋体"/>
                <w:color w:val="auto"/>
                <w:szCs w:val="21"/>
              </w:rPr>
              <w:t>配套铝合金型材</w:t>
            </w:r>
          </w:p>
        </w:tc>
        <w:tc>
          <w:tcPr>
            <w:tcW w:w="4575" w:type="dxa"/>
            <w:vAlign w:val="center"/>
          </w:tcPr>
          <w:p>
            <w:pPr>
              <w:jc w:val="center"/>
              <w:rPr>
                <w:rFonts w:ascii="宋体" w:hAnsi="宋体" w:cs="宋体"/>
                <w:color w:val="auto"/>
                <w:szCs w:val="21"/>
              </w:rPr>
            </w:pPr>
            <w:r>
              <w:rPr>
                <w:rFonts w:hint="eastAsia" w:ascii="宋体" w:hAnsi="宋体"/>
                <w:color w:val="auto"/>
                <w:szCs w:val="21"/>
              </w:rPr>
              <w:t>铝合金阴阳角圆弧过渡、阴阳角，底槽等配套件</w:t>
            </w:r>
          </w:p>
        </w:tc>
        <w:tc>
          <w:tcPr>
            <w:tcW w:w="855" w:type="dxa"/>
            <w:vAlign w:val="center"/>
          </w:tcPr>
          <w:p>
            <w:pPr>
              <w:jc w:val="center"/>
              <w:rPr>
                <w:rFonts w:ascii="宋体" w:hAnsi="宋体" w:cs="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c>
          <w:tcPr>
            <w:tcW w:w="1215" w:type="dxa"/>
            <w:vAlign w:val="center"/>
          </w:tcPr>
          <w:p>
            <w:pPr>
              <w:jc w:val="center"/>
              <w:rPr>
                <w:rFonts w:ascii="宋体" w:hAnsi="宋体" w:cs="宋体"/>
                <w:color w:val="auto"/>
                <w:szCs w:val="21"/>
              </w:rPr>
            </w:pPr>
            <w:r>
              <w:rPr>
                <w:rFonts w:hint="eastAsia" w:ascii="宋体" w:hAnsi="宋体"/>
                <w:color w:val="auto"/>
                <w:szCs w:val="21"/>
              </w:rPr>
              <w:t>1282.00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4</w:t>
            </w:r>
          </w:p>
        </w:tc>
        <w:tc>
          <w:tcPr>
            <w:tcW w:w="2340" w:type="dxa"/>
            <w:vAlign w:val="center"/>
          </w:tcPr>
          <w:p>
            <w:pPr>
              <w:rPr>
                <w:rFonts w:ascii="宋体" w:hAnsi="宋体" w:cs="宋体"/>
                <w:color w:val="auto"/>
                <w:szCs w:val="21"/>
              </w:rPr>
            </w:pPr>
            <w:r>
              <w:rPr>
                <w:rFonts w:hint="eastAsia" w:ascii="宋体" w:hAnsi="宋体"/>
                <w:color w:val="auto"/>
                <w:szCs w:val="21"/>
              </w:rPr>
              <w:t>吊顶、隔墙密封</w:t>
            </w:r>
          </w:p>
        </w:tc>
        <w:tc>
          <w:tcPr>
            <w:tcW w:w="4575" w:type="dxa"/>
            <w:vAlign w:val="center"/>
          </w:tcPr>
          <w:p>
            <w:pPr>
              <w:jc w:val="center"/>
              <w:rPr>
                <w:rFonts w:ascii="宋体" w:hAnsi="宋体" w:cs="宋体"/>
                <w:color w:val="auto"/>
                <w:szCs w:val="21"/>
              </w:rPr>
            </w:pPr>
            <w:r>
              <w:rPr>
                <w:rFonts w:hint="eastAsia" w:ascii="宋体" w:hAnsi="宋体"/>
                <w:color w:val="auto"/>
                <w:szCs w:val="21"/>
              </w:rPr>
              <w:t>边角密封处理，设备开孔密封处理</w:t>
            </w:r>
          </w:p>
        </w:tc>
        <w:tc>
          <w:tcPr>
            <w:tcW w:w="855" w:type="dxa"/>
            <w:vAlign w:val="center"/>
          </w:tcPr>
          <w:p>
            <w:pPr>
              <w:jc w:val="center"/>
              <w:rPr>
                <w:rFonts w:ascii="宋体" w:hAnsi="宋体" w:cs="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c>
          <w:tcPr>
            <w:tcW w:w="1215" w:type="dxa"/>
            <w:vAlign w:val="center"/>
          </w:tcPr>
          <w:p>
            <w:pPr>
              <w:jc w:val="center"/>
              <w:rPr>
                <w:rFonts w:ascii="宋体" w:hAnsi="宋体" w:cs="宋体"/>
                <w:color w:val="auto"/>
                <w:szCs w:val="21"/>
              </w:rPr>
            </w:pPr>
            <w:r>
              <w:rPr>
                <w:rFonts w:hint="eastAsia" w:ascii="宋体" w:hAnsi="宋体"/>
                <w:color w:val="auto"/>
                <w:szCs w:val="21"/>
              </w:rPr>
              <w:t>1282.00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5</w:t>
            </w:r>
          </w:p>
        </w:tc>
        <w:tc>
          <w:tcPr>
            <w:tcW w:w="2340" w:type="dxa"/>
            <w:vAlign w:val="center"/>
          </w:tcPr>
          <w:p>
            <w:pPr>
              <w:rPr>
                <w:rFonts w:ascii="宋体" w:hAnsi="宋体" w:cs="宋体"/>
                <w:color w:val="auto"/>
                <w:szCs w:val="21"/>
              </w:rPr>
            </w:pPr>
            <w:r>
              <w:rPr>
                <w:rFonts w:hint="eastAsia" w:ascii="宋体" w:hAnsi="宋体"/>
                <w:color w:val="auto"/>
                <w:szCs w:val="21"/>
              </w:rPr>
              <w:t>回风竖井</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23.00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6</w:t>
            </w:r>
          </w:p>
        </w:tc>
        <w:tc>
          <w:tcPr>
            <w:tcW w:w="2340" w:type="dxa"/>
            <w:vAlign w:val="center"/>
          </w:tcPr>
          <w:p>
            <w:pPr>
              <w:rPr>
                <w:rFonts w:ascii="宋体" w:hAnsi="宋体" w:cs="宋体"/>
                <w:color w:val="auto"/>
                <w:szCs w:val="21"/>
              </w:rPr>
            </w:pPr>
            <w:r>
              <w:rPr>
                <w:rFonts w:hint="eastAsia" w:ascii="宋体" w:hAnsi="宋体"/>
                <w:color w:val="auto"/>
                <w:szCs w:val="21"/>
              </w:rPr>
              <w:t>进口PVC卷材地面（手术室）</w:t>
            </w:r>
          </w:p>
        </w:tc>
        <w:tc>
          <w:tcPr>
            <w:tcW w:w="4575" w:type="dxa"/>
            <w:vAlign w:val="center"/>
          </w:tcPr>
          <w:p>
            <w:pPr>
              <w:jc w:val="center"/>
              <w:rPr>
                <w:rFonts w:ascii="宋体" w:hAnsi="宋体" w:cs="宋体"/>
                <w:color w:val="auto"/>
                <w:szCs w:val="21"/>
              </w:rPr>
            </w:pPr>
            <w:r>
              <w:rPr>
                <w:rFonts w:hint="eastAsia" w:ascii="宋体" w:hAnsi="宋体"/>
                <w:color w:val="auto"/>
                <w:szCs w:val="21"/>
              </w:rPr>
              <w:t xml:space="preserve">防静电防菌耐磨吸音塑料卷材δ2.6mm </w:t>
            </w:r>
          </w:p>
        </w:tc>
        <w:tc>
          <w:tcPr>
            <w:tcW w:w="855" w:type="dxa"/>
            <w:vAlign w:val="center"/>
          </w:tcPr>
          <w:p>
            <w:pPr>
              <w:jc w:val="center"/>
              <w:rPr>
                <w:rFonts w:ascii="宋体" w:hAnsi="宋体" w:cs="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c>
          <w:tcPr>
            <w:tcW w:w="1215" w:type="dxa"/>
            <w:vAlign w:val="center"/>
          </w:tcPr>
          <w:p>
            <w:pPr>
              <w:jc w:val="center"/>
              <w:rPr>
                <w:rFonts w:ascii="宋体" w:hAnsi="宋体" w:cs="宋体"/>
                <w:color w:val="auto"/>
                <w:szCs w:val="21"/>
              </w:rPr>
            </w:pPr>
            <w:r>
              <w:rPr>
                <w:rFonts w:hint="eastAsia" w:ascii="宋体" w:hAnsi="宋体"/>
                <w:color w:val="auto"/>
                <w:szCs w:val="21"/>
              </w:rPr>
              <w:t>335.00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7</w:t>
            </w:r>
          </w:p>
        </w:tc>
        <w:tc>
          <w:tcPr>
            <w:tcW w:w="2340" w:type="dxa"/>
            <w:vAlign w:val="center"/>
          </w:tcPr>
          <w:p>
            <w:pPr>
              <w:rPr>
                <w:rFonts w:ascii="宋体" w:hAnsi="宋体" w:cs="宋体"/>
                <w:color w:val="auto"/>
                <w:szCs w:val="21"/>
              </w:rPr>
            </w:pPr>
            <w:r>
              <w:rPr>
                <w:rFonts w:hint="eastAsia" w:ascii="宋体" w:hAnsi="宋体"/>
                <w:color w:val="auto"/>
                <w:szCs w:val="21"/>
              </w:rPr>
              <w:t>自流平/界面处理剂δ2mm（手术室）</w:t>
            </w:r>
          </w:p>
        </w:tc>
        <w:tc>
          <w:tcPr>
            <w:tcW w:w="4575" w:type="dxa"/>
            <w:vAlign w:val="center"/>
          </w:tcPr>
          <w:p>
            <w:pPr>
              <w:jc w:val="center"/>
              <w:rPr>
                <w:rFonts w:ascii="宋体" w:hAnsi="宋体" w:cs="宋体"/>
                <w:color w:val="auto"/>
                <w:szCs w:val="21"/>
              </w:rPr>
            </w:pPr>
            <w:r>
              <w:rPr>
                <w:rFonts w:hint="eastAsia" w:ascii="宋体" w:hAnsi="宋体"/>
                <w:color w:val="auto"/>
                <w:szCs w:val="21"/>
              </w:rPr>
              <w:t>流动找平性极佳</w:t>
            </w:r>
          </w:p>
        </w:tc>
        <w:tc>
          <w:tcPr>
            <w:tcW w:w="855" w:type="dxa"/>
            <w:vAlign w:val="center"/>
          </w:tcPr>
          <w:p>
            <w:pPr>
              <w:jc w:val="center"/>
              <w:rPr>
                <w:rFonts w:ascii="宋体" w:hAnsi="宋体" w:cs="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c>
          <w:tcPr>
            <w:tcW w:w="1215" w:type="dxa"/>
            <w:vAlign w:val="center"/>
          </w:tcPr>
          <w:p>
            <w:pPr>
              <w:jc w:val="center"/>
              <w:rPr>
                <w:rFonts w:ascii="宋体" w:hAnsi="宋体" w:cs="宋体"/>
                <w:color w:val="auto"/>
                <w:szCs w:val="21"/>
              </w:rPr>
            </w:pPr>
            <w:r>
              <w:rPr>
                <w:rFonts w:hint="eastAsia" w:ascii="宋体" w:hAnsi="宋体"/>
                <w:color w:val="auto"/>
                <w:szCs w:val="21"/>
              </w:rPr>
              <w:t>335.00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8</w:t>
            </w:r>
          </w:p>
        </w:tc>
        <w:tc>
          <w:tcPr>
            <w:tcW w:w="2340" w:type="dxa"/>
            <w:vAlign w:val="center"/>
          </w:tcPr>
          <w:p>
            <w:pPr>
              <w:rPr>
                <w:rFonts w:ascii="宋体" w:hAnsi="宋体" w:cs="宋体"/>
                <w:color w:val="auto"/>
                <w:szCs w:val="21"/>
              </w:rPr>
            </w:pPr>
            <w:r>
              <w:rPr>
                <w:rFonts w:hint="eastAsia" w:ascii="宋体" w:hAnsi="宋体"/>
                <w:color w:val="auto"/>
                <w:szCs w:val="21"/>
              </w:rPr>
              <w:t>医用气密封自动门(手术室)</w:t>
            </w:r>
          </w:p>
        </w:tc>
        <w:tc>
          <w:tcPr>
            <w:tcW w:w="4575" w:type="dxa"/>
            <w:vAlign w:val="center"/>
          </w:tcPr>
          <w:p>
            <w:pPr>
              <w:jc w:val="center"/>
              <w:rPr>
                <w:rFonts w:ascii="宋体" w:hAnsi="宋体" w:cs="宋体"/>
                <w:color w:val="auto"/>
                <w:szCs w:val="21"/>
              </w:rPr>
            </w:pPr>
            <w:r>
              <w:rPr>
                <w:rFonts w:hint="eastAsia" w:ascii="宋体" w:hAnsi="宋体"/>
                <w:color w:val="auto"/>
                <w:szCs w:val="21"/>
              </w:rPr>
              <w:t xml:space="preserve">DTM1521(1400*2100mm) 感应门并可手动开启, 单扇电动自动推,可手动开启包控制器与电机、轨道、门板、红外线安全退回装置、非接触感应开关带电锁,铝塑板饰面,带防撞带, 带400*600观察窗 </w:t>
            </w:r>
          </w:p>
        </w:tc>
        <w:tc>
          <w:tcPr>
            <w:tcW w:w="855" w:type="dxa"/>
            <w:vAlign w:val="center"/>
          </w:tcPr>
          <w:p>
            <w:pPr>
              <w:jc w:val="center"/>
              <w:rPr>
                <w:rFonts w:ascii="宋体" w:hAnsi="宋体" w:cs="宋体"/>
                <w:color w:val="auto"/>
                <w:szCs w:val="21"/>
              </w:rPr>
            </w:pPr>
            <w:r>
              <w:rPr>
                <w:rFonts w:hint="eastAsia" w:ascii="宋体" w:hAnsi="宋体"/>
                <w:color w:val="auto"/>
                <w:szCs w:val="21"/>
              </w:rPr>
              <w:t>樘</w:t>
            </w:r>
          </w:p>
        </w:tc>
        <w:tc>
          <w:tcPr>
            <w:tcW w:w="1215" w:type="dxa"/>
            <w:vAlign w:val="center"/>
          </w:tcPr>
          <w:p>
            <w:pPr>
              <w:jc w:val="center"/>
              <w:rPr>
                <w:rFonts w:ascii="宋体" w:hAnsi="宋体" w:cs="宋体"/>
                <w:color w:val="auto"/>
                <w:szCs w:val="21"/>
              </w:rPr>
            </w:pPr>
            <w:r>
              <w:rPr>
                <w:rFonts w:hint="eastAsia" w:ascii="宋体" w:hAnsi="宋体"/>
                <w:color w:val="auto"/>
                <w:szCs w:val="21"/>
              </w:rPr>
              <w:t>2</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9</w:t>
            </w:r>
          </w:p>
        </w:tc>
        <w:tc>
          <w:tcPr>
            <w:tcW w:w="2340" w:type="dxa"/>
            <w:vAlign w:val="center"/>
          </w:tcPr>
          <w:p>
            <w:pPr>
              <w:rPr>
                <w:rFonts w:ascii="宋体" w:hAnsi="宋体" w:cs="宋体"/>
                <w:color w:val="auto"/>
                <w:szCs w:val="21"/>
              </w:rPr>
            </w:pPr>
            <w:r>
              <w:rPr>
                <w:rFonts w:hint="eastAsia" w:ascii="宋体" w:hAnsi="宋体"/>
                <w:color w:val="auto"/>
                <w:szCs w:val="21"/>
              </w:rPr>
              <w:t>气密封双开门</w:t>
            </w:r>
          </w:p>
        </w:tc>
        <w:tc>
          <w:tcPr>
            <w:tcW w:w="4575" w:type="dxa"/>
            <w:vAlign w:val="center"/>
          </w:tcPr>
          <w:p>
            <w:pPr>
              <w:jc w:val="center"/>
              <w:rPr>
                <w:rFonts w:ascii="宋体" w:hAnsi="宋体" w:cs="宋体"/>
                <w:color w:val="auto"/>
                <w:szCs w:val="21"/>
              </w:rPr>
            </w:pPr>
            <w:r>
              <w:rPr>
                <w:rFonts w:hint="eastAsia" w:ascii="宋体" w:hAnsi="宋体"/>
                <w:color w:val="auto"/>
                <w:szCs w:val="21"/>
              </w:rPr>
              <w:t>钢制边框,1500*2100</w:t>
            </w:r>
          </w:p>
        </w:tc>
        <w:tc>
          <w:tcPr>
            <w:tcW w:w="855" w:type="dxa"/>
            <w:vAlign w:val="center"/>
          </w:tcPr>
          <w:p>
            <w:pPr>
              <w:jc w:val="center"/>
              <w:rPr>
                <w:rFonts w:ascii="宋体" w:hAnsi="宋体" w:cs="宋体"/>
                <w:color w:val="auto"/>
                <w:szCs w:val="21"/>
              </w:rPr>
            </w:pPr>
            <w:r>
              <w:rPr>
                <w:rFonts w:hint="eastAsia" w:ascii="宋体" w:hAnsi="宋体"/>
                <w:color w:val="auto"/>
                <w:szCs w:val="21"/>
              </w:rPr>
              <w:t>樘</w:t>
            </w:r>
          </w:p>
        </w:tc>
        <w:tc>
          <w:tcPr>
            <w:tcW w:w="1215" w:type="dxa"/>
            <w:vAlign w:val="center"/>
          </w:tcPr>
          <w:p>
            <w:pPr>
              <w:jc w:val="center"/>
              <w:rPr>
                <w:rFonts w:ascii="宋体" w:hAnsi="宋体" w:cs="宋体"/>
                <w:color w:val="auto"/>
                <w:szCs w:val="21"/>
              </w:rPr>
            </w:pPr>
            <w:r>
              <w:rPr>
                <w:rFonts w:hint="eastAsia" w:ascii="宋体" w:hAnsi="宋体"/>
                <w:color w:val="auto"/>
                <w:szCs w:val="21"/>
              </w:rPr>
              <w:t>6</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10</w:t>
            </w:r>
          </w:p>
        </w:tc>
        <w:tc>
          <w:tcPr>
            <w:tcW w:w="2340" w:type="dxa"/>
            <w:vAlign w:val="center"/>
          </w:tcPr>
          <w:p>
            <w:pPr>
              <w:rPr>
                <w:rFonts w:ascii="宋体" w:hAnsi="宋体" w:cs="宋体"/>
                <w:color w:val="auto"/>
                <w:szCs w:val="21"/>
              </w:rPr>
            </w:pPr>
            <w:r>
              <w:rPr>
                <w:rFonts w:hint="eastAsia" w:ascii="宋体" w:hAnsi="宋体"/>
                <w:color w:val="auto"/>
                <w:szCs w:val="21"/>
              </w:rPr>
              <w:t>气密封单开手动门</w:t>
            </w:r>
          </w:p>
        </w:tc>
        <w:tc>
          <w:tcPr>
            <w:tcW w:w="4575" w:type="dxa"/>
            <w:vAlign w:val="center"/>
          </w:tcPr>
          <w:p>
            <w:pPr>
              <w:jc w:val="center"/>
              <w:rPr>
                <w:rFonts w:ascii="宋体" w:hAnsi="宋体" w:cs="宋体"/>
                <w:color w:val="auto"/>
                <w:szCs w:val="21"/>
              </w:rPr>
            </w:pPr>
            <w:r>
              <w:rPr>
                <w:rFonts w:hint="eastAsia" w:ascii="宋体" w:hAnsi="宋体"/>
                <w:color w:val="auto"/>
                <w:szCs w:val="21"/>
              </w:rPr>
              <w:t>钢制边框,800*2100</w:t>
            </w:r>
          </w:p>
        </w:tc>
        <w:tc>
          <w:tcPr>
            <w:tcW w:w="855" w:type="dxa"/>
            <w:vAlign w:val="center"/>
          </w:tcPr>
          <w:p>
            <w:pPr>
              <w:jc w:val="center"/>
              <w:rPr>
                <w:rFonts w:ascii="宋体" w:hAnsi="宋体" w:cs="宋体"/>
                <w:color w:val="auto"/>
                <w:szCs w:val="21"/>
              </w:rPr>
            </w:pPr>
            <w:r>
              <w:rPr>
                <w:rFonts w:hint="eastAsia" w:ascii="宋体" w:hAnsi="宋体"/>
                <w:color w:val="auto"/>
                <w:szCs w:val="21"/>
              </w:rPr>
              <w:t>樘</w:t>
            </w:r>
          </w:p>
        </w:tc>
        <w:tc>
          <w:tcPr>
            <w:tcW w:w="1215" w:type="dxa"/>
            <w:vAlign w:val="center"/>
          </w:tcPr>
          <w:p>
            <w:pPr>
              <w:jc w:val="center"/>
              <w:rPr>
                <w:rFonts w:ascii="宋体" w:hAnsi="宋体" w:cs="宋体"/>
                <w:color w:val="auto"/>
                <w:szCs w:val="21"/>
              </w:rPr>
            </w:pPr>
            <w:r>
              <w:rPr>
                <w:rFonts w:hint="eastAsia" w:ascii="宋体" w:hAnsi="宋体"/>
                <w:color w:val="auto"/>
                <w:szCs w:val="21"/>
              </w:rPr>
              <w:t>24</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11</w:t>
            </w:r>
          </w:p>
        </w:tc>
        <w:tc>
          <w:tcPr>
            <w:tcW w:w="2340" w:type="dxa"/>
            <w:vAlign w:val="center"/>
          </w:tcPr>
          <w:p>
            <w:pPr>
              <w:rPr>
                <w:rFonts w:ascii="宋体" w:hAnsi="宋体" w:cs="宋体"/>
                <w:color w:val="auto"/>
                <w:szCs w:val="21"/>
              </w:rPr>
            </w:pPr>
            <w:r>
              <w:rPr>
                <w:rFonts w:hint="eastAsia" w:ascii="宋体" w:hAnsi="宋体"/>
                <w:color w:val="auto"/>
                <w:szCs w:val="21"/>
              </w:rPr>
              <w:t>不锈钢刷手池三位(含感应水龙头，带独立镜灯）</w:t>
            </w:r>
          </w:p>
        </w:tc>
        <w:tc>
          <w:tcPr>
            <w:tcW w:w="4575" w:type="dxa"/>
            <w:vAlign w:val="center"/>
          </w:tcPr>
          <w:p>
            <w:pPr>
              <w:jc w:val="center"/>
              <w:rPr>
                <w:rFonts w:ascii="宋体" w:hAnsi="宋体" w:cs="宋体"/>
                <w:color w:val="auto"/>
                <w:szCs w:val="21"/>
              </w:rPr>
            </w:pPr>
            <w:r>
              <w:rPr>
                <w:rFonts w:hint="eastAsia" w:ascii="宋体" w:hAnsi="宋体"/>
                <w:color w:val="auto"/>
                <w:szCs w:val="21"/>
              </w:rPr>
              <w:t>国标</w:t>
            </w:r>
          </w:p>
        </w:tc>
        <w:tc>
          <w:tcPr>
            <w:tcW w:w="855" w:type="dxa"/>
            <w:vAlign w:val="center"/>
          </w:tcPr>
          <w:p>
            <w:pPr>
              <w:jc w:val="center"/>
              <w:rPr>
                <w:rFonts w:ascii="宋体" w:hAnsi="宋体" w:cs="宋体"/>
                <w:color w:val="auto"/>
                <w:szCs w:val="21"/>
              </w:rPr>
            </w:pPr>
            <w:r>
              <w:rPr>
                <w:rFonts w:hint="eastAsia" w:ascii="宋体" w:hAnsi="宋体"/>
                <w:color w:val="auto"/>
                <w:szCs w:val="21"/>
              </w:rPr>
              <w:t>套</w:t>
            </w:r>
          </w:p>
        </w:tc>
        <w:tc>
          <w:tcPr>
            <w:tcW w:w="1215" w:type="dxa"/>
            <w:vAlign w:val="center"/>
          </w:tcPr>
          <w:p>
            <w:pPr>
              <w:jc w:val="center"/>
              <w:rPr>
                <w:rFonts w:ascii="宋体" w:hAnsi="宋体" w:cs="宋体"/>
                <w:color w:val="auto"/>
                <w:szCs w:val="21"/>
              </w:rPr>
            </w:pPr>
            <w:r>
              <w:rPr>
                <w:rFonts w:hint="eastAsia" w:ascii="宋体" w:hAnsi="宋体"/>
                <w:color w:val="auto"/>
                <w:szCs w:val="21"/>
              </w:rPr>
              <w:t>1</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12</w:t>
            </w:r>
          </w:p>
        </w:tc>
        <w:tc>
          <w:tcPr>
            <w:tcW w:w="2340" w:type="dxa"/>
            <w:vAlign w:val="center"/>
          </w:tcPr>
          <w:p>
            <w:pPr>
              <w:rPr>
                <w:rFonts w:ascii="宋体" w:hAnsi="宋体" w:cs="宋体"/>
                <w:color w:val="auto"/>
                <w:szCs w:val="21"/>
              </w:rPr>
            </w:pPr>
            <w:r>
              <w:rPr>
                <w:rFonts w:hint="eastAsia" w:ascii="宋体" w:hAnsi="宋体"/>
                <w:color w:val="auto"/>
                <w:szCs w:val="21"/>
              </w:rPr>
              <w:t>安装辅材</w:t>
            </w:r>
          </w:p>
        </w:tc>
        <w:tc>
          <w:tcPr>
            <w:tcW w:w="4575" w:type="dxa"/>
            <w:vAlign w:val="center"/>
          </w:tcPr>
          <w:p>
            <w:pPr>
              <w:jc w:val="center"/>
              <w:rPr>
                <w:rFonts w:ascii="宋体" w:hAnsi="宋体" w:cs="宋体"/>
                <w:color w:val="auto"/>
                <w:szCs w:val="21"/>
              </w:rPr>
            </w:pPr>
            <w:r>
              <w:rPr>
                <w:rFonts w:hint="eastAsia" w:ascii="宋体" w:hAnsi="宋体"/>
                <w:color w:val="auto"/>
                <w:szCs w:val="21"/>
              </w:rPr>
              <w:t>五金件、连接件等</w:t>
            </w:r>
          </w:p>
        </w:tc>
        <w:tc>
          <w:tcPr>
            <w:tcW w:w="855" w:type="dxa"/>
            <w:vAlign w:val="center"/>
          </w:tcPr>
          <w:p>
            <w:pPr>
              <w:jc w:val="center"/>
              <w:rPr>
                <w:rFonts w:ascii="宋体" w:hAnsi="宋体" w:cs="宋体"/>
                <w:color w:val="auto"/>
                <w:szCs w:val="21"/>
              </w:rPr>
            </w:pPr>
            <w:r>
              <w:rPr>
                <w:rFonts w:hint="eastAsia" w:ascii="宋体" w:hAnsi="宋体"/>
                <w:color w:val="auto"/>
                <w:szCs w:val="21"/>
              </w:rPr>
              <w:t>项</w:t>
            </w:r>
          </w:p>
        </w:tc>
        <w:tc>
          <w:tcPr>
            <w:tcW w:w="1215" w:type="dxa"/>
            <w:vAlign w:val="center"/>
          </w:tcPr>
          <w:p>
            <w:pPr>
              <w:jc w:val="center"/>
              <w:rPr>
                <w:rFonts w:ascii="宋体" w:hAnsi="宋体" w:cs="宋体"/>
                <w:color w:val="auto"/>
                <w:szCs w:val="21"/>
              </w:rPr>
            </w:pPr>
            <w:r>
              <w:rPr>
                <w:rFonts w:hint="eastAsia" w:ascii="宋体" w:hAnsi="宋体"/>
                <w:color w:val="auto"/>
                <w:szCs w:val="21"/>
              </w:rPr>
              <w:t>1</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二</w:t>
            </w:r>
          </w:p>
        </w:tc>
        <w:tc>
          <w:tcPr>
            <w:tcW w:w="2340" w:type="dxa"/>
            <w:vAlign w:val="center"/>
          </w:tcPr>
          <w:p>
            <w:pPr>
              <w:rPr>
                <w:rFonts w:ascii="宋体" w:hAnsi="宋体" w:cs="宋体"/>
                <w:b/>
                <w:bCs/>
                <w:color w:val="auto"/>
                <w:szCs w:val="21"/>
              </w:rPr>
            </w:pPr>
            <w:r>
              <w:rPr>
                <w:rFonts w:hint="eastAsia" w:ascii="宋体" w:hAnsi="宋体"/>
                <w:b/>
                <w:bCs/>
                <w:color w:val="auto"/>
                <w:szCs w:val="21"/>
              </w:rPr>
              <w:t>手术室基本配置设备</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w:t>
            </w:r>
          </w:p>
        </w:tc>
        <w:tc>
          <w:tcPr>
            <w:tcW w:w="2340" w:type="dxa"/>
            <w:vAlign w:val="center"/>
          </w:tcPr>
          <w:p>
            <w:pPr>
              <w:rPr>
                <w:rFonts w:ascii="宋体" w:hAnsi="宋体" w:cs="宋体"/>
                <w:color w:val="auto"/>
                <w:szCs w:val="21"/>
              </w:rPr>
            </w:pPr>
            <w:r>
              <w:rPr>
                <w:rFonts w:hint="eastAsia" w:ascii="宋体" w:hAnsi="宋体"/>
                <w:color w:val="auto"/>
                <w:szCs w:val="21"/>
              </w:rPr>
              <w:t>不锈钢自动亮灯书写台</w:t>
            </w:r>
          </w:p>
        </w:tc>
        <w:tc>
          <w:tcPr>
            <w:tcW w:w="4575" w:type="dxa"/>
            <w:vAlign w:val="center"/>
          </w:tcPr>
          <w:p>
            <w:pPr>
              <w:jc w:val="center"/>
              <w:rPr>
                <w:rFonts w:ascii="宋体" w:hAnsi="宋体" w:cs="宋体"/>
                <w:color w:val="auto"/>
                <w:szCs w:val="21"/>
              </w:rPr>
            </w:pPr>
            <w:r>
              <w:rPr>
                <w:rFonts w:hint="eastAsia" w:ascii="宋体" w:hAnsi="宋体"/>
                <w:color w:val="auto"/>
                <w:szCs w:val="21"/>
              </w:rPr>
              <w:t xml:space="preserve">600*400 嵌入式  </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1</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2</w:t>
            </w:r>
          </w:p>
        </w:tc>
        <w:tc>
          <w:tcPr>
            <w:tcW w:w="2340" w:type="dxa"/>
            <w:vAlign w:val="center"/>
          </w:tcPr>
          <w:p>
            <w:pPr>
              <w:rPr>
                <w:rFonts w:ascii="宋体" w:hAnsi="宋体" w:cs="宋体"/>
                <w:color w:val="auto"/>
                <w:szCs w:val="21"/>
              </w:rPr>
            </w:pPr>
            <w:r>
              <w:rPr>
                <w:rFonts w:hint="eastAsia" w:ascii="宋体" w:hAnsi="宋体"/>
                <w:color w:val="auto"/>
                <w:szCs w:val="21"/>
              </w:rPr>
              <w:t>观片灯</w:t>
            </w:r>
          </w:p>
        </w:tc>
        <w:tc>
          <w:tcPr>
            <w:tcW w:w="4575" w:type="dxa"/>
            <w:vAlign w:val="center"/>
          </w:tcPr>
          <w:p>
            <w:pPr>
              <w:jc w:val="center"/>
              <w:rPr>
                <w:rFonts w:ascii="宋体" w:hAnsi="宋体" w:cs="宋体"/>
                <w:color w:val="auto"/>
                <w:szCs w:val="21"/>
              </w:rPr>
            </w:pPr>
            <w:r>
              <w:rPr>
                <w:rFonts w:hint="eastAsia" w:ascii="宋体" w:hAnsi="宋体"/>
                <w:color w:val="auto"/>
                <w:szCs w:val="21"/>
              </w:rPr>
              <w:t>四联</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1</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3</w:t>
            </w:r>
          </w:p>
        </w:tc>
        <w:tc>
          <w:tcPr>
            <w:tcW w:w="2340" w:type="dxa"/>
            <w:vAlign w:val="center"/>
          </w:tcPr>
          <w:p>
            <w:pPr>
              <w:rPr>
                <w:rFonts w:ascii="宋体" w:hAnsi="宋体" w:cs="宋体"/>
                <w:color w:val="auto"/>
                <w:szCs w:val="21"/>
              </w:rPr>
            </w:pPr>
            <w:r>
              <w:rPr>
                <w:rFonts w:hint="eastAsia" w:ascii="宋体" w:hAnsi="宋体"/>
                <w:color w:val="auto"/>
                <w:szCs w:val="21"/>
              </w:rPr>
              <w:t>不锈钢麻醉柜</w:t>
            </w:r>
          </w:p>
        </w:tc>
        <w:tc>
          <w:tcPr>
            <w:tcW w:w="4575" w:type="dxa"/>
            <w:vAlign w:val="center"/>
          </w:tcPr>
          <w:p>
            <w:pPr>
              <w:jc w:val="center"/>
              <w:rPr>
                <w:rFonts w:ascii="宋体" w:hAnsi="宋体" w:cs="宋体"/>
                <w:color w:val="auto"/>
                <w:szCs w:val="21"/>
              </w:rPr>
            </w:pPr>
            <w:r>
              <w:rPr>
                <w:rFonts w:hint="eastAsia" w:ascii="宋体" w:hAnsi="宋体"/>
                <w:color w:val="auto"/>
                <w:szCs w:val="21"/>
              </w:rPr>
              <w:t xml:space="preserve">1、900*1700*350     2、四门开启，柜体采用进口磨砂白钢板,嵌入式 </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2</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4</w:t>
            </w:r>
          </w:p>
        </w:tc>
        <w:tc>
          <w:tcPr>
            <w:tcW w:w="2340" w:type="dxa"/>
            <w:vAlign w:val="center"/>
          </w:tcPr>
          <w:p>
            <w:pPr>
              <w:rPr>
                <w:rFonts w:ascii="宋体" w:hAnsi="宋体" w:cs="宋体"/>
                <w:color w:val="auto"/>
                <w:szCs w:val="21"/>
              </w:rPr>
            </w:pPr>
            <w:r>
              <w:rPr>
                <w:rFonts w:hint="eastAsia" w:ascii="宋体" w:hAnsi="宋体"/>
                <w:color w:val="auto"/>
                <w:szCs w:val="21"/>
              </w:rPr>
              <w:t>不锈钢器械柜</w:t>
            </w:r>
          </w:p>
        </w:tc>
        <w:tc>
          <w:tcPr>
            <w:tcW w:w="4575" w:type="dxa"/>
            <w:vAlign w:val="center"/>
          </w:tcPr>
          <w:p>
            <w:pPr>
              <w:jc w:val="center"/>
              <w:rPr>
                <w:rFonts w:ascii="宋体" w:hAnsi="宋体" w:cs="宋体"/>
                <w:color w:val="auto"/>
                <w:szCs w:val="21"/>
              </w:rPr>
            </w:pPr>
            <w:r>
              <w:rPr>
                <w:rFonts w:hint="eastAsia" w:ascii="宋体" w:hAnsi="宋体"/>
                <w:color w:val="auto"/>
                <w:szCs w:val="21"/>
              </w:rPr>
              <w:t xml:space="preserve">1、900*1700*350     2、四门开启，柜体采用进口磨砂白钢板, 嵌入式 </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2</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5</w:t>
            </w:r>
          </w:p>
        </w:tc>
        <w:tc>
          <w:tcPr>
            <w:tcW w:w="2340" w:type="dxa"/>
            <w:vAlign w:val="center"/>
          </w:tcPr>
          <w:p>
            <w:pPr>
              <w:rPr>
                <w:rFonts w:ascii="宋体" w:hAnsi="宋体" w:cs="宋体"/>
                <w:color w:val="auto"/>
                <w:szCs w:val="21"/>
              </w:rPr>
            </w:pPr>
            <w:r>
              <w:rPr>
                <w:rFonts w:hint="eastAsia" w:ascii="宋体" w:hAnsi="宋体"/>
                <w:color w:val="auto"/>
                <w:szCs w:val="21"/>
              </w:rPr>
              <w:t>不锈钢药品柜</w:t>
            </w:r>
          </w:p>
        </w:tc>
        <w:tc>
          <w:tcPr>
            <w:tcW w:w="4575" w:type="dxa"/>
            <w:vAlign w:val="center"/>
          </w:tcPr>
          <w:p>
            <w:pPr>
              <w:jc w:val="center"/>
              <w:rPr>
                <w:rFonts w:ascii="宋体" w:hAnsi="宋体" w:cs="宋体"/>
                <w:color w:val="auto"/>
                <w:szCs w:val="21"/>
              </w:rPr>
            </w:pPr>
            <w:r>
              <w:rPr>
                <w:rFonts w:hint="eastAsia" w:ascii="宋体" w:hAnsi="宋体"/>
                <w:color w:val="auto"/>
                <w:szCs w:val="21"/>
              </w:rPr>
              <w:t xml:space="preserve">1、900*1700*350     2、四门开启，柜体采用进口磨砂白钢板,中间带抽屉， 嵌入式 </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2</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6</w:t>
            </w:r>
          </w:p>
        </w:tc>
        <w:tc>
          <w:tcPr>
            <w:tcW w:w="2340" w:type="dxa"/>
            <w:vAlign w:val="center"/>
          </w:tcPr>
          <w:p>
            <w:pPr>
              <w:rPr>
                <w:rFonts w:ascii="宋体" w:hAnsi="宋体" w:cs="宋体"/>
                <w:color w:val="auto"/>
                <w:szCs w:val="21"/>
              </w:rPr>
            </w:pPr>
            <w:r>
              <w:rPr>
                <w:rFonts w:hint="eastAsia" w:ascii="宋体" w:hAnsi="宋体"/>
                <w:color w:val="auto"/>
                <w:szCs w:val="21"/>
              </w:rPr>
              <w:t>组合式插座箱</w:t>
            </w:r>
          </w:p>
        </w:tc>
        <w:tc>
          <w:tcPr>
            <w:tcW w:w="4575" w:type="dxa"/>
            <w:vAlign w:val="center"/>
          </w:tcPr>
          <w:p>
            <w:pPr>
              <w:jc w:val="center"/>
              <w:rPr>
                <w:rFonts w:ascii="宋体" w:hAnsi="宋体" w:cs="宋体"/>
                <w:color w:val="auto"/>
                <w:szCs w:val="21"/>
              </w:rPr>
            </w:pPr>
            <w:r>
              <w:rPr>
                <w:rFonts w:hint="eastAsia" w:ascii="宋体" w:hAnsi="宋体"/>
                <w:color w:val="auto"/>
                <w:szCs w:val="21"/>
              </w:rPr>
              <w:t>不锈钢框，嵌入式安装，万能插座</w:t>
            </w:r>
          </w:p>
        </w:tc>
        <w:tc>
          <w:tcPr>
            <w:tcW w:w="855" w:type="dxa"/>
            <w:vAlign w:val="center"/>
          </w:tcPr>
          <w:p>
            <w:pPr>
              <w:jc w:val="center"/>
              <w:rPr>
                <w:rFonts w:ascii="宋体" w:hAnsi="宋体" w:cs="宋体"/>
                <w:color w:val="auto"/>
                <w:szCs w:val="21"/>
              </w:rPr>
            </w:pPr>
            <w:r>
              <w:rPr>
                <w:rFonts w:hint="eastAsia" w:ascii="宋体" w:hAnsi="宋体"/>
                <w:color w:val="auto"/>
                <w:szCs w:val="21"/>
              </w:rPr>
              <w:t>套</w:t>
            </w:r>
          </w:p>
        </w:tc>
        <w:tc>
          <w:tcPr>
            <w:tcW w:w="1215" w:type="dxa"/>
            <w:vAlign w:val="center"/>
          </w:tcPr>
          <w:p>
            <w:pPr>
              <w:jc w:val="center"/>
              <w:rPr>
                <w:rFonts w:ascii="宋体" w:hAnsi="宋体" w:cs="宋体"/>
                <w:color w:val="auto"/>
                <w:szCs w:val="21"/>
              </w:rPr>
            </w:pPr>
            <w:r>
              <w:rPr>
                <w:rFonts w:hint="eastAsia" w:ascii="宋体" w:hAnsi="宋体"/>
                <w:color w:val="auto"/>
                <w:szCs w:val="21"/>
              </w:rPr>
              <w:t>5</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7</w:t>
            </w:r>
          </w:p>
        </w:tc>
        <w:tc>
          <w:tcPr>
            <w:tcW w:w="2340" w:type="dxa"/>
            <w:vAlign w:val="center"/>
          </w:tcPr>
          <w:p>
            <w:pPr>
              <w:rPr>
                <w:rFonts w:ascii="宋体" w:hAnsi="宋体" w:cs="宋体"/>
                <w:color w:val="auto"/>
                <w:szCs w:val="21"/>
              </w:rPr>
            </w:pPr>
            <w:r>
              <w:rPr>
                <w:rFonts w:hint="eastAsia" w:ascii="宋体" w:hAnsi="宋体"/>
                <w:color w:val="auto"/>
                <w:szCs w:val="21"/>
              </w:rPr>
              <w:t>医用气体终端</w:t>
            </w:r>
          </w:p>
        </w:tc>
        <w:tc>
          <w:tcPr>
            <w:tcW w:w="4575" w:type="dxa"/>
            <w:vAlign w:val="center"/>
          </w:tcPr>
          <w:p>
            <w:pPr>
              <w:jc w:val="center"/>
              <w:rPr>
                <w:rFonts w:ascii="宋体" w:hAnsi="宋体" w:cs="宋体"/>
                <w:color w:val="auto"/>
                <w:szCs w:val="21"/>
              </w:rPr>
            </w:pPr>
            <w:r>
              <w:rPr>
                <w:rFonts w:hint="eastAsia" w:ascii="宋体" w:hAnsi="宋体"/>
                <w:color w:val="auto"/>
                <w:szCs w:val="21"/>
              </w:rPr>
              <w:t>氧气、空气、负压吸引</w:t>
            </w:r>
          </w:p>
        </w:tc>
        <w:tc>
          <w:tcPr>
            <w:tcW w:w="855" w:type="dxa"/>
            <w:vAlign w:val="center"/>
          </w:tcPr>
          <w:p>
            <w:pPr>
              <w:jc w:val="center"/>
              <w:rPr>
                <w:rFonts w:ascii="宋体" w:hAnsi="宋体" w:cs="宋体"/>
                <w:color w:val="auto"/>
                <w:szCs w:val="21"/>
              </w:rPr>
            </w:pPr>
            <w:r>
              <w:rPr>
                <w:rFonts w:hint="eastAsia" w:ascii="宋体" w:hAnsi="宋体"/>
                <w:color w:val="auto"/>
                <w:szCs w:val="21"/>
              </w:rPr>
              <w:t>套</w:t>
            </w:r>
          </w:p>
        </w:tc>
        <w:tc>
          <w:tcPr>
            <w:tcW w:w="1215" w:type="dxa"/>
            <w:vAlign w:val="center"/>
          </w:tcPr>
          <w:p>
            <w:pPr>
              <w:jc w:val="center"/>
              <w:rPr>
                <w:rFonts w:ascii="宋体" w:hAnsi="宋体" w:cs="宋体"/>
                <w:color w:val="auto"/>
                <w:szCs w:val="21"/>
              </w:rPr>
            </w:pPr>
            <w:r>
              <w:rPr>
                <w:rFonts w:hint="eastAsia" w:ascii="宋体" w:hAnsi="宋体"/>
                <w:color w:val="auto"/>
                <w:szCs w:val="21"/>
              </w:rPr>
              <w:t>1</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8</w:t>
            </w:r>
          </w:p>
        </w:tc>
        <w:tc>
          <w:tcPr>
            <w:tcW w:w="2340" w:type="dxa"/>
            <w:vAlign w:val="center"/>
          </w:tcPr>
          <w:p>
            <w:pPr>
              <w:rPr>
                <w:rFonts w:ascii="宋体" w:hAnsi="宋体" w:cs="宋体"/>
                <w:color w:val="auto"/>
                <w:szCs w:val="21"/>
              </w:rPr>
            </w:pPr>
            <w:r>
              <w:rPr>
                <w:rFonts w:hint="eastAsia" w:ascii="宋体" w:hAnsi="宋体"/>
                <w:color w:val="auto"/>
                <w:szCs w:val="21"/>
              </w:rPr>
              <w:t xml:space="preserve">多功能情报面板 </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2</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9</w:t>
            </w:r>
          </w:p>
        </w:tc>
        <w:tc>
          <w:tcPr>
            <w:tcW w:w="2340" w:type="dxa"/>
            <w:vAlign w:val="center"/>
          </w:tcPr>
          <w:p>
            <w:pPr>
              <w:rPr>
                <w:rFonts w:ascii="宋体" w:hAnsi="宋体" w:cs="宋体"/>
                <w:color w:val="auto"/>
                <w:szCs w:val="21"/>
              </w:rPr>
            </w:pPr>
            <w:r>
              <w:rPr>
                <w:rFonts w:hint="eastAsia" w:ascii="宋体" w:hAnsi="宋体"/>
                <w:color w:val="auto"/>
                <w:szCs w:val="21"/>
              </w:rPr>
              <w:t>等电位接线端子</w:t>
            </w:r>
          </w:p>
        </w:tc>
        <w:tc>
          <w:tcPr>
            <w:tcW w:w="4575" w:type="dxa"/>
            <w:vAlign w:val="center"/>
          </w:tcPr>
          <w:p>
            <w:pPr>
              <w:jc w:val="center"/>
              <w:rPr>
                <w:rFonts w:ascii="宋体" w:hAnsi="宋体" w:cs="宋体"/>
                <w:color w:val="auto"/>
                <w:szCs w:val="21"/>
              </w:rPr>
            </w:pPr>
            <w:r>
              <w:rPr>
                <w:rFonts w:hint="eastAsia" w:ascii="宋体" w:hAnsi="宋体"/>
                <w:color w:val="auto"/>
                <w:szCs w:val="21"/>
              </w:rPr>
              <w:t>不锈钢框，嵌入式安装</w:t>
            </w:r>
          </w:p>
        </w:tc>
        <w:tc>
          <w:tcPr>
            <w:tcW w:w="855" w:type="dxa"/>
            <w:vAlign w:val="center"/>
          </w:tcPr>
          <w:p>
            <w:pPr>
              <w:jc w:val="center"/>
              <w:rPr>
                <w:rFonts w:ascii="宋体" w:hAnsi="宋体" w:cs="宋体"/>
                <w:color w:val="auto"/>
                <w:szCs w:val="21"/>
              </w:rPr>
            </w:pPr>
            <w:r>
              <w:rPr>
                <w:rFonts w:hint="eastAsia" w:ascii="宋体" w:hAnsi="宋体"/>
                <w:color w:val="auto"/>
                <w:szCs w:val="21"/>
              </w:rPr>
              <w:t>套</w:t>
            </w:r>
          </w:p>
        </w:tc>
        <w:tc>
          <w:tcPr>
            <w:tcW w:w="1215" w:type="dxa"/>
            <w:vAlign w:val="center"/>
          </w:tcPr>
          <w:p>
            <w:pPr>
              <w:jc w:val="center"/>
              <w:rPr>
                <w:rFonts w:ascii="宋体" w:hAnsi="宋体" w:cs="宋体"/>
                <w:color w:val="auto"/>
                <w:szCs w:val="21"/>
              </w:rPr>
            </w:pPr>
            <w:r>
              <w:rPr>
                <w:rFonts w:hint="eastAsia" w:ascii="宋体" w:hAnsi="宋体"/>
                <w:color w:val="auto"/>
                <w:szCs w:val="21"/>
              </w:rPr>
              <w:t>2</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b/>
                <w:bCs/>
                <w:color w:val="auto"/>
                <w:szCs w:val="21"/>
              </w:rPr>
            </w:pPr>
            <w:r>
              <w:rPr>
                <w:rFonts w:hint="eastAsia" w:ascii="宋体" w:hAnsi="宋体"/>
                <w:b/>
                <w:bCs/>
                <w:color w:val="auto"/>
                <w:szCs w:val="21"/>
              </w:rPr>
              <w:t>三</w:t>
            </w:r>
          </w:p>
        </w:tc>
        <w:tc>
          <w:tcPr>
            <w:tcW w:w="2340" w:type="dxa"/>
            <w:vAlign w:val="center"/>
          </w:tcPr>
          <w:p>
            <w:pPr>
              <w:rPr>
                <w:rFonts w:ascii="宋体" w:hAnsi="宋体" w:cs="宋体"/>
                <w:b/>
                <w:bCs/>
                <w:color w:val="auto"/>
                <w:szCs w:val="21"/>
              </w:rPr>
            </w:pPr>
            <w:r>
              <w:rPr>
                <w:rFonts w:hint="eastAsia" w:ascii="宋体" w:hAnsi="宋体"/>
                <w:b/>
                <w:bCs/>
                <w:color w:val="auto"/>
                <w:szCs w:val="21"/>
              </w:rPr>
              <w:t>净化设备</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9</w:t>
            </w:r>
          </w:p>
        </w:tc>
        <w:tc>
          <w:tcPr>
            <w:tcW w:w="2340" w:type="dxa"/>
            <w:vAlign w:val="center"/>
          </w:tcPr>
          <w:p>
            <w:pPr>
              <w:rPr>
                <w:rFonts w:ascii="宋体" w:hAnsi="宋体" w:cs="宋体"/>
                <w:color w:val="auto"/>
                <w:szCs w:val="21"/>
              </w:rPr>
            </w:pPr>
            <w:r>
              <w:rPr>
                <w:rFonts w:hint="eastAsia" w:ascii="宋体" w:hAnsi="宋体"/>
                <w:color w:val="auto"/>
                <w:szCs w:val="21"/>
              </w:rPr>
              <w:t>净化镀锌钢板风管（含法兰及吊架）</w:t>
            </w:r>
          </w:p>
        </w:tc>
        <w:tc>
          <w:tcPr>
            <w:tcW w:w="4575" w:type="dxa"/>
            <w:vAlign w:val="center"/>
          </w:tcPr>
          <w:p>
            <w:pPr>
              <w:jc w:val="center"/>
              <w:rPr>
                <w:rFonts w:ascii="宋体" w:hAnsi="宋体" w:cs="宋体"/>
                <w:color w:val="auto"/>
                <w:szCs w:val="21"/>
              </w:rPr>
            </w:pPr>
            <w:r>
              <w:rPr>
                <w:rFonts w:hint="eastAsia" w:ascii="宋体" w:hAnsi="宋体"/>
                <w:color w:val="auto"/>
                <w:szCs w:val="21"/>
              </w:rPr>
              <w:t xml:space="preserve">  0.6mm</w:t>
            </w:r>
          </w:p>
        </w:tc>
        <w:tc>
          <w:tcPr>
            <w:tcW w:w="855" w:type="dxa"/>
            <w:vAlign w:val="center"/>
          </w:tcPr>
          <w:p>
            <w:pPr>
              <w:jc w:val="center"/>
              <w:rPr>
                <w:rFonts w:ascii="宋体" w:hAnsi="宋体" w:cs="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c>
          <w:tcPr>
            <w:tcW w:w="1215" w:type="dxa"/>
            <w:vAlign w:val="center"/>
          </w:tcPr>
          <w:p>
            <w:pPr>
              <w:jc w:val="center"/>
              <w:rPr>
                <w:rFonts w:ascii="宋体" w:hAnsi="宋体" w:cs="宋体"/>
                <w:color w:val="auto"/>
                <w:szCs w:val="21"/>
              </w:rPr>
            </w:pPr>
            <w:r>
              <w:rPr>
                <w:rFonts w:hint="eastAsia" w:ascii="宋体" w:hAnsi="宋体"/>
                <w:color w:val="auto"/>
                <w:szCs w:val="21"/>
              </w:rPr>
              <w:t>155</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10</w:t>
            </w:r>
          </w:p>
        </w:tc>
        <w:tc>
          <w:tcPr>
            <w:tcW w:w="2340" w:type="dxa"/>
            <w:vAlign w:val="center"/>
          </w:tcPr>
          <w:p>
            <w:pPr>
              <w:rPr>
                <w:rFonts w:ascii="宋体" w:hAnsi="宋体" w:cs="宋体"/>
                <w:color w:val="auto"/>
                <w:szCs w:val="21"/>
              </w:rPr>
            </w:pPr>
            <w:r>
              <w:rPr>
                <w:rFonts w:hint="eastAsia" w:ascii="宋体" w:hAnsi="宋体"/>
                <w:color w:val="auto"/>
                <w:szCs w:val="21"/>
              </w:rPr>
              <w:t>净化镀锌钢板风管（含法兰及吊架）</w:t>
            </w:r>
          </w:p>
        </w:tc>
        <w:tc>
          <w:tcPr>
            <w:tcW w:w="4575" w:type="dxa"/>
            <w:vAlign w:val="center"/>
          </w:tcPr>
          <w:p>
            <w:pPr>
              <w:jc w:val="center"/>
              <w:rPr>
                <w:rFonts w:ascii="宋体" w:hAnsi="宋体" w:cs="宋体"/>
                <w:color w:val="auto"/>
                <w:szCs w:val="21"/>
              </w:rPr>
            </w:pPr>
            <w:r>
              <w:rPr>
                <w:rFonts w:hint="eastAsia" w:ascii="宋体" w:hAnsi="宋体"/>
                <w:color w:val="auto"/>
                <w:szCs w:val="21"/>
              </w:rPr>
              <w:t xml:space="preserve">  0.75mm</w:t>
            </w:r>
          </w:p>
        </w:tc>
        <w:tc>
          <w:tcPr>
            <w:tcW w:w="855" w:type="dxa"/>
            <w:vAlign w:val="center"/>
          </w:tcPr>
          <w:p>
            <w:pPr>
              <w:jc w:val="center"/>
              <w:rPr>
                <w:rFonts w:ascii="宋体" w:hAnsi="宋体" w:cs="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c>
          <w:tcPr>
            <w:tcW w:w="1215" w:type="dxa"/>
            <w:vAlign w:val="center"/>
          </w:tcPr>
          <w:p>
            <w:pPr>
              <w:jc w:val="center"/>
              <w:rPr>
                <w:rFonts w:ascii="宋体" w:hAnsi="宋体" w:cs="宋体"/>
                <w:color w:val="auto"/>
                <w:szCs w:val="21"/>
              </w:rPr>
            </w:pPr>
            <w:r>
              <w:rPr>
                <w:rFonts w:hint="eastAsia" w:ascii="宋体" w:hAnsi="宋体"/>
                <w:color w:val="auto"/>
                <w:szCs w:val="21"/>
              </w:rPr>
              <w:t>180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17" w:type="dxa"/>
            <w:vAlign w:val="center"/>
          </w:tcPr>
          <w:p>
            <w:pPr>
              <w:jc w:val="center"/>
              <w:rPr>
                <w:rFonts w:ascii="宋体" w:hAnsi="宋体" w:cs="宋体"/>
                <w:color w:val="auto"/>
                <w:szCs w:val="21"/>
              </w:rPr>
            </w:pPr>
            <w:r>
              <w:rPr>
                <w:rFonts w:hint="eastAsia" w:ascii="宋体" w:hAnsi="宋体"/>
                <w:color w:val="auto"/>
                <w:szCs w:val="21"/>
              </w:rPr>
              <w:t>11</w:t>
            </w:r>
          </w:p>
        </w:tc>
        <w:tc>
          <w:tcPr>
            <w:tcW w:w="2340" w:type="dxa"/>
            <w:vAlign w:val="center"/>
          </w:tcPr>
          <w:p>
            <w:pPr>
              <w:rPr>
                <w:rFonts w:ascii="宋体" w:hAnsi="宋体" w:cs="宋体"/>
                <w:color w:val="auto"/>
                <w:szCs w:val="21"/>
              </w:rPr>
            </w:pPr>
            <w:r>
              <w:rPr>
                <w:rFonts w:hint="eastAsia" w:ascii="宋体" w:hAnsi="宋体"/>
                <w:color w:val="auto"/>
                <w:szCs w:val="21"/>
              </w:rPr>
              <w:t>保温棉</w:t>
            </w:r>
          </w:p>
        </w:tc>
        <w:tc>
          <w:tcPr>
            <w:tcW w:w="4575" w:type="dxa"/>
            <w:vAlign w:val="center"/>
          </w:tcPr>
          <w:p>
            <w:pPr>
              <w:jc w:val="center"/>
              <w:rPr>
                <w:rFonts w:ascii="宋体" w:hAnsi="宋体" w:cs="宋体"/>
                <w:color w:val="auto"/>
                <w:szCs w:val="21"/>
              </w:rPr>
            </w:pPr>
            <w:r>
              <w:rPr>
                <w:rFonts w:hint="eastAsia" w:ascii="宋体" w:hAnsi="宋体"/>
                <w:color w:val="auto"/>
                <w:szCs w:val="21"/>
              </w:rPr>
              <w:t>B1级,PEF板材 δ=20mm</w:t>
            </w:r>
          </w:p>
        </w:tc>
        <w:tc>
          <w:tcPr>
            <w:tcW w:w="855" w:type="dxa"/>
            <w:vAlign w:val="center"/>
          </w:tcPr>
          <w:p>
            <w:pPr>
              <w:jc w:val="center"/>
              <w:rPr>
                <w:rFonts w:ascii="宋体" w:hAnsi="宋体" w:cs="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c>
          <w:tcPr>
            <w:tcW w:w="1215" w:type="dxa"/>
            <w:vAlign w:val="center"/>
          </w:tcPr>
          <w:p>
            <w:pPr>
              <w:jc w:val="center"/>
              <w:rPr>
                <w:rFonts w:ascii="宋体" w:hAnsi="宋体" w:cs="宋体"/>
                <w:color w:val="auto"/>
                <w:szCs w:val="21"/>
              </w:rPr>
            </w:pPr>
            <w:r>
              <w:rPr>
                <w:rFonts w:hint="eastAsia" w:ascii="宋体" w:hAnsi="宋体"/>
                <w:color w:val="auto"/>
                <w:szCs w:val="21"/>
              </w:rPr>
              <w:t>335</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12</w:t>
            </w:r>
          </w:p>
        </w:tc>
        <w:tc>
          <w:tcPr>
            <w:tcW w:w="2340" w:type="dxa"/>
            <w:vAlign w:val="center"/>
          </w:tcPr>
          <w:p>
            <w:pPr>
              <w:rPr>
                <w:rFonts w:ascii="宋体" w:hAnsi="宋体" w:cs="宋体"/>
                <w:color w:val="auto"/>
                <w:szCs w:val="21"/>
              </w:rPr>
            </w:pPr>
            <w:r>
              <w:rPr>
                <w:rFonts w:hint="eastAsia" w:ascii="宋体" w:hAnsi="宋体"/>
                <w:color w:val="auto"/>
                <w:szCs w:val="21"/>
              </w:rPr>
              <w:t>卫生型微穿孔板消声器</w:t>
            </w:r>
          </w:p>
        </w:tc>
        <w:tc>
          <w:tcPr>
            <w:tcW w:w="4575" w:type="dxa"/>
            <w:vAlign w:val="bottom"/>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台</w:t>
            </w:r>
          </w:p>
        </w:tc>
        <w:tc>
          <w:tcPr>
            <w:tcW w:w="1215" w:type="dxa"/>
            <w:vAlign w:val="center"/>
          </w:tcPr>
          <w:p>
            <w:pPr>
              <w:jc w:val="center"/>
              <w:rPr>
                <w:rFonts w:ascii="宋体" w:hAnsi="宋体" w:cs="宋体"/>
                <w:color w:val="auto"/>
                <w:szCs w:val="21"/>
              </w:rPr>
            </w:pPr>
            <w:r>
              <w:rPr>
                <w:rFonts w:hint="eastAsia" w:ascii="宋体" w:hAnsi="宋体"/>
                <w:color w:val="auto"/>
                <w:szCs w:val="21"/>
              </w:rPr>
              <w:t>2</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13</w:t>
            </w:r>
          </w:p>
        </w:tc>
        <w:tc>
          <w:tcPr>
            <w:tcW w:w="2340" w:type="dxa"/>
            <w:vAlign w:val="center"/>
          </w:tcPr>
          <w:p>
            <w:pPr>
              <w:rPr>
                <w:rFonts w:ascii="宋体" w:hAnsi="宋体" w:cs="宋体"/>
                <w:color w:val="auto"/>
                <w:szCs w:val="21"/>
              </w:rPr>
            </w:pPr>
            <w:r>
              <w:rPr>
                <w:rFonts w:hint="eastAsia" w:ascii="宋体" w:hAnsi="宋体"/>
                <w:color w:val="auto"/>
                <w:szCs w:val="21"/>
              </w:rPr>
              <w:t>高效送风口带高效过滤器</w:t>
            </w:r>
          </w:p>
        </w:tc>
        <w:tc>
          <w:tcPr>
            <w:tcW w:w="4575" w:type="dxa"/>
            <w:vAlign w:val="center"/>
          </w:tcPr>
          <w:p>
            <w:pPr>
              <w:jc w:val="center"/>
              <w:rPr>
                <w:rFonts w:ascii="宋体" w:hAnsi="宋体" w:cs="宋体"/>
                <w:color w:val="auto"/>
                <w:szCs w:val="21"/>
              </w:rPr>
            </w:pPr>
            <w:r>
              <w:rPr>
                <w:rFonts w:hint="eastAsia" w:ascii="宋体" w:hAnsi="宋体"/>
                <w:color w:val="auto"/>
                <w:szCs w:val="21"/>
              </w:rPr>
              <w:t>G15</w:t>
            </w:r>
          </w:p>
        </w:tc>
        <w:tc>
          <w:tcPr>
            <w:tcW w:w="855" w:type="dxa"/>
            <w:vAlign w:val="center"/>
          </w:tcPr>
          <w:p>
            <w:pPr>
              <w:jc w:val="center"/>
              <w:rPr>
                <w:rFonts w:ascii="宋体" w:hAnsi="宋体" w:cs="宋体"/>
                <w:color w:val="auto"/>
                <w:szCs w:val="21"/>
              </w:rPr>
            </w:pPr>
            <w:r>
              <w:rPr>
                <w:rFonts w:hint="eastAsia" w:ascii="宋体" w:hAnsi="宋体"/>
                <w:color w:val="auto"/>
                <w:szCs w:val="21"/>
              </w:rPr>
              <w:t>台</w:t>
            </w:r>
          </w:p>
        </w:tc>
        <w:tc>
          <w:tcPr>
            <w:tcW w:w="1215" w:type="dxa"/>
            <w:vAlign w:val="center"/>
          </w:tcPr>
          <w:p>
            <w:pPr>
              <w:jc w:val="center"/>
              <w:rPr>
                <w:rFonts w:ascii="宋体" w:hAnsi="宋体" w:cs="宋体"/>
                <w:color w:val="auto"/>
                <w:szCs w:val="21"/>
              </w:rPr>
            </w:pPr>
            <w:r>
              <w:rPr>
                <w:rFonts w:hint="eastAsia" w:ascii="宋体" w:hAnsi="宋体"/>
                <w:color w:val="auto"/>
                <w:szCs w:val="21"/>
              </w:rPr>
              <w:t>1</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14</w:t>
            </w:r>
          </w:p>
        </w:tc>
        <w:tc>
          <w:tcPr>
            <w:tcW w:w="2340" w:type="dxa"/>
            <w:vAlign w:val="center"/>
          </w:tcPr>
          <w:p>
            <w:pPr>
              <w:rPr>
                <w:rFonts w:ascii="宋体" w:hAnsi="宋体" w:cs="宋体"/>
                <w:color w:val="auto"/>
                <w:szCs w:val="21"/>
              </w:rPr>
            </w:pPr>
            <w:r>
              <w:rPr>
                <w:rFonts w:hint="eastAsia" w:ascii="宋体" w:hAnsi="宋体"/>
                <w:color w:val="auto"/>
                <w:szCs w:val="21"/>
              </w:rPr>
              <w:t>高效送风口带高效过滤器</w:t>
            </w:r>
          </w:p>
        </w:tc>
        <w:tc>
          <w:tcPr>
            <w:tcW w:w="4575" w:type="dxa"/>
            <w:vAlign w:val="center"/>
          </w:tcPr>
          <w:p>
            <w:pPr>
              <w:jc w:val="center"/>
              <w:rPr>
                <w:rFonts w:ascii="宋体" w:hAnsi="宋体" w:cs="宋体"/>
                <w:color w:val="auto"/>
                <w:szCs w:val="21"/>
              </w:rPr>
            </w:pPr>
            <w:r>
              <w:rPr>
                <w:rFonts w:hint="eastAsia" w:ascii="宋体" w:hAnsi="宋体"/>
                <w:color w:val="auto"/>
                <w:szCs w:val="21"/>
              </w:rPr>
              <w:t>G10</w:t>
            </w:r>
          </w:p>
        </w:tc>
        <w:tc>
          <w:tcPr>
            <w:tcW w:w="855" w:type="dxa"/>
            <w:vAlign w:val="center"/>
          </w:tcPr>
          <w:p>
            <w:pPr>
              <w:jc w:val="center"/>
              <w:rPr>
                <w:rFonts w:ascii="宋体" w:hAnsi="宋体" w:cs="宋体"/>
                <w:color w:val="auto"/>
                <w:szCs w:val="21"/>
              </w:rPr>
            </w:pPr>
            <w:r>
              <w:rPr>
                <w:rFonts w:hint="eastAsia" w:ascii="宋体" w:hAnsi="宋体"/>
                <w:color w:val="auto"/>
                <w:szCs w:val="21"/>
              </w:rPr>
              <w:t>台</w:t>
            </w:r>
          </w:p>
        </w:tc>
        <w:tc>
          <w:tcPr>
            <w:tcW w:w="1215" w:type="dxa"/>
            <w:vAlign w:val="center"/>
          </w:tcPr>
          <w:p>
            <w:pPr>
              <w:jc w:val="center"/>
              <w:rPr>
                <w:rFonts w:ascii="宋体" w:hAnsi="宋体" w:cs="宋体"/>
                <w:color w:val="auto"/>
                <w:szCs w:val="21"/>
              </w:rPr>
            </w:pPr>
            <w:r>
              <w:rPr>
                <w:rFonts w:hint="eastAsia" w:ascii="宋体" w:hAnsi="宋体"/>
                <w:color w:val="auto"/>
                <w:szCs w:val="21"/>
              </w:rPr>
              <w:t>6</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15</w:t>
            </w:r>
          </w:p>
        </w:tc>
        <w:tc>
          <w:tcPr>
            <w:tcW w:w="2340" w:type="dxa"/>
            <w:vAlign w:val="center"/>
          </w:tcPr>
          <w:p>
            <w:pPr>
              <w:rPr>
                <w:rFonts w:ascii="宋体" w:hAnsi="宋体" w:cs="宋体"/>
                <w:color w:val="auto"/>
                <w:szCs w:val="21"/>
              </w:rPr>
            </w:pPr>
            <w:r>
              <w:rPr>
                <w:rFonts w:hint="eastAsia" w:ascii="宋体" w:hAnsi="宋体"/>
                <w:color w:val="auto"/>
                <w:szCs w:val="21"/>
              </w:rPr>
              <w:t>高效送风口带高效过滤器</w:t>
            </w:r>
          </w:p>
        </w:tc>
        <w:tc>
          <w:tcPr>
            <w:tcW w:w="4575" w:type="dxa"/>
            <w:vAlign w:val="center"/>
          </w:tcPr>
          <w:p>
            <w:pPr>
              <w:jc w:val="center"/>
              <w:rPr>
                <w:rFonts w:ascii="宋体" w:hAnsi="宋体" w:cs="宋体"/>
                <w:color w:val="auto"/>
                <w:szCs w:val="21"/>
              </w:rPr>
            </w:pPr>
            <w:r>
              <w:rPr>
                <w:rFonts w:hint="eastAsia" w:ascii="宋体" w:hAnsi="宋体"/>
                <w:color w:val="auto"/>
                <w:szCs w:val="21"/>
              </w:rPr>
              <w:t>G5</w:t>
            </w:r>
          </w:p>
        </w:tc>
        <w:tc>
          <w:tcPr>
            <w:tcW w:w="855" w:type="dxa"/>
            <w:vAlign w:val="center"/>
          </w:tcPr>
          <w:p>
            <w:pPr>
              <w:jc w:val="center"/>
              <w:rPr>
                <w:rFonts w:ascii="宋体" w:hAnsi="宋体" w:cs="宋体"/>
                <w:color w:val="auto"/>
                <w:szCs w:val="21"/>
              </w:rPr>
            </w:pPr>
            <w:r>
              <w:rPr>
                <w:rFonts w:hint="eastAsia" w:ascii="宋体" w:hAnsi="宋体"/>
                <w:color w:val="auto"/>
                <w:szCs w:val="21"/>
              </w:rPr>
              <w:t>台</w:t>
            </w:r>
          </w:p>
        </w:tc>
        <w:tc>
          <w:tcPr>
            <w:tcW w:w="1215" w:type="dxa"/>
            <w:vAlign w:val="center"/>
          </w:tcPr>
          <w:p>
            <w:pPr>
              <w:jc w:val="center"/>
              <w:rPr>
                <w:rFonts w:ascii="宋体" w:hAnsi="宋体" w:cs="宋体"/>
                <w:color w:val="auto"/>
                <w:szCs w:val="21"/>
              </w:rPr>
            </w:pPr>
            <w:r>
              <w:rPr>
                <w:rFonts w:hint="eastAsia" w:ascii="宋体" w:hAnsi="宋体"/>
                <w:color w:val="auto"/>
                <w:szCs w:val="21"/>
              </w:rPr>
              <w:t>15</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16</w:t>
            </w:r>
          </w:p>
        </w:tc>
        <w:tc>
          <w:tcPr>
            <w:tcW w:w="2340" w:type="dxa"/>
            <w:vAlign w:val="center"/>
          </w:tcPr>
          <w:p>
            <w:pPr>
              <w:rPr>
                <w:rFonts w:ascii="宋体" w:hAnsi="宋体" w:cs="宋体"/>
                <w:color w:val="auto"/>
                <w:szCs w:val="21"/>
              </w:rPr>
            </w:pPr>
            <w:r>
              <w:rPr>
                <w:rFonts w:hint="eastAsia" w:ascii="宋体" w:hAnsi="宋体"/>
                <w:color w:val="auto"/>
                <w:szCs w:val="21"/>
              </w:rPr>
              <w:t>回风口带调节阀(带过滤网)</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19</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17</w:t>
            </w:r>
          </w:p>
        </w:tc>
        <w:tc>
          <w:tcPr>
            <w:tcW w:w="2340" w:type="dxa"/>
            <w:vAlign w:val="center"/>
          </w:tcPr>
          <w:p>
            <w:pPr>
              <w:rPr>
                <w:rFonts w:ascii="宋体" w:hAnsi="宋体" w:cs="宋体"/>
                <w:color w:val="auto"/>
                <w:szCs w:val="21"/>
              </w:rPr>
            </w:pPr>
            <w:r>
              <w:rPr>
                <w:rFonts w:hint="eastAsia" w:ascii="宋体" w:hAnsi="宋体"/>
                <w:color w:val="auto"/>
                <w:szCs w:val="21"/>
              </w:rPr>
              <w:t>上排风百叶</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5</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18</w:t>
            </w:r>
          </w:p>
        </w:tc>
        <w:tc>
          <w:tcPr>
            <w:tcW w:w="2340" w:type="dxa"/>
            <w:vAlign w:val="center"/>
          </w:tcPr>
          <w:p>
            <w:pPr>
              <w:rPr>
                <w:rFonts w:ascii="宋体" w:hAnsi="宋体" w:cs="宋体"/>
                <w:color w:val="auto"/>
                <w:szCs w:val="21"/>
              </w:rPr>
            </w:pPr>
            <w:r>
              <w:rPr>
                <w:rFonts w:hint="eastAsia" w:ascii="宋体" w:hAnsi="宋体"/>
                <w:color w:val="auto"/>
                <w:szCs w:val="21"/>
              </w:rPr>
              <w:t xml:space="preserve"> 70℃防火阀</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3</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19</w:t>
            </w:r>
          </w:p>
        </w:tc>
        <w:tc>
          <w:tcPr>
            <w:tcW w:w="2340" w:type="dxa"/>
            <w:vAlign w:val="center"/>
          </w:tcPr>
          <w:p>
            <w:pPr>
              <w:rPr>
                <w:rFonts w:ascii="宋体" w:hAnsi="宋体" w:cs="宋体"/>
                <w:color w:val="auto"/>
                <w:szCs w:val="21"/>
              </w:rPr>
            </w:pPr>
            <w:r>
              <w:rPr>
                <w:rFonts w:hint="eastAsia" w:ascii="宋体" w:hAnsi="宋体"/>
                <w:color w:val="auto"/>
                <w:szCs w:val="21"/>
              </w:rPr>
              <w:t>止回阀</w:t>
            </w:r>
          </w:p>
        </w:tc>
        <w:tc>
          <w:tcPr>
            <w:tcW w:w="4575" w:type="dxa"/>
            <w:vAlign w:val="center"/>
          </w:tcPr>
          <w:p>
            <w:pPr>
              <w:jc w:val="center"/>
              <w:rPr>
                <w:rFonts w:ascii="宋体" w:hAnsi="宋体" w:cs="宋体"/>
                <w:color w:val="auto"/>
                <w:szCs w:val="21"/>
              </w:rPr>
            </w:pPr>
            <w:r>
              <w:rPr>
                <w:rFonts w:hint="eastAsia" w:ascii="宋体" w:hAnsi="宋体"/>
                <w:color w:val="auto"/>
                <w:szCs w:val="21"/>
              </w:rPr>
              <w:t>200*200</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3</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20</w:t>
            </w:r>
          </w:p>
        </w:tc>
        <w:tc>
          <w:tcPr>
            <w:tcW w:w="2340" w:type="dxa"/>
            <w:vAlign w:val="center"/>
          </w:tcPr>
          <w:p>
            <w:pPr>
              <w:rPr>
                <w:rFonts w:ascii="宋体" w:hAnsi="宋体" w:cs="宋体"/>
                <w:color w:val="auto"/>
                <w:szCs w:val="21"/>
              </w:rPr>
            </w:pPr>
            <w:r>
              <w:rPr>
                <w:rFonts w:hint="eastAsia" w:ascii="宋体" w:hAnsi="宋体"/>
                <w:color w:val="auto"/>
                <w:szCs w:val="21"/>
              </w:rPr>
              <w:t>风量调节阀</w:t>
            </w:r>
          </w:p>
        </w:tc>
        <w:tc>
          <w:tcPr>
            <w:tcW w:w="4575" w:type="dxa"/>
            <w:vAlign w:val="center"/>
          </w:tcPr>
          <w:p>
            <w:pPr>
              <w:jc w:val="center"/>
              <w:rPr>
                <w:rFonts w:ascii="宋体" w:hAnsi="宋体" w:cs="宋体"/>
                <w:color w:val="auto"/>
                <w:szCs w:val="21"/>
              </w:rPr>
            </w:pPr>
            <w:r>
              <w:rPr>
                <w:rFonts w:hint="eastAsia" w:ascii="宋体" w:hAnsi="宋体"/>
                <w:color w:val="auto"/>
                <w:szCs w:val="21"/>
              </w:rPr>
              <w:t>320*200</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9</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21</w:t>
            </w:r>
          </w:p>
        </w:tc>
        <w:tc>
          <w:tcPr>
            <w:tcW w:w="2340" w:type="dxa"/>
            <w:vAlign w:val="center"/>
          </w:tcPr>
          <w:p>
            <w:pPr>
              <w:rPr>
                <w:rFonts w:ascii="宋体" w:hAnsi="宋体" w:cs="宋体"/>
                <w:color w:val="auto"/>
                <w:szCs w:val="21"/>
              </w:rPr>
            </w:pPr>
            <w:r>
              <w:rPr>
                <w:rFonts w:hint="eastAsia" w:ascii="宋体" w:hAnsi="宋体"/>
                <w:color w:val="auto"/>
                <w:szCs w:val="21"/>
              </w:rPr>
              <w:t>风量调节阀</w:t>
            </w:r>
          </w:p>
        </w:tc>
        <w:tc>
          <w:tcPr>
            <w:tcW w:w="4575" w:type="dxa"/>
            <w:vAlign w:val="center"/>
          </w:tcPr>
          <w:p>
            <w:pPr>
              <w:jc w:val="center"/>
              <w:rPr>
                <w:rFonts w:ascii="宋体" w:hAnsi="宋体" w:cs="宋体"/>
                <w:color w:val="auto"/>
                <w:szCs w:val="21"/>
              </w:rPr>
            </w:pPr>
            <w:r>
              <w:rPr>
                <w:rFonts w:hint="eastAsia" w:ascii="宋体" w:hAnsi="宋体"/>
                <w:color w:val="auto"/>
                <w:szCs w:val="21"/>
              </w:rPr>
              <w:t>200*200</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14</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22</w:t>
            </w:r>
          </w:p>
        </w:tc>
        <w:tc>
          <w:tcPr>
            <w:tcW w:w="2340" w:type="dxa"/>
            <w:vAlign w:val="center"/>
          </w:tcPr>
          <w:p>
            <w:pPr>
              <w:rPr>
                <w:rFonts w:ascii="宋体" w:hAnsi="宋体" w:cs="宋体"/>
                <w:color w:val="auto"/>
                <w:szCs w:val="21"/>
              </w:rPr>
            </w:pPr>
            <w:r>
              <w:rPr>
                <w:rFonts w:hint="eastAsia" w:ascii="宋体" w:hAnsi="宋体"/>
                <w:color w:val="auto"/>
                <w:szCs w:val="21"/>
              </w:rPr>
              <w:t>新风百叶</w:t>
            </w:r>
          </w:p>
        </w:tc>
        <w:tc>
          <w:tcPr>
            <w:tcW w:w="4575" w:type="dxa"/>
            <w:vAlign w:val="center"/>
          </w:tcPr>
          <w:p>
            <w:pPr>
              <w:jc w:val="center"/>
              <w:rPr>
                <w:rFonts w:ascii="宋体" w:hAnsi="宋体" w:cs="宋体"/>
                <w:color w:val="auto"/>
                <w:szCs w:val="21"/>
              </w:rPr>
            </w:pPr>
            <w:r>
              <w:rPr>
                <w:rFonts w:hint="eastAsia" w:ascii="宋体" w:hAnsi="宋体"/>
                <w:color w:val="auto"/>
                <w:szCs w:val="21"/>
              </w:rPr>
              <w:t>300*300</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3</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b/>
                <w:bCs/>
                <w:color w:val="auto"/>
                <w:szCs w:val="21"/>
              </w:rPr>
            </w:pPr>
            <w:r>
              <w:rPr>
                <w:rFonts w:hint="eastAsia" w:ascii="宋体" w:hAnsi="宋体"/>
                <w:b/>
                <w:bCs/>
                <w:color w:val="auto"/>
                <w:szCs w:val="21"/>
              </w:rPr>
              <w:t>四</w:t>
            </w:r>
          </w:p>
        </w:tc>
        <w:tc>
          <w:tcPr>
            <w:tcW w:w="2340" w:type="dxa"/>
            <w:vAlign w:val="center"/>
          </w:tcPr>
          <w:p>
            <w:pPr>
              <w:rPr>
                <w:rFonts w:ascii="宋体" w:hAnsi="宋体" w:cs="宋体"/>
                <w:b/>
                <w:bCs/>
                <w:color w:val="auto"/>
                <w:szCs w:val="21"/>
              </w:rPr>
            </w:pPr>
            <w:r>
              <w:rPr>
                <w:rFonts w:hint="eastAsia" w:ascii="宋体" w:hAnsi="宋体"/>
                <w:b/>
                <w:bCs/>
                <w:color w:val="auto"/>
                <w:szCs w:val="21"/>
              </w:rPr>
              <w:t>电气工程</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w:t>
            </w:r>
          </w:p>
        </w:tc>
        <w:tc>
          <w:tcPr>
            <w:tcW w:w="2340" w:type="dxa"/>
            <w:vAlign w:val="center"/>
          </w:tcPr>
          <w:p>
            <w:pPr>
              <w:rPr>
                <w:rFonts w:ascii="宋体" w:hAnsi="宋体" w:cs="宋体"/>
                <w:color w:val="auto"/>
                <w:szCs w:val="21"/>
              </w:rPr>
            </w:pPr>
            <w:r>
              <w:rPr>
                <w:rFonts w:hint="eastAsia" w:ascii="宋体" w:hAnsi="宋体"/>
                <w:color w:val="auto"/>
                <w:szCs w:val="21"/>
              </w:rPr>
              <w:t xml:space="preserve">铜芯电缆       </w:t>
            </w:r>
          </w:p>
        </w:tc>
        <w:tc>
          <w:tcPr>
            <w:tcW w:w="4575" w:type="dxa"/>
            <w:vAlign w:val="center"/>
          </w:tcPr>
          <w:p>
            <w:pPr>
              <w:jc w:val="center"/>
              <w:rPr>
                <w:rFonts w:ascii="宋体" w:hAnsi="宋体" w:cs="宋体"/>
                <w:color w:val="auto"/>
                <w:szCs w:val="21"/>
              </w:rPr>
            </w:pPr>
            <w:r>
              <w:rPr>
                <w:rFonts w:hint="eastAsia" w:ascii="宋体" w:hAnsi="宋体"/>
                <w:color w:val="auto"/>
                <w:szCs w:val="21"/>
              </w:rPr>
              <w:t>（3*35+2*16） ZRBV</w:t>
            </w:r>
          </w:p>
        </w:tc>
        <w:tc>
          <w:tcPr>
            <w:tcW w:w="855" w:type="dxa"/>
            <w:vAlign w:val="center"/>
          </w:tcPr>
          <w:p>
            <w:pPr>
              <w:jc w:val="center"/>
              <w:rPr>
                <w:rFonts w:ascii="宋体" w:hAnsi="宋体" w:cs="宋体"/>
                <w:color w:val="auto"/>
                <w:szCs w:val="21"/>
              </w:rPr>
            </w:pPr>
            <w:r>
              <w:rPr>
                <w:rFonts w:hint="eastAsia" w:ascii="宋体" w:hAnsi="宋体"/>
                <w:color w:val="auto"/>
                <w:szCs w:val="21"/>
              </w:rPr>
              <w:t>m</w:t>
            </w:r>
          </w:p>
        </w:tc>
        <w:tc>
          <w:tcPr>
            <w:tcW w:w="1215" w:type="dxa"/>
            <w:vAlign w:val="center"/>
          </w:tcPr>
          <w:p>
            <w:pPr>
              <w:jc w:val="center"/>
              <w:rPr>
                <w:rFonts w:ascii="宋体" w:hAnsi="宋体" w:cs="宋体"/>
                <w:color w:val="auto"/>
                <w:szCs w:val="21"/>
              </w:rPr>
            </w:pPr>
            <w:r>
              <w:rPr>
                <w:rFonts w:hint="eastAsia" w:ascii="宋体" w:hAnsi="宋体"/>
                <w:color w:val="auto"/>
                <w:szCs w:val="21"/>
              </w:rPr>
              <w:t>100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2</w:t>
            </w:r>
          </w:p>
        </w:tc>
        <w:tc>
          <w:tcPr>
            <w:tcW w:w="2340" w:type="dxa"/>
            <w:vAlign w:val="center"/>
          </w:tcPr>
          <w:p>
            <w:pPr>
              <w:rPr>
                <w:rFonts w:ascii="宋体" w:hAnsi="宋体" w:cs="宋体"/>
                <w:color w:val="auto"/>
                <w:szCs w:val="21"/>
              </w:rPr>
            </w:pPr>
            <w:r>
              <w:rPr>
                <w:rFonts w:hint="eastAsia" w:ascii="宋体" w:hAnsi="宋体"/>
                <w:color w:val="auto"/>
                <w:szCs w:val="21"/>
              </w:rPr>
              <w:t xml:space="preserve">铜芯电缆       </w:t>
            </w:r>
          </w:p>
        </w:tc>
        <w:tc>
          <w:tcPr>
            <w:tcW w:w="4575" w:type="dxa"/>
            <w:vAlign w:val="center"/>
          </w:tcPr>
          <w:p>
            <w:pPr>
              <w:jc w:val="center"/>
              <w:rPr>
                <w:rFonts w:ascii="宋体" w:hAnsi="宋体" w:cs="宋体"/>
                <w:color w:val="auto"/>
                <w:szCs w:val="21"/>
              </w:rPr>
            </w:pPr>
            <w:r>
              <w:rPr>
                <w:rFonts w:hint="eastAsia" w:ascii="宋体" w:hAnsi="宋体"/>
                <w:color w:val="auto"/>
                <w:szCs w:val="21"/>
              </w:rPr>
              <w:t xml:space="preserve">  （5*16)  ZRBV</w:t>
            </w:r>
          </w:p>
        </w:tc>
        <w:tc>
          <w:tcPr>
            <w:tcW w:w="855" w:type="dxa"/>
            <w:vAlign w:val="center"/>
          </w:tcPr>
          <w:p>
            <w:pPr>
              <w:jc w:val="center"/>
              <w:rPr>
                <w:rFonts w:ascii="宋体" w:hAnsi="宋体" w:cs="宋体"/>
                <w:color w:val="auto"/>
                <w:szCs w:val="21"/>
              </w:rPr>
            </w:pPr>
            <w:r>
              <w:rPr>
                <w:rFonts w:hint="eastAsia" w:ascii="宋体" w:hAnsi="宋体"/>
                <w:color w:val="auto"/>
                <w:szCs w:val="21"/>
              </w:rPr>
              <w:t>m</w:t>
            </w:r>
          </w:p>
        </w:tc>
        <w:tc>
          <w:tcPr>
            <w:tcW w:w="1215" w:type="dxa"/>
            <w:vAlign w:val="center"/>
          </w:tcPr>
          <w:p>
            <w:pPr>
              <w:jc w:val="center"/>
              <w:rPr>
                <w:rFonts w:ascii="宋体" w:hAnsi="宋体" w:cs="宋体"/>
                <w:color w:val="auto"/>
                <w:szCs w:val="21"/>
              </w:rPr>
            </w:pPr>
            <w:r>
              <w:rPr>
                <w:rFonts w:hint="eastAsia" w:ascii="宋体" w:hAnsi="宋体"/>
                <w:color w:val="auto"/>
                <w:szCs w:val="21"/>
              </w:rPr>
              <w:t>60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3</w:t>
            </w:r>
          </w:p>
        </w:tc>
        <w:tc>
          <w:tcPr>
            <w:tcW w:w="2340" w:type="dxa"/>
            <w:vAlign w:val="center"/>
          </w:tcPr>
          <w:p>
            <w:pPr>
              <w:rPr>
                <w:rFonts w:ascii="宋体" w:hAnsi="宋体" w:cs="宋体"/>
                <w:color w:val="auto"/>
                <w:szCs w:val="21"/>
              </w:rPr>
            </w:pPr>
            <w:r>
              <w:rPr>
                <w:rFonts w:hint="eastAsia" w:ascii="宋体" w:hAnsi="宋体"/>
                <w:color w:val="auto"/>
                <w:szCs w:val="21"/>
              </w:rPr>
              <w:t xml:space="preserve">铜芯电缆       </w:t>
            </w:r>
          </w:p>
        </w:tc>
        <w:tc>
          <w:tcPr>
            <w:tcW w:w="4575" w:type="dxa"/>
            <w:vAlign w:val="center"/>
          </w:tcPr>
          <w:p>
            <w:pPr>
              <w:jc w:val="center"/>
              <w:rPr>
                <w:rFonts w:ascii="宋体" w:hAnsi="宋体" w:cs="宋体"/>
                <w:color w:val="auto"/>
                <w:szCs w:val="21"/>
              </w:rPr>
            </w:pPr>
            <w:r>
              <w:rPr>
                <w:rFonts w:hint="eastAsia" w:ascii="宋体" w:hAnsi="宋体"/>
                <w:color w:val="auto"/>
                <w:szCs w:val="21"/>
              </w:rPr>
              <w:t xml:space="preserve">  （5*10)  ZRBV</w:t>
            </w:r>
          </w:p>
        </w:tc>
        <w:tc>
          <w:tcPr>
            <w:tcW w:w="855" w:type="dxa"/>
            <w:vAlign w:val="center"/>
          </w:tcPr>
          <w:p>
            <w:pPr>
              <w:jc w:val="center"/>
              <w:rPr>
                <w:rFonts w:ascii="宋体" w:hAnsi="宋体" w:cs="宋体"/>
                <w:color w:val="auto"/>
                <w:szCs w:val="21"/>
              </w:rPr>
            </w:pPr>
            <w:r>
              <w:rPr>
                <w:rFonts w:hint="eastAsia" w:ascii="宋体" w:hAnsi="宋体"/>
                <w:color w:val="auto"/>
                <w:szCs w:val="21"/>
              </w:rPr>
              <w:t>m</w:t>
            </w:r>
          </w:p>
        </w:tc>
        <w:tc>
          <w:tcPr>
            <w:tcW w:w="1215" w:type="dxa"/>
            <w:vAlign w:val="center"/>
          </w:tcPr>
          <w:p>
            <w:pPr>
              <w:jc w:val="center"/>
              <w:rPr>
                <w:rFonts w:ascii="宋体" w:hAnsi="宋体" w:cs="宋体"/>
                <w:color w:val="auto"/>
                <w:szCs w:val="21"/>
              </w:rPr>
            </w:pPr>
            <w:r>
              <w:rPr>
                <w:rFonts w:hint="eastAsia" w:ascii="宋体" w:hAnsi="宋体"/>
                <w:color w:val="auto"/>
                <w:szCs w:val="21"/>
              </w:rPr>
              <w:t>80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4</w:t>
            </w:r>
          </w:p>
        </w:tc>
        <w:tc>
          <w:tcPr>
            <w:tcW w:w="2340" w:type="dxa"/>
            <w:vAlign w:val="center"/>
          </w:tcPr>
          <w:p>
            <w:pPr>
              <w:rPr>
                <w:rFonts w:ascii="宋体" w:hAnsi="宋体" w:cs="宋体"/>
                <w:color w:val="auto"/>
                <w:szCs w:val="21"/>
              </w:rPr>
            </w:pPr>
            <w:r>
              <w:rPr>
                <w:rFonts w:hint="eastAsia" w:ascii="宋体" w:hAnsi="宋体"/>
                <w:color w:val="auto"/>
                <w:szCs w:val="21"/>
              </w:rPr>
              <w:t xml:space="preserve">铜芯电线         </w:t>
            </w:r>
          </w:p>
        </w:tc>
        <w:tc>
          <w:tcPr>
            <w:tcW w:w="4575" w:type="dxa"/>
            <w:vAlign w:val="center"/>
          </w:tcPr>
          <w:p>
            <w:pPr>
              <w:jc w:val="center"/>
              <w:rPr>
                <w:rFonts w:ascii="宋体" w:hAnsi="宋体" w:cs="宋体"/>
                <w:color w:val="auto"/>
                <w:szCs w:val="21"/>
              </w:rPr>
            </w:pPr>
            <w:r>
              <w:rPr>
                <w:rFonts w:hint="eastAsia" w:ascii="宋体" w:hAnsi="宋体"/>
                <w:color w:val="auto"/>
                <w:szCs w:val="21"/>
              </w:rPr>
              <w:t xml:space="preserve">  2.5mm2  ZRBVR-500V</w:t>
            </w:r>
          </w:p>
        </w:tc>
        <w:tc>
          <w:tcPr>
            <w:tcW w:w="855" w:type="dxa"/>
            <w:vAlign w:val="center"/>
          </w:tcPr>
          <w:p>
            <w:pPr>
              <w:jc w:val="center"/>
              <w:rPr>
                <w:rFonts w:ascii="宋体" w:hAnsi="宋体" w:cs="宋体"/>
                <w:color w:val="auto"/>
                <w:szCs w:val="21"/>
              </w:rPr>
            </w:pPr>
            <w:r>
              <w:rPr>
                <w:rFonts w:hint="eastAsia" w:ascii="宋体" w:hAnsi="宋体"/>
                <w:color w:val="auto"/>
                <w:szCs w:val="21"/>
              </w:rPr>
              <w:t>m</w:t>
            </w:r>
          </w:p>
        </w:tc>
        <w:tc>
          <w:tcPr>
            <w:tcW w:w="1215" w:type="dxa"/>
            <w:vAlign w:val="center"/>
          </w:tcPr>
          <w:p>
            <w:pPr>
              <w:jc w:val="center"/>
              <w:rPr>
                <w:rFonts w:ascii="宋体" w:hAnsi="宋体" w:cs="宋体"/>
                <w:color w:val="auto"/>
                <w:szCs w:val="21"/>
              </w:rPr>
            </w:pPr>
            <w:r>
              <w:rPr>
                <w:rFonts w:hint="eastAsia" w:ascii="宋体" w:hAnsi="宋体"/>
                <w:color w:val="auto"/>
                <w:szCs w:val="21"/>
              </w:rPr>
              <w:t>2400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5</w:t>
            </w:r>
          </w:p>
        </w:tc>
        <w:tc>
          <w:tcPr>
            <w:tcW w:w="2340" w:type="dxa"/>
            <w:vAlign w:val="center"/>
          </w:tcPr>
          <w:p>
            <w:pPr>
              <w:rPr>
                <w:rFonts w:ascii="宋体" w:hAnsi="宋体" w:cs="宋体"/>
                <w:color w:val="auto"/>
                <w:szCs w:val="21"/>
              </w:rPr>
            </w:pPr>
            <w:r>
              <w:rPr>
                <w:rFonts w:hint="eastAsia" w:ascii="宋体" w:hAnsi="宋体"/>
                <w:color w:val="auto"/>
                <w:szCs w:val="21"/>
              </w:rPr>
              <w:t xml:space="preserve">铜芯电线         </w:t>
            </w:r>
          </w:p>
        </w:tc>
        <w:tc>
          <w:tcPr>
            <w:tcW w:w="4575" w:type="dxa"/>
            <w:vAlign w:val="center"/>
          </w:tcPr>
          <w:p>
            <w:pPr>
              <w:jc w:val="center"/>
              <w:rPr>
                <w:rFonts w:ascii="宋体" w:hAnsi="宋体" w:cs="宋体"/>
                <w:color w:val="auto"/>
                <w:szCs w:val="21"/>
              </w:rPr>
            </w:pPr>
            <w:r>
              <w:rPr>
                <w:rFonts w:hint="eastAsia" w:ascii="宋体" w:hAnsi="宋体"/>
                <w:color w:val="auto"/>
                <w:szCs w:val="21"/>
              </w:rPr>
              <w:t>4.0mm2  ZRBVR-500V</w:t>
            </w:r>
          </w:p>
        </w:tc>
        <w:tc>
          <w:tcPr>
            <w:tcW w:w="855" w:type="dxa"/>
            <w:vAlign w:val="center"/>
          </w:tcPr>
          <w:p>
            <w:pPr>
              <w:jc w:val="center"/>
              <w:rPr>
                <w:rFonts w:ascii="宋体" w:hAnsi="宋体" w:cs="宋体"/>
                <w:color w:val="auto"/>
                <w:szCs w:val="21"/>
              </w:rPr>
            </w:pPr>
            <w:r>
              <w:rPr>
                <w:rFonts w:hint="eastAsia" w:ascii="宋体" w:hAnsi="宋体"/>
                <w:color w:val="auto"/>
                <w:szCs w:val="21"/>
              </w:rPr>
              <w:t>m</w:t>
            </w:r>
          </w:p>
        </w:tc>
        <w:tc>
          <w:tcPr>
            <w:tcW w:w="1215" w:type="dxa"/>
            <w:vAlign w:val="center"/>
          </w:tcPr>
          <w:p>
            <w:pPr>
              <w:jc w:val="center"/>
              <w:rPr>
                <w:rFonts w:ascii="宋体" w:hAnsi="宋体" w:cs="宋体"/>
                <w:color w:val="auto"/>
                <w:szCs w:val="21"/>
              </w:rPr>
            </w:pPr>
            <w:r>
              <w:rPr>
                <w:rFonts w:hint="eastAsia" w:ascii="宋体" w:hAnsi="宋体"/>
                <w:color w:val="auto"/>
                <w:szCs w:val="21"/>
              </w:rPr>
              <w:t>1800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6</w:t>
            </w:r>
          </w:p>
        </w:tc>
        <w:tc>
          <w:tcPr>
            <w:tcW w:w="2340" w:type="dxa"/>
            <w:vAlign w:val="center"/>
          </w:tcPr>
          <w:p>
            <w:pPr>
              <w:rPr>
                <w:rFonts w:ascii="宋体" w:hAnsi="宋体" w:cs="宋体"/>
                <w:color w:val="auto"/>
                <w:szCs w:val="21"/>
              </w:rPr>
            </w:pPr>
            <w:r>
              <w:rPr>
                <w:rFonts w:hint="eastAsia" w:ascii="宋体" w:hAnsi="宋体"/>
                <w:color w:val="auto"/>
                <w:szCs w:val="21"/>
              </w:rPr>
              <w:t xml:space="preserve">铜芯电线         </w:t>
            </w:r>
          </w:p>
        </w:tc>
        <w:tc>
          <w:tcPr>
            <w:tcW w:w="4575" w:type="dxa"/>
            <w:vAlign w:val="center"/>
          </w:tcPr>
          <w:p>
            <w:pPr>
              <w:jc w:val="center"/>
              <w:rPr>
                <w:rFonts w:ascii="宋体" w:hAnsi="宋体" w:cs="宋体"/>
                <w:color w:val="auto"/>
                <w:szCs w:val="21"/>
              </w:rPr>
            </w:pPr>
            <w:r>
              <w:rPr>
                <w:rFonts w:hint="eastAsia" w:ascii="宋体" w:hAnsi="宋体"/>
                <w:color w:val="auto"/>
                <w:szCs w:val="21"/>
              </w:rPr>
              <w:t>6.0mm2  ZRBVR-500V</w:t>
            </w:r>
          </w:p>
        </w:tc>
        <w:tc>
          <w:tcPr>
            <w:tcW w:w="855" w:type="dxa"/>
            <w:vAlign w:val="center"/>
          </w:tcPr>
          <w:p>
            <w:pPr>
              <w:jc w:val="center"/>
              <w:rPr>
                <w:rFonts w:ascii="宋体" w:hAnsi="宋体" w:cs="宋体"/>
                <w:color w:val="auto"/>
                <w:szCs w:val="21"/>
              </w:rPr>
            </w:pPr>
            <w:r>
              <w:rPr>
                <w:rFonts w:hint="eastAsia" w:ascii="宋体" w:hAnsi="宋体"/>
                <w:color w:val="auto"/>
                <w:szCs w:val="21"/>
              </w:rPr>
              <w:t>m</w:t>
            </w:r>
          </w:p>
        </w:tc>
        <w:tc>
          <w:tcPr>
            <w:tcW w:w="1215" w:type="dxa"/>
            <w:vAlign w:val="center"/>
          </w:tcPr>
          <w:p>
            <w:pPr>
              <w:jc w:val="center"/>
              <w:rPr>
                <w:rFonts w:ascii="宋体" w:hAnsi="宋体" w:cs="宋体"/>
                <w:color w:val="auto"/>
                <w:szCs w:val="21"/>
              </w:rPr>
            </w:pPr>
            <w:r>
              <w:rPr>
                <w:rFonts w:hint="eastAsia" w:ascii="宋体" w:hAnsi="宋体"/>
                <w:color w:val="auto"/>
                <w:szCs w:val="21"/>
              </w:rPr>
              <w:t>1200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7</w:t>
            </w:r>
          </w:p>
        </w:tc>
        <w:tc>
          <w:tcPr>
            <w:tcW w:w="2340" w:type="dxa"/>
            <w:vAlign w:val="center"/>
          </w:tcPr>
          <w:p>
            <w:pPr>
              <w:rPr>
                <w:rFonts w:ascii="宋体" w:hAnsi="宋体" w:cs="宋体"/>
                <w:color w:val="auto"/>
                <w:szCs w:val="21"/>
              </w:rPr>
            </w:pPr>
            <w:r>
              <w:rPr>
                <w:rFonts w:hint="eastAsia" w:ascii="宋体" w:hAnsi="宋体"/>
                <w:color w:val="auto"/>
                <w:szCs w:val="21"/>
              </w:rPr>
              <w:t>空调控制箱至机组布线/控制线</w:t>
            </w:r>
          </w:p>
        </w:tc>
        <w:tc>
          <w:tcPr>
            <w:tcW w:w="4575" w:type="dxa"/>
            <w:vAlign w:val="center"/>
          </w:tcPr>
          <w:p>
            <w:pPr>
              <w:jc w:val="center"/>
              <w:rPr>
                <w:rFonts w:ascii="宋体" w:hAnsi="宋体" w:cs="宋体"/>
                <w:color w:val="auto"/>
                <w:szCs w:val="21"/>
              </w:rPr>
            </w:pPr>
            <w:r>
              <w:rPr>
                <w:rFonts w:hint="eastAsia" w:ascii="宋体" w:hAnsi="宋体"/>
                <w:color w:val="auto"/>
                <w:szCs w:val="21"/>
              </w:rPr>
              <w:t>AHU</w:t>
            </w:r>
          </w:p>
        </w:tc>
        <w:tc>
          <w:tcPr>
            <w:tcW w:w="855" w:type="dxa"/>
            <w:vAlign w:val="center"/>
          </w:tcPr>
          <w:p>
            <w:pPr>
              <w:jc w:val="center"/>
              <w:rPr>
                <w:rFonts w:ascii="宋体" w:hAnsi="宋体" w:cs="宋体"/>
                <w:color w:val="auto"/>
                <w:szCs w:val="21"/>
              </w:rPr>
            </w:pPr>
            <w:r>
              <w:rPr>
                <w:rFonts w:hint="eastAsia" w:ascii="宋体" w:hAnsi="宋体"/>
                <w:color w:val="auto"/>
                <w:szCs w:val="21"/>
              </w:rPr>
              <w:t>套</w:t>
            </w:r>
          </w:p>
        </w:tc>
        <w:tc>
          <w:tcPr>
            <w:tcW w:w="1215" w:type="dxa"/>
            <w:vAlign w:val="center"/>
          </w:tcPr>
          <w:p>
            <w:pPr>
              <w:jc w:val="center"/>
              <w:rPr>
                <w:rFonts w:ascii="宋体" w:hAnsi="宋体" w:cs="宋体"/>
                <w:color w:val="auto"/>
                <w:szCs w:val="21"/>
              </w:rPr>
            </w:pPr>
            <w:r>
              <w:rPr>
                <w:rFonts w:hint="eastAsia" w:ascii="宋体" w:hAnsi="宋体"/>
                <w:color w:val="auto"/>
                <w:szCs w:val="21"/>
              </w:rPr>
              <w:t>5</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8</w:t>
            </w:r>
          </w:p>
        </w:tc>
        <w:tc>
          <w:tcPr>
            <w:tcW w:w="2340" w:type="dxa"/>
            <w:vAlign w:val="center"/>
          </w:tcPr>
          <w:p>
            <w:pPr>
              <w:rPr>
                <w:rFonts w:ascii="宋体" w:hAnsi="宋体" w:cs="宋体"/>
                <w:color w:val="auto"/>
                <w:szCs w:val="21"/>
              </w:rPr>
            </w:pPr>
            <w:r>
              <w:rPr>
                <w:rFonts w:hint="eastAsia" w:ascii="宋体" w:hAnsi="宋体"/>
                <w:color w:val="auto"/>
                <w:szCs w:val="21"/>
              </w:rPr>
              <w:t>净化灯具（LED）</w:t>
            </w:r>
          </w:p>
        </w:tc>
        <w:tc>
          <w:tcPr>
            <w:tcW w:w="4575" w:type="dxa"/>
            <w:vAlign w:val="center"/>
          </w:tcPr>
          <w:p>
            <w:pPr>
              <w:jc w:val="center"/>
              <w:rPr>
                <w:rFonts w:ascii="宋体" w:hAnsi="宋体" w:cs="宋体"/>
                <w:color w:val="auto"/>
                <w:szCs w:val="21"/>
              </w:rPr>
            </w:pPr>
            <w:r>
              <w:rPr>
                <w:rFonts w:hint="eastAsia" w:ascii="宋体" w:hAnsi="宋体"/>
                <w:color w:val="auto"/>
                <w:szCs w:val="21"/>
              </w:rPr>
              <w:t>48W</w:t>
            </w:r>
          </w:p>
        </w:tc>
        <w:tc>
          <w:tcPr>
            <w:tcW w:w="855" w:type="dxa"/>
            <w:vAlign w:val="center"/>
          </w:tcPr>
          <w:p>
            <w:pPr>
              <w:jc w:val="center"/>
              <w:rPr>
                <w:rFonts w:ascii="宋体" w:hAnsi="宋体" w:cs="宋体"/>
                <w:color w:val="auto"/>
                <w:szCs w:val="21"/>
              </w:rPr>
            </w:pPr>
            <w:r>
              <w:rPr>
                <w:rFonts w:hint="eastAsia" w:ascii="宋体" w:hAnsi="宋体"/>
                <w:color w:val="auto"/>
                <w:szCs w:val="21"/>
              </w:rPr>
              <w:t>盏</w:t>
            </w:r>
          </w:p>
        </w:tc>
        <w:tc>
          <w:tcPr>
            <w:tcW w:w="1215" w:type="dxa"/>
            <w:vAlign w:val="center"/>
          </w:tcPr>
          <w:p>
            <w:pPr>
              <w:jc w:val="center"/>
              <w:rPr>
                <w:rFonts w:ascii="宋体" w:hAnsi="宋体" w:cs="宋体"/>
                <w:color w:val="auto"/>
                <w:szCs w:val="21"/>
              </w:rPr>
            </w:pPr>
            <w:r>
              <w:rPr>
                <w:rFonts w:hint="eastAsia" w:ascii="宋体" w:hAnsi="宋体"/>
                <w:color w:val="auto"/>
                <w:szCs w:val="21"/>
              </w:rPr>
              <w:t>27</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9</w:t>
            </w:r>
          </w:p>
        </w:tc>
        <w:tc>
          <w:tcPr>
            <w:tcW w:w="2340" w:type="dxa"/>
            <w:vAlign w:val="center"/>
          </w:tcPr>
          <w:p>
            <w:pPr>
              <w:rPr>
                <w:rFonts w:ascii="宋体" w:hAnsi="宋体" w:cs="宋体"/>
                <w:color w:val="auto"/>
                <w:szCs w:val="21"/>
              </w:rPr>
            </w:pPr>
            <w:r>
              <w:rPr>
                <w:rFonts w:hint="eastAsia" w:ascii="宋体" w:hAnsi="宋体"/>
                <w:color w:val="auto"/>
                <w:szCs w:val="21"/>
              </w:rPr>
              <w:t>净化灯具（LED）</w:t>
            </w:r>
          </w:p>
        </w:tc>
        <w:tc>
          <w:tcPr>
            <w:tcW w:w="4575" w:type="dxa"/>
            <w:vAlign w:val="center"/>
          </w:tcPr>
          <w:p>
            <w:pPr>
              <w:jc w:val="center"/>
              <w:rPr>
                <w:rFonts w:ascii="宋体" w:hAnsi="宋体" w:cs="宋体"/>
                <w:color w:val="auto"/>
                <w:szCs w:val="21"/>
              </w:rPr>
            </w:pPr>
            <w:r>
              <w:rPr>
                <w:rFonts w:hint="eastAsia" w:ascii="宋体" w:hAnsi="宋体"/>
                <w:color w:val="auto"/>
                <w:szCs w:val="21"/>
              </w:rPr>
              <w:t>38W</w:t>
            </w:r>
          </w:p>
        </w:tc>
        <w:tc>
          <w:tcPr>
            <w:tcW w:w="855" w:type="dxa"/>
            <w:vAlign w:val="center"/>
          </w:tcPr>
          <w:p>
            <w:pPr>
              <w:jc w:val="center"/>
              <w:rPr>
                <w:rFonts w:ascii="宋体" w:hAnsi="宋体" w:cs="宋体"/>
                <w:color w:val="auto"/>
                <w:szCs w:val="21"/>
              </w:rPr>
            </w:pPr>
            <w:r>
              <w:rPr>
                <w:rFonts w:hint="eastAsia" w:ascii="宋体" w:hAnsi="宋体"/>
                <w:color w:val="auto"/>
                <w:szCs w:val="21"/>
              </w:rPr>
              <w:t>盏</w:t>
            </w:r>
          </w:p>
        </w:tc>
        <w:tc>
          <w:tcPr>
            <w:tcW w:w="1215" w:type="dxa"/>
            <w:vAlign w:val="center"/>
          </w:tcPr>
          <w:p>
            <w:pPr>
              <w:jc w:val="center"/>
              <w:rPr>
                <w:rFonts w:ascii="宋体" w:hAnsi="宋体" w:cs="宋体"/>
                <w:color w:val="auto"/>
                <w:szCs w:val="21"/>
              </w:rPr>
            </w:pPr>
            <w:r>
              <w:rPr>
                <w:rFonts w:hint="eastAsia" w:ascii="宋体" w:hAnsi="宋体"/>
                <w:color w:val="auto"/>
                <w:szCs w:val="21"/>
              </w:rPr>
              <w:t>32</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10</w:t>
            </w:r>
          </w:p>
        </w:tc>
        <w:tc>
          <w:tcPr>
            <w:tcW w:w="2340" w:type="dxa"/>
            <w:vAlign w:val="center"/>
          </w:tcPr>
          <w:p>
            <w:pPr>
              <w:rPr>
                <w:rFonts w:ascii="宋体" w:hAnsi="宋体" w:cs="宋体"/>
                <w:color w:val="auto"/>
                <w:szCs w:val="21"/>
              </w:rPr>
            </w:pPr>
            <w:r>
              <w:rPr>
                <w:rFonts w:hint="eastAsia" w:ascii="宋体" w:hAnsi="宋体"/>
                <w:color w:val="auto"/>
                <w:szCs w:val="21"/>
              </w:rPr>
              <w:t>净化灯具（LED）</w:t>
            </w:r>
          </w:p>
        </w:tc>
        <w:tc>
          <w:tcPr>
            <w:tcW w:w="4575" w:type="dxa"/>
            <w:vAlign w:val="center"/>
          </w:tcPr>
          <w:p>
            <w:pPr>
              <w:jc w:val="center"/>
              <w:rPr>
                <w:rFonts w:ascii="宋体" w:hAnsi="宋体" w:cs="宋体"/>
                <w:color w:val="auto"/>
                <w:szCs w:val="21"/>
              </w:rPr>
            </w:pPr>
            <w:r>
              <w:rPr>
                <w:rFonts w:hint="eastAsia" w:ascii="宋体" w:hAnsi="宋体"/>
                <w:color w:val="auto"/>
                <w:szCs w:val="21"/>
              </w:rPr>
              <w:t>28W</w:t>
            </w:r>
          </w:p>
        </w:tc>
        <w:tc>
          <w:tcPr>
            <w:tcW w:w="855" w:type="dxa"/>
            <w:vAlign w:val="center"/>
          </w:tcPr>
          <w:p>
            <w:pPr>
              <w:jc w:val="center"/>
              <w:rPr>
                <w:rFonts w:ascii="宋体" w:hAnsi="宋体" w:cs="宋体"/>
                <w:color w:val="auto"/>
                <w:szCs w:val="21"/>
              </w:rPr>
            </w:pPr>
            <w:r>
              <w:rPr>
                <w:rFonts w:hint="eastAsia" w:ascii="宋体" w:hAnsi="宋体"/>
                <w:color w:val="auto"/>
                <w:szCs w:val="21"/>
              </w:rPr>
              <w:t>盏</w:t>
            </w:r>
          </w:p>
        </w:tc>
        <w:tc>
          <w:tcPr>
            <w:tcW w:w="1215" w:type="dxa"/>
            <w:vAlign w:val="center"/>
          </w:tcPr>
          <w:p>
            <w:pPr>
              <w:jc w:val="center"/>
              <w:rPr>
                <w:rFonts w:ascii="宋体" w:hAnsi="宋体" w:cs="宋体"/>
                <w:color w:val="auto"/>
                <w:szCs w:val="21"/>
              </w:rPr>
            </w:pPr>
            <w:r>
              <w:rPr>
                <w:rFonts w:hint="eastAsia" w:ascii="宋体" w:hAnsi="宋体"/>
                <w:color w:val="auto"/>
                <w:szCs w:val="21"/>
              </w:rPr>
              <w:t>6</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11</w:t>
            </w:r>
          </w:p>
        </w:tc>
        <w:tc>
          <w:tcPr>
            <w:tcW w:w="2340" w:type="dxa"/>
            <w:vAlign w:val="center"/>
          </w:tcPr>
          <w:p>
            <w:pPr>
              <w:rPr>
                <w:rFonts w:ascii="宋体" w:hAnsi="宋体" w:cs="宋体"/>
                <w:color w:val="auto"/>
                <w:szCs w:val="21"/>
              </w:rPr>
            </w:pPr>
            <w:r>
              <w:rPr>
                <w:rFonts w:hint="eastAsia" w:ascii="宋体" w:hAnsi="宋体"/>
                <w:color w:val="auto"/>
                <w:szCs w:val="21"/>
              </w:rPr>
              <w:t>LED平板灯</w:t>
            </w:r>
          </w:p>
        </w:tc>
        <w:tc>
          <w:tcPr>
            <w:tcW w:w="4575" w:type="dxa"/>
            <w:vAlign w:val="center"/>
          </w:tcPr>
          <w:p>
            <w:pPr>
              <w:jc w:val="center"/>
              <w:rPr>
                <w:rFonts w:ascii="宋体" w:hAnsi="宋体" w:cs="宋体"/>
                <w:color w:val="auto"/>
                <w:szCs w:val="21"/>
              </w:rPr>
            </w:pPr>
            <w:r>
              <w:rPr>
                <w:rFonts w:hint="eastAsia" w:ascii="宋体" w:hAnsi="宋体"/>
                <w:color w:val="auto"/>
                <w:szCs w:val="21"/>
              </w:rPr>
              <w:t>300*300</w:t>
            </w:r>
          </w:p>
        </w:tc>
        <w:tc>
          <w:tcPr>
            <w:tcW w:w="855" w:type="dxa"/>
            <w:vAlign w:val="center"/>
          </w:tcPr>
          <w:p>
            <w:pPr>
              <w:jc w:val="center"/>
              <w:rPr>
                <w:rFonts w:ascii="宋体" w:hAnsi="宋体" w:cs="宋体"/>
                <w:color w:val="auto"/>
                <w:szCs w:val="21"/>
              </w:rPr>
            </w:pPr>
            <w:r>
              <w:rPr>
                <w:rFonts w:hint="eastAsia" w:ascii="宋体" w:hAnsi="宋体"/>
                <w:color w:val="auto"/>
                <w:szCs w:val="21"/>
              </w:rPr>
              <w:t>盏</w:t>
            </w:r>
          </w:p>
        </w:tc>
        <w:tc>
          <w:tcPr>
            <w:tcW w:w="1215" w:type="dxa"/>
            <w:vAlign w:val="center"/>
          </w:tcPr>
          <w:p>
            <w:pPr>
              <w:jc w:val="center"/>
              <w:rPr>
                <w:rFonts w:ascii="宋体" w:hAnsi="宋体" w:cs="宋体"/>
                <w:color w:val="auto"/>
                <w:szCs w:val="21"/>
              </w:rPr>
            </w:pPr>
            <w:r>
              <w:rPr>
                <w:rFonts w:hint="eastAsia" w:ascii="宋体" w:hAnsi="宋体"/>
                <w:color w:val="auto"/>
                <w:szCs w:val="21"/>
              </w:rPr>
              <w:t>2</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12</w:t>
            </w:r>
          </w:p>
        </w:tc>
        <w:tc>
          <w:tcPr>
            <w:tcW w:w="2340" w:type="dxa"/>
            <w:vAlign w:val="center"/>
          </w:tcPr>
          <w:p>
            <w:pPr>
              <w:rPr>
                <w:rFonts w:ascii="宋体" w:hAnsi="宋体" w:cs="宋体"/>
                <w:color w:val="auto"/>
                <w:szCs w:val="21"/>
              </w:rPr>
            </w:pPr>
            <w:r>
              <w:rPr>
                <w:rFonts w:hint="eastAsia" w:ascii="宋体" w:hAnsi="宋体"/>
                <w:color w:val="auto"/>
                <w:szCs w:val="21"/>
              </w:rPr>
              <w:t>手术中指示灯</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套</w:t>
            </w:r>
          </w:p>
        </w:tc>
        <w:tc>
          <w:tcPr>
            <w:tcW w:w="1215" w:type="dxa"/>
            <w:vAlign w:val="center"/>
          </w:tcPr>
          <w:p>
            <w:pPr>
              <w:jc w:val="center"/>
              <w:rPr>
                <w:rFonts w:ascii="宋体" w:hAnsi="宋体" w:cs="宋体"/>
                <w:color w:val="auto"/>
                <w:szCs w:val="21"/>
              </w:rPr>
            </w:pPr>
            <w:r>
              <w:rPr>
                <w:rFonts w:hint="eastAsia" w:ascii="宋体" w:hAnsi="宋体"/>
                <w:color w:val="auto"/>
                <w:szCs w:val="21"/>
              </w:rPr>
              <w:t>2</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13</w:t>
            </w:r>
          </w:p>
        </w:tc>
        <w:tc>
          <w:tcPr>
            <w:tcW w:w="2340" w:type="dxa"/>
            <w:vAlign w:val="center"/>
          </w:tcPr>
          <w:p>
            <w:pPr>
              <w:rPr>
                <w:rFonts w:ascii="宋体" w:hAnsi="宋体" w:cs="宋体"/>
                <w:color w:val="auto"/>
                <w:szCs w:val="21"/>
              </w:rPr>
            </w:pPr>
            <w:r>
              <w:rPr>
                <w:rFonts w:hint="eastAsia" w:ascii="宋体" w:hAnsi="宋体"/>
                <w:color w:val="auto"/>
                <w:szCs w:val="21"/>
              </w:rPr>
              <w:t xml:space="preserve">照明开关           </w:t>
            </w:r>
          </w:p>
        </w:tc>
        <w:tc>
          <w:tcPr>
            <w:tcW w:w="4575" w:type="dxa"/>
            <w:vAlign w:val="center"/>
          </w:tcPr>
          <w:p>
            <w:pPr>
              <w:jc w:val="center"/>
              <w:rPr>
                <w:rFonts w:ascii="宋体" w:hAnsi="宋体" w:cs="宋体"/>
                <w:color w:val="auto"/>
                <w:szCs w:val="21"/>
              </w:rPr>
            </w:pPr>
            <w:r>
              <w:rPr>
                <w:rFonts w:hint="eastAsia" w:ascii="宋体" w:hAnsi="宋体"/>
                <w:color w:val="auto"/>
                <w:szCs w:val="21"/>
              </w:rPr>
              <w:t>220V 10A</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27</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14</w:t>
            </w:r>
          </w:p>
        </w:tc>
        <w:tc>
          <w:tcPr>
            <w:tcW w:w="2340" w:type="dxa"/>
            <w:vAlign w:val="center"/>
          </w:tcPr>
          <w:p>
            <w:pPr>
              <w:rPr>
                <w:rFonts w:ascii="宋体" w:hAnsi="宋体" w:cs="宋体"/>
                <w:color w:val="auto"/>
                <w:szCs w:val="21"/>
              </w:rPr>
            </w:pPr>
            <w:r>
              <w:rPr>
                <w:rFonts w:hint="eastAsia" w:ascii="宋体" w:hAnsi="宋体"/>
                <w:color w:val="auto"/>
                <w:szCs w:val="21"/>
              </w:rPr>
              <w:t>插座</w:t>
            </w:r>
          </w:p>
        </w:tc>
        <w:tc>
          <w:tcPr>
            <w:tcW w:w="4575" w:type="dxa"/>
            <w:vAlign w:val="center"/>
          </w:tcPr>
          <w:p>
            <w:pPr>
              <w:jc w:val="center"/>
              <w:rPr>
                <w:rFonts w:ascii="宋体" w:hAnsi="宋体" w:cs="宋体"/>
                <w:color w:val="auto"/>
                <w:szCs w:val="21"/>
              </w:rPr>
            </w:pPr>
            <w:r>
              <w:rPr>
                <w:rFonts w:hint="eastAsia" w:ascii="宋体" w:hAnsi="宋体"/>
                <w:color w:val="auto"/>
                <w:szCs w:val="21"/>
              </w:rPr>
              <w:t>220V 10A</w:t>
            </w:r>
          </w:p>
        </w:tc>
        <w:tc>
          <w:tcPr>
            <w:tcW w:w="855" w:type="dxa"/>
            <w:vAlign w:val="center"/>
          </w:tcPr>
          <w:p>
            <w:pPr>
              <w:jc w:val="center"/>
              <w:rPr>
                <w:rFonts w:ascii="宋体" w:hAnsi="宋体" w:cs="宋体"/>
                <w:color w:val="auto"/>
                <w:szCs w:val="21"/>
              </w:rPr>
            </w:pPr>
            <w:r>
              <w:rPr>
                <w:rFonts w:hint="eastAsia" w:ascii="宋体" w:hAnsi="宋体"/>
                <w:color w:val="auto"/>
                <w:szCs w:val="21"/>
              </w:rPr>
              <w:t>个</w:t>
            </w:r>
          </w:p>
        </w:tc>
        <w:tc>
          <w:tcPr>
            <w:tcW w:w="1215" w:type="dxa"/>
            <w:vAlign w:val="center"/>
          </w:tcPr>
          <w:p>
            <w:pPr>
              <w:jc w:val="center"/>
              <w:rPr>
                <w:rFonts w:ascii="宋体" w:hAnsi="宋体" w:cs="宋体"/>
                <w:color w:val="auto"/>
                <w:szCs w:val="21"/>
              </w:rPr>
            </w:pPr>
            <w:r>
              <w:rPr>
                <w:rFonts w:hint="eastAsia" w:ascii="宋体" w:hAnsi="宋体"/>
                <w:color w:val="auto"/>
                <w:szCs w:val="21"/>
              </w:rPr>
              <w:t>24</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bottom"/>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15</w:t>
            </w:r>
          </w:p>
        </w:tc>
        <w:tc>
          <w:tcPr>
            <w:tcW w:w="2340" w:type="dxa"/>
            <w:vAlign w:val="center"/>
          </w:tcPr>
          <w:p>
            <w:pPr>
              <w:rPr>
                <w:rFonts w:ascii="宋体" w:hAnsi="宋体" w:cs="宋体"/>
                <w:color w:val="auto"/>
                <w:szCs w:val="21"/>
              </w:rPr>
            </w:pPr>
            <w:r>
              <w:rPr>
                <w:rFonts w:hint="eastAsia" w:ascii="宋体" w:hAnsi="宋体"/>
                <w:color w:val="auto"/>
                <w:szCs w:val="21"/>
              </w:rPr>
              <w:t>配电箱</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台</w:t>
            </w:r>
          </w:p>
        </w:tc>
        <w:tc>
          <w:tcPr>
            <w:tcW w:w="1215" w:type="dxa"/>
            <w:vAlign w:val="center"/>
          </w:tcPr>
          <w:p>
            <w:pPr>
              <w:jc w:val="center"/>
              <w:rPr>
                <w:rFonts w:ascii="宋体" w:hAnsi="宋体" w:cs="宋体"/>
                <w:color w:val="auto"/>
                <w:szCs w:val="21"/>
              </w:rPr>
            </w:pPr>
            <w:r>
              <w:rPr>
                <w:rFonts w:hint="eastAsia" w:ascii="宋体" w:hAnsi="宋体"/>
                <w:color w:val="auto"/>
                <w:szCs w:val="21"/>
              </w:rPr>
              <w:t>5</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16</w:t>
            </w:r>
          </w:p>
        </w:tc>
        <w:tc>
          <w:tcPr>
            <w:tcW w:w="2340" w:type="dxa"/>
            <w:vAlign w:val="center"/>
          </w:tcPr>
          <w:p>
            <w:pPr>
              <w:rPr>
                <w:rFonts w:ascii="宋体" w:hAnsi="宋体" w:cs="宋体"/>
                <w:color w:val="auto"/>
                <w:szCs w:val="21"/>
              </w:rPr>
            </w:pPr>
            <w:r>
              <w:rPr>
                <w:rFonts w:hint="eastAsia" w:ascii="宋体" w:hAnsi="宋体"/>
                <w:color w:val="auto"/>
                <w:szCs w:val="21"/>
              </w:rPr>
              <w:t xml:space="preserve">线管                 </w:t>
            </w:r>
          </w:p>
        </w:tc>
        <w:tc>
          <w:tcPr>
            <w:tcW w:w="4575" w:type="dxa"/>
            <w:vAlign w:val="center"/>
          </w:tcPr>
          <w:p>
            <w:pPr>
              <w:jc w:val="center"/>
              <w:rPr>
                <w:rFonts w:ascii="宋体" w:hAnsi="宋体" w:cs="宋体"/>
                <w:color w:val="auto"/>
                <w:szCs w:val="21"/>
              </w:rPr>
            </w:pPr>
            <w:r>
              <w:rPr>
                <w:rFonts w:hint="eastAsia" w:ascii="宋体" w:hAnsi="宋体"/>
                <w:color w:val="auto"/>
                <w:szCs w:val="21"/>
              </w:rPr>
              <w:t>Φ20</w:t>
            </w:r>
          </w:p>
        </w:tc>
        <w:tc>
          <w:tcPr>
            <w:tcW w:w="855" w:type="dxa"/>
            <w:vAlign w:val="center"/>
          </w:tcPr>
          <w:p>
            <w:pPr>
              <w:jc w:val="center"/>
              <w:rPr>
                <w:rFonts w:ascii="宋体" w:hAnsi="宋体" w:cs="宋体"/>
                <w:color w:val="auto"/>
                <w:szCs w:val="21"/>
              </w:rPr>
            </w:pPr>
            <w:r>
              <w:rPr>
                <w:rFonts w:hint="eastAsia" w:ascii="宋体" w:hAnsi="宋体"/>
                <w:color w:val="auto"/>
                <w:szCs w:val="21"/>
              </w:rPr>
              <w:t>米</w:t>
            </w:r>
          </w:p>
        </w:tc>
        <w:tc>
          <w:tcPr>
            <w:tcW w:w="1215" w:type="dxa"/>
            <w:vAlign w:val="center"/>
          </w:tcPr>
          <w:p>
            <w:pPr>
              <w:jc w:val="center"/>
              <w:rPr>
                <w:rFonts w:ascii="宋体" w:hAnsi="宋体" w:cs="宋体"/>
                <w:color w:val="auto"/>
                <w:szCs w:val="21"/>
              </w:rPr>
            </w:pPr>
            <w:r>
              <w:rPr>
                <w:rFonts w:hint="eastAsia" w:ascii="宋体" w:hAnsi="宋体"/>
                <w:color w:val="auto"/>
                <w:szCs w:val="21"/>
              </w:rPr>
              <w:t>420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17</w:t>
            </w:r>
          </w:p>
        </w:tc>
        <w:tc>
          <w:tcPr>
            <w:tcW w:w="2340" w:type="dxa"/>
            <w:vAlign w:val="center"/>
          </w:tcPr>
          <w:p>
            <w:pPr>
              <w:rPr>
                <w:rFonts w:ascii="宋体" w:hAnsi="宋体" w:cs="宋体"/>
                <w:color w:val="auto"/>
                <w:szCs w:val="21"/>
              </w:rPr>
            </w:pPr>
            <w:r>
              <w:rPr>
                <w:rFonts w:hint="eastAsia" w:ascii="宋体" w:hAnsi="宋体"/>
                <w:color w:val="auto"/>
                <w:szCs w:val="21"/>
              </w:rPr>
              <w:t xml:space="preserve">线管                 </w:t>
            </w:r>
          </w:p>
        </w:tc>
        <w:tc>
          <w:tcPr>
            <w:tcW w:w="4575" w:type="dxa"/>
            <w:vAlign w:val="center"/>
          </w:tcPr>
          <w:p>
            <w:pPr>
              <w:jc w:val="center"/>
              <w:rPr>
                <w:rFonts w:ascii="宋体" w:hAnsi="宋体" w:cs="宋体"/>
                <w:color w:val="auto"/>
                <w:szCs w:val="21"/>
              </w:rPr>
            </w:pPr>
            <w:r>
              <w:rPr>
                <w:rFonts w:hint="eastAsia" w:ascii="宋体" w:hAnsi="宋体"/>
                <w:color w:val="auto"/>
                <w:szCs w:val="21"/>
              </w:rPr>
              <w:t>Φ32</w:t>
            </w:r>
          </w:p>
        </w:tc>
        <w:tc>
          <w:tcPr>
            <w:tcW w:w="855" w:type="dxa"/>
            <w:vAlign w:val="center"/>
          </w:tcPr>
          <w:p>
            <w:pPr>
              <w:jc w:val="center"/>
              <w:rPr>
                <w:rFonts w:ascii="宋体" w:hAnsi="宋体" w:cs="宋体"/>
                <w:color w:val="auto"/>
                <w:szCs w:val="21"/>
              </w:rPr>
            </w:pPr>
            <w:r>
              <w:rPr>
                <w:rFonts w:hint="eastAsia" w:ascii="宋体" w:hAnsi="宋体"/>
                <w:color w:val="auto"/>
                <w:szCs w:val="21"/>
              </w:rPr>
              <w:t>米</w:t>
            </w:r>
          </w:p>
        </w:tc>
        <w:tc>
          <w:tcPr>
            <w:tcW w:w="1215" w:type="dxa"/>
            <w:vAlign w:val="center"/>
          </w:tcPr>
          <w:p>
            <w:pPr>
              <w:jc w:val="center"/>
              <w:rPr>
                <w:rFonts w:ascii="宋体" w:hAnsi="宋体" w:cs="宋体"/>
                <w:color w:val="auto"/>
                <w:szCs w:val="21"/>
              </w:rPr>
            </w:pPr>
            <w:r>
              <w:rPr>
                <w:rFonts w:hint="eastAsia" w:ascii="宋体" w:hAnsi="宋体"/>
                <w:color w:val="auto"/>
                <w:szCs w:val="21"/>
              </w:rPr>
              <w:t>240</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b/>
                <w:bCs/>
                <w:color w:val="auto"/>
                <w:szCs w:val="21"/>
              </w:rPr>
            </w:pPr>
            <w:r>
              <w:rPr>
                <w:rFonts w:hint="eastAsia" w:ascii="宋体" w:hAnsi="宋体"/>
                <w:b/>
                <w:bCs/>
                <w:color w:val="auto"/>
                <w:szCs w:val="21"/>
              </w:rPr>
              <w:t>五</w:t>
            </w:r>
          </w:p>
        </w:tc>
        <w:tc>
          <w:tcPr>
            <w:tcW w:w="2340" w:type="dxa"/>
            <w:vAlign w:val="center"/>
          </w:tcPr>
          <w:p>
            <w:pPr>
              <w:jc w:val="center"/>
              <w:rPr>
                <w:rFonts w:ascii="宋体" w:hAnsi="宋体" w:cs="宋体"/>
                <w:b/>
                <w:bCs/>
                <w:color w:val="auto"/>
                <w:szCs w:val="21"/>
              </w:rPr>
            </w:pPr>
            <w:r>
              <w:rPr>
                <w:rFonts w:hint="eastAsia" w:ascii="宋体" w:hAnsi="宋体"/>
                <w:b/>
                <w:bCs/>
                <w:color w:val="auto"/>
                <w:szCs w:val="21"/>
              </w:rPr>
              <w:t>给排水系统</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jc w:val="center"/>
              <w:rPr>
                <w:rFonts w:ascii="宋体" w:hAnsi="宋体" w:cs="宋体"/>
                <w:color w:val="auto"/>
                <w:szCs w:val="21"/>
              </w:rPr>
            </w:pPr>
            <w:r>
              <w:rPr>
                <w:rFonts w:hint="eastAsia" w:ascii="宋体" w:hAnsi="宋体"/>
                <w:color w:val="auto"/>
                <w:szCs w:val="21"/>
              </w:rPr>
              <w:t>　</w:t>
            </w:r>
          </w:p>
        </w:tc>
        <w:tc>
          <w:tcPr>
            <w:tcW w:w="1245" w:type="dxa"/>
            <w:vAlign w:val="center"/>
          </w:tcPr>
          <w:p>
            <w:pPr>
              <w:jc w:val="cente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w:t>
            </w:r>
          </w:p>
        </w:tc>
        <w:tc>
          <w:tcPr>
            <w:tcW w:w="2340" w:type="dxa"/>
            <w:vAlign w:val="center"/>
          </w:tcPr>
          <w:p>
            <w:pPr>
              <w:rPr>
                <w:rFonts w:ascii="宋体" w:hAnsi="宋体" w:cs="宋体"/>
                <w:color w:val="auto"/>
                <w:szCs w:val="21"/>
              </w:rPr>
            </w:pPr>
            <w:r>
              <w:rPr>
                <w:rFonts w:hint="eastAsia" w:ascii="宋体" w:hAnsi="宋体"/>
                <w:color w:val="auto"/>
                <w:szCs w:val="21"/>
              </w:rPr>
              <w:t>给排水管件及配件</w:t>
            </w:r>
          </w:p>
        </w:tc>
        <w:tc>
          <w:tcPr>
            <w:tcW w:w="4575" w:type="dxa"/>
            <w:vAlign w:val="center"/>
          </w:tcPr>
          <w:p>
            <w:pPr>
              <w:jc w:val="center"/>
              <w:rPr>
                <w:rFonts w:ascii="宋体" w:hAnsi="宋体" w:cs="宋体"/>
                <w:color w:val="auto"/>
                <w:szCs w:val="21"/>
              </w:rPr>
            </w:pPr>
            <w:r>
              <w:rPr>
                <w:rFonts w:hint="eastAsia" w:ascii="宋体" w:hAnsi="宋体"/>
                <w:color w:val="auto"/>
                <w:szCs w:val="21"/>
              </w:rPr>
              <w:t>国产</w:t>
            </w:r>
          </w:p>
        </w:tc>
        <w:tc>
          <w:tcPr>
            <w:tcW w:w="855" w:type="dxa"/>
            <w:vAlign w:val="center"/>
          </w:tcPr>
          <w:p>
            <w:pPr>
              <w:jc w:val="center"/>
              <w:rPr>
                <w:rFonts w:ascii="宋体" w:hAnsi="宋体" w:cs="宋体"/>
                <w:color w:val="auto"/>
                <w:szCs w:val="21"/>
              </w:rPr>
            </w:pPr>
            <w:r>
              <w:rPr>
                <w:rFonts w:hint="eastAsia" w:ascii="宋体" w:hAnsi="宋体"/>
                <w:color w:val="auto"/>
                <w:szCs w:val="21"/>
              </w:rPr>
              <w:t>套</w:t>
            </w:r>
          </w:p>
        </w:tc>
        <w:tc>
          <w:tcPr>
            <w:tcW w:w="1215" w:type="dxa"/>
            <w:vAlign w:val="center"/>
          </w:tcPr>
          <w:p>
            <w:pPr>
              <w:jc w:val="center"/>
              <w:rPr>
                <w:rFonts w:ascii="宋体" w:hAnsi="宋体" w:cs="宋体"/>
                <w:color w:val="auto"/>
                <w:szCs w:val="21"/>
              </w:rPr>
            </w:pPr>
            <w:r>
              <w:rPr>
                <w:rFonts w:hint="eastAsia" w:ascii="宋体" w:hAnsi="宋体"/>
                <w:color w:val="auto"/>
                <w:szCs w:val="21"/>
              </w:rPr>
              <w:t>1</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b/>
                <w:bCs/>
                <w:color w:val="auto"/>
                <w:szCs w:val="21"/>
              </w:rPr>
            </w:pPr>
            <w:r>
              <w:rPr>
                <w:rFonts w:hint="eastAsia" w:ascii="宋体" w:hAnsi="宋体"/>
                <w:b/>
                <w:bCs/>
                <w:color w:val="auto"/>
                <w:szCs w:val="21"/>
              </w:rPr>
              <w:t>六</w:t>
            </w:r>
          </w:p>
        </w:tc>
        <w:tc>
          <w:tcPr>
            <w:tcW w:w="2340" w:type="dxa"/>
            <w:vAlign w:val="center"/>
          </w:tcPr>
          <w:p>
            <w:pPr>
              <w:jc w:val="center"/>
              <w:rPr>
                <w:rFonts w:ascii="宋体" w:hAnsi="宋体" w:cs="宋体"/>
                <w:b/>
                <w:bCs/>
                <w:color w:val="auto"/>
                <w:szCs w:val="21"/>
              </w:rPr>
            </w:pPr>
            <w:r>
              <w:rPr>
                <w:rFonts w:hint="eastAsia" w:ascii="宋体" w:hAnsi="宋体"/>
                <w:b/>
                <w:bCs/>
                <w:color w:val="auto"/>
                <w:szCs w:val="21"/>
              </w:rPr>
              <w:t>其他</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bottom"/>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1</w:t>
            </w:r>
          </w:p>
        </w:tc>
        <w:tc>
          <w:tcPr>
            <w:tcW w:w="2340" w:type="dxa"/>
            <w:vAlign w:val="center"/>
          </w:tcPr>
          <w:p>
            <w:pPr>
              <w:jc w:val="center"/>
              <w:rPr>
                <w:rFonts w:ascii="宋体" w:hAnsi="宋体" w:cs="宋体"/>
                <w:color w:val="auto"/>
                <w:szCs w:val="21"/>
              </w:rPr>
            </w:pPr>
            <w:r>
              <w:rPr>
                <w:rFonts w:hint="eastAsia" w:ascii="宋体" w:hAnsi="宋体"/>
                <w:color w:val="auto"/>
                <w:szCs w:val="21"/>
              </w:rPr>
              <w:t>墙体拆除及清运</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项</w:t>
            </w:r>
          </w:p>
        </w:tc>
        <w:tc>
          <w:tcPr>
            <w:tcW w:w="1215" w:type="dxa"/>
            <w:vAlign w:val="center"/>
          </w:tcPr>
          <w:p>
            <w:pPr>
              <w:jc w:val="center"/>
              <w:rPr>
                <w:rFonts w:ascii="宋体" w:hAnsi="宋体" w:cs="宋体"/>
                <w:color w:val="auto"/>
                <w:szCs w:val="21"/>
              </w:rPr>
            </w:pPr>
            <w:r>
              <w:rPr>
                <w:rFonts w:hint="eastAsia" w:ascii="宋体" w:hAnsi="宋体"/>
                <w:color w:val="auto"/>
                <w:szCs w:val="21"/>
              </w:rPr>
              <w:t>1</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rPr>
                <w:rFonts w:ascii="宋体" w:hAnsi="宋体" w:cs="宋体"/>
                <w:color w:val="auto"/>
                <w:szCs w:val="21"/>
              </w:rPr>
            </w:pPr>
            <w:r>
              <w:rPr>
                <w:rFonts w:hint="eastAsia" w:ascii="宋体" w:hAnsi="宋体"/>
                <w:color w:val="auto"/>
                <w:szCs w:val="21"/>
              </w:rPr>
              <w:t>　</w:t>
            </w:r>
          </w:p>
        </w:tc>
        <w:tc>
          <w:tcPr>
            <w:tcW w:w="1185" w:type="dxa"/>
            <w:vAlign w:val="bottom"/>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　</w:t>
            </w:r>
          </w:p>
        </w:tc>
        <w:tc>
          <w:tcPr>
            <w:tcW w:w="2340" w:type="dxa"/>
            <w:vAlign w:val="center"/>
          </w:tcPr>
          <w:p>
            <w:pPr>
              <w:jc w:val="center"/>
              <w:rPr>
                <w:rFonts w:ascii="宋体" w:hAnsi="宋体" w:cs="宋体"/>
                <w:color w:val="auto"/>
                <w:szCs w:val="21"/>
              </w:rPr>
            </w:pPr>
            <w:r>
              <w:rPr>
                <w:rFonts w:hint="eastAsia" w:ascii="宋体" w:hAnsi="宋体"/>
                <w:color w:val="auto"/>
                <w:szCs w:val="21"/>
              </w:rPr>
              <w:t>合计：</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jc w:val="cente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　</w:t>
            </w:r>
          </w:p>
        </w:tc>
        <w:tc>
          <w:tcPr>
            <w:tcW w:w="2340" w:type="dxa"/>
            <w:vAlign w:val="center"/>
          </w:tcPr>
          <w:p>
            <w:pPr>
              <w:jc w:val="center"/>
              <w:rPr>
                <w:rFonts w:ascii="宋体" w:hAnsi="宋体" w:cs="宋体"/>
                <w:color w:val="auto"/>
                <w:szCs w:val="21"/>
              </w:rPr>
            </w:pPr>
            <w:r>
              <w:rPr>
                <w:rFonts w:hint="eastAsia" w:ascii="宋体" w:hAnsi="宋体"/>
                <w:color w:val="auto"/>
                <w:szCs w:val="21"/>
              </w:rPr>
              <w:t>税金：</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45" w:type="dxa"/>
            <w:vAlign w:val="center"/>
          </w:tcPr>
          <w:p>
            <w:pPr>
              <w:jc w:val="cente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szCs w:val="21"/>
              </w:rPr>
            </w:pPr>
            <w:r>
              <w:rPr>
                <w:rFonts w:hint="eastAsia" w:ascii="宋体" w:hAnsi="宋体"/>
                <w:color w:val="auto"/>
                <w:szCs w:val="21"/>
              </w:rPr>
              <w:t>　</w:t>
            </w:r>
          </w:p>
        </w:tc>
        <w:tc>
          <w:tcPr>
            <w:tcW w:w="2340" w:type="dxa"/>
            <w:vAlign w:val="center"/>
          </w:tcPr>
          <w:p>
            <w:pPr>
              <w:jc w:val="center"/>
              <w:rPr>
                <w:rFonts w:ascii="宋体" w:hAnsi="宋体" w:cs="宋体"/>
                <w:color w:val="auto"/>
                <w:szCs w:val="21"/>
              </w:rPr>
            </w:pPr>
            <w:r>
              <w:rPr>
                <w:rFonts w:hint="eastAsia" w:ascii="宋体" w:hAnsi="宋体"/>
                <w:color w:val="auto"/>
                <w:szCs w:val="21"/>
              </w:rPr>
              <w:t>总计：</w:t>
            </w:r>
          </w:p>
        </w:tc>
        <w:tc>
          <w:tcPr>
            <w:tcW w:w="4575" w:type="dxa"/>
            <w:vAlign w:val="center"/>
          </w:tcPr>
          <w:p>
            <w:pPr>
              <w:jc w:val="center"/>
              <w:rPr>
                <w:rFonts w:ascii="宋体" w:hAnsi="宋体" w:cs="宋体"/>
                <w:color w:val="auto"/>
                <w:szCs w:val="21"/>
              </w:rPr>
            </w:pPr>
            <w:r>
              <w:rPr>
                <w:rFonts w:hint="eastAsia" w:ascii="宋体" w:hAnsi="宋体"/>
                <w:color w:val="auto"/>
                <w:szCs w:val="21"/>
              </w:rPr>
              <w:t>　</w:t>
            </w:r>
          </w:p>
        </w:tc>
        <w:tc>
          <w:tcPr>
            <w:tcW w:w="855" w:type="dxa"/>
            <w:vAlign w:val="center"/>
          </w:tcPr>
          <w:p>
            <w:pPr>
              <w:jc w:val="center"/>
              <w:rPr>
                <w:rFonts w:ascii="宋体" w:hAnsi="宋体" w:cs="宋体"/>
                <w:color w:val="auto"/>
                <w:szCs w:val="21"/>
              </w:rPr>
            </w:pPr>
            <w:r>
              <w:rPr>
                <w:rFonts w:hint="eastAsia" w:ascii="宋体" w:hAnsi="宋体"/>
                <w:color w:val="auto"/>
                <w:szCs w:val="21"/>
              </w:rPr>
              <w:t>　</w:t>
            </w:r>
          </w:p>
        </w:tc>
        <w:tc>
          <w:tcPr>
            <w:tcW w:w="1215" w:type="dxa"/>
            <w:vAlign w:val="center"/>
          </w:tcPr>
          <w:p>
            <w:pPr>
              <w:rPr>
                <w:rFonts w:ascii="宋体" w:hAnsi="宋体" w:cs="宋体"/>
                <w:color w:val="auto"/>
                <w:szCs w:val="21"/>
              </w:rPr>
            </w:pPr>
            <w:r>
              <w:rPr>
                <w:rFonts w:hint="eastAsia" w:ascii="宋体" w:hAnsi="宋体"/>
                <w:color w:val="auto"/>
                <w:szCs w:val="21"/>
              </w:rPr>
              <w:t>　</w:t>
            </w:r>
          </w:p>
        </w:tc>
        <w:tc>
          <w:tcPr>
            <w:tcW w:w="1215" w:type="dxa"/>
            <w:vAlign w:val="center"/>
          </w:tcPr>
          <w:p>
            <w:pPr>
              <w:rPr>
                <w:rFonts w:ascii="宋体" w:hAnsi="宋体" w:cs="宋体"/>
                <w:b/>
                <w:bCs/>
                <w:color w:val="auto"/>
                <w:szCs w:val="21"/>
              </w:rPr>
            </w:pPr>
            <w:r>
              <w:rPr>
                <w:rFonts w:hint="eastAsia" w:ascii="宋体" w:hAnsi="宋体"/>
                <w:b/>
                <w:bCs/>
                <w:color w:val="auto"/>
                <w:szCs w:val="21"/>
              </w:rPr>
              <w:t>　</w:t>
            </w:r>
          </w:p>
        </w:tc>
        <w:tc>
          <w:tcPr>
            <w:tcW w:w="1245" w:type="dxa"/>
            <w:vAlign w:val="bottom"/>
          </w:tcPr>
          <w:p>
            <w:pPr>
              <w:jc w:val="center"/>
              <w:rPr>
                <w:rFonts w:ascii="宋体" w:hAnsi="宋体" w:cs="宋体"/>
                <w:color w:val="auto"/>
                <w:szCs w:val="21"/>
              </w:rPr>
            </w:pPr>
            <w:r>
              <w:rPr>
                <w:rFonts w:hint="eastAsia" w:ascii="宋体" w:hAnsi="宋体"/>
                <w:color w:val="auto"/>
                <w:szCs w:val="21"/>
              </w:rPr>
              <w:t>　</w:t>
            </w:r>
          </w:p>
        </w:tc>
        <w:tc>
          <w:tcPr>
            <w:tcW w:w="1185" w:type="dxa"/>
            <w:vAlign w:val="center"/>
          </w:tcPr>
          <w:p>
            <w:pPr>
              <w:jc w:val="center"/>
              <w:rPr>
                <w:rFonts w:ascii="宋体" w:hAnsi="宋体" w:cs="宋体"/>
                <w:color w:val="auto"/>
                <w:szCs w:val="21"/>
              </w:rPr>
            </w:pPr>
            <w:r>
              <w:rPr>
                <w:rFonts w:hint="eastAsia" w:ascii="宋体" w:hAnsi="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hint="eastAsia" w:ascii="宋体" w:hAnsi="宋体"/>
                <w:b/>
                <w:color w:val="auto"/>
                <w:szCs w:val="21"/>
              </w:rPr>
            </w:pPr>
          </w:p>
        </w:tc>
        <w:tc>
          <w:tcPr>
            <w:tcW w:w="2340" w:type="dxa"/>
          </w:tcPr>
          <w:p>
            <w:pPr>
              <w:jc w:val="left"/>
              <w:rPr>
                <w:rFonts w:hint="eastAsia" w:ascii="宋体" w:hAnsi="宋体"/>
                <w:b/>
                <w:color w:val="auto"/>
                <w:szCs w:val="21"/>
              </w:rPr>
            </w:pPr>
          </w:p>
        </w:tc>
        <w:tc>
          <w:tcPr>
            <w:tcW w:w="4575" w:type="dxa"/>
          </w:tcPr>
          <w:p>
            <w:pPr>
              <w:jc w:val="left"/>
              <w:rPr>
                <w:rFonts w:hint="eastAsia" w:ascii="宋体" w:hAnsi="宋体"/>
                <w:b/>
                <w:color w:val="auto"/>
                <w:szCs w:val="21"/>
              </w:rPr>
            </w:pPr>
          </w:p>
        </w:tc>
        <w:tc>
          <w:tcPr>
            <w:tcW w:w="85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45" w:type="dxa"/>
          </w:tcPr>
          <w:p>
            <w:pPr>
              <w:jc w:val="left"/>
              <w:rPr>
                <w:rFonts w:hint="eastAsia" w:ascii="宋体" w:hAnsi="宋体"/>
                <w:b/>
                <w:color w:val="auto"/>
                <w:szCs w:val="21"/>
              </w:rPr>
            </w:pPr>
          </w:p>
        </w:tc>
        <w:tc>
          <w:tcPr>
            <w:tcW w:w="1185" w:type="dxa"/>
          </w:tcPr>
          <w:p>
            <w:pPr>
              <w:jc w:val="left"/>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hint="eastAsia" w:ascii="宋体" w:hAnsi="宋体"/>
                <w:b/>
                <w:color w:val="auto"/>
                <w:szCs w:val="21"/>
              </w:rPr>
            </w:pPr>
          </w:p>
        </w:tc>
        <w:tc>
          <w:tcPr>
            <w:tcW w:w="2340" w:type="dxa"/>
          </w:tcPr>
          <w:p>
            <w:pPr>
              <w:jc w:val="left"/>
              <w:rPr>
                <w:rFonts w:hint="eastAsia" w:ascii="宋体" w:hAnsi="宋体"/>
                <w:b/>
                <w:color w:val="auto"/>
                <w:szCs w:val="21"/>
              </w:rPr>
            </w:pPr>
          </w:p>
        </w:tc>
        <w:tc>
          <w:tcPr>
            <w:tcW w:w="4575" w:type="dxa"/>
          </w:tcPr>
          <w:p>
            <w:pPr>
              <w:jc w:val="left"/>
              <w:rPr>
                <w:rFonts w:hint="eastAsia" w:ascii="宋体" w:hAnsi="宋体"/>
                <w:b/>
                <w:color w:val="auto"/>
                <w:szCs w:val="21"/>
              </w:rPr>
            </w:pPr>
          </w:p>
        </w:tc>
        <w:tc>
          <w:tcPr>
            <w:tcW w:w="85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45" w:type="dxa"/>
          </w:tcPr>
          <w:p>
            <w:pPr>
              <w:jc w:val="left"/>
              <w:rPr>
                <w:rFonts w:hint="eastAsia" w:ascii="宋体" w:hAnsi="宋体"/>
                <w:b/>
                <w:color w:val="auto"/>
                <w:szCs w:val="21"/>
              </w:rPr>
            </w:pPr>
          </w:p>
        </w:tc>
        <w:tc>
          <w:tcPr>
            <w:tcW w:w="1185" w:type="dxa"/>
          </w:tcPr>
          <w:p>
            <w:pPr>
              <w:jc w:val="left"/>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hint="eastAsia" w:ascii="宋体" w:hAnsi="宋体"/>
                <w:b/>
                <w:color w:val="auto"/>
                <w:szCs w:val="21"/>
              </w:rPr>
            </w:pPr>
          </w:p>
        </w:tc>
        <w:tc>
          <w:tcPr>
            <w:tcW w:w="2340" w:type="dxa"/>
          </w:tcPr>
          <w:p>
            <w:pPr>
              <w:jc w:val="left"/>
              <w:rPr>
                <w:rFonts w:hint="eastAsia" w:ascii="宋体" w:hAnsi="宋体"/>
                <w:b/>
                <w:color w:val="auto"/>
                <w:szCs w:val="21"/>
              </w:rPr>
            </w:pPr>
          </w:p>
        </w:tc>
        <w:tc>
          <w:tcPr>
            <w:tcW w:w="4575" w:type="dxa"/>
          </w:tcPr>
          <w:p>
            <w:pPr>
              <w:jc w:val="left"/>
              <w:rPr>
                <w:rFonts w:hint="eastAsia" w:ascii="宋体" w:hAnsi="宋体"/>
                <w:b/>
                <w:color w:val="auto"/>
                <w:szCs w:val="21"/>
              </w:rPr>
            </w:pPr>
          </w:p>
        </w:tc>
        <w:tc>
          <w:tcPr>
            <w:tcW w:w="85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45" w:type="dxa"/>
          </w:tcPr>
          <w:p>
            <w:pPr>
              <w:jc w:val="left"/>
              <w:rPr>
                <w:rFonts w:hint="eastAsia" w:ascii="宋体" w:hAnsi="宋体"/>
                <w:b/>
                <w:color w:val="auto"/>
                <w:szCs w:val="21"/>
              </w:rPr>
            </w:pPr>
          </w:p>
        </w:tc>
        <w:tc>
          <w:tcPr>
            <w:tcW w:w="1185" w:type="dxa"/>
          </w:tcPr>
          <w:p>
            <w:pPr>
              <w:jc w:val="left"/>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hint="eastAsia" w:ascii="宋体" w:hAnsi="宋体"/>
                <w:b/>
                <w:color w:val="auto"/>
                <w:szCs w:val="21"/>
              </w:rPr>
            </w:pPr>
          </w:p>
        </w:tc>
        <w:tc>
          <w:tcPr>
            <w:tcW w:w="2340" w:type="dxa"/>
          </w:tcPr>
          <w:p>
            <w:pPr>
              <w:jc w:val="left"/>
              <w:rPr>
                <w:rFonts w:hint="eastAsia" w:ascii="宋体" w:hAnsi="宋体"/>
                <w:b/>
                <w:color w:val="auto"/>
                <w:szCs w:val="21"/>
              </w:rPr>
            </w:pPr>
          </w:p>
        </w:tc>
        <w:tc>
          <w:tcPr>
            <w:tcW w:w="4575" w:type="dxa"/>
          </w:tcPr>
          <w:p>
            <w:pPr>
              <w:jc w:val="left"/>
              <w:rPr>
                <w:rFonts w:hint="eastAsia" w:ascii="宋体" w:hAnsi="宋体"/>
                <w:b/>
                <w:color w:val="auto"/>
                <w:szCs w:val="21"/>
              </w:rPr>
            </w:pPr>
          </w:p>
        </w:tc>
        <w:tc>
          <w:tcPr>
            <w:tcW w:w="85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45" w:type="dxa"/>
          </w:tcPr>
          <w:p>
            <w:pPr>
              <w:jc w:val="left"/>
              <w:rPr>
                <w:rFonts w:hint="eastAsia" w:ascii="宋体" w:hAnsi="宋体"/>
                <w:b/>
                <w:color w:val="auto"/>
                <w:szCs w:val="21"/>
              </w:rPr>
            </w:pPr>
          </w:p>
        </w:tc>
        <w:tc>
          <w:tcPr>
            <w:tcW w:w="1185" w:type="dxa"/>
          </w:tcPr>
          <w:p>
            <w:pPr>
              <w:jc w:val="left"/>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hint="eastAsia" w:ascii="宋体" w:hAnsi="宋体"/>
                <w:b/>
                <w:color w:val="auto"/>
                <w:szCs w:val="21"/>
              </w:rPr>
            </w:pPr>
          </w:p>
        </w:tc>
        <w:tc>
          <w:tcPr>
            <w:tcW w:w="2340" w:type="dxa"/>
          </w:tcPr>
          <w:p>
            <w:pPr>
              <w:jc w:val="left"/>
              <w:rPr>
                <w:rFonts w:hint="eastAsia" w:ascii="宋体" w:hAnsi="宋体"/>
                <w:b/>
                <w:color w:val="auto"/>
                <w:szCs w:val="21"/>
              </w:rPr>
            </w:pPr>
          </w:p>
        </w:tc>
        <w:tc>
          <w:tcPr>
            <w:tcW w:w="4575" w:type="dxa"/>
          </w:tcPr>
          <w:p>
            <w:pPr>
              <w:jc w:val="left"/>
              <w:rPr>
                <w:rFonts w:hint="eastAsia" w:ascii="宋体" w:hAnsi="宋体"/>
                <w:b/>
                <w:color w:val="auto"/>
                <w:szCs w:val="21"/>
              </w:rPr>
            </w:pPr>
          </w:p>
        </w:tc>
        <w:tc>
          <w:tcPr>
            <w:tcW w:w="85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45" w:type="dxa"/>
          </w:tcPr>
          <w:p>
            <w:pPr>
              <w:jc w:val="left"/>
              <w:rPr>
                <w:rFonts w:hint="eastAsia" w:ascii="宋体" w:hAnsi="宋体"/>
                <w:b/>
                <w:color w:val="auto"/>
                <w:szCs w:val="21"/>
              </w:rPr>
            </w:pPr>
          </w:p>
        </w:tc>
        <w:tc>
          <w:tcPr>
            <w:tcW w:w="1185" w:type="dxa"/>
          </w:tcPr>
          <w:p>
            <w:pPr>
              <w:jc w:val="left"/>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hint="eastAsia" w:ascii="宋体" w:hAnsi="宋体"/>
                <w:b/>
                <w:color w:val="auto"/>
                <w:szCs w:val="21"/>
              </w:rPr>
            </w:pPr>
          </w:p>
        </w:tc>
        <w:tc>
          <w:tcPr>
            <w:tcW w:w="2340" w:type="dxa"/>
          </w:tcPr>
          <w:p>
            <w:pPr>
              <w:jc w:val="left"/>
              <w:rPr>
                <w:rFonts w:hint="eastAsia" w:ascii="宋体" w:hAnsi="宋体"/>
                <w:b/>
                <w:color w:val="auto"/>
                <w:szCs w:val="21"/>
              </w:rPr>
            </w:pPr>
          </w:p>
        </w:tc>
        <w:tc>
          <w:tcPr>
            <w:tcW w:w="4575" w:type="dxa"/>
          </w:tcPr>
          <w:p>
            <w:pPr>
              <w:jc w:val="left"/>
              <w:rPr>
                <w:rFonts w:hint="eastAsia" w:ascii="宋体" w:hAnsi="宋体"/>
                <w:b/>
                <w:color w:val="auto"/>
                <w:szCs w:val="21"/>
              </w:rPr>
            </w:pPr>
          </w:p>
        </w:tc>
        <w:tc>
          <w:tcPr>
            <w:tcW w:w="85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45" w:type="dxa"/>
          </w:tcPr>
          <w:p>
            <w:pPr>
              <w:jc w:val="left"/>
              <w:rPr>
                <w:rFonts w:hint="eastAsia" w:ascii="宋体" w:hAnsi="宋体"/>
                <w:b/>
                <w:color w:val="auto"/>
                <w:szCs w:val="21"/>
              </w:rPr>
            </w:pPr>
          </w:p>
        </w:tc>
        <w:tc>
          <w:tcPr>
            <w:tcW w:w="1185" w:type="dxa"/>
          </w:tcPr>
          <w:p>
            <w:pPr>
              <w:jc w:val="left"/>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hint="eastAsia" w:ascii="宋体" w:hAnsi="宋体"/>
                <w:b/>
                <w:color w:val="auto"/>
                <w:szCs w:val="21"/>
              </w:rPr>
            </w:pPr>
          </w:p>
        </w:tc>
        <w:tc>
          <w:tcPr>
            <w:tcW w:w="2340" w:type="dxa"/>
          </w:tcPr>
          <w:p>
            <w:pPr>
              <w:jc w:val="left"/>
              <w:rPr>
                <w:rFonts w:hint="eastAsia" w:ascii="宋体" w:hAnsi="宋体"/>
                <w:b/>
                <w:color w:val="auto"/>
                <w:szCs w:val="21"/>
              </w:rPr>
            </w:pPr>
          </w:p>
        </w:tc>
        <w:tc>
          <w:tcPr>
            <w:tcW w:w="4575" w:type="dxa"/>
          </w:tcPr>
          <w:p>
            <w:pPr>
              <w:jc w:val="left"/>
              <w:rPr>
                <w:rFonts w:hint="eastAsia" w:ascii="宋体" w:hAnsi="宋体"/>
                <w:b/>
                <w:color w:val="auto"/>
                <w:szCs w:val="21"/>
              </w:rPr>
            </w:pPr>
          </w:p>
        </w:tc>
        <w:tc>
          <w:tcPr>
            <w:tcW w:w="85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45" w:type="dxa"/>
          </w:tcPr>
          <w:p>
            <w:pPr>
              <w:jc w:val="left"/>
              <w:rPr>
                <w:rFonts w:hint="eastAsia" w:ascii="宋体" w:hAnsi="宋体"/>
                <w:b/>
                <w:color w:val="auto"/>
                <w:szCs w:val="21"/>
              </w:rPr>
            </w:pPr>
          </w:p>
        </w:tc>
        <w:tc>
          <w:tcPr>
            <w:tcW w:w="1185" w:type="dxa"/>
          </w:tcPr>
          <w:p>
            <w:pPr>
              <w:jc w:val="left"/>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hint="eastAsia" w:ascii="宋体" w:hAnsi="宋体"/>
                <w:b/>
                <w:color w:val="auto"/>
                <w:szCs w:val="21"/>
              </w:rPr>
            </w:pPr>
          </w:p>
        </w:tc>
        <w:tc>
          <w:tcPr>
            <w:tcW w:w="2340" w:type="dxa"/>
          </w:tcPr>
          <w:p>
            <w:pPr>
              <w:jc w:val="left"/>
              <w:rPr>
                <w:rFonts w:hint="eastAsia" w:ascii="宋体" w:hAnsi="宋体"/>
                <w:b/>
                <w:color w:val="auto"/>
                <w:szCs w:val="21"/>
              </w:rPr>
            </w:pPr>
          </w:p>
        </w:tc>
        <w:tc>
          <w:tcPr>
            <w:tcW w:w="4575" w:type="dxa"/>
          </w:tcPr>
          <w:p>
            <w:pPr>
              <w:jc w:val="left"/>
              <w:rPr>
                <w:rFonts w:hint="eastAsia" w:ascii="宋体" w:hAnsi="宋体"/>
                <w:b/>
                <w:color w:val="auto"/>
                <w:szCs w:val="21"/>
              </w:rPr>
            </w:pPr>
          </w:p>
        </w:tc>
        <w:tc>
          <w:tcPr>
            <w:tcW w:w="85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45" w:type="dxa"/>
          </w:tcPr>
          <w:p>
            <w:pPr>
              <w:jc w:val="left"/>
              <w:rPr>
                <w:rFonts w:hint="eastAsia" w:ascii="宋体" w:hAnsi="宋体"/>
                <w:b/>
                <w:color w:val="auto"/>
                <w:szCs w:val="21"/>
              </w:rPr>
            </w:pPr>
          </w:p>
        </w:tc>
        <w:tc>
          <w:tcPr>
            <w:tcW w:w="1185" w:type="dxa"/>
          </w:tcPr>
          <w:p>
            <w:pPr>
              <w:jc w:val="left"/>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hint="eastAsia" w:ascii="宋体" w:hAnsi="宋体"/>
                <w:b/>
                <w:color w:val="auto"/>
                <w:szCs w:val="21"/>
              </w:rPr>
            </w:pPr>
          </w:p>
        </w:tc>
        <w:tc>
          <w:tcPr>
            <w:tcW w:w="2340" w:type="dxa"/>
          </w:tcPr>
          <w:p>
            <w:pPr>
              <w:jc w:val="left"/>
              <w:rPr>
                <w:rFonts w:hint="eastAsia" w:ascii="宋体" w:hAnsi="宋体"/>
                <w:b/>
                <w:color w:val="auto"/>
                <w:szCs w:val="21"/>
              </w:rPr>
            </w:pPr>
          </w:p>
        </w:tc>
        <w:tc>
          <w:tcPr>
            <w:tcW w:w="4575" w:type="dxa"/>
          </w:tcPr>
          <w:p>
            <w:pPr>
              <w:jc w:val="left"/>
              <w:rPr>
                <w:rFonts w:hint="eastAsia" w:ascii="宋体" w:hAnsi="宋体"/>
                <w:b/>
                <w:color w:val="auto"/>
                <w:szCs w:val="21"/>
              </w:rPr>
            </w:pPr>
          </w:p>
        </w:tc>
        <w:tc>
          <w:tcPr>
            <w:tcW w:w="85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45" w:type="dxa"/>
          </w:tcPr>
          <w:p>
            <w:pPr>
              <w:jc w:val="left"/>
              <w:rPr>
                <w:rFonts w:hint="eastAsia" w:ascii="宋体" w:hAnsi="宋体"/>
                <w:b/>
                <w:color w:val="auto"/>
                <w:szCs w:val="21"/>
              </w:rPr>
            </w:pPr>
          </w:p>
        </w:tc>
        <w:tc>
          <w:tcPr>
            <w:tcW w:w="1185" w:type="dxa"/>
          </w:tcPr>
          <w:p>
            <w:pPr>
              <w:jc w:val="left"/>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hint="eastAsia" w:ascii="宋体" w:hAnsi="宋体"/>
                <w:b/>
                <w:color w:val="auto"/>
                <w:szCs w:val="21"/>
              </w:rPr>
            </w:pPr>
          </w:p>
        </w:tc>
        <w:tc>
          <w:tcPr>
            <w:tcW w:w="2340" w:type="dxa"/>
          </w:tcPr>
          <w:p>
            <w:pPr>
              <w:jc w:val="left"/>
              <w:rPr>
                <w:rFonts w:hint="eastAsia" w:ascii="宋体" w:hAnsi="宋体"/>
                <w:b/>
                <w:color w:val="auto"/>
                <w:szCs w:val="21"/>
              </w:rPr>
            </w:pPr>
          </w:p>
        </w:tc>
        <w:tc>
          <w:tcPr>
            <w:tcW w:w="4575" w:type="dxa"/>
          </w:tcPr>
          <w:p>
            <w:pPr>
              <w:jc w:val="left"/>
              <w:rPr>
                <w:rFonts w:hint="eastAsia" w:ascii="宋体" w:hAnsi="宋体"/>
                <w:b/>
                <w:color w:val="auto"/>
                <w:szCs w:val="21"/>
              </w:rPr>
            </w:pPr>
          </w:p>
        </w:tc>
        <w:tc>
          <w:tcPr>
            <w:tcW w:w="85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45" w:type="dxa"/>
          </w:tcPr>
          <w:p>
            <w:pPr>
              <w:jc w:val="left"/>
              <w:rPr>
                <w:rFonts w:hint="eastAsia" w:ascii="宋体" w:hAnsi="宋体"/>
                <w:b/>
                <w:color w:val="auto"/>
                <w:szCs w:val="21"/>
              </w:rPr>
            </w:pPr>
          </w:p>
        </w:tc>
        <w:tc>
          <w:tcPr>
            <w:tcW w:w="1185" w:type="dxa"/>
          </w:tcPr>
          <w:p>
            <w:pPr>
              <w:jc w:val="left"/>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rFonts w:hint="eastAsia" w:ascii="宋体" w:hAnsi="宋体"/>
                <w:b/>
                <w:color w:val="auto"/>
                <w:szCs w:val="21"/>
              </w:rPr>
            </w:pPr>
          </w:p>
        </w:tc>
        <w:tc>
          <w:tcPr>
            <w:tcW w:w="2340" w:type="dxa"/>
          </w:tcPr>
          <w:p>
            <w:pPr>
              <w:jc w:val="left"/>
              <w:rPr>
                <w:rFonts w:hint="eastAsia" w:ascii="宋体" w:hAnsi="宋体"/>
                <w:b/>
                <w:color w:val="auto"/>
                <w:szCs w:val="21"/>
              </w:rPr>
            </w:pPr>
          </w:p>
        </w:tc>
        <w:tc>
          <w:tcPr>
            <w:tcW w:w="4575" w:type="dxa"/>
          </w:tcPr>
          <w:p>
            <w:pPr>
              <w:jc w:val="left"/>
              <w:rPr>
                <w:rFonts w:hint="eastAsia" w:ascii="宋体" w:hAnsi="宋体"/>
                <w:b/>
                <w:color w:val="auto"/>
                <w:szCs w:val="21"/>
              </w:rPr>
            </w:pPr>
          </w:p>
        </w:tc>
        <w:tc>
          <w:tcPr>
            <w:tcW w:w="85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15" w:type="dxa"/>
          </w:tcPr>
          <w:p>
            <w:pPr>
              <w:jc w:val="left"/>
              <w:rPr>
                <w:rFonts w:hint="eastAsia" w:ascii="宋体" w:hAnsi="宋体"/>
                <w:b/>
                <w:color w:val="auto"/>
                <w:szCs w:val="21"/>
              </w:rPr>
            </w:pPr>
          </w:p>
        </w:tc>
        <w:tc>
          <w:tcPr>
            <w:tcW w:w="1245" w:type="dxa"/>
          </w:tcPr>
          <w:p>
            <w:pPr>
              <w:jc w:val="left"/>
              <w:rPr>
                <w:rFonts w:hint="eastAsia" w:ascii="宋体" w:hAnsi="宋体"/>
                <w:b/>
                <w:color w:val="auto"/>
                <w:szCs w:val="21"/>
              </w:rPr>
            </w:pPr>
          </w:p>
        </w:tc>
        <w:tc>
          <w:tcPr>
            <w:tcW w:w="1185" w:type="dxa"/>
          </w:tcPr>
          <w:p>
            <w:pPr>
              <w:jc w:val="left"/>
              <w:rPr>
                <w:rFonts w:hint="eastAsia" w:ascii="宋体" w:hAnsi="宋体"/>
                <w:b/>
                <w:color w:val="auto"/>
                <w:szCs w:val="21"/>
              </w:rPr>
            </w:pPr>
          </w:p>
        </w:tc>
      </w:tr>
    </w:tbl>
    <w:p>
      <w:pPr>
        <w:jc w:val="left"/>
        <w:rPr>
          <w:rFonts w:hint="eastAsia"/>
          <w:b/>
          <w:color w:val="auto"/>
          <w:szCs w:val="30"/>
        </w:rPr>
      </w:pPr>
    </w:p>
    <w:p>
      <w:pPr>
        <w:jc w:val="left"/>
        <w:rPr>
          <w:rFonts w:hint="eastAsia"/>
          <w:b/>
          <w:color w:val="auto"/>
          <w:szCs w:val="30"/>
        </w:rPr>
      </w:pPr>
    </w:p>
    <w:p>
      <w:pPr>
        <w:rPr>
          <w:rFonts w:hint="eastAsia" w:ascii="仿宋" w:hAnsi="仿宋" w:eastAsia="仿宋" w:cs="仿宋"/>
          <w:color w:val="auto"/>
          <w:sz w:val="28"/>
        </w:rPr>
      </w:pPr>
      <w:r>
        <w:rPr>
          <w:rFonts w:hint="eastAsia" w:ascii="仿宋" w:hAnsi="仿宋" w:eastAsia="仿宋" w:cs="仿宋"/>
          <w:color w:val="auto"/>
          <w:sz w:val="28"/>
        </w:rPr>
        <w:br w:type="page"/>
      </w:r>
    </w:p>
    <w:p>
      <w:pPr>
        <w:ind w:right="10" w:firstLine="560"/>
        <w:jc w:val="right"/>
        <w:rPr>
          <w:rFonts w:hint="eastAsia" w:ascii="仿宋" w:hAnsi="仿宋" w:eastAsia="仿宋" w:cs="仿宋"/>
          <w:color w:val="auto"/>
          <w:sz w:val="24"/>
          <w:lang w:val="en-US" w:eastAsia="zh-CN"/>
        </w:rPr>
      </w:pPr>
      <w:r>
        <w:rPr>
          <w:rFonts w:hint="eastAsia" w:ascii="仿宋" w:hAnsi="仿宋" w:eastAsia="仿宋" w:cs="仿宋"/>
          <w:color w:val="auto"/>
          <w:sz w:val="28"/>
        </w:rPr>
        <w:t>附件十</w:t>
      </w:r>
      <w:r>
        <w:rPr>
          <w:rFonts w:hint="eastAsia" w:ascii="仿宋" w:hAnsi="仿宋" w:eastAsia="仿宋" w:cs="仿宋"/>
          <w:color w:val="auto"/>
          <w:sz w:val="28"/>
          <w:lang w:val="en-US" w:eastAsia="zh-CN"/>
        </w:rPr>
        <w:t>二</w:t>
      </w:r>
    </w:p>
    <w:p>
      <w:pPr>
        <w:spacing w:line="360" w:lineRule="atLeast"/>
        <w:jc w:val="center"/>
        <w:rPr>
          <w:rFonts w:hint="eastAsia" w:ascii="仿宋" w:hAnsi="仿宋" w:eastAsia="仿宋" w:cs="仿宋"/>
          <w:b/>
          <w:color w:val="auto"/>
          <w:sz w:val="36"/>
        </w:rPr>
      </w:pPr>
      <w:r>
        <w:rPr>
          <w:rFonts w:hint="eastAsia" w:ascii="仿宋" w:hAnsi="仿宋" w:eastAsia="仿宋" w:cs="仿宋"/>
          <w:b/>
          <w:color w:val="auto"/>
          <w:sz w:val="36"/>
        </w:rPr>
        <w:t>投标产品近三年相同产品销售业绩表</w:t>
      </w:r>
    </w:p>
    <w:p>
      <w:pPr>
        <w:spacing w:line="360" w:lineRule="atLeast"/>
        <w:ind w:firstLine="560"/>
        <w:rPr>
          <w:rFonts w:hint="eastAsia" w:ascii="仿宋" w:hAnsi="仿宋" w:eastAsia="仿宋" w:cs="仿宋"/>
          <w:color w:val="auto"/>
          <w:sz w:val="28"/>
        </w:rPr>
      </w:pPr>
      <w:r>
        <w:rPr>
          <w:rFonts w:hint="eastAsia" w:ascii="仿宋" w:hAnsi="仿宋" w:eastAsia="仿宋" w:cs="仿宋"/>
          <w:color w:val="000000" w:themeColor="text1"/>
          <w:sz w:val="28"/>
          <w:lang w:val="en-US" w:eastAsia="zh-CN"/>
          <w14:textFill>
            <w14:solidFill>
              <w14:schemeClr w14:val="tx1"/>
            </w14:solidFill>
          </w14:textFill>
        </w:rPr>
        <w:t>项目</w:t>
      </w:r>
      <w:r>
        <w:rPr>
          <w:rFonts w:hint="eastAsia" w:ascii="仿宋" w:hAnsi="仿宋" w:eastAsia="仿宋" w:cs="仿宋"/>
          <w:color w:val="000000" w:themeColor="text1"/>
          <w:sz w:val="28"/>
          <w14:textFill>
            <w14:solidFill>
              <w14:schemeClr w14:val="tx1"/>
            </w14:solidFill>
          </w14:textFill>
        </w:rPr>
        <w:t>编号：</w:t>
      </w:r>
      <w:r>
        <w:rPr>
          <w:rFonts w:hint="eastAsia" w:ascii="仿宋" w:hAnsi="仿宋" w:eastAsia="仿宋" w:cs="仿宋"/>
          <w:color w:val="000000" w:themeColor="text1"/>
          <w:sz w:val="28"/>
          <w:lang w:val="en-US" w:eastAsia="zh-CN"/>
          <w14:textFill>
            <w14:solidFill>
              <w14:schemeClr w14:val="tx1"/>
            </w14:solidFill>
          </w14:textFill>
        </w:rPr>
        <w:t xml:space="preserve"> </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rPr>
        <w:t xml:space="preserve">                                     年     月    日</w:t>
      </w:r>
    </w:p>
    <w:tbl>
      <w:tblPr>
        <w:tblStyle w:val="20"/>
        <w:tblW w:w="0" w:type="auto"/>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8"/>
              </w:rPr>
            </w:pPr>
            <w:r>
              <w:rPr>
                <w:rFonts w:hint="eastAsia" w:ascii="仿宋" w:hAnsi="仿宋" w:eastAsia="仿宋" w:cs="仿宋"/>
                <w:color w:val="auto"/>
                <w:sz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8"/>
              </w:rPr>
            </w:pPr>
            <w:r>
              <w:rPr>
                <w:rFonts w:hint="eastAsia" w:ascii="仿宋" w:hAnsi="仿宋" w:eastAsia="仿宋" w:cs="仿宋"/>
                <w:color w:val="auto"/>
                <w:sz w:val="28"/>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8"/>
              </w:rPr>
            </w:pPr>
            <w:r>
              <w:rPr>
                <w:rFonts w:hint="eastAsia" w:ascii="仿宋" w:hAnsi="仿宋" w:eastAsia="仿宋" w:cs="仿宋"/>
                <w:color w:val="auto"/>
                <w:sz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8"/>
              </w:rPr>
            </w:pPr>
            <w:r>
              <w:rPr>
                <w:rFonts w:hint="eastAsia" w:ascii="仿宋" w:hAnsi="仿宋" w:eastAsia="仿宋" w:cs="仿宋"/>
                <w:color w:val="auto"/>
                <w:sz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8"/>
              </w:rPr>
            </w:pPr>
            <w:r>
              <w:rPr>
                <w:rFonts w:hint="eastAsia" w:ascii="仿宋" w:hAnsi="仿宋" w:eastAsia="仿宋" w:cs="仿宋"/>
                <w:color w:val="auto"/>
                <w:sz w:val="28"/>
              </w:rPr>
              <w:t>备 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color w:val="auto"/>
              </w:rPr>
            </w:pPr>
          </w:p>
        </w:tc>
      </w:tr>
    </w:tbl>
    <w:p>
      <w:pPr>
        <w:spacing w:line="520" w:lineRule="exact"/>
        <w:ind w:firstLine="138" w:firstLineChars="49"/>
        <w:rPr>
          <w:rFonts w:hint="eastAsia" w:ascii="仿宋" w:hAnsi="仿宋" w:eastAsia="仿宋" w:cs="仿宋"/>
          <w:b/>
          <w:color w:val="auto"/>
          <w:sz w:val="28"/>
          <w:szCs w:val="28"/>
        </w:rPr>
      </w:pPr>
      <w:r>
        <w:rPr>
          <w:rFonts w:hint="eastAsia" w:ascii="仿宋" w:hAnsi="仿宋" w:eastAsia="仿宋" w:cs="仿宋"/>
          <w:b/>
          <w:color w:val="auto"/>
          <w:sz w:val="28"/>
          <w:szCs w:val="28"/>
        </w:rPr>
        <w:t>注：供应商应随此表附上相关的业绩证明（如中标通知书、合同、顾客意见反馈表等的复印件）。</w:t>
      </w:r>
    </w:p>
    <w:p>
      <w:pPr>
        <w:spacing w:line="520" w:lineRule="exact"/>
        <w:ind w:firstLine="138" w:firstLineChars="49"/>
        <w:rPr>
          <w:rFonts w:hint="eastAsia" w:ascii="仿宋" w:hAnsi="仿宋" w:eastAsia="仿宋" w:cs="仿宋"/>
          <w:b/>
          <w:color w:val="auto"/>
          <w:sz w:val="28"/>
          <w:szCs w:val="28"/>
        </w:rPr>
      </w:pPr>
    </w:p>
    <w:p>
      <w:pPr>
        <w:ind w:firstLine="560"/>
        <w:rPr>
          <w:rFonts w:hint="eastAsia" w:ascii="仿宋" w:hAnsi="仿宋" w:eastAsia="仿宋" w:cs="仿宋"/>
          <w:color w:val="auto"/>
        </w:rPr>
      </w:pPr>
      <w:r>
        <w:rPr>
          <w:rFonts w:hint="eastAsia" w:ascii="仿宋" w:hAnsi="仿宋" w:eastAsia="仿宋" w:cs="仿宋"/>
          <w:color w:val="auto"/>
          <w:sz w:val="28"/>
        </w:rPr>
        <w:t>投标单位授权代表人签字：                                                  投标单位公章：</w:t>
      </w:r>
    </w:p>
    <w:p>
      <w:pPr>
        <w:rPr>
          <w:rFonts w:hint="eastAsia" w:ascii="仿宋" w:hAnsi="仿宋" w:eastAsia="仿宋" w:cs="仿宋"/>
          <w:color w:val="auto"/>
        </w:rPr>
      </w:pPr>
    </w:p>
    <w:p>
      <w:pPr>
        <w:rPr>
          <w:rFonts w:hint="eastAsia" w:ascii="仿宋" w:hAnsi="仿宋" w:eastAsia="仿宋" w:cs="仿宋"/>
          <w:color w:val="auto"/>
        </w:rPr>
      </w:pPr>
    </w:p>
    <w:sectPr>
      <w:headerReference r:id="rId11" w:type="default"/>
      <w:footerReference r:id="rId12" w:type="default"/>
      <w:pgSz w:w="16838" w:h="11906" w:orient="landscape"/>
      <w:pgMar w:top="1077" w:right="1440" w:bottom="107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ylfaen">
    <w:panose1 w:val="010A0502050306030303"/>
    <w:charset w:val="00"/>
    <w:family w:val="roman"/>
    <w:pitch w:val="default"/>
    <w:sig w:usb0="04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pPr>
    <w:r>
      <w:rPr>
        <w:rStyle w:val="33"/>
        <w:rFonts w:hint="eastAsia"/>
      </w:rPr>
      <w:t>电话：</w:t>
    </w:r>
    <w:r>
      <w:rPr>
        <w:rStyle w:val="33"/>
        <w:rFonts w:hint="eastAsia" w:eastAsia="仿宋_GB2312"/>
        <w:lang w:eastAsia="zh-CN"/>
      </w:rPr>
      <w:t>13579838462</w:t>
    </w:r>
    <w:r>
      <w:rPr>
        <w:rStyle w:val="33"/>
        <w:rFonts w:hint="eastAsia"/>
      </w:rPr>
      <w:t xml:space="preserve">    传真：0991-8852</w:t>
    </w:r>
    <w:r>
      <w:rPr>
        <w:rStyle w:val="33"/>
      </w:rPr>
      <w:t>5</w:t>
    </w:r>
    <w:r>
      <w:rPr>
        <w:rStyle w:val="33"/>
        <w:rFonts w:hint="eastAsia"/>
      </w:rPr>
      <w:t>30                          新疆新之建工程咨询有限公司编制</w: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pPr>
    <w:r>
      <w:rPr>
        <w:rStyle w:val="33"/>
        <w:rFonts w:hint="eastAsia"/>
      </w:rPr>
      <w:t>电话：0991-8852519    传真：0991-8852</w:t>
    </w:r>
    <w:r>
      <w:rPr>
        <w:rStyle w:val="33"/>
      </w:rPr>
      <w:t>5</w:t>
    </w:r>
    <w:r>
      <w:rPr>
        <w:rStyle w:val="33"/>
        <w:rFonts w:hint="eastAsia"/>
      </w:rPr>
      <w:t xml:space="preserve">30           </w:t>
    </w:r>
    <w:r>
      <w:rPr>
        <w:rStyle w:val="33"/>
        <w:rFonts w:hint="eastAsia" w:eastAsia="仿宋_GB2312"/>
        <w:lang w:val="en-US" w:eastAsia="zh-CN"/>
      </w:rPr>
      <w:t xml:space="preserve">                    </w:t>
    </w:r>
    <w:r>
      <w:rPr>
        <w:rStyle w:val="33"/>
        <w:rFonts w:hint="eastAsia"/>
      </w:rPr>
      <w:t xml:space="preserve">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3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105</w:t>
                    </w:r>
                    <w:r>
                      <w:rPr>
                        <w:rFonts w:hint="eastAsia"/>
                        <w:lang w:eastAsia="zh-CN"/>
                      </w:rPr>
                      <w:fldChar w:fldCharType="end"/>
                    </w:r>
                  </w:p>
                </w:txbxContent>
              </v:textbox>
            </v:shape>
          </w:pict>
        </mc:Fallback>
      </mc:AlternateContent>
    </w:r>
    <w:r>
      <w:rPr>
        <w:rStyle w:val="33"/>
        <w:rFonts w:hint="eastAsia"/>
      </w:rPr>
      <w:t>电话：0991-8852519    传真：0991-8852</w:t>
    </w:r>
    <w:r>
      <w:rPr>
        <w:rStyle w:val="33"/>
      </w:rPr>
      <w:t>5</w:t>
    </w:r>
    <w:r>
      <w:rPr>
        <w:rStyle w:val="33"/>
        <w:rFonts w:hint="eastAsia"/>
      </w:rPr>
      <w:t xml:space="preserve">30           </w:t>
    </w:r>
    <w:r>
      <w:rPr>
        <w:rStyle w:val="33"/>
        <w:rFonts w:hint="eastAsia" w:eastAsia="仿宋_GB2312"/>
        <w:lang w:val="en-US" w:eastAsia="zh-CN"/>
      </w:rPr>
      <w:t xml:space="preserve">                    </w:t>
    </w:r>
    <w:r>
      <w:rPr>
        <w:rStyle w:val="33"/>
        <w:rFonts w:hint="eastAsia"/>
      </w:rPr>
      <w:t xml:space="preserve">    新疆新之建工程咨询有限公司编制</w: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both"/>
      <w:rPr>
        <w:rStyle w:val="33"/>
      </w:rPr>
    </w:pPr>
    <w:r>
      <w:rPr>
        <w:rStyle w:val="33"/>
        <w:rFonts w:hint="eastAsia"/>
      </w:rPr>
      <w:t>电话：0991-8852519    传真：0991-8852</w:t>
    </w:r>
    <w:r>
      <w:rPr>
        <w:rStyle w:val="33"/>
      </w:rPr>
      <w:t>5</w:t>
    </w:r>
    <w:r>
      <w:rPr>
        <w:rStyle w:val="33"/>
        <w:rFonts w:hint="eastAsia"/>
      </w:rPr>
      <w:t xml:space="preserve">30           </w:t>
    </w:r>
    <w:r>
      <w:rPr>
        <w:rStyle w:val="33"/>
        <w:rFonts w:hint="eastAsia" w:eastAsia="仿宋_GB2312"/>
        <w:lang w:val="en-US" w:eastAsia="zh-CN"/>
      </w:rPr>
      <w:t xml:space="preserve">                    </w:t>
    </w:r>
    <w:r>
      <w:rPr>
        <w:rStyle w:val="33"/>
        <w:rFonts w:hint="eastAsia"/>
      </w:rPr>
      <w:t xml:space="preserve">    新疆新之建工程咨询有限公司编制</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33"/>
      </w:rPr>
    </w:pPr>
    <w:r>
      <w:rPr>
        <w:rStyle w:val="33"/>
        <w:rFonts w:hint="eastAsia"/>
      </w:rPr>
      <w:t>电话：0991-8852519    传真：0991-8852</w:t>
    </w:r>
    <w:r>
      <w:rPr>
        <w:rStyle w:val="33"/>
      </w:rPr>
      <w:t>5</w:t>
    </w:r>
    <w:r>
      <w:rPr>
        <w:rStyle w:val="33"/>
        <w:rFonts w:hint="eastAsia"/>
      </w:rPr>
      <w:t xml:space="preserve">30           </w:t>
    </w:r>
    <w:r>
      <w:rPr>
        <w:rStyle w:val="33"/>
        <w:rFonts w:hint="eastAsia" w:eastAsia="仿宋_GB2312"/>
        <w:lang w:val="en-US" w:eastAsia="zh-CN"/>
      </w:rPr>
      <w:t xml:space="preserve">                                                                    </w:t>
    </w:r>
    <w:r>
      <w:rPr>
        <w:rStyle w:val="33"/>
        <w:rFonts w:hint="eastAsia"/>
      </w:rPr>
      <w:t xml:space="preserve">    新疆新之建工程咨询有限公司编制</w: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Fonts w:hint="eastAsia" w:eastAsia="仿宋"/>
        <w:lang w:eastAsia="zh-CN"/>
      </w:rPr>
    </w:pPr>
    <w:r>
      <w:rPr>
        <w:rFonts w:hint="eastAsia" w:ascii="仿宋" w:hAnsi="仿宋" w:eastAsia="仿宋" w:cs="仿宋"/>
        <w:b/>
        <w:i/>
        <w:sz w:val="18"/>
        <w:szCs w:val="18"/>
        <w:lang w:eastAsia="zh-CN"/>
      </w:rPr>
      <w:t>昌吉市中医院综合项目</w:t>
    </w:r>
    <w:r>
      <w:rPr>
        <w:rFonts w:hint="eastAsia" w:ascii="仿宋" w:hAnsi="仿宋" w:eastAsia="仿宋" w:cs="仿宋"/>
        <w:b/>
        <w:i/>
        <w:sz w:val="18"/>
        <w:szCs w:val="18"/>
      </w:rPr>
      <w:t xml:space="preserve">       </w:t>
    </w:r>
    <w:r>
      <w:rPr>
        <w:rFonts w:hint="eastAsia" w:ascii="仿宋" w:hAnsi="仿宋" w:eastAsia="仿宋" w:cs="仿宋"/>
        <w:b/>
        <w:i/>
        <w:sz w:val="18"/>
        <w:szCs w:val="18"/>
        <w:lang w:val="en-US" w:eastAsia="zh-CN"/>
      </w:rPr>
      <w:t xml:space="preserve">                </w:t>
    </w:r>
    <w:r>
      <w:rPr>
        <w:rFonts w:hint="eastAsia" w:ascii="仿宋" w:hAnsi="仿宋" w:eastAsia="仿宋" w:cs="仿宋"/>
        <w:b/>
        <w:i/>
        <w:sz w:val="18"/>
        <w:szCs w:val="18"/>
      </w:rPr>
      <w:t>编号：</w:t>
    </w:r>
    <w:r>
      <w:rPr>
        <w:rFonts w:hint="eastAsia" w:ascii="仿宋" w:hAnsi="仿宋" w:eastAsia="仿宋" w:cs="仿宋"/>
        <w:b/>
        <w:i/>
        <w:sz w:val="18"/>
        <w:szCs w:val="18"/>
        <w:lang w:eastAsia="zh-CN"/>
      </w:rPr>
      <w:t>2041xzjk034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33"/>
        <w:szCs w:val="18"/>
      </w:rPr>
    </w:pPr>
    <w:r>
      <w:rPr>
        <w:rFonts w:hint="eastAsia" w:ascii="仿宋_GB2312" w:eastAsia="仿宋_GB2312"/>
        <w:b/>
        <w:i/>
        <w:sz w:val="18"/>
        <w:szCs w:val="18"/>
        <w:lang w:eastAsia="zh-CN"/>
      </w:rPr>
      <w:t>昌吉市中医院综合项目</w:t>
    </w:r>
    <w:r>
      <w:rPr>
        <w:rFonts w:hint="eastAsia" w:ascii="仿宋_GB2312" w:eastAsia="仿宋_GB2312"/>
        <w:b/>
        <w:i/>
        <w:sz w:val="18"/>
        <w:szCs w:val="18"/>
      </w:rPr>
      <w:t xml:space="preserve">    </w:t>
    </w:r>
    <w:r>
      <w:rPr>
        <w:rFonts w:ascii="仿宋_GB2312" w:eastAsia="仿宋_GB2312"/>
        <w:b/>
        <w:i/>
        <w:sz w:val="18"/>
        <w:szCs w:val="18"/>
      </w:rPr>
      <w:t xml:space="preserve">          </w:t>
    </w:r>
    <w:r>
      <w:rPr>
        <w:rFonts w:hint="eastAsia" w:ascii="仿宋_GB2312" w:eastAsia="仿宋_GB2312"/>
        <w:b/>
        <w:i/>
        <w:sz w:val="18"/>
        <w:szCs w:val="18"/>
        <w:lang w:val="en-US" w:eastAsia="zh-CN"/>
      </w:rPr>
      <w:t xml:space="preserve">        </w:t>
    </w:r>
    <w:r>
      <w:rPr>
        <w:rFonts w:hint="eastAsia" w:ascii="仿宋_GB2312" w:eastAsia="仿宋_GB2312"/>
        <w:b/>
        <w:i/>
        <w:sz w:val="18"/>
        <w:szCs w:val="18"/>
      </w:rPr>
      <w:t xml:space="preserve"> 编号：</w:t>
    </w:r>
    <w:r>
      <w:rPr>
        <w:rFonts w:hint="eastAsia" w:ascii="仿宋_GB2312" w:eastAsia="仿宋_GB2312"/>
        <w:b/>
        <w:i/>
        <w:sz w:val="18"/>
        <w:szCs w:val="18"/>
        <w:lang w:eastAsia="zh-CN"/>
      </w:rPr>
      <w:t>2041xzjk034</w:t>
    </w:r>
    <w:r>
      <w:rPr>
        <w:rFonts w:hint="eastAsia" w:ascii="仿宋_GB2312" w:eastAsia="仿宋_GB2312"/>
        <w:b/>
        <w:i/>
        <w:sz w:val="18"/>
        <w:szCs w:val="18"/>
      </w:rPr>
      <w:t>/04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33"/>
        <w:rFonts w:hint="eastAsia" w:eastAsia="仿宋_GB2312"/>
        <w:szCs w:val="18"/>
        <w:lang w:eastAsia="zh-CN"/>
      </w:rPr>
    </w:pPr>
    <w:r>
      <w:rPr>
        <w:rFonts w:hint="eastAsia" w:ascii="仿宋_GB2312" w:eastAsia="仿宋_GB2312"/>
        <w:b/>
        <w:i/>
        <w:sz w:val="18"/>
        <w:szCs w:val="18"/>
        <w:lang w:eastAsia="zh-CN"/>
      </w:rPr>
      <w:t>昌吉市中医院综合项目</w:t>
    </w:r>
    <w:r>
      <w:rPr>
        <w:rFonts w:hint="eastAsia" w:ascii="仿宋_GB2312" w:eastAsia="仿宋_GB2312"/>
        <w:b/>
        <w:i/>
        <w:sz w:val="18"/>
        <w:szCs w:val="18"/>
      </w:rPr>
      <w:t xml:space="preserve">    </w:t>
    </w:r>
    <w:r>
      <w:rPr>
        <w:rFonts w:ascii="仿宋_GB2312" w:eastAsia="仿宋_GB2312"/>
        <w:b/>
        <w:i/>
        <w:sz w:val="18"/>
        <w:szCs w:val="18"/>
      </w:rPr>
      <w:t xml:space="preserve">         </w:t>
    </w:r>
    <w:r>
      <w:rPr>
        <w:rFonts w:hint="eastAsia" w:ascii="仿宋_GB2312" w:eastAsia="仿宋_GB2312"/>
        <w:b/>
        <w:i/>
        <w:sz w:val="18"/>
        <w:szCs w:val="18"/>
      </w:rPr>
      <w:t xml:space="preserve">         </w:t>
    </w:r>
    <w:r>
      <w:rPr>
        <w:rFonts w:hint="eastAsia" w:ascii="仿宋_GB2312" w:eastAsia="仿宋_GB2312"/>
        <w:b/>
        <w:i/>
        <w:sz w:val="18"/>
        <w:szCs w:val="18"/>
        <w:lang w:val="en-US" w:eastAsia="zh-CN"/>
      </w:rPr>
      <w:t xml:space="preserve">                                              </w:t>
    </w:r>
    <w:r>
      <w:rPr>
        <w:rFonts w:hint="eastAsia" w:ascii="仿宋_GB2312" w:eastAsia="仿宋_GB2312"/>
        <w:b/>
        <w:i/>
        <w:sz w:val="18"/>
        <w:szCs w:val="18"/>
      </w:rPr>
      <w:t xml:space="preserve">  编号：</w:t>
    </w:r>
    <w:r>
      <w:rPr>
        <w:rFonts w:hint="eastAsia" w:ascii="仿宋_GB2312" w:eastAsia="仿宋_GB2312"/>
        <w:b/>
        <w:i/>
        <w:sz w:val="18"/>
        <w:szCs w:val="18"/>
        <w:lang w:eastAsia="zh-CN"/>
      </w:rPr>
      <w:t>2041xzjk034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33"/>
        <w:rFonts w:hint="eastAsia" w:eastAsia="仿宋_GB2312"/>
        <w:szCs w:val="18"/>
        <w:lang w:eastAsia="zh-CN"/>
      </w:rPr>
    </w:pPr>
    <w:r>
      <w:rPr>
        <w:rFonts w:hint="eastAsia" w:ascii="仿宋_GB2312" w:eastAsia="仿宋_GB2312"/>
        <w:b/>
        <w:i/>
        <w:sz w:val="18"/>
        <w:szCs w:val="18"/>
        <w:lang w:eastAsia="zh-CN"/>
      </w:rPr>
      <w:t>昌吉市中医院综合项目</w:t>
    </w:r>
    <w:r>
      <w:rPr>
        <w:rFonts w:hint="eastAsia" w:ascii="仿宋_GB2312" w:eastAsia="仿宋_GB2312"/>
        <w:b/>
        <w:i/>
        <w:sz w:val="18"/>
        <w:szCs w:val="18"/>
      </w:rPr>
      <w:t xml:space="preserve"> </w:t>
    </w:r>
    <w:r>
      <w:rPr>
        <w:rFonts w:ascii="仿宋_GB2312" w:eastAsia="仿宋_GB2312"/>
        <w:b/>
        <w:i/>
        <w:sz w:val="18"/>
        <w:szCs w:val="18"/>
      </w:rPr>
      <w:t xml:space="preserve">                              </w:t>
    </w:r>
    <w:r>
      <w:rPr>
        <w:rFonts w:hint="eastAsia" w:ascii="仿宋_GB2312" w:eastAsia="仿宋_GB2312"/>
        <w:b/>
        <w:i/>
        <w:sz w:val="18"/>
        <w:szCs w:val="18"/>
        <w:lang w:val="en-US" w:eastAsia="zh-CN"/>
      </w:rPr>
      <w:t xml:space="preserve">                                      </w:t>
    </w:r>
    <w:r>
      <w:rPr>
        <w:rFonts w:ascii="仿宋_GB2312" w:eastAsia="仿宋_GB2312"/>
        <w:b/>
        <w:i/>
        <w:sz w:val="18"/>
        <w:szCs w:val="18"/>
      </w:rPr>
      <w:t xml:space="preserve">                                     </w:t>
    </w:r>
    <w:r>
      <w:rPr>
        <w:rFonts w:hint="eastAsia" w:ascii="仿宋_GB2312" w:eastAsia="仿宋_GB2312"/>
        <w:b/>
        <w:i/>
        <w:sz w:val="18"/>
        <w:szCs w:val="18"/>
      </w:rPr>
      <w:t xml:space="preserve">        编号：</w:t>
    </w:r>
    <w:r>
      <w:rPr>
        <w:rFonts w:hint="eastAsia" w:ascii="仿宋_GB2312" w:eastAsia="仿宋_GB2312"/>
        <w:b/>
        <w:i/>
        <w:sz w:val="18"/>
        <w:szCs w:val="18"/>
        <w:lang w:eastAsia="zh-CN"/>
      </w:rPr>
      <w:t>2041xzjk034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4F242"/>
    <w:multiLevelType w:val="singleLevel"/>
    <w:tmpl w:val="93B4F242"/>
    <w:lvl w:ilvl="0" w:tentative="0">
      <w:start w:val="1"/>
      <w:numFmt w:val="decimal"/>
      <w:lvlText w:val="%1."/>
      <w:lvlJc w:val="left"/>
      <w:pPr>
        <w:ind w:left="425" w:hanging="425"/>
      </w:pPr>
      <w:rPr>
        <w:rFonts w:hint="default"/>
      </w:rPr>
    </w:lvl>
  </w:abstractNum>
  <w:abstractNum w:abstractNumId="1">
    <w:nsid w:val="D2060493"/>
    <w:multiLevelType w:val="multilevel"/>
    <w:tmpl w:val="D2060493"/>
    <w:lvl w:ilvl="0" w:tentative="0">
      <w:start w:val="1"/>
      <w:numFmt w:val="decimal"/>
      <w:lvlText w:val="%1)"/>
      <w:lvlJc w:val="left"/>
      <w:pPr>
        <w:tabs>
          <w:tab w:val="left" w:pos="1050"/>
        </w:tabs>
        <w:ind w:left="1050" w:hanging="420"/>
      </w:pPr>
      <w:rPr>
        <w:rFonts w:ascii="Times New Roman" w:hAnsi="Times New Roman" w:eastAsia="宋体" w:cs="Times New Roman"/>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DE628A02"/>
    <w:multiLevelType w:val="singleLevel"/>
    <w:tmpl w:val="DE628A02"/>
    <w:lvl w:ilvl="0" w:tentative="0">
      <w:start w:val="1"/>
      <w:numFmt w:val="decimal"/>
      <w:suff w:val="nothing"/>
      <w:lvlText w:val="%1．"/>
      <w:lvlJc w:val="left"/>
      <w:pPr>
        <w:ind w:left="0" w:firstLine="400"/>
      </w:pPr>
      <w:rPr>
        <w:rFonts w:hint="default"/>
      </w:rPr>
    </w:lvl>
  </w:abstractNum>
  <w:abstractNum w:abstractNumId="3">
    <w:nsid w:val="EBC9EC79"/>
    <w:multiLevelType w:val="singleLevel"/>
    <w:tmpl w:val="EBC9EC79"/>
    <w:lvl w:ilvl="0" w:tentative="0">
      <w:start w:val="1"/>
      <w:numFmt w:val="chineseCounting"/>
      <w:suff w:val="nothing"/>
      <w:lvlText w:val="%1、"/>
      <w:lvlJc w:val="left"/>
      <w:rPr>
        <w:rFonts w:hint="eastAsia"/>
      </w:rPr>
    </w:lvl>
  </w:abstractNum>
  <w:abstractNum w:abstractNumId="4">
    <w:nsid w:val="000C7724"/>
    <w:multiLevelType w:val="multilevel"/>
    <w:tmpl w:val="000C7724"/>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5">
    <w:nsid w:val="006F4162"/>
    <w:multiLevelType w:val="multilevel"/>
    <w:tmpl w:val="006F4162"/>
    <w:lvl w:ilvl="0" w:tentative="0">
      <w:start w:val="1"/>
      <w:numFmt w:val="bullet"/>
      <w:lvlText w:val=""/>
      <w:lvlJc w:val="left"/>
      <w:pPr>
        <w:ind w:left="1268" w:hanging="420"/>
      </w:pPr>
      <w:rPr>
        <w:rFonts w:hint="default" w:ascii="Wingdings" w:hAnsi="Wingdings"/>
      </w:rPr>
    </w:lvl>
    <w:lvl w:ilvl="1" w:tentative="0">
      <w:start w:val="1"/>
      <w:numFmt w:val="bullet"/>
      <w:lvlText w:val=""/>
      <w:lvlJc w:val="left"/>
      <w:pPr>
        <w:ind w:left="1688" w:hanging="420"/>
      </w:pPr>
      <w:rPr>
        <w:rFonts w:hint="default" w:ascii="Wingdings" w:hAnsi="Wingdings"/>
      </w:rPr>
    </w:lvl>
    <w:lvl w:ilvl="2" w:tentative="0">
      <w:start w:val="1"/>
      <w:numFmt w:val="bullet"/>
      <w:lvlText w:val=""/>
      <w:lvlJc w:val="left"/>
      <w:pPr>
        <w:ind w:left="2108" w:hanging="420"/>
      </w:pPr>
      <w:rPr>
        <w:rFonts w:hint="default" w:ascii="Wingdings" w:hAnsi="Wingdings"/>
      </w:rPr>
    </w:lvl>
    <w:lvl w:ilvl="3" w:tentative="0">
      <w:start w:val="1"/>
      <w:numFmt w:val="bullet"/>
      <w:lvlText w:val=""/>
      <w:lvlJc w:val="left"/>
      <w:pPr>
        <w:ind w:left="2528" w:hanging="420"/>
      </w:pPr>
      <w:rPr>
        <w:rFonts w:hint="default" w:ascii="Wingdings" w:hAnsi="Wingdings"/>
      </w:rPr>
    </w:lvl>
    <w:lvl w:ilvl="4" w:tentative="0">
      <w:start w:val="1"/>
      <w:numFmt w:val="bullet"/>
      <w:lvlText w:val=""/>
      <w:lvlJc w:val="left"/>
      <w:pPr>
        <w:ind w:left="2948" w:hanging="420"/>
      </w:pPr>
      <w:rPr>
        <w:rFonts w:hint="default" w:ascii="Wingdings" w:hAnsi="Wingdings"/>
      </w:rPr>
    </w:lvl>
    <w:lvl w:ilvl="5" w:tentative="0">
      <w:start w:val="1"/>
      <w:numFmt w:val="bullet"/>
      <w:lvlText w:val=""/>
      <w:lvlJc w:val="left"/>
      <w:pPr>
        <w:ind w:left="3368" w:hanging="420"/>
      </w:pPr>
      <w:rPr>
        <w:rFonts w:hint="default" w:ascii="Wingdings" w:hAnsi="Wingdings"/>
      </w:rPr>
    </w:lvl>
    <w:lvl w:ilvl="6" w:tentative="0">
      <w:start w:val="1"/>
      <w:numFmt w:val="bullet"/>
      <w:lvlText w:val=""/>
      <w:lvlJc w:val="left"/>
      <w:pPr>
        <w:ind w:left="3788" w:hanging="420"/>
      </w:pPr>
      <w:rPr>
        <w:rFonts w:hint="default" w:ascii="Wingdings" w:hAnsi="Wingdings"/>
      </w:rPr>
    </w:lvl>
    <w:lvl w:ilvl="7" w:tentative="0">
      <w:start w:val="1"/>
      <w:numFmt w:val="bullet"/>
      <w:lvlText w:val=""/>
      <w:lvlJc w:val="left"/>
      <w:pPr>
        <w:ind w:left="4208" w:hanging="420"/>
      </w:pPr>
      <w:rPr>
        <w:rFonts w:hint="default" w:ascii="Wingdings" w:hAnsi="Wingdings"/>
      </w:rPr>
    </w:lvl>
    <w:lvl w:ilvl="8" w:tentative="0">
      <w:start w:val="1"/>
      <w:numFmt w:val="bullet"/>
      <w:lvlText w:val=""/>
      <w:lvlJc w:val="left"/>
      <w:pPr>
        <w:ind w:left="4628" w:hanging="420"/>
      </w:pPr>
      <w:rPr>
        <w:rFonts w:hint="default" w:ascii="Wingdings" w:hAnsi="Wingdings"/>
      </w:rPr>
    </w:lvl>
  </w:abstractNum>
  <w:abstractNum w:abstractNumId="6">
    <w:nsid w:val="00D76018"/>
    <w:multiLevelType w:val="multilevel"/>
    <w:tmpl w:val="00D76018"/>
    <w:lvl w:ilvl="0" w:tentative="0">
      <w:start w:val="1"/>
      <w:numFmt w:val="bullet"/>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360"/>
        </w:tabs>
        <w:ind w:left="360" w:hanging="360"/>
      </w:pPr>
      <w:rPr>
        <w:rFonts w:hint="default"/>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7">
    <w:nsid w:val="04CF20C3"/>
    <w:multiLevelType w:val="multilevel"/>
    <w:tmpl w:val="04CF20C3"/>
    <w:lvl w:ilvl="0" w:tentative="0">
      <w:start w:val="1"/>
      <w:numFmt w:val="decimal"/>
      <w:lvlText w:val="%1、"/>
      <w:lvlJc w:val="left"/>
      <w:pPr>
        <w:tabs>
          <w:tab w:val="left" w:pos="840"/>
        </w:tabs>
        <w:ind w:left="840" w:hanging="420"/>
      </w:pPr>
      <w:rPr>
        <w:rFonts w:hint="eastAsia"/>
        <w:b w:val="0"/>
      </w:rPr>
    </w:lvl>
    <w:lvl w:ilvl="1" w:tentative="0">
      <w:start w:val="1"/>
      <w:numFmt w:val="none"/>
      <w:lvlText w:val="10、"/>
      <w:lvlJc w:val="left"/>
      <w:pPr>
        <w:tabs>
          <w:tab w:val="left" w:pos="2040"/>
        </w:tabs>
        <w:ind w:left="2040" w:hanging="420"/>
      </w:pPr>
      <w:rPr>
        <w:rFonts w:hint="eastAsia"/>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6CC0386"/>
    <w:multiLevelType w:val="multilevel"/>
    <w:tmpl w:val="06CC0386"/>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9">
    <w:nsid w:val="0941451B"/>
    <w:multiLevelType w:val="multilevel"/>
    <w:tmpl w:val="0941451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10A40CD6"/>
    <w:multiLevelType w:val="multilevel"/>
    <w:tmpl w:val="10A40CD6"/>
    <w:lvl w:ilvl="0" w:tentative="0">
      <w:start w:val="1"/>
      <w:numFmt w:val="bullet"/>
      <w:lvlText w:val=""/>
      <w:lvlJc w:val="left"/>
      <w:pPr>
        <w:ind w:left="1413" w:hanging="420"/>
      </w:pPr>
      <w:rPr>
        <w:rFonts w:hint="default" w:ascii="Wingdings" w:hAnsi="Wingdings"/>
      </w:rPr>
    </w:lvl>
    <w:lvl w:ilvl="1" w:tentative="0">
      <w:start w:val="1"/>
      <w:numFmt w:val="bullet"/>
      <w:lvlText w:val=""/>
      <w:lvlJc w:val="left"/>
      <w:pPr>
        <w:ind w:left="1833" w:hanging="420"/>
      </w:pPr>
      <w:rPr>
        <w:rFonts w:hint="default" w:ascii="Wingdings" w:hAnsi="Wingdings"/>
      </w:rPr>
    </w:lvl>
    <w:lvl w:ilvl="2" w:tentative="0">
      <w:start w:val="1"/>
      <w:numFmt w:val="bullet"/>
      <w:lvlText w:val=""/>
      <w:lvlJc w:val="left"/>
      <w:pPr>
        <w:ind w:left="2253" w:hanging="420"/>
      </w:pPr>
      <w:rPr>
        <w:rFonts w:hint="default" w:ascii="Wingdings" w:hAnsi="Wingdings"/>
      </w:rPr>
    </w:lvl>
    <w:lvl w:ilvl="3" w:tentative="0">
      <w:start w:val="1"/>
      <w:numFmt w:val="bullet"/>
      <w:lvlText w:val=""/>
      <w:lvlJc w:val="left"/>
      <w:pPr>
        <w:ind w:left="2673" w:hanging="420"/>
      </w:pPr>
      <w:rPr>
        <w:rFonts w:hint="default" w:ascii="Wingdings" w:hAnsi="Wingdings"/>
      </w:rPr>
    </w:lvl>
    <w:lvl w:ilvl="4" w:tentative="0">
      <w:start w:val="1"/>
      <w:numFmt w:val="bullet"/>
      <w:lvlText w:val=""/>
      <w:lvlJc w:val="left"/>
      <w:pPr>
        <w:ind w:left="3093" w:hanging="420"/>
      </w:pPr>
      <w:rPr>
        <w:rFonts w:hint="default" w:ascii="Wingdings" w:hAnsi="Wingdings"/>
      </w:rPr>
    </w:lvl>
    <w:lvl w:ilvl="5" w:tentative="0">
      <w:start w:val="1"/>
      <w:numFmt w:val="bullet"/>
      <w:lvlText w:val=""/>
      <w:lvlJc w:val="left"/>
      <w:pPr>
        <w:ind w:left="3513" w:hanging="420"/>
      </w:pPr>
      <w:rPr>
        <w:rFonts w:hint="default" w:ascii="Wingdings" w:hAnsi="Wingdings"/>
      </w:rPr>
    </w:lvl>
    <w:lvl w:ilvl="6" w:tentative="0">
      <w:start w:val="1"/>
      <w:numFmt w:val="bullet"/>
      <w:lvlText w:val=""/>
      <w:lvlJc w:val="left"/>
      <w:pPr>
        <w:ind w:left="3933" w:hanging="420"/>
      </w:pPr>
      <w:rPr>
        <w:rFonts w:hint="default" w:ascii="Wingdings" w:hAnsi="Wingdings"/>
      </w:rPr>
    </w:lvl>
    <w:lvl w:ilvl="7" w:tentative="0">
      <w:start w:val="1"/>
      <w:numFmt w:val="bullet"/>
      <w:lvlText w:val=""/>
      <w:lvlJc w:val="left"/>
      <w:pPr>
        <w:ind w:left="4353" w:hanging="420"/>
      </w:pPr>
      <w:rPr>
        <w:rFonts w:hint="default" w:ascii="Wingdings" w:hAnsi="Wingdings"/>
      </w:rPr>
    </w:lvl>
    <w:lvl w:ilvl="8" w:tentative="0">
      <w:start w:val="1"/>
      <w:numFmt w:val="bullet"/>
      <w:lvlText w:val=""/>
      <w:lvlJc w:val="left"/>
      <w:pPr>
        <w:ind w:left="4773" w:hanging="420"/>
      </w:pPr>
      <w:rPr>
        <w:rFonts w:hint="default" w:ascii="Wingdings" w:hAnsi="Wingdings"/>
      </w:rPr>
    </w:lvl>
  </w:abstractNum>
  <w:abstractNum w:abstractNumId="11">
    <w:nsid w:val="10C57E06"/>
    <w:multiLevelType w:val="multilevel"/>
    <w:tmpl w:val="10C57E06"/>
    <w:lvl w:ilvl="0" w:tentative="0">
      <w:start w:val="1"/>
      <w:numFmt w:val="decimal"/>
      <w:lvlText w:val="%1"/>
      <w:lvlJc w:val="left"/>
      <w:pPr>
        <w:ind w:left="425" w:hanging="425"/>
      </w:pPr>
    </w:lvl>
    <w:lvl w:ilvl="1" w:tentative="0">
      <w:start w:val="1"/>
      <w:numFmt w:val="decimal"/>
      <w:lvlText w:val="%1.%2"/>
      <w:lvlJc w:val="left"/>
      <w:pPr>
        <w:ind w:left="993"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1370756C"/>
    <w:multiLevelType w:val="multilevel"/>
    <w:tmpl w:val="1370756C"/>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13">
    <w:nsid w:val="14BE6632"/>
    <w:multiLevelType w:val="multilevel"/>
    <w:tmpl w:val="14BE6632"/>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14">
    <w:nsid w:val="150D4666"/>
    <w:multiLevelType w:val="multilevel"/>
    <w:tmpl w:val="150D466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1C983A2D"/>
    <w:multiLevelType w:val="multilevel"/>
    <w:tmpl w:val="1C983A2D"/>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16">
    <w:nsid w:val="1D8E1A76"/>
    <w:multiLevelType w:val="multilevel"/>
    <w:tmpl w:val="1D8E1A76"/>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7">
    <w:nsid w:val="1EF5435C"/>
    <w:multiLevelType w:val="multilevel"/>
    <w:tmpl w:val="1EF5435C"/>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18">
    <w:nsid w:val="25A864B6"/>
    <w:multiLevelType w:val="multilevel"/>
    <w:tmpl w:val="25A864B6"/>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8238B8C"/>
    <w:multiLevelType w:val="multilevel"/>
    <w:tmpl w:val="28238B8C"/>
    <w:lvl w:ilvl="0" w:tentative="0">
      <w:start w:val="1"/>
      <w:numFmt w:val="decimal"/>
      <w:lvlText w:val="%1)"/>
      <w:lvlJc w:val="left"/>
      <w:pPr>
        <w:tabs>
          <w:tab w:val="left" w:pos="1050"/>
        </w:tabs>
        <w:ind w:left="1050" w:hanging="420"/>
      </w:pPr>
      <w:rPr>
        <w:rFonts w:ascii="Times New Roman" w:hAnsi="Times New Roman" w:eastAsia="宋体" w:cs="Times New Roman"/>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29026B3D"/>
    <w:multiLevelType w:val="multilevel"/>
    <w:tmpl w:val="29026B3D"/>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1">
    <w:nsid w:val="2B6A3C96"/>
    <w:multiLevelType w:val="multilevel"/>
    <w:tmpl w:val="2B6A3C96"/>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22">
    <w:nsid w:val="2B714E8E"/>
    <w:multiLevelType w:val="multilevel"/>
    <w:tmpl w:val="2B714E8E"/>
    <w:lvl w:ilvl="0" w:tentative="0">
      <w:start w:val="1"/>
      <w:numFmt w:val="decimal"/>
      <w:lvlText w:val="%1、"/>
      <w:lvlJc w:val="left"/>
      <w:pPr>
        <w:tabs>
          <w:tab w:val="left" w:pos="840"/>
        </w:tabs>
        <w:ind w:left="797" w:hanging="377"/>
      </w:pPr>
      <w:rPr>
        <w:rFonts w:hint="eastAsia"/>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23">
    <w:nsid w:val="2C0455FA"/>
    <w:multiLevelType w:val="multilevel"/>
    <w:tmpl w:val="2C0455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8A6287"/>
    <w:multiLevelType w:val="multilevel"/>
    <w:tmpl w:val="2C8A628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2F7F65E6"/>
    <w:multiLevelType w:val="multilevel"/>
    <w:tmpl w:val="2F7F65E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2F982761"/>
    <w:multiLevelType w:val="multilevel"/>
    <w:tmpl w:val="2F982761"/>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27">
    <w:nsid w:val="30184D2E"/>
    <w:multiLevelType w:val="multilevel"/>
    <w:tmpl w:val="30184D2E"/>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28">
    <w:nsid w:val="30753DCC"/>
    <w:multiLevelType w:val="multilevel"/>
    <w:tmpl w:val="30753DCC"/>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29">
    <w:nsid w:val="308410AD"/>
    <w:multiLevelType w:val="multilevel"/>
    <w:tmpl w:val="308410AD"/>
    <w:lvl w:ilvl="0" w:tentative="0">
      <w:start w:val="1"/>
      <w:numFmt w:val="decimal"/>
      <w:lvlText w:val="%1)"/>
      <w:lvlJc w:val="left"/>
      <w:pPr>
        <w:tabs>
          <w:tab w:val="left" w:pos="1050"/>
        </w:tabs>
        <w:ind w:left="1050" w:hanging="420"/>
      </w:pPr>
      <w:rPr>
        <w:rFonts w:ascii="Times New Roman" w:hAnsi="Times New Roman" w:eastAsia="宋体" w:cs="Times New Roman"/>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31A35338"/>
    <w:multiLevelType w:val="singleLevel"/>
    <w:tmpl w:val="31A35338"/>
    <w:lvl w:ilvl="0" w:tentative="0">
      <w:start w:val="1"/>
      <w:numFmt w:val="decimal"/>
      <w:lvlText w:val="%1."/>
      <w:lvlJc w:val="left"/>
      <w:pPr>
        <w:ind w:left="425" w:hanging="425"/>
      </w:pPr>
      <w:rPr>
        <w:rFonts w:hint="default"/>
      </w:rPr>
    </w:lvl>
  </w:abstractNum>
  <w:abstractNum w:abstractNumId="31">
    <w:nsid w:val="366D2223"/>
    <w:multiLevelType w:val="multilevel"/>
    <w:tmpl w:val="366D2223"/>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32">
    <w:nsid w:val="367610C9"/>
    <w:multiLevelType w:val="multilevel"/>
    <w:tmpl w:val="367610C9"/>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33">
    <w:nsid w:val="39814A52"/>
    <w:multiLevelType w:val="multilevel"/>
    <w:tmpl w:val="39814A52"/>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sz w:val="18"/>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34">
    <w:nsid w:val="3EEE4429"/>
    <w:multiLevelType w:val="singleLevel"/>
    <w:tmpl w:val="3EEE4429"/>
    <w:lvl w:ilvl="0" w:tentative="0">
      <w:start w:val="1"/>
      <w:numFmt w:val="decimal"/>
      <w:suff w:val="nothing"/>
      <w:lvlText w:val="%1、"/>
      <w:lvlJc w:val="left"/>
    </w:lvl>
  </w:abstractNum>
  <w:abstractNum w:abstractNumId="35">
    <w:nsid w:val="425F65A1"/>
    <w:multiLevelType w:val="multilevel"/>
    <w:tmpl w:val="425F65A1"/>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43931003"/>
    <w:multiLevelType w:val="multilevel"/>
    <w:tmpl w:val="4393100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45A63576"/>
    <w:multiLevelType w:val="multilevel"/>
    <w:tmpl w:val="45A63576"/>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38">
    <w:nsid w:val="4C2E4FC3"/>
    <w:multiLevelType w:val="multilevel"/>
    <w:tmpl w:val="4C2E4FC3"/>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9">
    <w:nsid w:val="4DF86389"/>
    <w:multiLevelType w:val="multilevel"/>
    <w:tmpl w:val="4DF86389"/>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0">
    <w:nsid w:val="51752DB7"/>
    <w:multiLevelType w:val="multilevel"/>
    <w:tmpl w:val="51752D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3BD32C1"/>
    <w:multiLevelType w:val="multilevel"/>
    <w:tmpl w:val="53BD32C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2">
    <w:nsid w:val="55B019A0"/>
    <w:multiLevelType w:val="multilevel"/>
    <w:tmpl w:val="55B019A0"/>
    <w:lvl w:ilvl="0" w:tentative="0">
      <w:start w:val="1"/>
      <w:numFmt w:val="decimal"/>
      <w:lvlText w:val="%1)"/>
      <w:lvlJc w:val="left"/>
      <w:pPr>
        <w:tabs>
          <w:tab w:val="left" w:pos="1050"/>
        </w:tabs>
        <w:ind w:left="1050" w:hanging="420"/>
      </w:pPr>
      <w:rPr>
        <w:rFonts w:ascii="Times New Roman" w:hAnsi="Times New Roman" w:eastAsia="宋体" w:cs="Times New Roman"/>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56153757"/>
    <w:multiLevelType w:val="multilevel"/>
    <w:tmpl w:val="56153757"/>
    <w:lvl w:ilvl="0" w:tentative="0">
      <w:start w:val="1"/>
      <w:numFmt w:val="bullet"/>
      <w:lvlText w:val=""/>
      <w:lvlJc w:val="left"/>
      <w:pPr>
        <w:ind w:left="1413" w:hanging="420"/>
      </w:pPr>
      <w:rPr>
        <w:rFonts w:hint="default" w:ascii="Wingdings" w:hAnsi="Wingdings"/>
      </w:rPr>
    </w:lvl>
    <w:lvl w:ilvl="1" w:tentative="0">
      <w:start w:val="1"/>
      <w:numFmt w:val="bullet"/>
      <w:lvlText w:val=""/>
      <w:lvlJc w:val="left"/>
      <w:pPr>
        <w:ind w:left="1833" w:hanging="420"/>
      </w:pPr>
      <w:rPr>
        <w:rFonts w:hint="default" w:ascii="Wingdings" w:hAnsi="Wingdings"/>
      </w:rPr>
    </w:lvl>
    <w:lvl w:ilvl="2" w:tentative="0">
      <w:start w:val="1"/>
      <w:numFmt w:val="bullet"/>
      <w:lvlText w:val=""/>
      <w:lvlJc w:val="left"/>
      <w:pPr>
        <w:ind w:left="2253" w:hanging="420"/>
      </w:pPr>
      <w:rPr>
        <w:rFonts w:hint="default" w:ascii="Wingdings" w:hAnsi="Wingdings"/>
      </w:rPr>
    </w:lvl>
    <w:lvl w:ilvl="3" w:tentative="0">
      <w:start w:val="1"/>
      <w:numFmt w:val="bullet"/>
      <w:lvlText w:val=""/>
      <w:lvlJc w:val="left"/>
      <w:pPr>
        <w:ind w:left="2673" w:hanging="420"/>
      </w:pPr>
      <w:rPr>
        <w:rFonts w:hint="default" w:ascii="Wingdings" w:hAnsi="Wingdings"/>
      </w:rPr>
    </w:lvl>
    <w:lvl w:ilvl="4" w:tentative="0">
      <w:start w:val="1"/>
      <w:numFmt w:val="bullet"/>
      <w:lvlText w:val=""/>
      <w:lvlJc w:val="left"/>
      <w:pPr>
        <w:ind w:left="3093" w:hanging="420"/>
      </w:pPr>
      <w:rPr>
        <w:rFonts w:hint="default" w:ascii="Wingdings" w:hAnsi="Wingdings"/>
      </w:rPr>
    </w:lvl>
    <w:lvl w:ilvl="5" w:tentative="0">
      <w:start w:val="1"/>
      <w:numFmt w:val="bullet"/>
      <w:lvlText w:val=""/>
      <w:lvlJc w:val="left"/>
      <w:pPr>
        <w:ind w:left="3513" w:hanging="420"/>
      </w:pPr>
      <w:rPr>
        <w:rFonts w:hint="default" w:ascii="Wingdings" w:hAnsi="Wingdings"/>
      </w:rPr>
    </w:lvl>
    <w:lvl w:ilvl="6" w:tentative="0">
      <w:start w:val="1"/>
      <w:numFmt w:val="bullet"/>
      <w:lvlText w:val=""/>
      <w:lvlJc w:val="left"/>
      <w:pPr>
        <w:ind w:left="3933" w:hanging="420"/>
      </w:pPr>
      <w:rPr>
        <w:rFonts w:hint="default" w:ascii="Wingdings" w:hAnsi="Wingdings"/>
      </w:rPr>
    </w:lvl>
    <w:lvl w:ilvl="7" w:tentative="0">
      <w:start w:val="1"/>
      <w:numFmt w:val="bullet"/>
      <w:lvlText w:val=""/>
      <w:lvlJc w:val="left"/>
      <w:pPr>
        <w:ind w:left="4353" w:hanging="420"/>
      </w:pPr>
      <w:rPr>
        <w:rFonts w:hint="default" w:ascii="Wingdings" w:hAnsi="Wingdings"/>
      </w:rPr>
    </w:lvl>
    <w:lvl w:ilvl="8" w:tentative="0">
      <w:start w:val="1"/>
      <w:numFmt w:val="bullet"/>
      <w:lvlText w:val=""/>
      <w:lvlJc w:val="left"/>
      <w:pPr>
        <w:ind w:left="4773" w:hanging="420"/>
      </w:pPr>
      <w:rPr>
        <w:rFonts w:hint="default" w:ascii="Wingdings" w:hAnsi="Wingdings"/>
      </w:rPr>
    </w:lvl>
  </w:abstractNum>
  <w:abstractNum w:abstractNumId="44">
    <w:nsid w:val="56D161D2"/>
    <w:multiLevelType w:val="multilevel"/>
    <w:tmpl w:val="56D161D2"/>
    <w:lvl w:ilvl="0" w:tentative="0">
      <w:start w:val="1"/>
      <w:numFmt w:val="bullet"/>
      <w:lvlText w:val=""/>
      <w:lvlJc w:val="left"/>
      <w:pPr>
        <w:ind w:left="1260" w:hanging="420"/>
      </w:pPr>
      <w:rPr>
        <w:rFonts w:hint="default" w:ascii="Wingdings" w:hAnsi="Wingdings"/>
        <w:sz w:val="18"/>
      </w:rPr>
    </w:lvl>
    <w:lvl w:ilvl="1" w:tentative="0">
      <w:start w:val="1"/>
      <w:numFmt w:val="bullet"/>
      <w:lvlText w:val=""/>
      <w:lvlJc w:val="left"/>
      <w:pPr>
        <w:ind w:left="1680" w:hanging="420"/>
      </w:pPr>
      <w:rPr>
        <w:rFonts w:hint="default" w:ascii="Wingdings" w:hAnsi="Wingdings"/>
        <w:sz w:val="18"/>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5">
    <w:nsid w:val="594A2C79"/>
    <w:multiLevelType w:val="singleLevel"/>
    <w:tmpl w:val="594A2C79"/>
    <w:lvl w:ilvl="0" w:tentative="0">
      <w:start w:val="1"/>
      <w:numFmt w:val="upperLetter"/>
      <w:suff w:val="nothing"/>
      <w:lvlText w:val="%1、"/>
      <w:lvlJc w:val="left"/>
    </w:lvl>
  </w:abstractNum>
  <w:abstractNum w:abstractNumId="46">
    <w:nsid w:val="5BD95C7F"/>
    <w:multiLevelType w:val="multilevel"/>
    <w:tmpl w:val="5BD95C7F"/>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7">
    <w:nsid w:val="5EDD09B6"/>
    <w:multiLevelType w:val="multilevel"/>
    <w:tmpl w:val="5EDD09B6"/>
    <w:lvl w:ilvl="0" w:tentative="0">
      <w:start w:val="1"/>
      <w:numFmt w:val="bullet"/>
      <w:lvlText w:val=""/>
      <w:lvlJc w:val="left"/>
      <w:pPr>
        <w:ind w:left="1412" w:hanging="420"/>
      </w:pPr>
      <w:rPr>
        <w:rFonts w:hint="default" w:ascii="Wingdings" w:hAnsi="Wingdings"/>
        <w:color w:val="auto"/>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48">
    <w:nsid w:val="5FB1544C"/>
    <w:multiLevelType w:val="multilevel"/>
    <w:tmpl w:val="5FB1544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60963234"/>
    <w:multiLevelType w:val="multilevel"/>
    <w:tmpl w:val="60963234"/>
    <w:lvl w:ilvl="0" w:tentative="0">
      <w:start w:val="1"/>
      <w:numFmt w:val="bullet"/>
      <w:lvlText w:val=""/>
      <w:lvlJc w:val="left"/>
      <w:pPr>
        <w:tabs>
          <w:tab w:val="left" w:pos="420"/>
        </w:tabs>
        <w:ind w:left="420" w:hanging="420"/>
      </w:pPr>
      <w:rPr>
        <w:rFonts w:hint="default" w:ascii="Wingdings" w:hAnsi="Wingdings"/>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0">
    <w:nsid w:val="610C56D1"/>
    <w:multiLevelType w:val="multilevel"/>
    <w:tmpl w:val="610C56D1"/>
    <w:lvl w:ilvl="0" w:tentative="0">
      <w:start w:val="1"/>
      <w:numFmt w:val="bullet"/>
      <w:lvlText w:val=""/>
      <w:lvlJc w:val="left"/>
      <w:pPr>
        <w:ind w:left="1832" w:hanging="420"/>
      </w:pPr>
      <w:rPr>
        <w:rFonts w:hint="default" w:ascii="Wingdings" w:hAnsi="Wingdings"/>
        <w:sz w:val="18"/>
      </w:rPr>
    </w:lvl>
    <w:lvl w:ilvl="1" w:tentative="0">
      <w:start w:val="1"/>
      <w:numFmt w:val="bullet"/>
      <w:lvlText w:val=""/>
      <w:lvlJc w:val="left"/>
      <w:pPr>
        <w:ind w:left="2252" w:hanging="420"/>
      </w:pPr>
      <w:rPr>
        <w:rFonts w:hint="default" w:ascii="Wingdings" w:hAnsi="Wingdings"/>
      </w:rPr>
    </w:lvl>
    <w:lvl w:ilvl="2" w:tentative="0">
      <w:start w:val="1"/>
      <w:numFmt w:val="bullet"/>
      <w:lvlText w:val=""/>
      <w:lvlJc w:val="left"/>
      <w:pPr>
        <w:ind w:left="2672" w:hanging="420"/>
      </w:pPr>
      <w:rPr>
        <w:rFonts w:hint="default" w:ascii="Wingdings" w:hAnsi="Wingdings"/>
      </w:rPr>
    </w:lvl>
    <w:lvl w:ilvl="3" w:tentative="0">
      <w:start w:val="1"/>
      <w:numFmt w:val="bullet"/>
      <w:lvlText w:val=""/>
      <w:lvlJc w:val="left"/>
      <w:pPr>
        <w:ind w:left="3092" w:hanging="420"/>
      </w:pPr>
      <w:rPr>
        <w:rFonts w:hint="default" w:ascii="Wingdings" w:hAnsi="Wingdings"/>
      </w:rPr>
    </w:lvl>
    <w:lvl w:ilvl="4" w:tentative="0">
      <w:start w:val="1"/>
      <w:numFmt w:val="bullet"/>
      <w:lvlText w:val=""/>
      <w:lvlJc w:val="left"/>
      <w:pPr>
        <w:ind w:left="3512" w:hanging="420"/>
      </w:pPr>
      <w:rPr>
        <w:rFonts w:hint="default" w:ascii="Wingdings" w:hAnsi="Wingdings"/>
      </w:rPr>
    </w:lvl>
    <w:lvl w:ilvl="5" w:tentative="0">
      <w:start w:val="1"/>
      <w:numFmt w:val="bullet"/>
      <w:lvlText w:val=""/>
      <w:lvlJc w:val="left"/>
      <w:pPr>
        <w:ind w:left="3932" w:hanging="420"/>
      </w:pPr>
      <w:rPr>
        <w:rFonts w:hint="default" w:ascii="Wingdings" w:hAnsi="Wingdings"/>
      </w:rPr>
    </w:lvl>
    <w:lvl w:ilvl="6" w:tentative="0">
      <w:start w:val="1"/>
      <w:numFmt w:val="bullet"/>
      <w:lvlText w:val=""/>
      <w:lvlJc w:val="left"/>
      <w:pPr>
        <w:ind w:left="4352" w:hanging="420"/>
      </w:pPr>
      <w:rPr>
        <w:rFonts w:hint="default" w:ascii="Wingdings" w:hAnsi="Wingdings"/>
      </w:rPr>
    </w:lvl>
    <w:lvl w:ilvl="7" w:tentative="0">
      <w:start w:val="1"/>
      <w:numFmt w:val="bullet"/>
      <w:lvlText w:val=""/>
      <w:lvlJc w:val="left"/>
      <w:pPr>
        <w:ind w:left="4772" w:hanging="420"/>
      </w:pPr>
      <w:rPr>
        <w:rFonts w:hint="default" w:ascii="Wingdings" w:hAnsi="Wingdings"/>
      </w:rPr>
    </w:lvl>
    <w:lvl w:ilvl="8" w:tentative="0">
      <w:start w:val="1"/>
      <w:numFmt w:val="bullet"/>
      <w:lvlText w:val=""/>
      <w:lvlJc w:val="left"/>
      <w:pPr>
        <w:ind w:left="5192" w:hanging="420"/>
      </w:pPr>
      <w:rPr>
        <w:rFonts w:hint="default" w:ascii="Wingdings" w:hAnsi="Wingdings"/>
      </w:rPr>
    </w:lvl>
  </w:abstractNum>
  <w:abstractNum w:abstractNumId="51">
    <w:nsid w:val="64C46FFE"/>
    <w:multiLevelType w:val="multilevel"/>
    <w:tmpl w:val="64C46FFE"/>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52">
    <w:nsid w:val="660C300A"/>
    <w:multiLevelType w:val="multilevel"/>
    <w:tmpl w:val="660C300A"/>
    <w:lvl w:ilvl="0" w:tentative="0">
      <w:start w:val="1"/>
      <w:numFmt w:val="bullet"/>
      <w:lvlText w:val=""/>
      <w:lvlJc w:val="left"/>
      <w:pPr>
        <w:ind w:left="1413" w:hanging="420"/>
      </w:pPr>
      <w:rPr>
        <w:rFonts w:hint="default" w:ascii="Wingdings" w:hAnsi="Wingdings"/>
      </w:rPr>
    </w:lvl>
    <w:lvl w:ilvl="1" w:tentative="0">
      <w:start w:val="1"/>
      <w:numFmt w:val="bullet"/>
      <w:lvlText w:val=""/>
      <w:lvlJc w:val="left"/>
      <w:pPr>
        <w:ind w:left="1833" w:hanging="420"/>
      </w:pPr>
      <w:rPr>
        <w:rFonts w:hint="default" w:ascii="Wingdings" w:hAnsi="Wingdings"/>
      </w:rPr>
    </w:lvl>
    <w:lvl w:ilvl="2" w:tentative="0">
      <w:start w:val="1"/>
      <w:numFmt w:val="bullet"/>
      <w:lvlText w:val=""/>
      <w:lvlJc w:val="left"/>
      <w:pPr>
        <w:ind w:left="2253" w:hanging="420"/>
      </w:pPr>
      <w:rPr>
        <w:rFonts w:hint="default" w:ascii="Wingdings" w:hAnsi="Wingdings"/>
      </w:rPr>
    </w:lvl>
    <w:lvl w:ilvl="3" w:tentative="0">
      <w:start w:val="1"/>
      <w:numFmt w:val="bullet"/>
      <w:lvlText w:val=""/>
      <w:lvlJc w:val="left"/>
      <w:pPr>
        <w:ind w:left="2673" w:hanging="420"/>
      </w:pPr>
      <w:rPr>
        <w:rFonts w:hint="default" w:ascii="Wingdings" w:hAnsi="Wingdings"/>
      </w:rPr>
    </w:lvl>
    <w:lvl w:ilvl="4" w:tentative="0">
      <w:start w:val="1"/>
      <w:numFmt w:val="bullet"/>
      <w:lvlText w:val=""/>
      <w:lvlJc w:val="left"/>
      <w:pPr>
        <w:ind w:left="3093" w:hanging="420"/>
      </w:pPr>
      <w:rPr>
        <w:rFonts w:hint="default" w:ascii="Wingdings" w:hAnsi="Wingdings"/>
      </w:rPr>
    </w:lvl>
    <w:lvl w:ilvl="5" w:tentative="0">
      <w:start w:val="1"/>
      <w:numFmt w:val="bullet"/>
      <w:lvlText w:val=""/>
      <w:lvlJc w:val="left"/>
      <w:pPr>
        <w:ind w:left="3513" w:hanging="420"/>
      </w:pPr>
      <w:rPr>
        <w:rFonts w:hint="default" w:ascii="Wingdings" w:hAnsi="Wingdings"/>
      </w:rPr>
    </w:lvl>
    <w:lvl w:ilvl="6" w:tentative="0">
      <w:start w:val="1"/>
      <w:numFmt w:val="bullet"/>
      <w:lvlText w:val=""/>
      <w:lvlJc w:val="left"/>
      <w:pPr>
        <w:ind w:left="3933" w:hanging="420"/>
      </w:pPr>
      <w:rPr>
        <w:rFonts w:hint="default" w:ascii="Wingdings" w:hAnsi="Wingdings"/>
      </w:rPr>
    </w:lvl>
    <w:lvl w:ilvl="7" w:tentative="0">
      <w:start w:val="1"/>
      <w:numFmt w:val="bullet"/>
      <w:lvlText w:val=""/>
      <w:lvlJc w:val="left"/>
      <w:pPr>
        <w:ind w:left="4353" w:hanging="420"/>
      </w:pPr>
      <w:rPr>
        <w:rFonts w:hint="default" w:ascii="Wingdings" w:hAnsi="Wingdings"/>
      </w:rPr>
    </w:lvl>
    <w:lvl w:ilvl="8" w:tentative="0">
      <w:start w:val="1"/>
      <w:numFmt w:val="bullet"/>
      <w:lvlText w:val=""/>
      <w:lvlJc w:val="left"/>
      <w:pPr>
        <w:ind w:left="4773" w:hanging="420"/>
      </w:pPr>
      <w:rPr>
        <w:rFonts w:hint="default" w:ascii="Wingdings" w:hAnsi="Wingdings"/>
      </w:rPr>
    </w:lvl>
  </w:abstractNum>
  <w:abstractNum w:abstractNumId="53">
    <w:nsid w:val="668EE52E"/>
    <w:multiLevelType w:val="singleLevel"/>
    <w:tmpl w:val="668EE52E"/>
    <w:lvl w:ilvl="0" w:tentative="0">
      <w:start w:val="1"/>
      <w:numFmt w:val="decimal"/>
      <w:suff w:val="nothing"/>
      <w:lvlText w:val="%1、"/>
      <w:lvlJc w:val="left"/>
    </w:lvl>
  </w:abstractNum>
  <w:abstractNum w:abstractNumId="54">
    <w:nsid w:val="67266020"/>
    <w:multiLevelType w:val="multilevel"/>
    <w:tmpl w:val="67266020"/>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5">
    <w:nsid w:val="674D415C"/>
    <w:multiLevelType w:val="multilevel"/>
    <w:tmpl w:val="674D415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79A50FC"/>
    <w:multiLevelType w:val="multilevel"/>
    <w:tmpl w:val="679A50F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7">
    <w:nsid w:val="684A3C5A"/>
    <w:multiLevelType w:val="multilevel"/>
    <w:tmpl w:val="684A3C5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6C0D0EB3"/>
    <w:multiLevelType w:val="multilevel"/>
    <w:tmpl w:val="6C0D0EB3"/>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9">
    <w:nsid w:val="6FAA17B7"/>
    <w:multiLevelType w:val="multilevel"/>
    <w:tmpl w:val="6FAA17B7"/>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0">
    <w:nsid w:val="70D9C3D8"/>
    <w:multiLevelType w:val="singleLevel"/>
    <w:tmpl w:val="70D9C3D8"/>
    <w:lvl w:ilvl="0" w:tentative="0">
      <w:start w:val="1"/>
      <w:numFmt w:val="chineseCounting"/>
      <w:suff w:val="space"/>
      <w:lvlText w:val="第%1章"/>
      <w:lvlJc w:val="left"/>
      <w:rPr>
        <w:rFonts w:hint="eastAsia"/>
        <w:sz w:val="36"/>
        <w:szCs w:val="36"/>
      </w:rPr>
    </w:lvl>
  </w:abstractNum>
  <w:abstractNum w:abstractNumId="61">
    <w:nsid w:val="7239561C"/>
    <w:multiLevelType w:val="multilevel"/>
    <w:tmpl w:val="7239561C"/>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2">
    <w:nsid w:val="75A64098"/>
    <w:multiLevelType w:val="multilevel"/>
    <w:tmpl w:val="75A64098"/>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63">
    <w:nsid w:val="76E73BE8"/>
    <w:multiLevelType w:val="multilevel"/>
    <w:tmpl w:val="76E73BE8"/>
    <w:lvl w:ilvl="0" w:tentative="0">
      <w:start w:val="1"/>
      <w:numFmt w:val="bullet"/>
      <w:lvlText w:val=""/>
      <w:lvlJc w:val="left"/>
      <w:pPr>
        <w:ind w:left="1413" w:hanging="420"/>
      </w:pPr>
      <w:rPr>
        <w:rFonts w:hint="default" w:ascii="Wingdings" w:hAnsi="Wingdings"/>
      </w:rPr>
    </w:lvl>
    <w:lvl w:ilvl="1" w:tentative="0">
      <w:start w:val="1"/>
      <w:numFmt w:val="bullet"/>
      <w:lvlText w:val=""/>
      <w:lvlJc w:val="left"/>
      <w:pPr>
        <w:ind w:left="1833" w:hanging="420"/>
      </w:pPr>
      <w:rPr>
        <w:rFonts w:hint="default" w:ascii="Wingdings" w:hAnsi="Wingdings"/>
      </w:rPr>
    </w:lvl>
    <w:lvl w:ilvl="2" w:tentative="0">
      <w:start w:val="1"/>
      <w:numFmt w:val="bullet"/>
      <w:lvlText w:val=""/>
      <w:lvlJc w:val="left"/>
      <w:pPr>
        <w:ind w:left="2253" w:hanging="420"/>
      </w:pPr>
      <w:rPr>
        <w:rFonts w:hint="default" w:ascii="Wingdings" w:hAnsi="Wingdings"/>
      </w:rPr>
    </w:lvl>
    <w:lvl w:ilvl="3" w:tentative="0">
      <w:start w:val="1"/>
      <w:numFmt w:val="bullet"/>
      <w:lvlText w:val=""/>
      <w:lvlJc w:val="left"/>
      <w:pPr>
        <w:ind w:left="2673" w:hanging="420"/>
      </w:pPr>
      <w:rPr>
        <w:rFonts w:hint="default" w:ascii="Wingdings" w:hAnsi="Wingdings"/>
      </w:rPr>
    </w:lvl>
    <w:lvl w:ilvl="4" w:tentative="0">
      <w:start w:val="1"/>
      <w:numFmt w:val="bullet"/>
      <w:lvlText w:val=""/>
      <w:lvlJc w:val="left"/>
      <w:pPr>
        <w:ind w:left="3093" w:hanging="420"/>
      </w:pPr>
      <w:rPr>
        <w:rFonts w:hint="default" w:ascii="Wingdings" w:hAnsi="Wingdings"/>
      </w:rPr>
    </w:lvl>
    <w:lvl w:ilvl="5" w:tentative="0">
      <w:start w:val="1"/>
      <w:numFmt w:val="bullet"/>
      <w:lvlText w:val=""/>
      <w:lvlJc w:val="left"/>
      <w:pPr>
        <w:ind w:left="3513" w:hanging="420"/>
      </w:pPr>
      <w:rPr>
        <w:rFonts w:hint="default" w:ascii="Wingdings" w:hAnsi="Wingdings"/>
      </w:rPr>
    </w:lvl>
    <w:lvl w:ilvl="6" w:tentative="0">
      <w:start w:val="1"/>
      <w:numFmt w:val="bullet"/>
      <w:lvlText w:val=""/>
      <w:lvlJc w:val="left"/>
      <w:pPr>
        <w:ind w:left="3933" w:hanging="420"/>
      </w:pPr>
      <w:rPr>
        <w:rFonts w:hint="default" w:ascii="Wingdings" w:hAnsi="Wingdings"/>
      </w:rPr>
    </w:lvl>
    <w:lvl w:ilvl="7" w:tentative="0">
      <w:start w:val="1"/>
      <w:numFmt w:val="bullet"/>
      <w:lvlText w:val=""/>
      <w:lvlJc w:val="left"/>
      <w:pPr>
        <w:ind w:left="4353" w:hanging="420"/>
      </w:pPr>
      <w:rPr>
        <w:rFonts w:hint="default" w:ascii="Wingdings" w:hAnsi="Wingdings"/>
      </w:rPr>
    </w:lvl>
    <w:lvl w:ilvl="8" w:tentative="0">
      <w:start w:val="1"/>
      <w:numFmt w:val="bullet"/>
      <w:lvlText w:val=""/>
      <w:lvlJc w:val="left"/>
      <w:pPr>
        <w:ind w:left="4773" w:hanging="420"/>
      </w:pPr>
      <w:rPr>
        <w:rFonts w:hint="default" w:ascii="Wingdings" w:hAnsi="Wingdings"/>
      </w:rPr>
    </w:lvl>
  </w:abstractNum>
  <w:abstractNum w:abstractNumId="64">
    <w:nsid w:val="776E0FFA"/>
    <w:multiLevelType w:val="multilevel"/>
    <w:tmpl w:val="776E0FFA"/>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5">
    <w:nsid w:val="77CA5A61"/>
    <w:multiLevelType w:val="multilevel"/>
    <w:tmpl w:val="77CA5A61"/>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66">
    <w:nsid w:val="7B3C73FE"/>
    <w:multiLevelType w:val="multilevel"/>
    <w:tmpl w:val="7B3C73FE"/>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sz w:val="18"/>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67">
    <w:nsid w:val="7DEA58CE"/>
    <w:multiLevelType w:val="multilevel"/>
    <w:tmpl w:val="7DEA58CE"/>
    <w:lvl w:ilvl="0" w:tentative="0">
      <w:start w:val="1"/>
      <w:numFmt w:val="decimal"/>
      <w:lvlText w:val="%1)"/>
      <w:lvlJc w:val="left"/>
      <w:pPr>
        <w:tabs>
          <w:tab w:val="left" w:pos="1050"/>
        </w:tabs>
        <w:ind w:left="1050" w:hanging="420"/>
      </w:pPr>
      <w:rPr>
        <w:rFonts w:ascii="Times New Roman" w:hAnsi="Times New Roman" w:eastAsia="宋体" w:cs="Times New Roman"/>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8">
    <w:nsid w:val="7EAA12A3"/>
    <w:multiLevelType w:val="multilevel"/>
    <w:tmpl w:val="7EAA12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F1F133D"/>
    <w:multiLevelType w:val="multilevel"/>
    <w:tmpl w:val="7F1F133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4"/>
  </w:num>
  <w:num w:numId="2">
    <w:abstractNumId w:val="60"/>
  </w:num>
  <w:num w:numId="3">
    <w:abstractNumId w:val="45"/>
  </w:num>
  <w:num w:numId="4">
    <w:abstractNumId w:val="3"/>
  </w:num>
  <w:num w:numId="5">
    <w:abstractNumId w:val="25"/>
  </w:num>
  <w:num w:numId="6">
    <w:abstractNumId w:val="9"/>
  </w:num>
  <w:num w:numId="7">
    <w:abstractNumId w:val="16"/>
  </w:num>
  <w:num w:numId="8">
    <w:abstractNumId w:val="2"/>
  </w:num>
  <w:num w:numId="9">
    <w:abstractNumId w:val="30"/>
  </w:num>
  <w:num w:numId="10">
    <w:abstractNumId w:val="58"/>
  </w:num>
  <w:num w:numId="11">
    <w:abstractNumId w:val="0"/>
  </w:num>
  <w:num w:numId="12">
    <w:abstractNumId w:val="56"/>
  </w:num>
  <w:num w:numId="13">
    <w:abstractNumId w:val="6"/>
  </w:num>
  <w:num w:numId="14">
    <w:abstractNumId w:val="18"/>
  </w:num>
  <w:num w:numId="15">
    <w:abstractNumId w:val="48"/>
  </w:num>
  <w:num w:numId="16">
    <w:abstractNumId w:val="36"/>
  </w:num>
  <w:num w:numId="17">
    <w:abstractNumId w:val="24"/>
  </w:num>
  <w:num w:numId="18">
    <w:abstractNumId w:val="59"/>
  </w:num>
  <w:num w:numId="19">
    <w:abstractNumId w:val="14"/>
  </w:num>
  <w:num w:numId="20">
    <w:abstractNumId w:val="57"/>
  </w:num>
  <w:num w:numId="21">
    <w:abstractNumId w:val="27"/>
  </w:num>
  <w:num w:numId="22">
    <w:abstractNumId w:val="50"/>
  </w:num>
  <w:num w:numId="23">
    <w:abstractNumId w:val="37"/>
  </w:num>
  <w:num w:numId="24">
    <w:abstractNumId w:val="8"/>
  </w:num>
  <w:num w:numId="25">
    <w:abstractNumId w:val="51"/>
  </w:num>
  <w:num w:numId="26">
    <w:abstractNumId w:val="33"/>
  </w:num>
  <w:num w:numId="27">
    <w:abstractNumId w:val="43"/>
  </w:num>
  <w:num w:numId="28">
    <w:abstractNumId w:val="10"/>
  </w:num>
  <w:num w:numId="29">
    <w:abstractNumId w:val="38"/>
  </w:num>
  <w:num w:numId="30">
    <w:abstractNumId w:val="52"/>
  </w:num>
  <w:num w:numId="31">
    <w:abstractNumId w:val="32"/>
  </w:num>
  <w:num w:numId="32">
    <w:abstractNumId w:val="26"/>
  </w:num>
  <w:num w:numId="33">
    <w:abstractNumId w:val="28"/>
  </w:num>
  <w:num w:numId="34">
    <w:abstractNumId w:val="63"/>
  </w:num>
  <w:num w:numId="35">
    <w:abstractNumId w:val="47"/>
  </w:num>
  <w:num w:numId="36">
    <w:abstractNumId w:val="11"/>
  </w:num>
  <w:num w:numId="37">
    <w:abstractNumId w:val="39"/>
  </w:num>
  <w:num w:numId="38">
    <w:abstractNumId w:val="62"/>
  </w:num>
  <w:num w:numId="39">
    <w:abstractNumId w:val="65"/>
  </w:num>
  <w:num w:numId="40">
    <w:abstractNumId w:val="4"/>
  </w:num>
  <w:num w:numId="41">
    <w:abstractNumId w:val="17"/>
  </w:num>
  <w:num w:numId="42">
    <w:abstractNumId w:val="12"/>
  </w:num>
  <w:num w:numId="43">
    <w:abstractNumId w:val="66"/>
  </w:num>
  <w:num w:numId="44">
    <w:abstractNumId w:val="13"/>
  </w:num>
  <w:num w:numId="45">
    <w:abstractNumId w:val="44"/>
  </w:num>
  <w:num w:numId="46">
    <w:abstractNumId w:val="15"/>
  </w:num>
  <w:num w:numId="47">
    <w:abstractNumId w:val="5"/>
  </w:num>
  <w:num w:numId="48">
    <w:abstractNumId w:val="7"/>
  </w:num>
  <w:num w:numId="49">
    <w:abstractNumId w:val="21"/>
  </w:num>
  <w:num w:numId="50">
    <w:abstractNumId w:val="46"/>
  </w:num>
  <w:num w:numId="51">
    <w:abstractNumId w:val="41"/>
  </w:num>
  <w:num w:numId="52">
    <w:abstractNumId w:val="61"/>
  </w:num>
  <w:num w:numId="53">
    <w:abstractNumId w:val="31"/>
  </w:num>
  <w:num w:numId="54">
    <w:abstractNumId w:val="22"/>
  </w:num>
  <w:num w:numId="55">
    <w:abstractNumId w:val="35"/>
  </w:num>
  <w:num w:numId="56">
    <w:abstractNumId w:val="64"/>
  </w:num>
  <w:num w:numId="57">
    <w:abstractNumId w:val="55"/>
  </w:num>
  <w:num w:numId="58">
    <w:abstractNumId w:val="40"/>
  </w:num>
  <w:num w:numId="59">
    <w:abstractNumId w:val="23"/>
  </w:num>
  <w:num w:numId="60">
    <w:abstractNumId w:val="67"/>
  </w:num>
  <w:num w:numId="61">
    <w:abstractNumId w:val="19"/>
  </w:num>
  <w:num w:numId="62">
    <w:abstractNumId w:val="29"/>
  </w:num>
  <w:num w:numId="63">
    <w:abstractNumId w:val="1"/>
  </w:num>
  <w:num w:numId="64">
    <w:abstractNumId w:val="42"/>
  </w:num>
  <w:num w:numId="65">
    <w:abstractNumId w:val="20"/>
  </w:num>
  <w:num w:numId="66">
    <w:abstractNumId w:val="68"/>
  </w:num>
  <w:num w:numId="67">
    <w:abstractNumId w:val="69"/>
  </w:num>
  <w:num w:numId="68">
    <w:abstractNumId w:val="5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num>
  <w:num w:numId="70">
    <w:abstractNumId w:val="49"/>
  </w:num>
  <w:num w:numId="7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95F5B"/>
    <w:rsid w:val="000F3392"/>
    <w:rsid w:val="001A489E"/>
    <w:rsid w:val="001F1DD6"/>
    <w:rsid w:val="0020050D"/>
    <w:rsid w:val="00211A96"/>
    <w:rsid w:val="00216DB8"/>
    <w:rsid w:val="00230380"/>
    <w:rsid w:val="00251EE4"/>
    <w:rsid w:val="00340A38"/>
    <w:rsid w:val="00375ABD"/>
    <w:rsid w:val="00394EC8"/>
    <w:rsid w:val="003A2BAC"/>
    <w:rsid w:val="003C2D18"/>
    <w:rsid w:val="00435A67"/>
    <w:rsid w:val="004F4057"/>
    <w:rsid w:val="004F6AF9"/>
    <w:rsid w:val="00612B14"/>
    <w:rsid w:val="00674914"/>
    <w:rsid w:val="00692A6D"/>
    <w:rsid w:val="006B5323"/>
    <w:rsid w:val="006C18C6"/>
    <w:rsid w:val="006D06C4"/>
    <w:rsid w:val="006D4579"/>
    <w:rsid w:val="00717DF4"/>
    <w:rsid w:val="007A3D56"/>
    <w:rsid w:val="00813920"/>
    <w:rsid w:val="00901261"/>
    <w:rsid w:val="009607F0"/>
    <w:rsid w:val="00B06B07"/>
    <w:rsid w:val="00BA657A"/>
    <w:rsid w:val="00BE485B"/>
    <w:rsid w:val="00C2333A"/>
    <w:rsid w:val="00CD4193"/>
    <w:rsid w:val="00CF0997"/>
    <w:rsid w:val="00D14316"/>
    <w:rsid w:val="00D83A9A"/>
    <w:rsid w:val="00E0321E"/>
    <w:rsid w:val="00ED65C8"/>
    <w:rsid w:val="00F05CB6"/>
    <w:rsid w:val="00F67E6C"/>
    <w:rsid w:val="00F90E63"/>
    <w:rsid w:val="00F96776"/>
    <w:rsid w:val="01EC16EC"/>
    <w:rsid w:val="05C16E28"/>
    <w:rsid w:val="088C578F"/>
    <w:rsid w:val="0B446EB6"/>
    <w:rsid w:val="0CC81C89"/>
    <w:rsid w:val="0D254630"/>
    <w:rsid w:val="105E6D1F"/>
    <w:rsid w:val="11C304FE"/>
    <w:rsid w:val="11D22BC7"/>
    <w:rsid w:val="1393198B"/>
    <w:rsid w:val="14F040A7"/>
    <w:rsid w:val="1766157D"/>
    <w:rsid w:val="17A83D54"/>
    <w:rsid w:val="1877077E"/>
    <w:rsid w:val="190F61CB"/>
    <w:rsid w:val="1D577B95"/>
    <w:rsid w:val="1F722842"/>
    <w:rsid w:val="216A233C"/>
    <w:rsid w:val="2385040C"/>
    <w:rsid w:val="23C3790A"/>
    <w:rsid w:val="24663355"/>
    <w:rsid w:val="265E6CAC"/>
    <w:rsid w:val="26897B0F"/>
    <w:rsid w:val="276B5849"/>
    <w:rsid w:val="27E575CC"/>
    <w:rsid w:val="283C15F6"/>
    <w:rsid w:val="294A7C23"/>
    <w:rsid w:val="299B5B9F"/>
    <w:rsid w:val="29A97319"/>
    <w:rsid w:val="29F55C17"/>
    <w:rsid w:val="2C8701B4"/>
    <w:rsid w:val="2DBD6E6D"/>
    <w:rsid w:val="2ED829CE"/>
    <w:rsid w:val="3063490E"/>
    <w:rsid w:val="30E556DD"/>
    <w:rsid w:val="31AC30F6"/>
    <w:rsid w:val="32B70A0D"/>
    <w:rsid w:val="33F00D7D"/>
    <w:rsid w:val="34CE59A2"/>
    <w:rsid w:val="357B2A2D"/>
    <w:rsid w:val="36EA0099"/>
    <w:rsid w:val="37F22B1B"/>
    <w:rsid w:val="38D40923"/>
    <w:rsid w:val="3A1E5D69"/>
    <w:rsid w:val="3AD822D7"/>
    <w:rsid w:val="3B664414"/>
    <w:rsid w:val="3DC60B9A"/>
    <w:rsid w:val="3DFE1603"/>
    <w:rsid w:val="438F2165"/>
    <w:rsid w:val="45772680"/>
    <w:rsid w:val="45A22E55"/>
    <w:rsid w:val="45CC24FD"/>
    <w:rsid w:val="461D282F"/>
    <w:rsid w:val="490820B9"/>
    <w:rsid w:val="4C666461"/>
    <w:rsid w:val="4F457671"/>
    <w:rsid w:val="4F4B6491"/>
    <w:rsid w:val="50B436D4"/>
    <w:rsid w:val="53377679"/>
    <w:rsid w:val="5385766E"/>
    <w:rsid w:val="595173B3"/>
    <w:rsid w:val="598373A1"/>
    <w:rsid w:val="59FE6C8A"/>
    <w:rsid w:val="5BA303C3"/>
    <w:rsid w:val="5BE10ECE"/>
    <w:rsid w:val="5D690BD4"/>
    <w:rsid w:val="5DAB6759"/>
    <w:rsid w:val="5E033DF0"/>
    <w:rsid w:val="5EE34483"/>
    <w:rsid w:val="603C3EFC"/>
    <w:rsid w:val="62606BB5"/>
    <w:rsid w:val="62F513FA"/>
    <w:rsid w:val="64BA5D59"/>
    <w:rsid w:val="65963E5E"/>
    <w:rsid w:val="668C5A2C"/>
    <w:rsid w:val="66FE166B"/>
    <w:rsid w:val="66FE49E7"/>
    <w:rsid w:val="671D2AA8"/>
    <w:rsid w:val="677C5563"/>
    <w:rsid w:val="6A3160B1"/>
    <w:rsid w:val="6AFC4888"/>
    <w:rsid w:val="6EC15DBF"/>
    <w:rsid w:val="6FDC464B"/>
    <w:rsid w:val="6FE95F5B"/>
    <w:rsid w:val="710220D3"/>
    <w:rsid w:val="71077069"/>
    <w:rsid w:val="715A0F0C"/>
    <w:rsid w:val="71A24191"/>
    <w:rsid w:val="7248337C"/>
    <w:rsid w:val="73380A94"/>
    <w:rsid w:val="734A6190"/>
    <w:rsid w:val="736F40B9"/>
    <w:rsid w:val="7539671A"/>
    <w:rsid w:val="7B025228"/>
    <w:rsid w:val="7D00405E"/>
    <w:rsid w:val="7D52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pageBreakBefore/>
      <w:tabs>
        <w:tab w:val="left" w:pos="432"/>
      </w:tabs>
      <w:adjustRightInd w:val="0"/>
      <w:spacing w:before="340" w:after="330"/>
      <w:ind w:left="432" w:hanging="432"/>
      <w:outlineLvl w:val="0"/>
    </w:pPr>
    <w:rPr>
      <w:rFonts w:eastAsia="黑体"/>
      <w:b/>
      <w:bCs/>
      <w:kern w:val="44"/>
      <w:sz w:val="32"/>
      <w:szCs w:val="44"/>
    </w:rPr>
  </w:style>
  <w:style w:type="paragraph" w:styleId="2">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4">
    <w:name w:val="heading 3"/>
    <w:basedOn w:val="1"/>
    <w:next w:val="1"/>
    <w:qFormat/>
    <w:uiPriority w:val="0"/>
    <w:pPr>
      <w:keepNext/>
      <w:keepLines/>
      <w:tabs>
        <w:tab w:val="left" w:pos="0"/>
      </w:tabs>
      <w:spacing w:before="260" w:after="260" w:line="415" w:lineRule="auto"/>
      <w:ind w:left="720" w:hanging="720"/>
      <w:outlineLvl w:val="2"/>
    </w:pPr>
    <w:rPr>
      <w:rFonts w:eastAsia="黑体"/>
      <w:b/>
      <w:bCs/>
      <w:sz w:val="28"/>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Cs w:val="28"/>
    </w:rPr>
  </w:style>
  <w:style w:type="paragraph" w:styleId="6">
    <w:name w:val="heading 5"/>
    <w:basedOn w:val="1"/>
    <w:next w:val="7"/>
    <w:qFormat/>
    <w:uiPriority w:val="99"/>
    <w:pPr>
      <w:keepNext/>
      <w:keepLines/>
      <w:ind w:left="1009" w:hanging="1009"/>
      <w:outlineLvl w:val="4"/>
    </w:pPr>
    <w:rPr>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7">
    <w:name w:val="嘉和正文"/>
    <w:basedOn w:val="8"/>
    <w:qFormat/>
    <w:uiPriority w:val="0"/>
    <w:pPr>
      <w:ind w:firstLine="480" w:firstLineChars="200"/>
    </w:pPr>
  </w:style>
  <w:style w:type="paragraph" w:styleId="8">
    <w:name w:val="Body Text First Indent"/>
    <w:basedOn w:val="9"/>
    <w:qFormat/>
    <w:uiPriority w:val="0"/>
    <w:pPr>
      <w:ind w:firstLine="420" w:firstLineChars="100"/>
    </w:pPr>
  </w:style>
  <w:style w:type="paragraph" w:styleId="9">
    <w:name w:val="Body Text"/>
    <w:basedOn w:val="1"/>
    <w:unhideWhenUsed/>
    <w:qFormat/>
    <w:uiPriority w:val="0"/>
    <w:pPr>
      <w:spacing w:after="120"/>
    </w:pPr>
  </w:style>
  <w:style w:type="paragraph" w:styleId="10">
    <w:name w:val="Normal Indent"/>
    <w:basedOn w:val="1"/>
    <w:unhideWhenUsed/>
    <w:qFormat/>
    <w:uiPriority w:val="99"/>
    <w:pPr>
      <w:ind w:firstLine="420" w:firstLineChars="200"/>
    </w:pPr>
  </w:style>
  <w:style w:type="paragraph" w:styleId="11">
    <w:name w:val="Body Text Indent"/>
    <w:basedOn w:val="1"/>
    <w:qFormat/>
    <w:uiPriority w:val="0"/>
    <w:pPr>
      <w:spacing w:line="360" w:lineRule="auto"/>
      <w:ind w:firstLine="480" w:firstLineChars="200"/>
    </w:pPr>
    <w:rPr>
      <w:rFonts w:ascii="宋体" w:hAnsi="宋体"/>
      <w:sz w:val="24"/>
      <w:szCs w:val="24"/>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theme="minorBidi"/>
      <w:sz w:val="11"/>
      <w:szCs w:val="2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360" w:lineRule="auto"/>
      <w:ind w:firstLine="200" w:firstLineChars="200"/>
      <w:jc w:val="left"/>
    </w:pPr>
    <w:rPr>
      <w:b/>
      <w:bCs/>
      <w:caps/>
      <w:sz w:val="20"/>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link w:val="32"/>
    <w:qFormat/>
    <w:uiPriority w:val="0"/>
    <w:pPr>
      <w:spacing w:before="240" w:after="60"/>
      <w:ind w:left="425" w:hanging="425"/>
      <w:jc w:val="center"/>
      <w:outlineLvl w:val="0"/>
    </w:pPr>
    <w:rPr>
      <w:rFonts w:ascii="Arial" w:hAnsi="Arial" w:cs="Arial"/>
      <w:b/>
      <w:bCs/>
      <w:sz w:val="32"/>
      <w:szCs w:val="32"/>
    </w:rPr>
  </w:style>
  <w:style w:type="paragraph" w:styleId="19">
    <w:name w:val="Body Text First Indent 2"/>
    <w:basedOn w:val="11"/>
    <w:unhideWhenUsed/>
    <w:qFormat/>
    <w:uiPriority w:val="99"/>
    <w:pPr>
      <w:ind w:firstLine="420"/>
    </w:p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paragraph" w:customStyle="1" w:styleId="25">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6">
    <w:name w:val="Default Text"/>
    <w:link w:val="35"/>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27">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28">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9">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0">
    <w:name w:val="答复表头"/>
    <w:basedOn w:val="31"/>
    <w:next w:val="1"/>
    <w:qFormat/>
    <w:uiPriority w:val="0"/>
    <w:pPr>
      <w:tabs>
        <w:tab w:val="left" w:pos="480"/>
      </w:tabs>
    </w:pPr>
  </w:style>
  <w:style w:type="paragraph" w:customStyle="1" w:styleId="31">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32">
    <w:name w:val="标题 字符"/>
    <w:basedOn w:val="21"/>
    <w:link w:val="18"/>
    <w:qFormat/>
    <w:uiPriority w:val="0"/>
    <w:rPr>
      <w:rFonts w:ascii="Arial" w:hAnsi="Arial" w:cs="Arial"/>
      <w:b/>
      <w:bCs/>
      <w:sz w:val="32"/>
      <w:szCs w:val="32"/>
    </w:rPr>
  </w:style>
  <w:style w:type="character" w:customStyle="1" w:styleId="33">
    <w:name w:val="7）页眉页脚"/>
    <w:qFormat/>
    <w:uiPriority w:val="0"/>
    <w:rPr>
      <w:rFonts w:ascii="仿宋_GB2312" w:eastAsia="仿宋_GB2312"/>
      <w:b/>
      <w:i/>
      <w:sz w:val="18"/>
      <w:vertAlign w:val="baseline"/>
    </w:rPr>
  </w:style>
  <w:style w:type="paragraph" w:customStyle="1" w:styleId="34">
    <w:name w:val="Char"/>
    <w:basedOn w:val="1"/>
    <w:qFormat/>
    <w:uiPriority w:val="0"/>
    <w:rPr>
      <w:rFonts w:ascii="Tahoma" w:hAnsi="Tahoma" w:cs="仿宋_GB2312"/>
      <w:sz w:val="24"/>
      <w:szCs w:val="28"/>
    </w:rPr>
  </w:style>
  <w:style w:type="character" w:customStyle="1" w:styleId="35">
    <w:name w:val="Default Text Char"/>
    <w:link w:val="26"/>
    <w:qFormat/>
    <w:uiPriority w:val="0"/>
    <w:rPr>
      <w:rFonts w:asciiTheme="minorHAnsi" w:hAnsiTheme="minorHAnsi" w:eastAsiaTheme="minorEastAsia" w:cstheme="minorBidi"/>
      <w:color w:val="000000"/>
      <w:kern w:val="2"/>
      <w:sz w:val="24"/>
      <w:szCs w:val="22"/>
    </w:rPr>
  </w:style>
  <w:style w:type="paragraph" w:styleId="36">
    <w:name w:val="List Paragraph"/>
    <w:basedOn w:val="1"/>
    <w:qFormat/>
    <w:uiPriority w:val="34"/>
    <w:pPr>
      <w:ind w:firstLine="420" w:firstLineChars="200"/>
    </w:pPr>
    <w:rPr>
      <w:szCs w:val="24"/>
    </w:rPr>
  </w:style>
  <w:style w:type="paragraph" w:customStyle="1" w:styleId="37">
    <w:name w:val="列出段落1"/>
    <w:basedOn w:val="1"/>
    <w:qFormat/>
    <w:uiPriority w:val="34"/>
    <w:pPr>
      <w:ind w:firstLine="420" w:firstLineChars="200"/>
    </w:pPr>
    <w:rPr>
      <w:szCs w:val="24"/>
    </w:rPr>
  </w:style>
  <w:style w:type="paragraph" w:customStyle="1" w:styleId="38">
    <w:name w:val="样式 正文缩进 + 首行缩进:  2 字符"/>
    <w:basedOn w:val="10"/>
    <w:qFormat/>
    <w:uiPriority w:val="0"/>
    <w:pPr>
      <w:ind w:firstLine="200"/>
    </w:pPr>
    <w:rPr>
      <w:rFonts w:cs="宋体"/>
    </w:rPr>
  </w:style>
  <w:style w:type="paragraph" w:customStyle="1" w:styleId="39">
    <w:name w:val="四号正文"/>
    <w:basedOn w:val="1"/>
    <w:qFormat/>
    <w:uiPriority w:val="99"/>
    <w:pPr>
      <w:ind w:firstLine="560" w:firstLineChars="200"/>
    </w:pPr>
    <w:rPr>
      <w:sz w:val="28"/>
      <w:szCs w:val="28"/>
    </w:rPr>
  </w:style>
  <w:style w:type="paragraph" w:customStyle="1" w:styleId="40">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41">
    <w:name w:val="规范正文 Char Char"/>
    <w:basedOn w:val="1"/>
    <w:qFormat/>
    <w:uiPriority w:val="0"/>
    <w:pPr>
      <w:adjustRightInd w:val="0"/>
      <w:spacing w:line="360" w:lineRule="auto"/>
      <w:ind w:left="480"/>
      <w:textAlignment w:val="baseline"/>
    </w:pPr>
    <w:rPr>
      <w:sz w:val="24"/>
    </w:rPr>
  </w:style>
  <w:style w:type="paragraph" w:customStyle="1" w:styleId="42">
    <w:name w:val="正文1"/>
    <w:qFormat/>
    <w:uiPriority w:val="0"/>
    <w:pPr>
      <w:widowControl w:val="0"/>
      <w:adjustRightInd w:val="0"/>
      <w:spacing w:line="312" w:lineRule="atLeast"/>
      <w:jc w:val="both"/>
    </w:pPr>
    <w:rPr>
      <w:rFonts w:ascii="宋体" w:hAnsi="Calibri"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4069</Words>
  <Characters>23196</Characters>
  <Lines>193</Lines>
  <Paragraphs>54</Paragraphs>
  <TotalTime>36</TotalTime>
  <ScaleCrop>false</ScaleCrop>
  <LinksUpToDate>false</LinksUpToDate>
  <CharactersWithSpaces>27211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kakaxuwei</cp:lastModifiedBy>
  <dcterms:modified xsi:type="dcterms:W3CDTF">2020-08-06T10:29:21Z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