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</w:rPr>
      </w:pPr>
      <w:r>
        <w:rPr>
          <w:rFonts w:hint="eastAsia"/>
          <w:b/>
          <w:sz w:val="36"/>
          <w:szCs w:val="36"/>
          <w:lang w:eastAsia="zh-CN"/>
        </w:rPr>
        <w:t>奇台县采购安装燃气泄漏报警器和自动切断服务项目公开招标公告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新疆新华远景工程造价咨询有限公司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奇台县住房和城乡建设局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的委托，就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奇台县采购安装燃气泄漏报警器和自动切断服务项目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采购，欢迎符合相关资质条件的供应商前来报名参与投标。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奇台县采购安装燃气泄漏报警器和自动切断服务项目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</w:rPr>
        <w:t>项目编号：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eastAsia="zh-CN"/>
        </w:rPr>
        <w:t>XHYJ-QTCG2022-012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-01</w:t>
      </w:r>
    </w:p>
    <w:p>
      <w:pPr>
        <w:keepNext w:val="0"/>
        <w:keepLines w:val="0"/>
        <w:pageBreakBefore w:val="0"/>
        <w:widowControl w:val="0"/>
        <w:tabs>
          <w:tab w:val="left" w:pos="5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/>
          <w:color w:val="auto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、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资金来源：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财政补助50%居民自筹50%</w:t>
      </w:r>
      <w:r>
        <w:rPr>
          <w:rFonts w:hint="eastAsia" w:ascii="仿宋_GB2312" w:eastAsia="仿宋_GB2312"/>
          <w:b w:val="0"/>
          <w:bCs/>
          <w:color w:val="auto"/>
          <w:sz w:val="30"/>
          <w:szCs w:val="30"/>
        </w:rPr>
        <w:t>。</w:t>
      </w:r>
      <w:bookmarkStart w:id="0" w:name="_GoBack"/>
      <w:bookmarkEnd w:id="0"/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b/>
          <w:color w:val="auto"/>
          <w:sz w:val="30"/>
          <w:szCs w:val="30"/>
          <w:lang w:eastAsia="zh-CN"/>
        </w:rPr>
        <w:t>四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、采购预算</w:t>
      </w:r>
      <w:r>
        <w:rPr>
          <w:rFonts w:hint="eastAsia" w:ascii="仿宋_GB2312" w:eastAsia="仿宋_GB2312"/>
          <w:b w:val="0"/>
          <w:bCs/>
          <w:color w:val="auto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-SA"/>
        </w:rPr>
        <w:t>2000万元，控制价：1720万元，其中第一包采购控制价：1520万元，第二包:采购控制价：200万元（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8"/>
          <w:szCs w:val="28"/>
          <w:lang w:val="en-US" w:eastAsia="zh-CN" w:bidi="ar-SA"/>
        </w:rPr>
        <w:t>所有费用包含税费、安装、运费等相关费用）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仿宋_GB2312" w:hAnsi="Times New Roman" w:eastAsia="仿宋_GB2312" w:cs="Times New Roman"/>
          <w:b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color w:val="auto"/>
          <w:kern w:val="2"/>
          <w:sz w:val="30"/>
          <w:szCs w:val="30"/>
          <w:lang w:val="en-US" w:eastAsia="zh-CN" w:bidi="ar-SA"/>
        </w:rPr>
        <w:t>五、采购内容：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第一包：天然气（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-SA"/>
        </w:rPr>
        <w:t>1520万元）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：物 联 网 家 用 报 警 器：1、家 用 探 测 器2、家 用 电 磁 阀（具体参数详见招标文件）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第二包：液化气（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-SA"/>
        </w:rPr>
        <w:t>200万元）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：1、液化气探测器2、燃气紧急切断电磁阀（具体参数详见招标文件）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_GB2312" w:eastAsia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0"/>
          <w:szCs w:val="30"/>
          <w:lang w:eastAsia="zh-CN"/>
        </w:rPr>
        <w:t>六、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付款方式:</w:t>
      </w:r>
      <w:r>
        <w:rPr>
          <w:rFonts w:hint="eastAsia" w:ascii="仿宋_GB2312" w:eastAsia="仿宋_GB2312"/>
          <w:b w:val="0"/>
          <w:bCs/>
          <w:color w:val="auto"/>
          <w:sz w:val="30"/>
          <w:szCs w:val="30"/>
          <w:lang w:val="en-US" w:eastAsia="zh-CN"/>
        </w:rPr>
        <w:t>合同签订后付款30%，货物安装验收合格后付至80%，审计通过后付至97%，剩余3%质保期结束后付清。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auto"/>
          <w:sz w:val="30"/>
          <w:szCs w:val="30"/>
          <w:lang w:eastAsia="zh-CN"/>
        </w:rPr>
        <w:t>七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、投标人资质要求：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1、投标人必须是符合《中华人民共和国政府采购法》第二十二条的合格供应商（1、具有独立承担民事责任的能力；2、具有良好的商业信誉和健全的财务会计制度；3、具有履行合同所必需专业技术能力；4、有依法缴纳税收和社会保障资金的良好记录；5、参加政府采购活动前三年内，在经营活动中没有重大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法记录；6、法律、行政法规规定的其他条件。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投标人具有有效的“三证合一”的营业执照副本原件(营业执照需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包含本次项目的相关经营范围)。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供应商在“信用中国”网站（www.creditchina.gov.cn）未被列入失信被执行人名单，未被列入重大税收违法案件当事人名单。且在“中国政府采购网”（www.ccgp.gov.cn）没有政府采购严重违法失信行为记录（被禁止在一定期限内参加政府采购活动，但期限届满的除外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在新疆地区设有长期稳定的服务机构证明材料。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本项目不接受联合体投标，其他要求详见招标文件 。</w:t>
      </w:r>
    </w:p>
    <w:p>
      <w:pP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  <w:lang w:eastAsia="zh-CN"/>
        </w:rPr>
        <w:t>八、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售后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  <w:lang w:eastAsia="zh-CN"/>
        </w:rPr>
        <w:t>服务要求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：</w:t>
      </w:r>
    </w:p>
    <w:p>
      <w:pPr>
        <w:tabs>
          <w:tab w:val="left" w:pos="591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1.本合同的质量保证期（简称“质保期”）为5年，质保期内乙方对所供货物实行包修、包换、包退，期满后可同时提供(有偿)维修保养服务。</w:t>
      </w:r>
    </w:p>
    <w:p>
      <w:pPr>
        <w:tabs>
          <w:tab w:val="left" w:pos="591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2.质保期内，如设备或零部件因非人为因素出现故障而造成短期停用时，则质保期和免费维修期相应顺延。</w:t>
      </w:r>
    </w:p>
    <w:p>
      <w:pPr>
        <w:tabs>
          <w:tab w:val="left" w:pos="591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3.对甲方的服务通知，乙方在接报后2小时内响应，如果不能通过远程解决的2小时内到达现场，2小时内处理完毕。</w:t>
      </w:r>
    </w:p>
    <w:p>
      <w:pPr>
        <w:tabs>
          <w:tab w:val="left" w:pos="591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4、供货方承诺根据国务院颁布的城镇燃气设施运行、维护和抢修安全技术规范CJJ-51-2006执行，进行巡检及维护。</w:t>
      </w:r>
    </w:p>
    <w:p>
      <w:pPr>
        <w:tabs>
          <w:tab w:val="left" w:pos="591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在交付使用后，投标人应对保修期及其以后的服务做出承诺，并具有切实可行的服务措施。不能及时兑现服务承诺内容而影响采购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使用时，投标人应给予补偿的承诺，在投标文件中均应明确说明。</w:t>
      </w:r>
    </w:p>
    <w:p>
      <w:pPr>
        <w:tabs>
          <w:tab w:val="left" w:pos="591"/>
        </w:tabs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九、交货期：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自合同签订之日起90个工作日内完成供货及安装并交付使用（注：具体以签订的合同为准）。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val="en-US" w:eastAsia="zh-CN"/>
        </w:rPr>
        <w:t>十、交货地点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highlight w:val="none"/>
          <w:lang w:val="en-US" w:eastAsia="zh-Hans"/>
        </w:rPr>
        <w:t>甲方指定地点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eastAsia="zh-CN"/>
        </w:rPr>
        <w:t>十一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、报名起截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止时间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日---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日下午19: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止，每日上午10：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0－13：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下午1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0－19：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（节假日、周末除外）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地点：奇台县双创大厦5楼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报名须知：</w:t>
      </w:r>
    </w:p>
    <w:p>
      <w:pPr>
        <w:pStyle w:val="6"/>
        <w:ind w:firstLine="843" w:firstLineChars="300"/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Style w:val="17"/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  <w:lang w:eastAsia="zh-CN"/>
        </w:rPr>
        <w:t>第一包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fldChar w:fldCharType="begin"/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instrText xml:space="preserve"> HYPERLINK "mailto:投标单位报名请将1、公司工商营业执照副本原件(营业执照需包含本次采购项目的专业技术能力和相应营业范围；2、法人代表授权书、被委托人的身份证件原件3、中国政府采购网(www.ccgp.gov.cn)和\“信用中国\”网站（www.creditchina.gov.cn）信用记录截图（以上资料加盖公章的复印件）扫描成PDF格式，电子版发送至招标代理机构邮箱（893673931@qq.com）并致电0994-7229636予以确认，资料未按要求提供不予受理。" </w:instrTex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fldChar w:fldCharType="separate"/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投标单位报名请将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、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有效的三证合一营业执照原件（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营业执照需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包含本次项目的相关经营范围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）或可扫描二维码复印件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；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、法人代表授权书、被委托人的身份证件原件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3、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中国政府采购网(www.ccgp.gov.cn)和“信用中国”网站（www.creditchina.gov.cn）信用记录截图（以上资料加盖公章的复印件）（携带以上资料复印件两份到奇台县双创大厦五楼拷贝招标文件（须自带U盘)。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招标文件第一包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500元/份，（售后不退）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textAlignment w:val="auto"/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Style w:val="17"/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  <w:lang w:eastAsia="zh-CN"/>
        </w:rPr>
        <w:t>第二包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fldChar w:fldCharType="begin"/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instrText xml:space="preserve"> HYPERLINK "mailto:投标单位报名请将1、公司工商营业执照副本原件(营业执照需包含本次采购项目的专业技术能力和相应营业范围；2、法人代表授权书、被委托人的身份证件原件3、中国政府采购网(www.ccgp.gov.cn)和\“信用中国\”网站（www.creditchina.gov.cn）信用记录截图（以上资料加盖公章的复印件）扫描成PDF格式，电子版发送至招标代理机构邮箱（893673931@qq.com）并致电0994-7229636予以确认，资料未按要求提供不予受理。" </w:instrTex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fldChar w:fldCharType="separate"/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投标单位报名请将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、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有效的三证合一营业执照原件（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营业执照需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包含本次项目的相关经营范围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）或可扫描二维码复印件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；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、法人代表授权书、被委托人的身份证件原件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3、</w:t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中国政府采购网(www.ccgp.gov.cn)和“信用中国”网站（www.creditchina.gov.cn）信用记录截图（以上资料加盖公章的复印件）（携带以上资料复印件两份到奇台县双创大厦五楼拷贝招标文件（须自带U盘)。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招标文件第二包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300元/份（售后不退）</w:t>
      </w:r>
    </w:p>
    <w:p>
      <w:pPr>
        <w:pStyle w:val="2"/>
        <w:rPr>
          <w:rFonts w:hint="eastAsia"/>
        </w:rPr>
      </w:pP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fldChar w:fldCharType="end"/>
      </w:r>
      <w:r>
        <w:rPr>
          <w:rStyle w:val="17"/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eastAsia="zh-CN"/>
        </w:rPr>
        <w:t>十三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eastAsia="zh-CN"/>
        </w:rPr>
        <w:t>招标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文件的取得地点：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奇台县双创大厦5楼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  <w:t>十四、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投标文件递交截止时间：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上午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lang w:eastAsia="zh-CN"/>
        </w:rPr>
        <w:t>十五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</w:rPr>
        <w:t>、投标文件递交地点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昌吉州公共资源交易大厅 (地址：昌吉市宁边西路与世纪大道交汇处，科技馆负一层)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  <w:t>十六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、开标时间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上午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、开标地点：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昌吉州公共资源交易大厅 (地址：昌吉市宁边西路与世纪大道交汇处，科技馆负一层)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采购人：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 xml:space="preserve"> 奇台县住房和城乡建设局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color w:val="393939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李主任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18399909939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93939"/>
          <w:sz w:val="28"/>
          <w:szCs w:val="28"/>
          <w:shd w:val="clear" w:color="auto" w:fill="FFFFFF"/>
        </w:rPr>
        <w:t>招标机构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新疆新华远景工程造价咨询有限公司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马静舒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郭雪丽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0994-7229636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93939"/>
          <w:sz w:val="28"/>
          <w:szCs w:val="28"/>
          <w:shd w:val="clear" w:color="auto" w:fill="FFFFFF"/>
        </w:rPr>
        <w:t>招标机构地址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奇台县双创大厦5楼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                  </w:t>
      </w:r>
    </w:p>
    <w:p>
      <w:pPr>
        <w:pStyle w:val="2"/>
        <w:rPr>
          <w:rFonts w:hint="eastAsia"/>
          <w:lang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031" w:leftChars="1729" w:right="0" w:rightChars="0" w:hanging="1400" w:hangingChars="50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新疆新华远景工程造价咨询有限公司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2022年6月6日</w:t>
      </w:r>
    </w:p>
    <w:p>
      <w:pPr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6D03E"/>
    <w:multiLevelType w:val="multilevel"/>
    <w:tmpl w:val="9026D03E"/>
    <w:lvl w:ilvl="0" w:tentative="0">
      <w:start w:val="1"/>
      <w:numFmt w:val="decimal"/>
      <w:lvlText w:val="第%1章"/>
      <w:lvlJc w:val="left"/>
      <w:pPr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FullWidth"/>
      <w:pStyle w:val="5"/>
      <w:lvlText w:val="%1.%2"/>
      <w:lvlJc w:val="left"/>
      <w:pPr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lvlText w:val="%1.%2.%3 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94BDD30C"/>
    <w:multiLevelType w:val="singleLevel"/>
    <w:tmpl w:val="94BDD30C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2">
    <w:nsid w:val="1D2161C6"/>
    <w:multiLevelType w:val="singleLevel"/>
    <w:tmpl w:val="1D2161C6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NjgwMTdmZTIyYjRlMmY2YWM0M2E2MjFmMWJlNzUifQ=="/>
  </w:docVars>
  <w:rsids>
    <w:rsidRoot w:val="230C220A"/>
    <w:rsid w:val="00274C64"/>
    <w:rsid w:val="00CE2CEB"/>
    <w:rsid w:val="00FA6B9C"/>
    <w:rsid w:val="01423F24"/>
    <w:rsid w:val="017B2F92"/>
    <w:rsid w:val="02B80DC8"/>
    <w:rsid w:val="0328714A"/>
    <w:rsid w:val="03AE2F93"/>
    <w:rsid w:val="03B43D79"/>
    <w:rsid w:val="04E82BA3"/>
    <w:rsid w:val="054B35C3"/>
    <w:rsid w:val="05810D93"/>
    <w:rsid w:val="05F477B7"/>
    <w:rsid w:val="06647088"/>
    <w:rsid w:val="068F3281"/>
    <w:rsid w:val="06EA11FE"/>
    <w:rsid w:val="0765096C"/>
    <w:rsid w:val="078F7CDF"/>
    <w:rsid w:val="079E2D3B"/>
    <w:rsid w:val="081163FE"/>
    <w:rsid w:val="0841493C"/>
    <w:rsid w:val="0AA17C4F"/>
    <w:rsid w:val="0B0E778B"/>
    <w:rsid w:val="0B415F1C"/>
    <w:rsid w:val="0B4314AC"/>
    <w:rsid w:val="0C61547A"/>
    <w:rsid w:val="0D5D10FB"/>
    <w:rsid w:val="0DFB66BA"/>
    <w:rsid w:val="0E2B5D40"/>
    <w:rsid w:val="0E4314E8"/>
    <w:rsid w:val="0E74336A"/>
    <w:rsid w:val="0E814859"/>
    <w:rsid w:val="0F5F5CA1"/>
    <w:rsid w:val="1018612E"/>
    <w:rsid w:val="10B11063"/>
    <w:rsid w:val="11577C64"/>
    <w:rsid w:val="11764336"/>
    <w:rsid w:val="11CA14B2"/>
    <w:rsid w:val="12A30193"/>
    <w:rsid w:val="12F11306"/>
    <w:rsid w:val="13635C15"/>
    <w:rsid w:val="13F33191"/>
    <w:rsid w:val="14A208D9"/>
    <w:rsid w:val="14E61B6E"/>
    <w:rsid w:val="154B3ABA"/>
    <w:rsid w:val="16B90623"/>
    <w:rsid w:val="16F5731E"/>
    <w:rsid w:val="18100480"/>
    <w:rsid w:val="191E0D46"/>
    <w:rsid w:val="19E62171"/>
    <w:rsid w:val="1A0E6C42"/>
    <w:rsid w:val="1A165AF6"/>
    <w:rsid w:val="1A514D80"/>
    <w:rsid w:val="1A690059"/>
    <w:rsid w:val="1B8D1DE8"/>
    <w:rsid w:val="1C4817DB"/>
    <w:rsid w:val="1CAC44F0"/>
    <w:rsid w:val="1D37721E"/>
    <w:rsid w:val="1D5041C6"/>
    <w:rsid w:val="1D9F5E03"/>
    <w:rsid w:val="1E2307E2"/>
    <w:rsid w:val="1E5401B5"/>
    <w:rsid w:val="1ED12076"/>
    <w:rsid w:val="1EFB56CB"/>
    <w:rsid w:val="1F6F5F6D"/>
    <w:rsid w:val="1F8D23B7"/>
    <w:rsid w:val="1FA31BDA"/>
    <w:rsid w:val="1FF16DE9"/>
    <w:rsid w:val="20E3591B"/>
    <w:rsid w:val="20FD356C"/>
    <w:rsid w:val="212C1F38"/>
    <w:rsid w:val="22716B49"/>
    <w:rsid w:val="229D70CD"/>
    <w:rsid w:val="22A45D3A"/>
    <w:rsid w:val="22FA2017"/>
    <w:rsid w:val="230C220A"/>
    <w:rsid w:val="230D5E88"/>
    <w:rsid w:val="2321690D"/>
    <w:rsid w:val="23A937E6"/>
    <w:rsid w:val="24285418"/>
    <w:rsid w:val="24326CFD"/>
    <w:rsid w:val="245060A9"/>
    <w:rsid w:val="2481350F"/>
    <w:rsid w:val="24EE7D9B"/>
    <w:rsid w:val="25141091"/>
    <w:rsid w:val="251470D6"/>
    <w:rsid w:val="261B2895"/>
    <w:rsid w:val="26AF7F78"/>
    <w:rsid w:val="26D432B2"/>
    <w:rsid w:val="278C6F0B"/>
    <w:rsid w:val="27FC741F"/>
    <w:rsid w:val="283307A7"/>
    <w:rsid w:val="290B41E7"/>
    <w:rsid w:val="29C70BBB"/>
    <w:rsid w:val="29D3130E"/>
    <w:rsid w:val="2A781AFA"/>
    <w:rsid w:val="2B253DEB"/>
    <w:rsid w:val="2B594DA9"/>
    <w:rsid w:val="2D4D6B85"/>
    <w:rsid w:val="2E8250B1"/>
    <w:rsid w:val="2EB129E9"/>
    <w:rsid w:val="2F545CE3"/>
    <w:rsid w:val="2F6A56B8"/>
    <w:rsid w:val="31191B62"/>
    <w:rsid w:val="32586854"/>
    <w:rsid w:val="32830468"/>
    <w:rsid w:val="32FB44C9"/>
    <w:rsid w:val="34F74348"/>
    <w:rsid w:val="35F03248"/>
    <w:rsid w:val="36525CB0"/>
    <w:rsid w:val="36745C27"/>
    <w:rsid w:val="370F76FD"/>
    <w:rsid w:val="38226921"/>
    <w:rsid w:val="38B601CD"/>
    <w:rsid w:val="396B1563"/>
    <w:rsid w:val="3A984E46"/>
    <w:rsid w:val="3A995C5C"/>
    <w:rsid w:val="3B5D1DE8"/>
    <w:rsid w:val="3B6033F0"/>
    <w:rsid w:val="3C2B4DBB"/>
    <w:rsid w:val="3C320FF0"/>
    <w:rsid w:val="3C8666B4"/>
    <w:rsid w:val="3CC1325C"/>
    <w:rsid w:val="3E616A28"/>
    <w:rsid w:val="3E654F88"/>
    <w:rsid w:val="3EBD76C0"/>
    <w:rsid w:val="3F9E5AC2"/>
    <w:rsid w:val="40BA1DCF"/>
    <w:rsid w:val="410F416B"/>
    <w:rsid w:val="414B1EC2"/>
    <w:rsid w:val="414C13B1"/>
    <w:rsid w:val="41742F7F"/>
    <w:rsid w:val="41F077D9"/>
    <w:rsid w:val="42507548"/>
    <w:rsid w:val="42F54110"/>
    <w:rsid w:val="432E2F98"/>
    <w:rsid w:val="44B414C1"/>
    <w:rsid w:val="44C4166D"/>
    <w:rsid w:val="45960A20"/>
    <w:rsid w:val="46483E29"/>
    <w:rsid w:val="46584C1D"/>
    <w:rsid w:val="468E3C29"/>
    <w:rsid w:val="46C9191D"/>
    <w:rsid w:val="476627AF"/>
    <w:rsid w:val="47BC742D"/>
    <w:rsid w:val="48176AB3"/>
    <w:rsid w:val="490C1CEF"/>
    <w:rsid w:val="49612C09"/>
    <w:rsid w:val="496E15A5"/>
    <w:rsid w:val="49CD11D1"/>
    <w:rsid w:val="4A270B87"/>
    <w:rsid w:val="4ACA16A0"/>
    <w:rsid w:val="4BD95797"/>
    <w:rsid w:val="4D365A25"/>
    <w:rsid w:val="4EA824BA"/>
    <w:rsid w:val="4EC8359C"/>
    <w:rsid w:val="4F945BAE"/>
    <w:rsid w:val="4FF13FA3"/>
    <w:rsid w:val="500E27F0"/>
    <w:rsid w:val="50237DB3"/>
    <w:rsid w:val="507C26E4"/>
    <w:rsid w:val="50803A44"/>
    <w:rsid w:val="50C7024C"/>
    <w:rsid w:val="51172573"/>
    <w:rsid w:val="514E59FA"/>
    <w:rsid w:val="519B66EE"/>
    <w:rsid w:val="51EB7F15"/>
    <w:rsid w:val="521560B8"/>
    <w:rsid w:val="526E7576"/>
    <w:rsid w:val="52700BF0"/>
    <w:rsid w:val="52B14033"/>
    <w:rsid w:val="53BE61C8"/>
    <w:rsid w:val="545C7FCE"/>
    <w:rsid w:val="551F38A0"/>
    <w:rsid w:val="5547226E"/>
    <w:rsid w:val="55DB1F32"/>
    <w:rsid w:val="562763BA"/>
    <w:rsid w:val="563C6515"/>
    <w:rsid w:val="568B028C"/>
    <w:rsid w:val="57347429"/>
    <w:rsid w:val="57A857EB"/>
    <w:rsid w:val="584B2834"/>
    <w:rsid w:val="5867197F"/>
    <w:rsid w:val="58A12453"/>
    <w:rsid w:val="58C94CBB"/>
    <w:rsid w:val="59E04242"/>
    <w:rsid w:val="5A5F4374"/>
    <w:rsid w:val="5AF0731D"/>
    <w:rsid w:val="5B743702"/>
    <w:rsid w:val="5BB826E2"/>
    <w:rsid w:val="5BC12663"/>
    <w:rsid w:val="5BF37DAF"/>
    <w:rsid w:val="5CEA0C58"/>
    <w:rsid w:val="5D0E3E30"/>
    <w:rsid w:val="5D2C42B6"/>
    <w:rsid w:val="5DBF026E"/>
    <w:rsid w:val="5E7D126D"/>
    <w:rsid w:val="5ED45A6C"/>
    <w:rsid w:val="5FC87E4F"/>
    <w:rsid w:val="61016185"/>
    <w:rsid w:val="61042335"/>
    <w:rsid w:val="612B6194"/>
    <w:rsid w:val="61D20875"/>
    <w:rsid w:val="62CB4024"/>
    <w:rsid w:val="62F35FA1"/>
    <w:rsid w:val="63055E53"/>
    <w:rsid w:val="634A5F1E"/>
    <w:rsid w:val="63B3128D"/>
    <w:rsid w:val="63F773C7"/>
    <w:rsid w:val="65D5198E"/>
    <w:rsid w:val="6655201C"/>
    <w:rsid w:val="66A06CD6"/>
    <w:rsid w:val="66B261F4"/>
    <w:rsid w:val="66D71272"/>
    <w:rsid w:val="66E20B98"/>
    <w:rsid w:val="68A33347"/>
    <w:rsid w:val="69B72C19"/>
    <w:rsid w:val="6A6C48D6"/>
    <w:rsid w:val="6AE26C52"/>
    <w:rsid w:val="6B670642"/>
    <w:rsid w:val="6BB533A7"/>
    <w:rsid w:val="6BE91CF0"/>
    <w:rsid w:val="6CE30E35"/>
    <w:rsid w:val="6CFF67A4"/>
    <w:rsid w:val="6DAD31F1"/>
    <w:rsid w:val="6EA14278"/>
    <w:rsid w:val="6EDF562C"/>
    <w:rsid w:val="6F26325B"/>
    <w:rsid w:val="6F2D6397"/>
    <w:rsid w:val="6F9E3B82"/>
    <w:rsid w:val="709D04E4"/>
    <w:rsid w:val="70AB65C6"/>
    <w:rsid w:val="71793B16"/>
    <w:rsid w:val="718C4D65"/>
    <w:rsid w:val="719F6B61"/>
    <w:rsid w:val="71EB0225"/>
    <w:rsid w:val="71FD64F5"/>
    <w:rsid w:val="72192C03"/>
    <w:rsid w:val="72600832"/>
    <w:rsid w:val="746F2FAE"/>
    <w:rsid w:val="74F022D8"/>
    <w:rsid w:val="766C59F7"/>
    <w:rsid w:val="768F5B89"/>
    <w:rsid w:val="76946059"/>
    <w:rsid w:val="769C4DB2"/>
    <w:rsid w:val="76CC04FA"/>
    <w:rsid w:val="76E61166"/>
    <w:rsid w:val="77B9603A"/>
    <w:rsid w:val="77D85D38"/>
    <w:rsid w:val="780B5A3A"/>
    <w:rsid w:val="782D11B6"/>
    <w:rsid w:val="79521FBF"/>
    <w:rsid w:val="79844F71"/>
    <w:rsid w:val="7A2B7977"/>
    <w:rsid w:val="7A4850C0"/>
    <w:rsid w:val="7A722D23"/>
    <w:rsid w:val="7A796935"/>
    <w:rsid w:val="7CF20C20"/>
    <w:rsid w:val="7D111A42"/>
    <w:rsid w:val="7D9B4B26"/>
    <w:rsid w:val="7F4330DD"/>
    <w:rsid w:val="7F7403D8"/>
    <w:rsid w:val="7FC63204"/>
    <w:rsid w:val="7FE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2"/>
    <w:qFormat/>
    <w:uiPriority w:val="0"/>
    <w:pPr>
      <w:keepNext/>
      <w:keepLines/>
      <w:numPr>
        <w:ilvl w:val="1"/>
        <w:numId w:val="1"/>
      </w:numPr>
      <w:tabs>
        <w:tab w:val="left" w:pos="720"/>
      </w:tabs>
      <w:spacing w:line="360" w:lineRule="auto"/>
      <w:ind w:left="0" w:firstLine="482" w:firstLineChars="200"/>
      <w:outlineLvl w:val="1"/>
    </w:pPr>
    <w:rPr>
      <w:rFonts w:ascii="Arial" w:hAnsi="Arial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  <w:sz w:val="24"/>
      <w:szCs w:val="24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Arial" w:hAnsi="Arial"/>
      <w:sz w:val="24"/>
    </w:rPr>
  </w:style>
  <w:style w:type="paragraph" w:styleId="6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  <w:rPr>
      <w:b/>
      <w:bCs/>
    </w:rPr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ascii="monospace" w:hAnsi="monospace" w:eastAsia="monospace" w:cs="monospace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hover"/>
    <w:basedOn w:val="9"/>
    <w:qFormat/>
    <w:uiPriority w:val="0"/>
    <w:rPr>
      <w:color w:val="2590EB"/>
    </w:rPr>
  </w:style>
  <w:style w:type="character" w:customStyle="1" w:styleId="24">
    <w:name w:val="hover1"/>
    <w:basedOn w:val="9"/>
    <w:qFormat/>
    <w:uiPriority w:val="0"/>
    <w:rPr>
      <w:color w:val="2590EB"/>
    </w:rPr>
  </w:style>
  <w:style w:type="character" w:customStyle="1" w:styleId="25">
    <w:name w:val="hover2"/>
    <w:basedOn w:val="9"/>
    <w:qFormat/>
    <w:uiPriority w:val="0"/>
  </w:style>
  <w:style w:type="character" w:customStyle="1" w:styleId="26">
    <w:name w:val="mini-outputtext1"/>
    <w:basedOn w:val="9"/>
    <w:qFormat/>
    <w:uiPriority w:val="0"/>
  </w:style>
  <w:style w:type="character" w:customStyle="1" w:styleId="27">
    <w:name w:val="hover3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1832</Words>
  <Characters>2063</Characters>
  <Lines>0</Lines>
  <Paragraphs>0</Paragraphs>
  <TotalTime>184</TotalTime>
  <ScaleCrop>false</ScaleCrop>
  <LinksUpToDate>false</LinksUpToDate>
  <CharactersWithSpaces>2120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2019-10-29T03:46:00Z</dcterms:created>
  <dc:creator>飞雪轻舞</dc:creator>
  <cp:lastModifiedBy>Administrator</cp:lastModifiedBy>
  <dcterms:modified xsi:type="dcterms:W3CDTF">2022-06-06T08:17:28Z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1015B3BA20B445FEAE6F21766AF29FF7</vt:lpwstr>
  </property>
</Properties>
</file>