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left="2820" w:firstLine="2409" w:firstLineChars="1000"/>
        <w:jc w:val="right"/>
        <w:rPr>
          <w:rFonts w:ascii="宋体" w:hAnsi="宋体" w:eastAsia="宋体"/>
          <w:b/>
          <w:color w:val="auto"/>
          <w:sz w:val="24"/>
          <w:szCs w:val="24"/>
          <w:highlight w:val="none"/>
        </w:rPr>
      </w:pPr>
      <w:bookmarkStart w:id="0" w:name="page1"/>
      <w:bookmarkEnd w:id="0"/>
      <w:r>
        <w:rPr>
          <w:rFonts w:hint="eastAsia" w:ascii="宋体" w:hAnsi="宋体" w:eastAsia="宋体"/>
          <w:b/>
          <w:color w:val="auto"/>
          <w:sz w:val="24"/>
          <w:szCs w:val="24"/>
          <w:highlight w:val="none"/>
          <w:lang w:eastAsia="zh-CN"/>
        </w:rPr>
        <w:t>项目编号：2140xzjP02</w:t>
      </w:r>
    </w:p>
    <w:p>
      <w:pPr>
        <w:pStyle w:val="9"/>
        <w:rPr>
          <w:rFonts w:ascii="Times New Roman"/>
          <w:color w:val="auto"/>
          <w:sz w:val="20"/>
          <w:highlight w:val="none"/>
        </w:rPr>
      </w:pPr>
    </w:p>
    <w:p>
      <w:pPr>
        <w:pStyle w:val="9"/>
        <w:rPr>
          <w:rFonts w:ascii="Times New Roman"/>
          <w:color w:val="auto"/>
          <w:sz w:val="20"/>
          <w:highlight w:val="none"/>
        </w:rPr>
      </w:pPr>
    </w:p>
    <w:p>
      <w:pPr>
        <w:pStyle w:val="9"/>
        <w:rPr>
          <w:rFonts w:ascii="Times New Roman"/>
          <w:color w:val="auto"/>
          <w:sz w:val="20"/>
          <w:highlight w:val="none"/>
        </w:rPr>
      </w:pPr>
    </w:p>
    <w:p>
      <w:pPr>
        <w:pStyle w:val="9"/>
        <w:spacing w:before="9"/>
        <w:rPr>
          <w:rFonts w:ascii="Times New Roman"/>
          <w:color w:val="auto"/>
          <w:highlight w:val="none"/>
        </w:rPr>
      </w:pPr>
    </w:p>
    <w:p>
      <w:pPr>
        <w:pStyle w:val="9"/>
        <w:rPr>
          <w:rFonts w:ascii="Microsoft JhengHei"/>
          <w:b/>
          <w:color w:val="auto"/>
          <w:sz w:val="48"/>
          <w:highlight w:val="none"/>
        </w:rPr>
      </w:pPr>
    </w:p>
    <w:p>
      <w:pPr>
        <w:pStyle w:val="9"/>
        <w:spacing w:before="18"/>
        <w:rPr>
          <w:rFonts w:ascii="Microsoft JhengHei"/>
          <w:b/>
          <w:color w:val="auto"/>
          <w:sz w:val="39"/>
          <w:highlight w:val="none"/>
        </w:rPr>
      </w:pPr>
    </w:p>
    <w:p>
      <w:pPr>
        <w:tabs>
          <w:tab w:val="left" w:pos="1863"/>
          <w:tab w:val="left" w:pos="2943"/>
          <w:tab w:val="left" w:pos="4023"/>
          <w:tab w:val="left" w:pos="5103"/>
        </w:tabs>
        <w:spacing w:before="0"/>
        <w:ind w:left="784" w:right="0" w:firstLine="0"/>
        <w:jc w:val="center"/>
        <w:rPr>
          <w:color w:val="auto"/>
          <w:sz w:val="72"/>
          <w:highlight w:val="none"/>
        </w:rPr>
      </w:pPr>
      <w:r>
        <w:rPr>
          <w:color w:val="auto"/>
          <w:sz w:val="72"/>
          <w:highlight w:val="none"/>
        </w:rPr>
        <w:t>询</w:t>
      </w:r>
      <w:r>
        <w:rPr>
          <w:color w:val="auto"/>
          <w:sz w:val="72"/>
          <w:highlight w:val="none"/>
        </w:rPr>
        <w:tab/>
      </w:r>
      <w:r>
        <w:rPr>
          <w:color w:val="auto"/>
          <w:sz w:val="72"/>
          <w:highlight w:val="none"/>
        </w:rPr>
        <w:t>价</w:t>
      </w:r>
      <w:r>
        <w:rPr>
          <w:color w:val="auto"/>
          <w:sz w:val="72"/>
          <w:highlight w:val="none"/>
        </w:rPr>
        <w:tab/>
      </w:r>
      <w:r>
        <w:rPr>
          <w:color w:val="auto"/>
          <w:sz w:val="72"/>
          <w:highlight w:val="none"/>
        </w:rPr>
        <w:t>通</w:t>
      </w:r>
      <w:r>
        <w:rPr>
          <w:color w:val="auto"/>
          <w:sz w:val="72"/>
          <w:highlight w:val="none"/>
        </w:rPr>
        <w:tab/>
      </w:r>
      <w:r>
        <w:rPr>
          <w:color w:val="auto"/>
          <w:sz w:val="72"/>
          <w:highlight w:val="none"/>
        </w:rPr>
        <w:t>知</w:t>
      </w:r>
      <w:r>
        <w:rPr>
          <w:color w:val="auto"/>
          <w:sz w:val="72"/>
          <w:highlight w:val="none"/>
        </w:rPr>
        <w:tab/>
      </w:r>
      <w:r>
        <w:rPr>
          <w:color w:val="auto"/>
          <w:sz w:val="72"/>
          <w:highlight w:val="none"/>
        </w:rPr>
        <w:t>书</w:t>
      </w:r>
    </w:p>
    <w:p>
      <w:pPr>
        <w:pStyle w:val="9"/>
        <w:rPr>
          <w:color w:val="auto"/>
          <w:sz w:val="72"/>
          <w:highlight w:val="none"/>
        </w:rPr>
      </w:pPr>
    </w:p>
    <w:p>
      <w:pPr>
        <w:pStyle w:val="9"/>
        <w:rPr>
          <w:color w:val="auto"/>
          <w:sz w:val="72"/>
          <w:highlight w:val="none"/>
        </w:rPr>
      </w:pPr>
    </w:p>
    <w:p>
      <w:pPr>
        <w:pStyle w:val="9"/>
        <w:rPr>
          <w:color w:val="auto"/>
          <w:sz w:val="72"/>
          <w:highlight w:val="none"/>
        </w:rPr>
      </w:pPr>
    </w:p>
    <w:p>
      <w:pPr>
        <w:pStyle w:val="9"/>
        <w:rPr>
          <w:color w:val="auto"/>
          <w:sz w:val="72"/>
          <w:highlight w:val="none"/>
        </w:rPr>
      </w:pPr>
    </w:p>
    <w:p>
      <w:pPr>
        <w:pStyle w:val="9"/>
        <w:rPr>
          <w:color w:val="auto"/>
          <w:sz w:val="72"/>
          <w:highlight w:val="none"/>
        </w:rPr>
      </w:pP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360" w:lineRule="auto"/>
        <w:ind w:left="777"/>
        <w:textAlignment w:val="auto"/>
        <w:rPr>
          <w:color w:val="auto"/>
          <w:sz w:val="32"/>
          <w:szCs w:val="32"/>
          <w:highlight w:val="none"/>
        </w:rPr>
      </w:pPr>
      <w:r>
        <w:rPr>
          <w:color w:val="auto"/>
          <w:sz w:val="32"/>
          <w:szCs w:val="32"/>
          <w:highlight w:val="none"/>
        </w:rPr>
        <w:t>采购项目：</w:t>
      </w:r>
      <w:r>
        <w:rPr>
          <w:rFonts w:hint="eastAsia"/>
          <w:color w:val="auto"/>
          <w:sz w:val="32"/>
          <w:szCs w:val="32"/>
          <w:highlight w:val="none"/>
          <w:lang w:eastAsia="zh-CN"/>
        </w:rPr>
        <w:t>伊犁哈萨克自治州友谊医院中心机房UPS、精密空调及机柜电源电路改造项目</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360" w:lineRule="auto"/>
        <w:ind w:left="777"/>
        <w:textAlignment w:val="auto"/>
        <w:rPr>
          <w:rFonts w:hint="eastAsia" w:eastAsia="仿宋"/>
          <w:color w:val="auto"/>
          <w:sz w:val="32"/>
          <w:szCs w:val="32"/>
          <w:highlight w:val="none"/>
          <w:lang w:eastAsia="zh-CN"/>
        </w:rPr>
      </w:pPr>
      <w:r>
        <w:rPr>
          <w:color w:val="auto"/>
          <w:sz w:val="32"/>
          <w:szCs w:val="32"/>
          <w:highlight w:val="none"/>
        </w:rPr>
        <w:t>询价通知书编号：</w:t>
      </w:r>
      <w:r>
        <w:rPr>
          <w:rFonts w:hint="eastAsia"/>
          <w:color w:val="auto"/>
          <w:sz w:val="32"/>
          <w:szCs w:val="32"/>
          <w:highlight w:val="none"/>
          <w:lang w:eastAsia="zh-CN"/>
        </w:rPr>
        <w:t>2140xzjP02</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360" w:lineRule="auto"/>
        <w:ind w:left="777"/>
        <w:textAlignment w:val="auto"/>
        <w:rPr>
          <w:rFonts w:hint="eastAsia"/>
          <w:color w:val="auto"/>
          <w:sz w:val="32"/>
          <w:szCs w:val="32"/>
          <w:highlight w:val="none"/>
          <w:lang w:eastAsia="zh-CN"/>
        </w:rPr>
      </w:pPr>
      <w:r>
        <w:rPr>
          <w:color w:val="auto"/>
          <w:sz w:val="32"/>
          <w:szCs w:val="32"/>
          <w:highlight w:val="none"/>
        </w:rPr>
        <w:t>采购机构：</w:t>
      </w:r>
      <w:r>
        <w:rPr>
          <w:rFonts w:hint="eastAsia"/>
          <w:color w:val="auto"/>
          <w:sz w:val="32"/>
          <w:szCs w:val="32"/>
          <w:highlight w:val="none"/>
          <w:lang w:eastAsia="zh-CN"/>
        </w:rPr>
        <w:t>新疆新之建工程咨询有限公司</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360" w:lineRule="auto"/>
        <w:ind w:left="777"/>
        <w:textAlignment w:val="auto"/>
        <w:rPr>
          <w:color w:val="auto"/>
          <w:sz w:val="32"/>
          <w:szCs w:val="32"/>
          <w:highlight w:val="none"/>
        </w:rPr>
      </w:pPr>
      <w:r>
        <w:rPr>
          <w:color w:val="auto"/>
          <w:sz w:val="32"/>
          <w:szCs w:val="32"/>
          <w:highlight w:val="none"/>
        </w:rPr>
        <w:t>采购人：</w:t>
      </w:r>
      <w:r>
        <w:rPr>
          <w:rFonts w:hint="eastAsia"/>
          <w:color w:val="auto"/>
          <w:sz w:val="32"/>
          <w:szCs w:val="32"/>
          <w:highlight w:val="none"/>
          <w:lang w:eastAsia="zh-CN"/>
        </w:rPr>
        <w:t>伊犁哈萨克自治州友谊医院</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360" w:lineRule="auto"/>
        <w:ind w:left="777"/>
        <w:textAlignment w:val="auto"/>
        <w:rPr>
          <w:color w:val="auto"/>
          <w:sz w:val="32"/>
          <w:szCs w:val="32"/>
          <w:highlight w:val="none"/>
        </w:rPr>
      </w:pP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360" w:lineRule="auto"/>
        <w:ind w:left="777"/>
        <w:jc w:val="center"/>
        <w:textAlignment w:val="auto"/>
        <w:rPr>
          <w:color w:val="auto"/>
          <w:sz w:val="32"/>
          <w:szCs w:val="32"/>
          <w:highlight w:val="none"/>
        </w:rPr>
      </w:pPr>
      <w:r>
        <w:rPr>
          <w:rFonts w:hint="eastAsia"/>
          <w:color w:val="auto"/>
          <w:sz w:val="32"/>
          <w:szCs w:val="32"/>
          <w:highlight w:val="none"/>
          <w:lang w:val="en-US" w:eastAsia="zh-CN"/>
        </w:rPr>
        <w:t>2020</w:t>
      </w:r>
      <w:r>
        <w:rPr>
          <w:color w:val="auto"/>
          <w:sz w:val="32"/>
          <w:szCs w:val="32"/>
          <w:highlight w:val="none"/>
        </w:rPr>
        <w:t>年</w:t>
      </w:r>
      <w:r>
        <w:rPr>
          <w:rFonts w:hint="eastAsia"/>
          <w:color w:val="auto"/>
          <w:sz w:val="32"/>
          <w:szCs w:val="32"/>
          <w:highlight w:val="none"/>
          <w:lang w:val="en-US" w:eastAsia="zh-CN"/>
        </w:rPr>
        <w:t>1</w:t>
      </w:r>
      <w:r>
        <w:rPr>
          <w:color w:val="auto"/>
          <w:sz w:val="32"/>
          <w:szCs w:val="32"/>
          <w:highlight w:val="none"/>
        </w:rPr>
        <w:t>月</w:t>
      </w:r>
    </w:p>
    <w:p>
      <w:pPr>
        <w:pStyle w:val="9"/>
        <w:tabs>
          <w:tab w:val="left" w:pos="5758"/>
        </w:tabs>
        <w:ind w:left="778"/>
        <w:rPr>
          <w:color w:val="auto"/>
          <w:highlight w:val="none"/>
        </w:rPr>
        <w:sectPr>
          <w:type w:val="continuous"/>
          <w:pgSz w:w="11900" w:h="16840"/>
          <w:pgMar w:top="1599" w:right="1837" w:bottom="1599" w:left="1837" w:header="720" w:footer="720" w:gutter="0"/>
          <w:cols w:equalWidth="0" w:num="1">
            <w:col w:w="10320"/>
          </w:cols>
          <w:rtlGutter w:val="0"/>
          <w:docGrid w:linePitch="0" w:charSpace="0"/>
        </w:sectPr>
      </w:pPr>
    </w:p>
    <w:p>
      <w:pPr>
        <w:spacing w:before="27"/>
        <w:ind w:left="424" w:right="655" w:firstLine="0"/>
        <w:jc w:val="center"/>
        <w:rPr>
          <w:color w:val="auto"/>
          <w:sz w:val="44"/>
          <w:highlight w:val="none"/>
        </w:rPr>
      </w:pPr>
      <w:r>
        <w:rPr>
          <w:color w:val="auto"/>
          <w:sz w:val="44"/>
          <w:highlight w:val="none"/>
        </w:rPr>
        <w:t>目 录</w:t>
      </w:r>
    </w:p>
    <w:sdt>
      <w:sdtPr>
        <w:rPr>
          <w:rFonts w:ascii="宋体" w:hAnsi="宋体" w:eastAsia="宋体" w:cs="仿宋"/>
          <w:color w:val="auto"/>
          <w:sz w:val="21"/>
          <w:szCs w:val="22"/>
          <w:highlight w:val="none"/>
          <w:lang w:val="zh-CN" w:eastAsia="zh-CN" w:bidi="zh-CN"/>
        </w:rPr>
        <w:id w:val="147456675"/>
        <w15:color w:val="DBDBDB"/>
        <w:docPartObj>
          <w:docPartGallery w:val="Table of Contents"/>
          <w:docPartUnique/>
        </w:docPartObj>
      </w:sdtPr>
      <w:sdtEndPr>
        <w:rPr>
          <w:rFonts w:ascii="宋体" w:hAnsi="宋体" w:eastAsia="宋体" w:cs="仿宋"/>
          <w:i w:val="0"/>
          <w:iCs/>
          <w:color w:val="auto"/>
          <w:sz w:val="21"/>
          <w:szCs w:val="22"/>
          <w:highlight w:val="none"/>
          <w:lang w:val="zh-CN" w:eastAsia="zh-CN" w:bidi="zh-CN"/>
        </w:rPr>
      </w:sdtEndPr>
      <w:sdtContent>
        <w:p>
          <w:pPr>
            <w:spacing w:before="0" w:beforeLines="0" w:after="0" w:afterLines="0" w:line="240" w:lineRule="auto"/>
            <w:ind w:left="0" w:leftChars="0" w:right="0" w:rightChars="0" w:firstLine="0" w:firstLineChars="0"/>
            <w:jc w:val="center"/>
            <w:rPr>
              <w:color w:val="auto"/>
              <w:highlight w:val="none"/>
            </w:rPr>
          </w:pPr>
        </w:p>
        <w:p>
          <w:pPr>
            <w:pStyle w:val="15"/>
            <w:keepNext w:val="0"/>
            <w:keepLines w:val="0"/>
            <w:pageBreakBefore w:val="0"/>
            <w:widowControl w:val="0"/>
            <w:tabs>
              <w:tab w:val="right" w:pos="2800"/>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TOC \o "1-3" \h \u </w:instrText>
          </w:r>
          <w:r>
            <w:rPr>
              <w:i w:val="0"/>
              <w:iCs/>
              <w:color w:val="auto"/>
              <w:highlight w:val="none"/>
            </w:rPr>
            <w:fldChar w:fldCharType="separate"/>
          </w:r>
          <w:r>
            <w:rPr>
              <w:i w:val="0"/>
              <w:iCs/>
              <w:color w:val="auto"/>
              <w:highlight w:val="none"/>
            </w:rPr>
            <w:fldChar w:fldCharType="begin"/>
          </w:r>
          <w:r>
            <w:rPr>
              <w:i w:val="0"/>
              <w:iCs/>
              <w:color w:val="auto"/>
              <w:highlight w:val="none"/>
            </w:rPr>
            <w:instrText xml:space="preserve"> HYPERLINK \l _Toc6924 </w:instrText>
          </w:r>
          <w:r>
            <w:rPr>
              <w:i w:val="0"/>
              <w:iCs/>
              <w:color w:val="auto"/>
              <w:highlight w:val="none"/>
            </w:rPr>
            <w:fldChar w:fldCharType="separate"/>
          </w:r>
          <w:r>
            <w:rPr>
              <w:i w:val="0"/>
              <w:iCs/>
              <w:color w:val="auto"/>
              <w:highlight w:val="none"/>
            </w:rPr>
            <w:t>第一部分</w:t>
          </w:r>
          <w:r>
            <w:rPr>
              <w:i w:val="0"/>
              <w:iCs/>
              <w:color w:val="auto"/>
              <w:highlight w:val="none"/>
            </w:rPr>
            <w:tab/>
          </w:r>
          <w:r>
            <w:rPr>
              <w:i w:val="0"/>
              <w:iCs/>
              <w:color w:val="auto"/>
              <w:highlight w:val="none"/>
            </w:rPr>
            <w:t>询价须知</w:t>
          </w:r>
          <w:r>
            <w:rPr>
              <w:i w:val="0"/>
              <w:iCs/>
              <w:color w:val="auto"/>
              <w:highlight w:val="none"/>
            </w:rPr>
            <w:tab/>
          </w:r>
          <w:r>
            <w:rPr>
              <w:i w:val="0"/>
              <w:iCs/>
              <w:color w:val="auto"/>
              <w:highlight w:val="none"/>
            </w:rPr>
            <w:fldChar w:fldCharType="begin"/>
          </w:r>
          <w:r>
            <w:rPr>
              <w:i w:val="0"/>
              <w:iCs/>
              <w:color w:val="auto"/>
              <w:highlight w:val="none"/>
            </w:rPr>
            <w:instrText xml:space="preserve"> PAGEREF _Toc6924 </w:instrText>
          </w:r>
          <w:r>
            <w:rPr>
              <w:i w:val="0"/>
              <w:iCs/>
              <w:color w:val="auto"/>
              <w:highlight w:val="none"/>
            </w:rPr>
            <w:fldChar w:fldCharType="separate"/>
          </w:r>
          <w:r>
            <w:rPr>
              <w:i w:val="0"/>
              <w:iCs/>
              <w:color w:val="auto"/>
              <w:highlight w:val="none"/>
            </w:rPr>
            <w:t>2</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pos="2800"/>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_Toc17887 </w:instrText>
          </w:r>
          <w:r>
            <w:rPr>
              <w:i w:val="0"/>
              <w:iCs/>
              <w:color w:val="auto"/>
              <w:highlight w:val="none"/>
            </w:rPr>
            <w:fldChar w:fldCharType="separate"/>
          </w:r>
          <w:r>
            <w:rPr>
              <w:i w:val="0"/>
              <w:iCs/>
              <w:color w:val="auto"/>
              <w:highlight w:val="none"/>
            </w:rPr>
            <w:t>第二部分</w:t>
          </w:r>
          <w:r>
            <w:rPr>
              <w:i w:val="0"/>
              <w:iCs/>
              <w:color w:val="auto"/>
              <w:highlight w:val="none"/>
            </w:rPr>
            <w:tab/>
          </w:r>
          <w:r>
            <w:rPr>
              <w:i w:val="0"/>
              <w:iCs/>
              <w:color w:val="auto"/>
              <w:highlight w:val="none"/>
            </w:rPr>
            <w:t>询价说明</w:t>
          </w:r>
          <w:r>
            <w:rPr>
              <w:i w:val="0"/>
              <w:iCs/>
              <w:color w:val="auto"/>
              <w:highlight w:val="none"/>
            </w:rPr>
            <w:tab/>
          </w:r>
          <w:r>
            <w:rPr>
              <w:i w:val="0"/>
              <w:iCs/>
              <w:color w:val="auto"/>
              <w:highlight w:val="none"/>
            </w:rPr>
            <w:fldChar w:fldCharType="begin"/>
          </w:r>
          <w:r>
            <w:rPr>
              <w:i w:val="0"/>
              <w:iCs/>
              <w:color w:val="auto"/>
              <w:highlight w:val="none"/>
            </w:rPr>
            <w:instrText xml:space="preserve"> PAGEREF _Toc17887 </w:instrText>
          </w:r>
          <w:r>
            <w:rPr>
              <w:i w:val="0"/>
              <w:iCs/>
              <w:color w:val="auto"/>
              <w:highlight w:val="none"/>
            </w:rPr>
            <w:fldChar w:fldCharType="separate"/>
          </w:r>
          <w:r>
            <w:rPr>
              <w:i w:val="0"/>
              <w:iCs/>
              <w:color w:val="auto"/>
              <w:highlight w:val="none"/>
            </w:rPr>
            <w:t>4</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_Toc8142 </w:instrText>
          </w:r>
          <w:r>
            <w:rPr>
              <w:i w:val="0"/>
              <w:iCs/>
              <w:color w:val="auto"/>
              <w:highlight w:val="none"/>
            </w:rPr>
            <w:fldChar w:fldCharType="separate"/>
          </w:r>
          <w:r>
            <w:rPr>
              <w:rFonts w:hint="default" w:ascii="Microsoft JhengHei" w:hAnsi="Microsoft JhengHei" w:eastAsia="Microsoft JhengHei" w:cs="Microsoft JhengHei"/>
              <w:bCs/>
              <w:i w:val="0"/>
              <w:iCs/>
              <w:color w:val="auto"/>
              <w:spacing w:val="0"/>
              <w:w w:val="84"/>
              <w:szCs w:val="24"/>
              <w:highlight w:val="none"/>
              <w:lang w:val="zh-CN" w:eastAsia="zh-CN" w:bidi="zh-CN"/>
            </w:rPr>
            <w:t xml:space="preserve">1. </w:t>
          </w:r>
          <w:r>
            <w:rPr>
              <w:i w:val="0"/>
              <w:iCs/>
              <w:color w:val="auto"/>
              <w:highlight w:val="none"/>
            </w:rPr>
            <w:t>适用范围</w:t>
          </w:r>
          <w:r>
            <w:rPr>
              <w:i w:val="0"/>
              <w:iCs/>
              <w:color w:val="auto"/>
              <w:highlight w:val="none"/>
            </w:rPr>
            <w:tab/>
          </w:r>
          <w:r>
            <w:rPr>
              <w:i w:val="0"/>
              <w:iCs/>
              <w:color w:val="auto"/>
              <w:highlight w:val="none"/>
            </w:rPr>
            <w:fldChar w:fldCharType="begin"/>
          </w:r>
          <w:r>
            <w:rPr>
              <w:i w:val="0"/>
              <w:iCs/>
              <w:color w:val="auto"/>
              <w:highlight w:val="none"/>
            </w:rPr>
            <w:instrText xml:space="preserve"> PAGEREF _Toc8142 </w:instrText>
          </w:r>
          <w:r>
            <w:rPr>
              <w:i w:val="0"/>
              <w:iCs/>
              <w:color w:val="auto"/>
              <w:highlight w:val="none"/>
            </w:rPr>
            <w:fldChar w:fldCharType="separate"/>
          </w:r>
          <w:r>
            <w:rPr>
              <w:i w:val="0"/>
              <w:iCs/>
              <w:color w:val="auto"/>
              <w:highlight w:val="none"/>
            </w:rPr>
            <w:t>4</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_Toc20282 </w:instrText>
          </w:r>
          <w:r>
            <w:rPr>
              <w:i w:val="0"/>
              <w:iCs/>
              <w:color w:val="auto"/>
              <w:highlight w:val="none"/>
            </w:rPr>
            <w:fldChar w:fldCharType="separate"/>
          </w:r>
          <w:r>
            <w:rPr>
              <w:rFonts w:hint="default" w:ascii="Microsoft JhengHei" w:hAnsi="Microsoft JhengHei" w:eastAsia="Microsoft JhengHei" w:cs="Microsoft JhengHei"/>
              <w:bCs/>
              <w:i w:val="0"/>
              <w:iCs/>
              <w:color w:val="auto"/>
              <w:spacing w:val="0"/>
              <w:w w:val="84"/>
              <w:szCs w:val="24"/>
              <w:highlight w:val="none"/>
              <w:lang w:val="zh-CN" w:eastAsia="zh-CN" w:bidi="zh-CN"/>
            </w:rPr>
            <w:t xml:space="preserve">2. </w:t>
          </w:r>
          <w:r>
            <w:rPr>
              <w:i w:val="0"/>
              <w:iCs/>
              <w:color w:val="auto"/>
              <w:highlight w:val="none"/>
            </w:rPr>
            <w:t>报价资质</w:t>
          </w:r>
          <w:r>
            <w:rPr>
              <w:i w:val="0"/>
              <w:iCs/>
              <w:color w:val="auto"/>
              <w:highlight w:val="none"/>
            </w:rPr>
            <w:tab/>
          </w:r>
          <w:r>
            <w:rPr>
              <w:i w:val="0"/>
              <w:iCs/>
              <w:color w:val="auto"/>
              <w:highlight w:val="none"/>
            </w:rPr>
            <w:fldChar w:fldCharType="begin"/>
          </w:r>
          <w:r>
            <w:rPr>
              <w:i w:val="0"/>
              <w:iCs/>
              <w:color w:val="auto"/>
              <w:highlight w:val="none"/>
            </w:rPr>
            <w:instrText xml:space="preserve"> PAGEREF _Toc20282 </w:instrText>
          </w:r>
          <w:r>
            <w:rPr>
              <w:i w:val="0"/>
              <w:iCs/>
              <w:color w:val="auto"/>
              <w:highlight w:val="none"/>
            </w:rPr>
            <w:fldChar w:fldCharType="separate"/>
          </w:r>
          <w:r>
            <w:rPr>
              <w:i w:val="0"/>
              <w:iCs/>
              <w:color w:val="auto"/>
              <w:highlight w:val="none"/>
            </w:rPr>
            <w:t>4</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_Toc11980 </w:instrText>
          </w:r>
          <w:r>
            <w:rPr>
              <w:i w:val="0"/>
              <w:iCs/>
              <w:color w:val="auto"/>
              <w:highlight w:val="none"/>
            </w:rPr>
            <w:fldChar w:fldCharType="separate"/>
          </w:r>
          <w:r>
            <w:rPr>
              <w:rFonts w:hint="default" w:ascii="Microsoft JhengHei" w:hAnsi="Microsoft JhengHei" w:eastAsia="Microsoft JhengHei" w:cs="Microsoft JhengHei"/>
              <w:bCs/>
              <w:i w:val="0"/>
              <w:iCs/>
              <w:color w:val="auto"/>
              <w:spacing w:val="0"/>
              <w:w w:val="84"/>
              <w:szCs w:val="24"/>
              <w:highlight w:val="none"/>
              <w:lang w:val="zh-CN" w:eastAsia="zh-CN" w:bidi="zh-CN"/>
            </w:rPr>
            <w:t xml:space="preserve">3. </w:t>
          </w:r>
          <w:r>
            <w:rPr>
              <w:rFonts w:hint="eastAsia" w:ascii="Microsoft JhengHei" w:eastAsia="Microsoft JhengHei"/>
              <w:i w:val="0"/>
              <w:iCs/>
              <w:color w:val="auto"/>
              <w:highlight w:val="none"/>
            </w:rPr>
            <w:t>定义</w:t>
          </w:r>
          <w:r>
            <w:rPr>
              <w:i w:val="0"/>
              <w:iCs/>
              <w:color w:val="auto"/>
              <w:highlight w:val="none"/>
            </w:rPr>
            <w:tab/>
          </w:r>
          <w:r>
            <w:rPr>
              <w:i w:val="0"/>
              <w:iCs/>
              <w:color w:val="auto"/>
              <w:highlight w:val="none"/>
            </w:rPr>
            <w:fldChar w:fldCharType="begin"/>
          </w:r>
          <w:r>
            <w:rPr>
              <w:i w:val="0"/>
              <w:iCs/>
              <w:color w:val="auto"/>
              <w:highlight w:val="none"/>
            </w:rPr>
            <w:instrText xml:space="preserve"> PAGEREF _Toc11980 </w:instrText>
          </w:r>
          <w:r>
            <w:rPr>
              <w:i w:val="0"/>
              <w:iCs/>
              <w:color w:val="auto"/>
              <w:highlight w:val="none"/>
            </w:rPr>
            <w:fldChar w:fldCharType="separate"/>
          </w:r>
          <w:r>
            <w:rPr>
              <w:i w:val="0"/>
              <w:iCs/>
              <w:color w:val="auto"/>
              <w:highlight w:val="none"/>
            </w:rPr>
            <w:t>4</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_Toc1023 </w:instrText>
          </w:r>
          <w:r>
            <w:rPr>
              <w:i w:val="0"/>
              <w:iCs/>
              <w:color w:val="auto"/>
              <w:highlight w:val="none"/>
            </w:rPr>
            <w:fldChar w:fldCharType="separate"/>
          </w:r>
          <w:r>
            <w:rPr>
              <w:rFonts w:hint="default" w:ascii="Microsoft JhengHei" w:hAnsi="Microsoft JhengHei" w:eastAsia="Microsoft JhengHei" w:cs="Microsoft JhengHei"/>
              <w:bCs/>
              <w:i w:val="0"/>
              <w:iCs/>
              <w:color w:val="auto"/>
              <w:spacing w:val="0"/>
              <w:w w:val="84"/>
              <w:szCs w:val="24"/>
              <w:highlight w:val="none"/>
              <w:lang w:val="zh-CN" w:eastAsia="zh-CN" w:bidi="zh-CN"/>
            </w:rPr>
            <w:t xml:space="preserve">4. </w:t>
          </w:r>
          <w:r>
            <w:rPr>
              <w:i w:val="0"/>
              <w:iCs/>
              <w:color w:val="auto"/>
              <w:highlight w:val="none"/>
            </w:rPr>
            <w:t>报价费用</w:t>
          </w:r>
          <w:r>
            <w:rPr>
              <w:i w:val="0"/>
              <w:iCs/>
              <w:color w:val="auto"/>
              <w:highlight w:val="none"/>
            </w:rPr>
            <w:tab/>
          </w:r>
          <w:r>
            <w:rPr>
              <w:i w:val="0"/>
              <w:iCs/>
              <w:color w:val="auto"/>
              <w:highlight w:val="none"/>
            </w:rPr>
            <w:fldChar w:fldCharType="begin"/>
          </w:r>
          <w:r>
            <w:rPr>
              <w:i w:val="0"/>
              <w:iCs/>
              <w:color w:val="auto"/>
              <w:highlight w:val="none"/>
            </w:rPr>
            <w:instrText xml:space="preserve"> PAGEREF _Toc1023 </w:instrText>
          </w:r>
          <w:r>
            <w:rPr>
              <w:i w:val="0"/>
              <w:iCs/>
              <w:color w:val="auto"/>
              <w:highlight w:val="none"/>
            </w:rPr>
            <w:fldChar w:fldCharType="separate"/>
          </w:r>
          <w:r>
            <w:rPr>
              <w:i w:val="0"/>
              <w:iCs/>
              <w:color w:val="auto"/>
              <w:highlight w:val="none"/>
            </w:rPr>
            <w:t>4</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_Toc25013 </w:instrText>
          </w:r>
          <w:r>
            <w:rPr>
              <w:i w:val="0"/>
              <w:iCs/>
              <w:color w:val="auto"/>
              <w:highlight w:val="none"/>
            </w:rPr>
            <w:fldChar w:fldCharType="separate"/>
          </w:r>
          <w:r>
            <w:rPr>
              <w:rFonts w:hint="default" w:ascii="Microsoft JhengHei" w:hAnsi="Microsoft JhengHei" w:eastAsia="Microsoft JhengHei" w:cs="Microsoft JhengHei"/>
              <w:bCs/>
              <w:i w:val="0"/>
              <w:iCs/>
              <w:color w:val="auto"/>
              <w:spacing w:val="0"/>
              <w:w w:val="84"/>
              <w:szCs w:val="24"/>
              <w:highlight w:val="none"/>
              <w:lang w:val="zh-CN" w:eastAsia="zh-CN" w:bidi="zh-CN"/>
            </w:rPr>
            <w:t xml:space="preserve">5. </w:t>
          </w:r>
          <w:r>
            <w:rPr>
              <w:i w:val="0"/>
              <w:iCs/>
              <w:color w:val="auto"/>
              <w:highlight w:val="none"/>
            </w:rPr>
            <w:t>询价通知书的构成</w:t>
          </w:r>
          <w:r>
            <w:rPr>
              <w:i w:val="0"/>
              <w:iCs/>
              <w:color w:val="auto"/>
              <w:highlight w:val="none"/>
            </w:rPr>
            <w:tab/>
          </w:r>
          <w:r>
            <w:rPr>
              <w:i w:val="0"/>
              <w:iCs/>
              <w:color w:val="auto"/>
              <w:highlight w:val="none"/>
            </w:rPr>
            <w:fldChar w:fldCharType="begin"/>
          </w:r>
          <w:r>
            <w:rPr>
              <w:i w:val="0"/>
              <w:iCs/>
              <w:color w:val="auto"/>
              <w:highlight w:val="none"/>
            </w:rPr>
            <w:instrText xml:space="preserve"> PAGEREF _Toc25013 </w:instrText>
          </w:r>
          <w:r>
            <w:rPr>
              <w:i w:val="0"/>
              <w:iCs/>
              <w:color w:val="auto"/>
              <w:highlight w:val="none"/>
            </w:rPr>
            <w:fldChar w:fldCharType="separate"/>
          </w:r>
          <w:r>
            <w:rPr>
              <w:i w:val="0"/>
              <w:iCs/>
              <w:color w:val="auto"/>
              <w:highlight w:val="none"/>
            </w:rPr>
            <w:t>4</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_Toc23448 </w:instrText>
          </w:r>
          <w:r>
            <w:rPr>
              <w:i w:val="0"/>
              <w:iCs/>
              <w:color w:val="auto"/>
              <w:highlight w:val="none"/>
            </w:rPr>
            <w:fldChar w:fldCharType="separate"/>
          </w:r>
          <w:r>
            <w:rPr>
              <w:rFonts w:hint="default" w:ascii="Microsoft JhengHei" w:hAnsi="Microsoft JhengHei" w:eastAsia="Microsoft JhengHei" w:cs="Microsoft JhengHei"/>
              <w:bCs/>
              <w:i w:val="0"/>
              <w:iCs/>
              <w:color w:val="auto"/>
              <w:spacing w:val="0"/>
              <w:w w:val="84"/>
              <w:szCs w:val="24"/>
              <w:highlight w:val="none"/>
              <w:lang w:val="zh-CN" w:eastAsia="zh-CN" w:bidi="zh-CN"/>
            </w:rPr>
            <w:t xml:space="preserve">6. </w:t>
          </w:r>
          <w:r>
            <w:rPr>
              <w:i w:val="0"/>
              <w:iCs/>
              <w:color w:val="auto"/>
              <w:highlight w:val="none"/>
            </w:rPr>
            <w:t>询价通知书的澄清或修改</w:t>
          </w:r>
          <w:r>
            <w:rPr>
              <w:i w:val="0"/>
              <w:iCs/>
              <w:color w:val="auto"/>
              <w:highlight w:val="none"/>
            </w:rPr>
            <w:tab/>
          </w:r>
          <w:r>
            <w:rPr>
              <w:i w:val="0"/>
              <w:iCs/>
              <w:color w:val="auto"/>
              <w:highlight w:val="none"/>
            </w:rPr>
            <w:fldChar w:fldCharType="begin"/>
          </w:r>
          <w:r>
            <w:rPr>
              <w:i w:val="0"/>
              <w:iCs/>
              <w:color w:val="auto"/>
              <w:highlight w:val="none"/>
            </w:rPr>
            <w:instrText xml:space="preserve"> PAGEREF _Toc23448 </w:instrText>
          </w:r>
          <w:r>
            <w:rPr>
              <w:i w:val="0"/>
              <w:iCs/>
              <w:color w:val="auto"/>
              <w:highlight w:val="none"/>
            </w:rPr>
            <w:fldChar w:fldCharType="separate"/>
          </w:r>
          <w:r>
            <w:rPr>
              <w:i w:val="0"/>
              <w:iCs/>
              <w:color w:val="auto"/>
              <w:highlight w:val="none"/>
            </w:rPr>
            <w:t>5</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_Toc29707 </w:instrText>
          </w:r>
          <w:r>
            <w:rPr>
              <w:i w:val="0"/>
              <w:iCs/>
              <w:color w:val="auto"/>
              <w:highlight w:val="none"/>
            </w:rPr>
            <w:fldChar w:fldCharType="separate"/>
          </w:r>
          <w:r>
            <w:rPr>
              <w:i w:val="0"/>
              <w:iCs/>
              <w:color w:val="auto"/>
              <w:highlight w:val="none"/>
            </w:rPr>
            <w:t>7、廉洁自律承诺要求</w:t>
          </w:r>
          <w:r>
            <w:rPr>
              <w:i w:val="0"/>
              <w:iCs/>
              <w:color w:val="auto"/>
              <w:highlight w:val="none"/>
            </w:rPr>
            <w:tab/>
          </w:r>
          <w:r>
            <w:rPr>
              <w:i w:val="0"/>
              <w:iCs/>
              <w:color w:val="auto"/>
              <w:highlight w:val="none"/>
            </w:rPr>
            <w:fldChar w:fldCharType="begin"/>
          </w:r>
          <w:r>
            <w:rPr>
              <w:i w:val="0"/>
              <w:iCs/>
              <w:color w:val="auto"/>
              <w:highlight w:val="none"/>
            </w:rPr>
            <w:instrText xml:space="preserve"> PAGEREF _Toc29707 </w:instrText>
          </w:r>
          <w:r>
            <w:rPr>
              <w:i w:val="0"/>
              <w:iCs/>
              <w:color w:val="auto"/>
              <w:highlight w:val="none"/>
            </w:rPr>
            <w:fldChar w:fldCharType="separate"/>
          </w:r>
          <w:r>
            <w:rPr>
              <w:i w:val="0"/>
              <w:iCs/>
              <w:color w:val="auto"/>
              <w:highlight w:val="none"/>
            </w:rPr>
            <w:t>5</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pos="2800"/>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_Toc6858 </w:instrText>
          </w:r>
          <w:r>
            <w:rPr>
              <w:i w:val="0"/>
              <w:iCs/>
              <w:color w:val="auto"/>
              <w:highlight w:val="none"/>
            </w:rPr>
            <w:fldChar w:fldCharType="separate"/>
          </w:r>
          <w:r>
            <w:rPr>
              <w:i w:val="0"/>
              <w:iCs/>
              <w:color w:val="auto"/>
              <w:highlight w:val="none"/>
            </w:rPr>
            <w:t>第三部分</w:t>
          </w:r>
          <w:r>
            <w:rPr>
              <w:i w:val="0"/>
              <w:iCs/>
              <w:color w:val="auto"/>
              <w:highlight w:val="none"/>
            </w:rPr>
            <w:tab/>
          </w:r>
          <w:r>
            <w:rPr>
              <w:i w:val="0"/>
              <w:iCs/>
              <w:color w:val="auto"/>
              <w:highlight w:val="none"/>
            </w:rPr>
            <w:t>报价说明</w:t>
          </w:r>
          <w:r>
            <w:rPr>
              <w:i w:val="0"/>
              <w:iCs/>
              <w:color w:val="auto"/>
              <w:highlight w:val="none"/>
            </w:rPr>
            <w:tab/>
          </w:r>
          <w:r>
            <w:rPr>
              <w:i w:val="0"/>
              <w:iCs/>
              <w:color w:val="auto"/>
              <w:highlight w:val="none"/>
            </w:rPr>
            <w:fldChar w:fldCharType="begin"/>
          </w:r>
          <w:r>
            <w:rPr>
              <w:i w:val="0"/>
              <w:iCs/>
              <w:color w:val="auto"/>
              <w:highlight w:val="none"/>
            </w:rPr>
            <w:instrText xml:space="preserve"> PAGEREF _Toc6858 </w:instrText>
          </w:r>
          <w:r>
            <w:rPr>
              <w:i w:val="0"/>
              <w:iCs/>
              <w:color w:val="auto"/>
              <w:highlight w:val="none"/>
            </w:rPr>
            <w:fldChar w:fldCharType="separate"/>
          </w:r>
          <w:r>
            <w:rPr>
              <w:i w:val="0"/>
              <w:iCs/>
              <w:color w:val="auto"/>
              <w:highlight w:val="none"/>
            </w:rPr>
            <w:t>5</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_Toc3833 </w:instrText>
          </w:r>
          <w:r>
            <w:rPr>
              <w:i w:val="0"/>
              <w:iCs/>
              <w:color w:val="auto"/>
              <w:highlight w:val="none"/>
            </w:rPr>
            <w:fldChar w:fldCharType="separate"/>
          </w:r>
          <w:r>
            <w:rPr>
              <w:i w:val="0"/>
              <w:iCs/>
              <w:color w:val="auto"/>
              <w:highlight w:val="none"/>
            </w:rPr>
            <w:t>第一章、对供应商的资质要求</w:t>
          </w:r>
          <w:r>
            <w:rPr>
              <w:i w:val="0"/>
              <w:iCs/>
              <w:color w:val="auto"/>
              <w:highlight w:val="none"/>
            </w:rPr>
            <w:tab/>
          </w:r>
          <w:r>
            <w:rPr>
              <w:i w:val="0"/>
              <w:iCs/>
              <w:color w:val="auto"/>
              <w:highlight w:val="none"/>
            </w:rPr>
            <w:fldChar w:fldCharType="begin"/>
          </w:r>
          <w:r>
            <w:rPr>
              <w:i w:val="0"/>
              <w:iCs/>
              <w:color w:val="auto"/>
              <w:highlight w:val="none"/>
            </w:rPr>
            <w:instrText xml:space="preserve"> PAGEREF _Toc3833 </w:instrText>
          </w:r>
          <w:r>
            <w:rPr>
              <w:i w:val="0"/>
              <w:iCs/>
              <w:color w:val="auto"/>
              <w:highlight w:val="none"/>
            </w:rPr>
            <w:fldChar w:fldCharType="separate"/>
          </w:r>
          <w:r>
            <w:rPr>
              <w:i w:val="0"/>
              <w:iCs/>
              <w:color w:val="auto"/>
              <w:highlight w:val="none"/>
            </w:rPr>
            <w:t>5</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_Toc3863 </w:instrText>
          </w:r>
          <w:r>
            <w:rPr>
              <w:i w:val="0"/>
              <w:iCs/>
              <w:color w:val="auto"/>
              <w:highlight w:val="none"/>
            </w:rPr>
            <w:fldChar w:fldCharType="separate"/>
          </w:r>
          <w:r>
            <w:rPr>
              <w:i w:val="0"/>
              <w:iCs/>
              <w:color w:val="auto"/>
              <w:highlight w:val="none"/>
            </w:rPr>
            <w:t>第二章、响应文件的编写</w:t>
          </w:r>
          <w:r>
            <w:rPr>
              <w:i w:val="0"/>
              <w:iCs/>
              <w:color w:val="auto"/>
              <w:highlight w:val="none"/>
            </w:rPr>
            <w:tab/>
          </w:r>
          <w:r>
            <w:rPr>
              <w:i w:val="0"/>
              <w:iCs/>
              <w:color w:val="auto"/>
              <w:highlight w:val="none"/>
            </w:rPr>
            <w:fldChar w:fldCharType="begin"/>
          </w:r>
          <w:r>
            <w:rPr>
              <w:i w:val="0"/>
              <w:iCs/>
              <w:color w:val="auto"/>
              <w:highlight w:val="none"/>
            </w:rPr>
            <w:instrText xml:space="preserve"> PAGEREF _Toc3863 </w:instrText>
          </w:r>
          <w:r>
            <w:rPr>
              <w:i w:val="0"/>
              <w:iCs/>
              <w:color w:val="auto"/>
              <w:highlight w:val="none"/>
            </w:rPr>
            <w:fldChar w:fldCharType="separate"/>
          </w:r>
          <w:r>
            <w:rPr>
              <w:i w:val="0"/>
              <w:iCs/>
              <w:color w:val="auto"/>
              <w:highlight w:val="none"/>
            </w:rPr>
            <w:t>6</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_Toc30448 </w:instrText>
          </w:r>
          <w:r>
            <w:rPr>
              <w:i w:val="0"/>
              <w:iCs/>
              <w:color w:val="auto"/>
              <w:highlight w:val="none"/>
            </w:rPr>
            <w:fldChar w:fldCharType="separate"/>
          </w:r>
          <w:r>
            <w:rPr>
              <w:i w:val="0"/>
              <w:iCs/>
              <w:color w:val="auto"/>
              <w:highlight w:val="none"/>
            </w:rPr>
            <w:t>第三章、响应文件的递交</w:t>
          </w:r>
          <w:r>
            <w:rPr>
              <w:i w:val="0"/>
              <w:iCs/>
              <w:color w:val="auto"/>
              <w:highlight w:val="none"/>
            </w:rPr>
            <w:tab/>
          </w:r>
          <w:r>
            <w:rPr>
              <w:i w:val="0"/>
              <w:iCs/>
              <w:color w:val="auto"/>
              <w:highlight w:val="none"/>
            </w:rPr>
            <w:fldChar w:fldCharType="begin"/>
          </w:r>
          <w:r>
            <w:rPr>
              <w:i w:val="0"/>
              <w:iCs/>
              <w:color w:val="auto"/>
              <w:highlight w:val="none"/>
            </w:rPr>
            <w:instrText xml:space="preserve"> PAGEREF _Toc30448 </w:instrText>
          </w:r>
          <w:r>
            <w:rPr>
              <w:i w:val="0"/>
              <w:iCs/>
              <w:color w:val="auto"/>
              <w:highlight w:val="none"/>
            </w:rPr>
            <w:fldChar w:fldCharType="separate"/>
          </w:r>
          <w:r>
            <w:rPr>
              <w:i w:val="0"/>
              <w:iCs/>
              <w:color w:val="auto"/>
              <w:highlight w:val="none"/>
            </w:rPr>
            <w:t>8</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_Toc19517 </w:instrText>
          </w:r>
          <w:r>
            <w:rPr>
              <w:i w:val="0"/>
              <w:iCs/>
              <w:color w:val="auto"/>
              <w:highlight w:val="none"/>
            </w:rPr>
            <w:fldChar w:fldCharType="separate"/>
          </w:r>
          <w:r>
            <w:rPr>
              <w:i w:val="0"/>
              <w:iCs/>
              <w:color w:val="auto"/>
              <w:highlight w:val="none"/>
            </w:rPr>
            <w:t>第四章、询价</w:t>
          </w:r>
          <w:r>
            <w:rPr>
              <w:i w:val="0"/>
              <w:iCs/>
              <w:color w:val="auto"/>
              <w:highlight w:val="none"/>
            </w:rPr>
            <w:tab/>
          </w:r>
          <w:r>
            <w:rPr>
              <w:i w:val="0"/>
              <w:iCs/>
              <w:color w:val="auto"/>
              <w:highlight w:val="none"/>
            </w:rPr>
            <w:fldChar w:fldCharType="begin"/>
          </w:r>
          <w:r>
            <w:rPr>
              <w:i w:val="0"/>
              <w:iCs/>
              <w:color w:val="auto"/>
              <w:highlight w:val="none"/>
            </w:rPr>
            <w:instrText xml:space="preserve"> PAGEREF _Toc19517 </w:instrText>
          </w:r>
          <w:r>
            <w:rPr>
              <w:i w:val="0"/>
              <w:iCs/>
              <w:color w:val="auto"/>
              <w:highlight w:val="none"/>
            </w:rPr>
            <w:fldChar w:fldCharType="separate"/>
          </w:r>
          <w:r>
            <w:rPr>
              <w:i w:val="0"/>
              <w:iCs/>
              <w:color w:val="auto"/>
              <w:highlight w:val="none"/>
            </w:rPr>
            <w:t>8</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pos="3600"/>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_Toc5502 </w:instrText>
          </w:r>
          <w:r>
            <w:rPr>
              <w:i w:val="0"/>
              <w:iCs/>
              <w:color w:val="auto"/>
              <w:highlight w:val="none"/>
            </w:rPr>
            <w:fldChar w:fldCharType="separate"/>
          </w:r>
          <w:r>
            <w:rPr>
              <w:i w:val="0"/>
              <w:iCs/>
              <w:color w:val="auto"/>
              <w:highlight w:val="none"/>
            </w:rPr>
            <w:t>第五章、成交</w:t>
          </w:r>
          <w:r>
            <w:rPr>
              <w:i w:val="0"/>
              <w:iCs/>
              <w:color w:val="auto"/>
              <w:highlight w:val="none"/>
            </w:rPr>
            <w:tab/>
          </w:r>
          <w:r>
            <w:rPr>
              <w:i w:val="0"/>
              <w:iCs/>
              <w:color w:val="auto"/>
              <w:highlight w:val="none"/>
            </w:rPr>
            <w:tab/>
          </w:r>
          <w:r>
            <w:rPr>
              <w:i w:val="0"/>
              <w:iCs/>
              <w:color w:val="auto"/>
              <w:highlight w:val="none"/>
            </w:rPr>
            <w:fldChar w:fldCharType="begin"/>
          </w:r>
          <w:r>
            <w:rPr>
              <w:i w:val="0"/>
              <w:iCs/>
              <w:color w:val="auto"/>
              <w:highlight w:val="none"/>
            </w:rPr>
            <w:instrText xml:space="preserve"> PAGEREF _Toc5502 </w:instrText>
          </w:r>
          <w:r>
            <w:rPr>
              <w:i w:val="0"/>
              <w:iCs/>
              <w:color w:val="auto"/>
              <w:highlight w:val="none"/>
            </w:rPr>
            <w:fldChar w:fldCharType="separate"/>
          </w:r>
          <w:r>
            <w:rPr>
              <w:i w:val="0"/>
              <w:iCs/>
              <w:color w:val="auto"/>
              <w:highlight w:val="none"/>
            </w:rPr>
            <w:t>10</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_Toc20276 </w:instrText>
          </w:r>
          <w:r>
            <w:rPr>
              <w:i w:val="0"/>
              <w:iCs/>
              <w:color w:val="auto"/>
              <w:highlight w:val="none"/>
            </w:rPr>
            <w:fldChar w:fldCharType="separate"/>
          </w:r>
          <w:r>
            <w:rPr>
              <w:i w:val="0"/>
              <w:iCs/>
              <w:color w:val="auto"/>
              <w:highlight w:val="none"/>
            </w:rPr>
            <w:t>第六章、授予合同</w:t>
          </w:r>
          <w:r>
            <w:rPr>
              <w:i w:val="0"/>
              <w:iCs/>
              <w:color w:val="auto"/>
              <w:highlight w:val="none"/>
            </w:rPr>
            <w:tab/>
          </w:r>
          <w:r>
            <w:rPr>
              <w:i w:val="0"/>
              <w:iCs/>
              <w:color w:val="auto"/>
              <w:highlight w:val="none"/>
            </w:rPr>
            <w:fldChar w:fldCharType="begin"/>
          </w:r>
          <w:r>
            <w:rPr>
              <w:i w:val="0"/>
              <w:iCs/>
              <w:color w:val="auto"/>
              <w:highlight w:val="none"/>
            </w:rPr>
            <w:instrText xml:space="preserve"> PAGEREF _Toc20276 </w:instrText>
          </w:r>
          <w:r>
            <w:rPr>
              <w:i w:val="0"/>
              <w:iCs/>
              <w:color w:val="auto"/>
              <w:highlight w:val="none"/>
            </w:rPr>
            <w:fldChar w:fldCharType="separate"/>
          </w:r>
          <w:r>
            <w:rPr>
              <w:i w:val="0"/>
              <w:iCs/>
              <w:color w:val="auto"/>
              <w:highlight w:val="none"/>
            </w:rPr>
            <w:t>10</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pos="2800"/>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_Toc20181 </w:instrText>
          </w:r>
          <w:r>
            <w:rPr>
              <w:i w:val="0"/>
              <w:iCs/>
              <w:color w:val="auto"/>
              <w:highlight w:val="none"/>
            </w:rPr>
            <w:fldChar w:fldCharType="separate"/>
          </w:r>
          <w:r>
            <w:rPr>
              <w:i w:val="0"/>
              <w:iCs/>
              <w:color w:val="auto"/>
              <w:highlight w:val="none"/>
            </w:rPr>
            <w:t>第四部分</w:t>
          </w:r>
          <w:r>
            <w:rPr>
              <w:rFonts w:hint="eastAsia" w:eastAsia="宋体"/>
              <w:i w:val="0"/>
              <w:iCs/>
              <w:color w:val="auto"/>
              <w:highlight w:val="none"/>
              <w:lang w:val="en-US" w:eastAsia="zh-CN"/>
            </w:rPr>
            <w:t xml:space="preserve">             </w:t>
          </w:r>
          <w:r>
            <w:rPr>
              <w:i w:val="0"/>
              <w:iCs/>
              <w:color w:val="auto"/>
              <w:highlight w:val="none"/>
            </w:rPr>
            <w:tab/>
          </w:r>
          <w:r>
            <w:rPr>
              <w:i w:val="0"/>
              <w:iCs/>
              <w:color w:val="auto"/>
              <w:highlight w:val="none"/>
            </w:rPr>
            <w:t>货物需求一览表及技术规格</w:t>
          </w:r>
          <w:r>
            <w:rPr>
              <w:i w:val="0"/>
              <w:iCs/>
              <w:color w:val="auto"/>
              <w:highlight w:val="none"/>
            </w:rPr>
            <w:tab/>
          </w:r>
          <w:r>
            <w:rPr>
              <w:i w:val="0"/>
              <w:iCs/>
              <w:color w:val="auto"/>
              <w:highlight w:val="none"/>
            </w:rPr>
            <w:fldChar w:fldCharType="begin"/>
          </w:r>
          <w:r>
            <w:rPr>
              <w:i w:val="0"/>
              <w:iCs/>
              <w:color w:val="auto"/>
              <w:highlight w:val="none"/>
            </w:rPr>
            <w:instrText xml:space="preserve"> PAGEREF _Toc20181 </w:instrText>
          </w:r>
          <w:r>
            <w:rPr>
              <w:i w:val="0"/>
              <w:iCs/>
              <w:color w:val="auto"/>
              <w:highlight w:val="none"/>
            </w:rPr>
            <w:fldChar w:fldCharType="separate"/>
          </w:r>
          <w:r>
            <w:rPr>
              <w:i w:val="0"/>
              <w:iCs/>
              <w:color w:val="auto"/>
              <w:highlight w:val="none"/>
            </w:rPr>
            <w:t>11</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pos="2800"/>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_Toc16921 </w:instrText>
          </w:r>
          <w:r>
            <w:rPr>
              <w:i w:val="0"/>
              <w:iCs/>
              <w:color w:val="auto"/>
              <w:highlight w:val="none"/>
            </w:rPr>
            <w:fldChar w:fldCharType="separate"/>
          </w:r>
          <w:r>
            <w:rPr>
              <w:i w:val="0"/>
              <w:iCs/>
              <w:color w:val="auto"/>
              <w:highlight w:val="none"/>
            </w:rPr>
            <w:t>第五部分</w:t>
          </w:r>
          <w:r>
            <w:rPr>
              <w:i w:val="0"/>
              <w:iCs/>
              <w:color w:val="auto"/>
              <w:highlight w:val="none"/>
            </w:rPr>
            <w:tab/>
          </w:r>
          <w:r>
            <w:rPr>
              <w:i w:val="0"/>
              <w:iCs/>
              <w:color w:val="auto"/>
              <w:highlight w:val="none"/>
            </w:rPr>
            <w:t>商务部分</w:t>
          </w:r>
          <w:r>
            <w:rPr>
              <w:i w:val="0"/>
              <w:iCs/>
              <w:color w:val="auto"/>
              <w:highlight w:val="none"/>
            </w:rPr>
            <w:tab/>
          </w:r>
          <w:r>
            <w:rPr>
              <w:i w:val="0"/>
              <w:iCs/>
              <w:color w:val="auto"/>
              <w:highlight w:val="none"/>
            </w:rPr>
            <w:fldChar w:fldCharType="begin"/>
          </w:r>
          <w:r>
            <w:rPr>
              <w:i w:val="0"/>
              <w:iCs/>
              <w:color w:val="auto"/>
              <w:highlight w:val="none"/>
            </w:rPr>
            <w:instrText xml:space="preserve"> PAGEREF _Toc16921 </w:instrText>
          </w:r>
          <w:r>
            <w:rPr>
              <w:i w:val="0"/>
              <w:iCs/>
              <w:color w:val="auto"/>
              <w:highlight w:val="none"/>
            </w:rPr>
            <w:fldChar w:fldCharType="separate"/>
          </w:r>
          <w:r>
            <w:rPr>
              <w:i w:val="0"/>
              <w:iCs/>
              <w:color w:val="auto"/>
              <w:highlight w:val="none"/>
            </w:rPr>
            <w:t>18</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_Toc26762 </w:instrText>
          </w:r>
          <w:r>
            <w:rPr>
              <w:i w:val="0"/>
              <w:iCs/>
              <w:color w:val="auto"/>
              <w:highlight w:val="none"/>
            </w:rPr>
            <w:fldChar w:fldCharType="separate"/>
          </w:r>
          <w:r>
            <w:rPr>
              <w:i w:val="0"/>
              <w:iCs/>
              <w:color w:val="auto"/>
              <w:highlight w:val="none"/>
            </w:rPr>
            <w:t>第一章、 合同一般条款</w:t>
          </w:r>
          <w:r>
            <w:rPr>
              <w:i w:val="0"/>
              <w:iCs/>
              <w:color w:val="auto"/>
              <w:highlight w:val="none"/>
            </w:rPr>
            <w:tab/>
          </w:r>
          <w:r>
            <w:rPr>
              <w:i w:val="0"/>
              <w:iCs/>
              <w:color w:val="auto"/>
              <w:highlight w:val="none"/>
            </w:rPr>
            <w:fldChar w:fldCharType="begin"/>
          </w:r>
          <w:r>
            <w:rPr>
              <w:i w:val="0"/>
              <w:iCs/>
              <w:color w:val="auto"/>
              <w:highlight w:val="none"/>
            </w:rPr>
            <w:instrText xml:space="preserve"> PAGEREF _Toc26762 </w:instrText>
          </w:r>
          <w:r>
            <w:rPr>
              <w:i w:val="0"/>
              <w:iCs/>
              <w:color w:val="auto"/>
              <w:highlight w:val="none"/>
            </w:rPr>
            <w:fldChar w:fldCharType="separate"/>
          </w:r>
          <w:r>
            <w:rPr>
              <w:i w:val="0"/>
              <w:iCs/>
              <w:color w:val="auto"/>
              <w:highlight w:val="none"/>
            </w:rPr>
            <w:t>18</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_Toc12394 </w:instrText>
          </w:r>
          <w:r>
            <w:rPr>
              <w:i w:val="0"/>
              <w:iCs/>
              <w:color w:val="auto"/>
              <w:highlight w:val="none"/>
            </w:rPr>
            <w:fldChar w:fldCharType="separate"/>
          </w:r>
          <w:r>
            <w:rPr>
              <w:i w:val="0"/>
              <w:iCs/>
              <w:color w:val="auto"/>
              <w:highlight w:val="none"/>
            </w:rPr>
            <w:t>第二章、合同特殊条款</w:t>
          </w:r>
          <w:r>
            <w:rPr>
              <w:i w:val="0"/>
              <w:iCs/>
              <w:color w:val="auto"/>
              <w:highlight w:val="none"/>
            </w:rPr>
            <w:tab/>
          </w:r>
          <w:r>
            <w:rPr>
              <w:i w:val="0"/>
              <w:iCs/>
              <w:color w:val="auto"/>
              <w:highlight w:val="none"/>
            </w:rPr>
            <w:fldChar w:fldCharType="begin"/>
          </w:r>
          <w:r>
            <w:rPr>
              <w:i w:val="0"/>
              <w:iCs/>
              <w:color w:val="auto"/>
              <w:highlight w:val="none"/>
            </w:rPr>
            <w:instrText xml:space="preserve"> PAGEREF _Toc12394 </w:instrText>
          </w:r>
          <w:r>
            <w:rPr>
              <w:i w:val="0"/>
              <w:iCs/>
              <w:color w:val="auto"/>
              <w:highlight w:val="none"/>
            </w:rPr>
            <w:fldChar w:fldCharType="separate"/>
          </w:r>
          <w:r>
            <w:rPr>
              <w:i w:val="0"/>
              <w:iCs/>
              <w:color w:val="auto"/>
              <w:highlight w:val="none"/>
            </w:rPr>
            <w:t>22</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_Toc13147 </w:instrText>
          </w:r>
          <w:r>
            <w:rPr>
              <w:i w:val="0"/>
              <w:iCs/>
              <w:color w:val="auto"/>
              <w:highlight w:val="none"/>
            </w:rPr>
            <w:fldChar w:fldCharType="separate"/>
          </w:r>
          <w:r>
            <w:rPr>
              <w:i w:val="0"/>
              <w:iCs/>
              <w:color w:val="auto"/>
              <w:highlight w:val="none"/>
            </w:rPr>
            <w:t>第三章、付款币种及方式</w:t>
          </w:r>
          <w:r>
            <w:rPr>
              <w:i w:val="0"/>
              <w:iCs/>
              <w:color w:val="auto"/>
              <w:highlight w:val="none"/>
            </w:rPr>
            <w:tab/>
          </w:r>
          <w:r>
            <w:rPr>
              <w:i w:val="0"/>
              <w:iCs/>
              <w:color w:val="auto"/>
              <w:highlight w:val="none"/>
            </w:rPr>
            <w:fldChar w:fldCharType="begin"/>
          </w:r>
          <w:r>
            <w:rPr>
              <w:i w:val="0"/>
              <w:iCs/>
              <w:color w:val="auto"/>
              <w:highlight w:val="none"/>
            </w:rPr>
            <w:instrText xml:space="preserve"> PAGEREF _Toc13147 </w:instrText>
          </w:r>
          <w:r>
            <w:rPr>
              <w:i w:val="0"/>
              <w:iCs/>
              <w:color w:val="auto"/>
              <w:highlight w:val="none"/>
            </w:rPr>
            <w:fldChar w:fldCharType="separate"/>
          </w:r>
          <w:r>
            <w:rPr>
              <w:i w:val="0"/>
              <w:iCs/>
              <w:color w:val="auto"/>
              <w:highlight w:val="none"/>
            </w:rPr>
            <w:t>23</w:t>
          </w:r>
          <w:r>
            <w:rPr>
              <w:i w:val="0"/>
              <w:iCs/>
              <w:color w:val="auto"/>
              <w:highlight w:val="none"/>
            </w:rPr>
            <w:fldChar w:fldCharType="end"/>
          </w:r>
          <w:r>
            <w:rPr>
              <w:i w:val="0"/>
              <w:iCs/>
              <w:color w:val="auto"/>
              <w:highlight w:val="none"/>
            </w:rPr>
            <w:fldChar w:fldCharType="end"/>
          </w:r>
        </w:p>
        <w:p>
          <w:pPr>
            <w:pStyle w:val="10"/>
            <w:keepNext w:val="0"/>
            <w:keepLines w:val="0"/>
            <w:pageBreakBefore w:val="0"/>
            <w:widowControl w:val="0"/>
            <w:tabs>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_Toc13897 </w:instrText>
          </w:r>
          <w:r>
            <w:rPr>
              <w:i w:val="0"/>
              <w:iCs/>
              <w:color w:val="auto"/>
              <w:highlight w:val="none"/>
            </w:rPr>
            <w:fldChar w:fldCharType="separate"/>
          </w:r>
          <w:r>
            <w:rPr>
              <w:i w:val="0"/>
              <w:iCs/>
              <w:color w:val="auto"/>
              <w:highlight w:val="none"/>
            </w:rPr>
            <w:t>第四章、售后服务承诺</w:t>
          </w:r>
          <w:r>
            <w:rPr>
              <w:i w:val="0"/>
              <w:iCs/>
              <w:color w:val="auto"/>
              <w:highlight w:val="none"/>
            </w:rPr>
            <w:tab/>
          </w:r>
          <w:r>
            <w:rPr>
              <w:i w:val="0"/>
              <w:iCs/>
              <w:color w:val="auto"/>
              <w:highlight w:val="none"/>
            </w:rPr>
            <w:fldChar w:fldCharType="begin"/>
          </w:r>
          <w:r>
            <w:rPr>
              <w:i w:val="0"/>
              <w:iCs/>
              <w:color w:val="auto"/>
              <w:highlight w:val="none"/>
            </w:rPr>
            <w:instrText xml:space="preserve"> PAGEREF _Toc13897 </w:instrText>
          </w:r>
          <w:r>
            <w:rPr>
              <w:i w:val="0"/>
              <w:iCs/>
              <w:color w:val="auto"/>
              <w:highlight w:val="none"/>
            </w:rPr>
            <w:fldChar w:fldCharType="separate"/>
          </w:r>
          <w:r>
            <w:rPr>
              <w:i w:val="0"/>
              <w:iCs/>
              <w:color w:val="auto"/>
              <w:highlight w:val="none"/>
            </w:rPr>
            <w:t>24</w:t>
          </w:r>
          <w:r>
            <w:rPr>
              <w:i w:val="0"/>
              <w:iCs/>
              <w:color w:val="auto"/>
              <w:highlight w:val="none"/>
            </w:rPr>
            <w:fldChar w:fldCharType="end"/>
          </w:r>
          <w:r>
            <w:rPr>
              <w:i w:val="0"/>
              <w:iCs/>
              <w:color w:val="auto"/>
              <w:highlight w:val="none"/>
            </w:rPr>
            <w:fldChar w:fldCharType="end"/>
          </w:r>
        </w:p>
        <w:p>
          <w:pPr>
            <w:pStyle w:val="15"/>
            <w:keepNext w:val="0"/>
            <w:keepLines w:val="0"/>
            <w:pageBreakBefore w:val="0"/>
            <w:widowControl w:val="0"/>
            <w:tabs>
              <w:tab w:val="right" w:pos="2800"/>
              <w:tab w:val="right" w:leader="dot" w:pos="10320"/>
            </w:tabs>
            <w:kinsoku/>
            <w:wordWrap/>
            <w:overflowPunct/>
            <w:topLinePunct w:val="0"/>
            <w:autoSpaceDE w:val="0"/>
            <w:autoSpaceDN w:val="0"/>
            <w:bidi w:val="0"/>
            <w:adjustRightInd/>
            <w:snapToGrid/>
            <w:spacing w:line="500" w:lineRule="exact"/>
            <w:textAlignment w:val="auto"/>
            <w:rPr>
              <w:i w:val="0"/>
              <w:iCs/>
              <w:color w:val="auto"/>
              <w:highlight w:val="none"/>
            </w:rPr>
          </w:pPr>
          <w:r>
            <w:rPr>
              <w:i w:val="0"/>
              <w:iCs/>
              <w:color w:val="auto"/>
              <w:highlight w:val="none"/>
            </w:rPr>
            <w:fldChar w:fldCharType="begin"/>
          </w:r>
          <w:r>
            <w:rPr>
              <w:i w:val="0"/>
              <w:iCs/>
              <w:color w:val="auto"/>
              <w:highlight w:val="none"/>
            </w:rPr>
            <w:instrText xml:space="preserve"> HYPERLINK \l _Toc30705 </w:instrText>
          </w:r>
          <w:r>
            <w:rPr>
              <w:i w:val="0"/>
              <w:iCs/>
              <w:color w:val="auto"/>
              <w:highlight w:val="none"/>
            </w:rPr>
            <w:fldChar w:fldCharType="separate"/>
          </w:r>
          <w:r>
            <w:rPr>
              <w:i w:val="0"/>
              <w:iCs/>
              <w:color w:val="auto"/>
              <w:highlight w:val="none"/>
            </w:rPr>
            <w:t>第六部分</w:t>
          </w:r>
          <w:r>
            <w:rPr>
              <w:i w:val="0"/>
              <w:iCs/>
              <w:color w:val="auto"/>
              <w:highlight w:val="none"/>
            </w:rPr>
            <w:tab/>
          </w:r>
          <w:r>
            <w:rPr>
              <w:i w:val="0"/>
              <w:iCs/>
              <w:color w:val="auto"/>
              <w:highlight w:val="none"/>
            </w:rPr>
            <w:t>附 件</w:t>
          </w:r>
          <w:r>
            <w:rPr>
              <w:i w:val="0"/>
              <w:iCs/>
              <w:color w:val="auto"/>
              <w:highlight w:val="none"/>
            </w:rPr>
            <w:tab/>
          </w:r>
          <w:r>
            <w:rPr>
              <w:i w:val="0"/>
              <w:iCs/>
              <w:color w:val="auto"/>
              <w:highlight w:val="none"/>
            </w:rPr>
            <w:fldChar w:fldCharType="begin"/>
          </w:r>
          <w:r>
            <w:rPr>
              <w:i w:val="0"/>
              <w:iCs/>
              <w:color w:val="auto"/>
              <w:highlight w:val="none"/>
            </w:rPr>
            <w:instrText xml:space="preserve"> PAGEREF _Toc30705 </w:instrText>
          </w:r>
          <w:r>
            <w:rPr>
              <w:i w:val="0"/>
              <w:iCs/>
              <w:color w:val="auto"/>
              <w:highlight w:val="none"/>
            </w:rPr>
            <w:fldChar w:fldCharType="separate"/>
          </w:r>
          <w:r>
            <w:rPr>
              <w:i w:val="0"/>
              <w:iCs/>
              <w:color w:val="auto"/>
              <w:highlight w:val="none"/>
            </w:rPr>
            <w:t>24</w:t>
          </w:r>
          <w:r>
            <w:rPr>
              <w:i w:val="0"/>
              <w:iCs/>
              <w:color w:val="auto"/>
              <w:highlight w:val="none"/>
            </w:rPr>
            <w:fldChar w:fldCharType="end"/>
          </w:r>
          <w:r>
            <w:rPr>
              <w:i w:val="0"/>
              <w:iCs/>
              <w:color w:val="auto"/>
              <w:highlight w:val="none"/>
            </w:rPr>
            <w:fldChar w:fldCharType="end"/>
          </w:r>
        </w:p>
        <w:p>
          <w:pPr>
            <w:rPr>
              <w:i w:val="0"/>
              <w:iCs/>
              <w:color w:val="auto"/>
              <w:highlight w:val="none"/>
            </w:rPr>
          </w:pPr>
          <w:r>
            <w:rPr>
              <w:i w:val="0"/>
              <w:iCs/>
              <w:color w:val="auto"/>
              <w:highlight w:val="none"/>
            </w:rPr>
            <w:fldChar w:fldCharType="end"/>
          </w:r>
        </w:p>
      </w:sdtContent>
    </w:sdt>
    <w:p>
      <w:pPr>
        <w:pStyle w:val="3"/>
        <w:tabs>
          <w:tab w:val="left" w:pos="1987"/>
        </w:tabs>
        <w:spacing w:before="254"/>
        <w:outlineLvl w:val="0"/>
        <w:rPr>
          <w:color w:val="auto"/>
          <w:highlight w:val="none"/>
        </w:rPr>
      </w:pPr>
      <w:bookmarkStart w:id="1" w:name="_Toc6924"/>
      <w:r>
        <w:rPr>
          <w:color w:val="auto"/>
          <w:highlight w:val="none"/>
        </w:rPr>
        <w:t>第一部分</w:t>
      </w:r>
      <w:r>
        <w:rPr>
          <w:color w:val="auto"/>
          <w:highlight w:val="none"/>
        </w:rPr>
        <w:tab/>
      </w:r>
      <w:r>
        <w:rPr>
          <w:color w:val="auto"/>
          <w:highlight w:val="none"/>
        </w:rPr>
        <w:t>询价须知</w:t>
      </w:r>
      <w:bookmarkEnd w:id="1"/>
    </w:p>
    <w:p>
      <w:pPr>
        <w:pStyle w:val="9"/>
        <w:keepNext w:val="0"/>
        <w:keepLines w:val="0"/>
        <w:pageBreakBefore w:val="0"/>
        <w:widowControl w:val="0"/>
        <w:kinsoku/>
        <w:wordWrap/>
        <w:overflowPunct/>
        <w:topLinePunct w:val="0"/>
        <w:autoSpaceDE w:val="0"/>
        <w:autoSpaceDN w:val="0"/>
        <w:bidi w:val="0"/>
        <w:adjustRightInd/>
        <w:snapToGrid/>
        <w:spacing w:before="294" w:line="560" w:lineRule="exact"/>
        <w:ind w:left="777"/>
        <w:textAlignment w:val="auto"/>
        <w:rPr>
          <w:color w:val="auto"/>
          <w:highlight w:val="none"/>
        </w:rPr>
      </w:pPr>
      <w:r>
        <w:rPr>
          <w:color w:val="auto"/>
          <w:highlight w:val="none"/>
        </w:rPr>
        <w:t>1、项目名称：</w:t>
      </w:r>
      <w:r>
        <w:rPr>
          <w:rFonts w:hint="eastAsia"/>
          <w:color w:val="auto"/>
          <w:highlight w:val="none"/>
          <w:lang w:eastAsia="zh-CN"/>
        </w:rPr>
        <w:t>伊犁哈萨克自治州友谊医院中心机房UPS、精密空调及机柜电源电路改造项目</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eastAsia"/>
          <w:color w:val="auto"/>
          <w:highlight w:val="none"/>
          <w:lang w:eastAsia="zh-CN"/>
        </w:rPr>
      </w:pPr>
      <w:r>
        <w:rPr>
          <w:color w:val="auto"/>
          <w:highlight w:val="none"/>
        </w:rPr>
        <w:t xml:space="preserve">2、询价通知书编号： </w:t>
      </w:r>
      <w:r>
        <w:rPr>
          <w:rFonts w:hint="eastAsia"/>
          <w:color w:val="auto"/>
          <w:highlight w:val="none"/>
          <w:lang w:eastAsia="zh-CN"/>
        </w:rPr>
        <w:t>2140xzjP02</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eastAsia"/>
          <w:color w:val="auto"/>
          <w:highlight w:val="none"/>
          <w:lang w:eastAsia="zh-CN"/>
        </w:rPr>
      </w:pPr>
      <w:r>
        <w:rPr>
          <w:color w:val="auto"/>
          <w:highlight w:val="none"/>
        </w:rPr>
        <w:t>3、采购人：</w:t>
      </w:r>
      <w:r>
        <w:rPr>
          <w:rFonts w:hint="eastAsia"/>
          <w:color w:val="auto"/>
          <w:highlight w:val="none"/>
          <w:lang w:eastAsia="zh-CN"/>
        </w:rPr>
        <w:t>伊犁哈萨克自治州友谊医院</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color w:val="auto"/>
          <w:highlight w:val="none"/>
        </w:rPr>
      </w:pPr>
      <w:r>
        <w:rPr>
          <w:color w:val="auto"/>
          <w:highlight w:val="none"/>
        </w:rPr>
        <w:t>4、采购内容及数量：</w:t>
      </w:r>
      <w:r>
        <w:rPr>
          <w:rFonts w:hint="eastAsia"/>
          <w:color w:val="auto"/>
          <w:highlight w:val="none"/>
          <w:lang w:eastAsia="zh-CN"/>
        </w:rPr>
        <w:t>伊犁哈萨克自治州友谊医院中心机房UPS、精密空调及机柜电源电路改造项目包含机房装修、智能配电改造、综合布线、机柜系统改造、线路改造、网络设备配置、集中环境监控、机房智慧运维等机房改造工作，</w:t>
      </w:r>
      <w:r>
        <w:rPr>
          <w:rFonts w:hint="eastAsia"/>
          <w:color w:val="auto"/>
          <w:highlight w:val="none"/>
          <w:lang w:val="en-US" w:eastAsia="zh-CN"/>
        </w:rPr>
        <w:t>具体内容详见采购清单</w:t>
      </w:r>
      <w:r>
        <w:rPr>
          <w:rFonts w:hint="eastAsia"/>
          <w:color w:val="auto"/>
          <w:highlight w:val="none"/>
          <w:lang w:eastAsia="zh-CN"/>
        </w:rPr>
        <w:t>。</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color w:val="auto"/>
          <w:highlight w:val="none"/>
        </w:rPr>
      </w:pPr>
      <w:r>
        <w:rPr>
          <w:color w:val="auto"/>
          <w:highlight w:val="none"/>
        </w:rPr>
        <w:t>5、响应文件份数：正本一份、副本</w:t>
      </w:r>
      <w:r>
        <w:rPr>
          <w:rFonts w:hint="eastAsia"/>
          <w:color w:val="auto"/>
          <w:highlight w:val="none"/>
          <w:lang w:val="en-US" w:eastAsia="zh-CN"/>
        </w:rPr>
        <w:t>二</w:t>
      </w:r>
      <w:r>
        <w:rPr>
          <w:color w:val="auto"/>
          <w:highlight w:val="none"/>
        </w:rPr>
        <w:t>份</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color w:val="auto"/>
          <w:highlight w:val="none"/>
        </w:rPr>
      </w:pPr>
      <w:r>
        <w:rPr>
          <w:color w:val="auto"/>
          <w:highlight w:val="none"/>
        </w:rPr>
        <w:t>6、响应文件有效期：90 天</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eastAsia"/>
          <w:color w:val="auto"/>
          <w:highlight w:val="none"/>
          <w:lang w:val="en-US" w:eastAsia="zh-CN"/>
        </w:rPr>
      </w:pPr>
      <w:r>
        <w:rPr>
          <w:color w:val="auto"/>
          <w:highlight w:val="none"/>
        </w:rPr>
        <w:t>7、报价保证金数额：</w:t>
      </w:r>
      <w:r>
        <w:rPr>
          <w:rFonts w:hint="eastAsia"/>
          <w:color w:val="auto"/>
          <w:highlight w:val="none"/>
          <w:lang w:val="en-US" w:eastAsia="zh-CN"/>
        </w:rPr>
        <w:t>15000.00元（壹万伍仟元整）</w:t>
      </w:r>
    </w:p>
    <w:p>
      <w:pPr>
        <w:spacing w:line="320" w:lineRule="exact"/>
        <w:ind w:firstLine="1440" w:firstLineChars="600"/>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开户名称：新疆新之建工程咨询有限公司伊犁分公司</w:t>
      </w:r>
    </w:p>
    <w:p>
      <w:pPr>
        <w:spacing w:line="320" w:lineRule="exact"/>
        <w:ind w:firstLine="1440" w:firstLineChars="600"/>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开户银行：新疆伊犁农村商业银行股份有限公司</w:t>
      </w:r>
    </w:p>
    <w:p>
      <w:pPr>
        <w:spacing w:line="320" w:lineRule="exact"/>
        <w:ind w:firstLine="1440" w:firstLineChars="600"/>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账    号：812010312010136147390</w:t>
      </w:r>
    </w:p>
    <w:p>
      <w:pPr>
        <w:spacing w:line="320" w:lineRule="exact"/>
        <w:ind w:firstLine="1440" w:firstLineChars="600"/>
        <w:rPr>
          <w:rFonts w:hint="eastAsia"/>
          <w:color w:val="auto"/>
          <w:highlight w:val="none"/>
          <w:lang w:val="en-US" w:eastAsia="zh-CN"/>
        </w:rPr>
      </w:pPr>
      <w:r>
        <w:rPr>
          <w:rFonts w:hint="eastAsia" w:ascii="仿宋" w:hAnsi="仿宋" w:eastAsia="仿宋" w:cs="仿宋"/>
          <w:color w:val="auto"/>
          <w:sz w:val="24"/>
          <w:szCs w:val="24"/>
          <w:highlight w:val="none"/>
          <w:lang w:val="zh-CN" w:eastAsia="zh-CN" w:bidi="zh-CN"/>
        </w:rPr>
        <w:t>行    号：402898000017</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default" w:eastAsia="仿宋"/>
          <w:color w:val="auto"/>
          <w:highlight w:val="none"/>
          <w:lang w:val="en-US" w:eastAsia="zh-CN"/>
        </w:rPr>
      </w:pPr>
      <w:r>
        <w:rPr>
          <w:color w:val="auto"/>
          <w:highlight w:val="none"/>
        </w:rPr>
        <w:t>8、询价通知书提供期限：采购信息发布之日</w:t>
      </w:r>
      <w:r>
        <w:rPr>
          <w:rFonts w:hint="eastAsia"/>
          <w:color w:val="auto"/>
          <w:highlight w:val="none"/>
          <w:lang w:val="en-US" w:eastAsia="zh-CN"/>
        </w:rPr>
        <w:t>3个工作日内</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color w:val="auto"/>
          <w:highlight w:val="none"/>
        </w:rPr>
      </w:pPr>
      <w:r>
        <w:rPr>
          <w:color w:val="auto"/>
          <w:highlight w:val="none"/>
        </w:rPr>
        <w:t>9、响应文件递交截止时间:20</w:t>
      </w:r>
      <w:r>
        <w:rPr>
          <w:rFonts w:hint="eastAsia"/>
          <w:color w:val="auto"/>
          <w:highlight w:val="none"/>
          <w:lang w:val="en-US" w:eastAsia="zh-CN"/>
        </w:rPr>
        <w:t>21</w:t>
      </w:r>
      <w:r>
        <w:rPr>
          <w:color w:val="auto"/>
          <w:highlight w:val="none"/>
        </w:rPr>
        <w:t>年</w:t>
      </w:r>
      <w:r>
        <w:rPr>
          <w:rFonts w:hint="eastAsia"/>
          <w:color w:val="auto"/>
          <w:highlight w:val="none"/>
          <w:lang w:val="en-US" w:eastAsia="zh-CN"/>
        </w:rPr>
        <w:t>1</w:t>
      </w:r>
      <w:r>
        <w:rPr>
          <w:color w:val="auto"/>
          <w:highlight w:val="none"/>
        </w:rPr>
        <w:t>月</w:t>
      </w:r>
      <w:r>
        <w:rPr>
          <w:rFonts w:hint="eastAsia"/>
          <w:color w:val="auto"/>
          <w:highlight w:val="none"/>
          <w:lang w:val="en-US" w:eastAsia="zh-CN"/>
        </w:rPr>
        <w:t>12日</w:t>
      </w:r>
      <w:r>
        <w:rPr>
          <w:color w:val="auto"/>
          <w:highlight w:val="none"/>
        </w:rPr>
        <w:t>(北京时间 1</w:t>
      </w:r>
      <w:r>
        <w:rPr>
          <w:rFonts w:hint="eastAsia"/>
          <w:color w:val="auto"/>
          <w:highlight w:val="none"/>
          <w:lang w:val="en-US" w:eastAsia="zh-CN"/>
        </w:rPr>
        <w:t>6</w:t>
      </w:r>
      <w:r>
        <w:rPr>
          <w:color w:val="auto"/>
          <w:highlight w:val="none"/>
        </w:rPr>
        <w:t>:</w:t>
      </w:r>
      <w:r>
        <w:rPr>
          <w:rFonts w:hint="eastAsia"/>
          <w:color w:val="auto"/>
          <w:highlight w:val="none"/>
          <w:lang w:val="en-US" w:eastAsia="zh-CN"/>
        </w:rPr>
        <w:t>0</w:t>
      </w:r>
      <w:r>
        <w:rPr>
          <w:color w:val="auto"/>
          <w:highlight w:val="none"/>
        </w:rPr>
        <w:t>0)</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eastAsia" w:eastAsia="仿宋"/>
          <w:color w:val="auto"/>
          <w:highlight w:val="none"/>
          <w:lang w:eastAsia="zh-CN"/>
        </w:rPr>
      </w:pPr>
      <w:r>
        <w:rPr>
          <w:color w:val="auto"/>
          <w:highlight w:val="none"/>
        </w:rPr>
        <w:t>10、响应文件递交地点：</w:t>
      </w:r>
      <w:r>
        <w:rPr>
          <w:rFonts w:hint="eastAsia"/>
          <w:color w:val="auto"/>
          <w:highlight w:val="none"/>
          <w:lang w:eastAsia="zh-CN"/>
        </w:rPr>
        <w:t>伊宁市解放路77号亚欧国际9层会议室</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color w:val="auto"/>
          <w:highlight w:val="none"/>
        </w:rPr>
      </w:pPr>
      <w:r>
        <w:rPr>
          <w:color w:val="auto"/>
          <w:highlight w:val="none"/>
        </w:rPr>
        <w:t>11、评审办法：最低评标价法</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default"/>
          <w:color w:val="auto"/>
          <w:highlight w:val="none"/>
          <w:lang w:val="en-US"/>
        </w:rPr>
      </w:pPr>
      <w:r>
        <w:rPr>
          <w:color w:val="auto"/>
          <w:highlight w:val="none"/>
        </w:rPr>
        <w:t>12、交货日期：</w:t>
      </w:r>
      <w:r>
        <w:rPr>
          <w:rFonts w:hint="eastAsia"/>
          <w:color w:val="auto"/>
          <w:highlight w:val="none"/>
          <w:lang w:val="en-US" w:eastAsia="zh-CN"/>
        </w:rPr>
        <w:t>合同签订后45个自然日</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color w:val="auto"/>
          <w:highlight w:val="none"/>
        </w:rPr>
      </w:pPr>
      <w:r>
        <w:rPr>
          <w:color w:val="auto"/>
          <w:highlight w:val="none"/>
        </w:rPr>
        <w:t>13、采购公告、变更公告、成交公告发布网址：新疆政府采购网</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default"/>
          <w:color w:val="auto"/>
          <w:highlight w:val="none"/>
          <w:lang w:val="en-US" w:eastAsia="zh-CN"/>
        </w:rPr>
      </w:pPr>
      <w:r>
        <w:rPr>
          <w:color w:val="auto"/>
          <w:highlight w:val="none"/>
        </w:rPr>
        <w:t>14、项目联系人：</w:t>
      </w:r>
      <w:r>
        <w:rPr>
          <w:rFonts w:hint="eastAsia"/>
          <w:color w:val="auto"/>
          <w:highlight w:val="none"/>
          <w:lang w:val="en-US" w:eastAsia="zh-CN"/>
        </w:rPr>
        <w:t xml:space="preserve">韩绪   </w:t>
      </w:r>
      <w:r>
        <w:rPr>
          <w:color w:val="auto"/>
          <w:highlight w:val="none"/>
        </w:rPr>
        <w:tab/>
      </w:r>
      <w:r>
        <w:rPr>
          <w:color w:val="auto"/>
          <w:highlight w:val="none"/>
        </w:rPr>
        <w:t>电话：</w:t>
      </w:r>
      <w:r>
        <w:rPr>
          <w:rFonts w:hint="eastAsia"/>
          <w:color w:val="auto"/>
          <w:highlight w:val="none"/>
          <w:lang w:val="en-US" w:eastAsia="zh-CN"/>
        </w:rPr>
        <w:t>18699906566</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default" w:eastAsia="仿宋"/>
          <w:color w:val="auto"/>
          <w:highlight w:val="none"/>
          <w:lang w:val="en-US" w:eastAsia="zh-CN"/>
        </w:rPr>
      </w:pPr>
      <w:r>
        <w:rPr>
          <w:color w:val="auto"/>
          <w:highlight w:val="none"/>
        </w:rPr>
        <w:t>15、采购代理机构地址：</w:t>
      </w:r>
      <w:r>
        <w:rPr>
          <w:rFonts w:hint="eastAsia"/>
          <w:color w:val="auto"/>
          <w:highlight w:val="none"/>
        </w:rPr>
        <w:t>伊宁市</w:t>
      </w:r>
      <w:r>
        <w:rPr>
          <w:rFonts w:hint="eastAsia"/>
          <w:color w:val="auto"/>
          <w:highlight w:val="none"/>
          <w:lang w:val="en-US" w:eastAsia="zh-CN"/>
        </w:rPr>
        <w:t>解放路77号亚欧国际九楼</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color w:val="auto"/>
          <w:highlight w:val="none"/>
        </w:rPr>
      </w:pPr>
      <w:r>
        <w:rPr>
          <w:color w:val="auto"/>
          <w:highlight w:val="none"/>
        </w:rPr>
        <w:t>16、采购人联系事项：</w:t>
      </w:r>
    </w:p>
    <w:p>
      <w:pPr>
        <w:pStyle w:val="9"/>
        <w:keepNext w:val="0"/>
        <w:keepLines w:val="0"/>
        <w:pageBreakBefore w:val="0"/>
        <w:widowControl w:val="0"/>
        <w:tabs>
          <w:tab w:val="left" w:pos="5758"/>
        </w:tabs>
        <w:kinsoku/>
        <w:wordWrap/>
        <w:overflowPunct/>
        <w:topLinePunct w:val="0"/>
        <w:autoSpaceDE w:val="0"/>
        <w:autoSpaceDN w:val="0"/>
        <w:bidi w:val="0"/>
        <w:adjustRightInd/>
        <w:snapToGrid/>
        <w:spacing w:line="560" w:lineRule="exact"/>
        <w:ind w:left="777"/>
        <w:textAlignment w:val="auto"/>
        <w:rPr>
          <w:rFonts w:hint="eastAsia" w:eastAsia="仿宋"/>
          <w:color w:val="auto"/>
          <w:highlight w:val="none"/>
          <w:lang w:eastAsia="zh-CN"/>
        </w:rPr>
      </w:pPr>
      <w:r>
        <w:rPr>
          <w:color w:val="auto"/>
          <w:highlight w:val="none"/>
        </w:rPr>
        <w:t>联系人：</w:t>
      </w:r>
      <w:r>
        <w:rPr>
          <w:rFonts w:hint="eastAsia"/>
          <w:color w:val="auto"/>
          <w:highlight w:val="none"/>
          <w:lang w:eastAsia="zh-CN"/>
        </w:rPr>
        <w:t>张懿</w:t>
      </w:r>
      <w:r>
        <w:rPr>
          <w:color w:val="auto"/>
          <w:highlight w:val="none"/>
        </w:rPr>
        <w:tab/>
      </w:r>
      <w:r>
        <w:rPr>
          <w:rFonts w:hint="eastAsia"/>
          <w:color w:val="auto"/>
          <w:highlight w:val="none"/>
          <w:lang w:val="en-US" w:eastAsia="zh-CN"/>
        </w:rPr>
        <w:t xml:space="preserve">  </w:t>
      </w:r>
      <w:r>
        <w:rPr>
          <w:color w:val="auto"/>
          <w:highlight w:val="none"/>
        </w:rPr>
        <w:t>电话：</w:t>
      </w:r>
      <w:r>
        <w:rPr>
          <w:rFonts w:hint="eastAsia"/>
          <w:color w:val="auto"/>
          <w:highlight w:val="none"/>
          <w:lang w:eastAsia="zh-CN"/>
        </w:rPr>
        <w:t>18935778892</w:t>
      </w:r>
    </w:p>
    <w:p>
      <w:pPr>
        <w:pStyle w:val="3"/>
        <w:tabs>
          <w:tab w:val="left" w:pos="2428"/>
        </w:tabs>
        <w:spacing w:line="702" w:lineRule="exact"/>
        <w:outlineLvl w:val="0"/>
        <w:rPr>
          <w:color w:val="auto"/>
          <w:highlight w:val="none"/>
        </w:rPr>
      </w:pPr>
      <w:bookmarkStart w:id="2" w:name="_Toc17887"/>
    </w:p>
    <w:p>
      <w:pPr>
        <w:pStyle w:val="3"/>
        <w:tabs>
          <w:tab w:val="left" w:pos="2428"/>
        </w:tabs>
        <w:spacing w:line="702" w:lineRule="exact"/>
        <w:outlineLvl w:val="0"/>
        <w:rPr>
          <w:color w:val="auto"/>
          <w:highlight w:val="none"/>
        </w:rPr>
      </w:pPr>
      <w:r>
        <w:rPr>
          <w:color w:val="auto"/>
          <w:highlight w:val="none"/>
        </w:rPr>
        <w:t>第二部分</w:t>
      </w:r>
      <w:r>
        <w:rPr>
          <w:color w:val="auto"/>
          <w:highlight w:val="none"/>
        </w:rPr>
        <w:tab/>
      </w:r>
      <w:r>
        <w:rPr>
          <w:color w:val="auto"/>
          <w:highlight w:val="none"/>
        </w:rPr>
        <w:t>询价说明</w:t>
      </w:r>
      <w:bookmarkEnd w:id="2"/>
    </w:p>
    <w:p>
      <w:pPr>
        <w:pStyle w:val="8"/>
        <w:numPr>
          <w:ilvl w:val="0"/>
          <w:numId w:val="1"/>
        </w:numPr>
        <w:tabs>
          <w:tab w:val="left" w:pos="1265"/>
          <w:tab w:val="left" w:pos="1266"/>
        </w:tabs>
        <w:spacing w:before="184" w:after="0" w:line="240" w:lineRule="auto"/>
        <w:ind w:left="1265" w:right="0" w:hanging="486"/>
        <w:jc w:val="left"/>
        <w:outlineLvl w:val="1"/>
        <w:rPr>
          <w:color w:val="auto"/>
          <w:highlight w:val="none"/>
        </w:rPr>
      </w:pPr>
      <w:bookmarkStart w:id="3" w:name="_Toc8142"/>
      <w:r>
        <w:rPr>
          <w:color w:val="auto"/>
          <w:highlight w:val="none"/>
        </w:rPr>
        <w:t>适用范围</w:t>
      </w:r>
      <w:bookmarkEnd w:id="3"/>
    </w:p>
    <w:p>
      <w:pPr>
        <w:pStyle w:val="21"/>
        <w:numPr>
          <w:ilvl w:val="0"/>
          <w:numId w:val="0"/>
        </w:numPr>
        <w:tabs>
          <w:tab w:val="left" w:pos="1383"/>
          <w:tab w:val="left" w:pos="1384"/>
        </w:tabs>
        <w:spacing w:before="108" w:after="0" w:line="374" w:lineRule="auto"/>
        <w:ind w:left="778" w:leftChars="0" w:right="942" w:rightChars="0"/>
        <w:jc w:val="left"/>
        <w:rPr>
          <w:color w:val="auto"/>
          <w:sz w:val="24"/>
          <w:highlight w:val="none"/>
        </w:rPr>
      </w:pPr>
      <w:r>
        <w:rPr>
          <w:rFonts w:hint="eastAsia"/>
          <w:color w:val="auto"/>
          <w:sz w:val="24"/>
          <w:highlight w:val="none"/>
          <w:lang w:val="en-US" w:eastAsia="zh-CN"/>
        </w:rPr>
        <w:t>1.1</w:t>
      </w:r>
      <w:r>
        <w:rPr>
          <w:color w:val="auto"/>
          <w:sz w:val="24"/>
          <w:highlight w:val="none"/>
        </w:rPr>
        <w:t>本询价通知书仅适用于在询价通知书中所叙述的</w:t>
      </w:r>
      <w:r>
        <w:rPr>
          <w:rFonts w:hint="eastAsia"/>
          <w:color w:val="auto"/>
          <w:sz w:val="24"/>
          <w:highlight w:val="none"/>
          <w:lang w:eastAsia="zh-CN"/>
        </w:rPr>
        <w:t>伊犁哈萨克自治州友谊医院中心机房UPS、精密空调及机柜电源电路改造项目</w:t>
      </w:r>
      <w:r>
        <w:rPr>
          <w:color w:val="auto"/>
          <w:sz w:val="24"/>
          <w:highlight w:val="none"/>
        </w:rPr>
        <w:t>采购所需的制造商和代理商。</w:t>
      </w:r>
    </w:p>
    <w:p>
      <w:pPr>
        <w:pStyle w:val="8"/>
        <w:numPr>
          <w:ilvl w:val="0"/>
          <w:numId w:val="1"/>
        </w:numPr>
        <w:tabs>
          <w:tab w:val="left" w:pos="1265"/>
          <w:tab w:val="left" w:pos="1266"/>
        </w:tabs>
        <w:spacing w:before="0" w:after="0" w:line="332" w:lineRule="exact"/>
        <w:ind w:left="1265" w:right="0" w:hanging="486"/>
        <w:jc w:val="left"/>
        <w:outlineLvl w:val="1"/>
        <w:rPr>
          <w:color w:val="auto"/>
          <w:highlight w:val="none"/>
        </w:rPr>
      </w:pPr>
      <w:bookmarkStart w:id="4" w:name="_Toc20282"/>
      <w:r>
        <w:rPr>
          <w:color w:val="auto"/>
          <w:highlight w:val="none"/>
        </w:rPr>
        <w:t>报价资质</w:t>
      </w:r>
      <w:bookmarkEnd w:id="4"/>
    </w:p>
    <w:p>
      <w:pPr>
        <w:pStyle w:val="9"/>
        <w:spacing w:before="94"/>
        <w:ind w:left="780"/>
        <w:rPr>
          <w:rFonts w:hint="eastAsia" w:eastAsia="仿宋"/>
          <w:color w:val="auto"/>
          <w:highlight w:val="none"/>
          <w:lang w:eastAsia="zh-CN"/>
        </w:rPr>
      </w:pPr>
      <w:bookmarkStart w:id="5" w:name="_Toc27773"/>
      <w:r>
        <w:rPr>
          <w:rFonts w:hint="eastAsia"/>
          <w:color w:val="auto"/>
          <w:highlight w:val="none"/>
          <w:lang w:val="en-US" w:eastAsia="zh-CN"/>
        </w:rPr>
        <w:t>2.</w:t>
      </w:r>
      <w:r>
        <w:rPr>
          <w:rFonts w:hint="eastAsia"/>
          <w:color w:val="auto"/>
          <w:highlight w:val="none"/>
        </w:rPr>
        <w:t>1.满足《中华人民共和国政府采购法》第二十二条规定</w:t>
      </w:r>
      <w:r>
        <w:rPr>
          <w:rFonts w:hint="eastAsia"/>
          <w:color w:val="auto"/>
          <w:highlight w:val="none"/>
          <w:lang w:eastAsia="zh-CN"/>
        </w:rPr>
        <w:t>。</w:t>
      </w:r>
    </w:p>
    <w:p>
      <w:pPr>
        <w:pStyle w:val="9"/>
        <w:spacing w:before="94"/>
        <w:ind w:left="780"/>
        <w:rPr>
          <w:color w:val="auto"/>
          <w:highlight w:val="none"/>
        </w:rPr>
      </w:pPr>
      <w:r>
        <w:rPr>
          <w:rFonts w:hint="eastAsia"/>
          <w:color w:val="auto"/>
          <w:highlight w:val="none"/>
          <w:lang w:val="en-US" w:eastAsia="zh-CN"/>
        </w:rPr>
        <w:t xml:space="preserve">2.2 </w:t>
      </w:r>
      <w:r>
        <w:rPr>
          <w:rFonts w:hint="eastAsia"/>
          <w:color w:val="auto"/>
          <w:highlight w:val="none"/>
        </w:rPr>
        <w:t>投标人有效的独立法人资格的营业执照原件。</w:t>
      </w:r>
    </w:p>
    <w:bookmarkEnd w:id="5"/>
    <w:p>
      <w:pPr>
        <w:pStyle w:val="21"/>
        <w:numPr>
          <w:ilvl w:val="0"/>
          <w:numId w:val="1"/>
        </w:numPr>
        <w:tabs>
          <w:tab w:val="left" w:pos="1144"/>
        </w:tabs>
        <w:spacing w:before="0" w:after="0" w:line="440" w:lineRule="exact"/>
        <w:ind w:left="1143" w:right="0" w:hanging="364"/>
        <w:jc w:val="left"/>
        <w:outlineLvl w:val="1"/>
        <w:rPr>
          <w:rFonts w:hint="eastAsia" w:ascii="Microsoft JhengHei" w:eastAsia="Microsoft JhengHei"/>
          <w:b/>
          <w:color w:val="auto"/>
          <w:sz w:val="24"/>
          <w:highlight w:val="none"/>
        </w:rPr>
      </w:pPr>
      <w:bookmarkStart w:id="6" w:name="_Toc11980"/>
      <w:r>
        <w:rPr>
          <w:rFonts w:hint="eastAsia" w:ascii="Microsoft JhengHei" w:eastAsia="Microsoft JhengHei"/>
          <w:b/>
          <w:color w:val="auto"/>
          <w:sz w:val="24"/>
          <w:highlight w:val="none"/>
        </w:rPr>
        <w:t>定义</w:t>
      </w:r>
      <w:bookmarkEnd w:id="6"/>
    </w:p>
    <w:p>
      <w:pPr>
        <w:pStyle w:val="9"/>
        <w:spacing w:before="94"/>
        <w:ind w:left="780"/>
        <w:rPr>
          <w:color w:val="auto"/>
          <w:highlight w:val="none"/>
        </w:rPr>
      </w:pPr>
      <w:r>
        <w:rPr>
          <w:color w:val="auto"/>
          <w:highlight w:val="none"/>
        </w:rPr>
        <w:t>下列术语和缩写的定义为：</w:t>
      </w:r>
    </w:p>
    <w:p>
      <w:pPr>
        <w:pStyle w:val="21"/>
        <w:numPr>
          <w:ilvl w:val="1"/>
          <w:numId w:val="1"/>
        </w:numPr>
        <w:tabs>
          <w:tab w:val="left" w:pos="1259"/>
        </w:tabs>
        <w:spacing w:before="136" w:after="0" w:line="240" w:lineRule="auto"/>
        <w:ind w:left="1258" w:right="0" w:hanging="481"/>
        <w:jc w:val="left"/>
        <w:rPr>
          <w:color w:val="auto"/>
          <w:sz w:val="24"/>
          <w:highlight w:val="none"/>
        </w:rPr>
      </w:pPr>
      <w:r>
        <w:rPr>
          <w:color w:val="auto"/>
          <w:sz w:val="24"/>
          <w:highlight w:val="none"/>
        </w:rPr>
        <w:t>“采购方”系指</w:t>
      </w:r>
      <w:r>
        <w:rPr>
          <w:rFonts w:hint="eastAsia"/>
          <w:color w:val="auto"/>
          <w:sz w:val="24"/>
          <w:highlight w:val="none"/>
          <w:lang w:eastAsia="zh-CN"/>
        </w:rPr>
        <w:t>伊犁哈萨克自治州友谊医院</w:t>
      </w:r>
      <w:r>
        <w:rPr>
          <w:color w:val="auto"/>
          <w:sz w:val="24"/>
          <w:highlight w:val="none"/>
        </w:rPr>
        <w:t>。</w:t>
      </w:r>
    </w:p>
    <w:p>
      <w:pPr>
        <w:pStyle w:val="21"/>
        <w:numPr>
          <w:ilvl w:val="1"/>
          <w:numId w:val="1"/>
        </w:numPr>
        <w:tabs>
          <w:tab w:val="left" w:pos="1259"/>
        </w:tabs>
        <w:spacing w:before="135" w:after="0" w:line="240" w:lineRule="auto"/>
        <w:ind w:left="1258" w:right="0" w:hanging="481"/>
        <w:jc w:val="left"/>
        <w:rPr>
          <w:color w:val="auto"/>
          <w:sz w:val="24"/>
          <w:highlight w:val="none"/>
        </w:rPr>
      </w:pPr>
      <w:r>
        <w:rPr>
          <w:color w:val="auto"/>
          <w:spacing w:val="-17"/>
          <w:sz w:val="24"/>
          <w:highlight w:val="none"/>
        </w:rPr>
        <w:t>“供应商”、“供应商”系指有资格的供应商</w:t>
      </w:r>
      <w:r>
        <w:rPr>
          <w:color w:val="auto"/>
          <w:sz w:val="24"/>
          <w:highlight w:val="none"/>
        </w:rPr>
        <w:t>（制造商和代理商）及报价代表。</w:t>
      </w:r>
    </w:p>
    <w:p>
      <w:pPr>
        <w:pStyle w:val="21"/>
        <w:numPr>
          <w:ilvl w:val="1"/>
          <w:numId w:val="1"/>
        </w:numPr>
        <w:tabs>
          <w:tab w:val="left" w:pos="1259"/>
        </w:tabs>
        <w:spacing w:before="131" w:after="0" w:line="343" w:lineRule="auto"/>
        <w:ind w:left="298" w:right="899" w:firstLine="480"/>
        <w:jc w:val="left"/>
        <w:rPr>
          <w:color w:val="auto"/>
          <w:sz w:val="24"/>
          <w:highlight w:val="none"/>
        </w:rPr>
      </w:pPr>
      <w:r>
        <w:rPr>
          <w:color w:val="auto"/>
          <w:spacing w:val="-1"/>
          <w:sz w:val="24"/>
          <w:highlight w:val="none"/>
        </w:rPr>
        <w:t>“货物”系指询价通知书规定的，供应商须向采购方提供的一切设备、附件、</w:t>
      </w:r>
      <w:r>
        <w:rPr>
          <w:color w:val="auto"/>
          <w:sz w:val="24"/>
          <w:highlight w:val="none"/>
        </w:rPr>
        <w:t>备品备件、工具、手册及其它</w:t>
      </w:r>
      <w:r>
        <w:rPr>
          <w:rFonts w:hint="eastAsia"/>
          <w:color w:val="auto"/>
          <w:sz w:val="24"/>
          <w:highlight w:val="none"/>
          <w:lang w:eastAsia="zh-CN"/>
        </w:rPr>
        <w:t>有关</w:t>
      </w:r>
      <w:r>
        <w:rPr>
          <w:color w:val="auto"/>
          <w:sz w:val="24"/>
          <w:highlight w:val="none"/>
        </w:rPr>
        <w:t>资料和材料。</w:t>
      </w:r>
    </w:p>
    <w:p>
      <w:pPr>
        <w:pStyle w:val="21"/>
        <w:numPr>
          <w:ilvl w:val="1"/>
          <w:numId w:val="1"/>
        </w:numPr>
        <w:tabs>
          <w:tab w:val="left" w:pos="1247"/>
        </w:tabs>
        <w:spacing w:before="2" w:after="0" w:line="343" w:lineRule="auto"/>
        <w:ind w:left="298" w:right="947" w:firstLine="480"/>
        <w:jc w:val="left"/>
        <w:rPr>
          <w:color w:val="auto"/>
          <w:sz w:val="24"/>
          <w:highlight w:val="none"/>
        </w:rPr>
      </w:pPr>
      <w:r>
        <w:rPr>
          <w:color w:val="auto"/>
          <w:spacing w:val="-6"/>
          <w:sz w:val="24"/>
          <w:highlight w:val="none"/>
        </w:rPr>
        <w:t>“服务”系指询价通知书规定供应商须承担的保修、技术协助、培训及其他类</w:t>
      </w:r>
      <w:r>
        <w:rPr>
          <w:color w:val="auto"/>
          <w:sz w:val="24"/>
          <w:highlight w:val="none"/>
        </w:rPr>
        <w:t>似的责任。</w:t>
      </w:r>
    </w:p>
    <w:p>
      <w:pPr>
        <w:pStyle w:val="8"/>
        <w:numPr>
          <w:ilvl w:val="0"/>
          <w:numId w:val="1"/>
        </w:numPr>
        <w:tabs>
          <w:tab w:val="left" w:pos="1265"/>
          <w:tab w:val="left" w:pos="1266"/>
        </w:tabs>
        <w:spacing w:before="0" w:after="0" w:line="392" w:lineRule="exact"/>
        <w:ind w:left="1265" w:right="0" w:hanging="486"/>
        <w:jc w:val="left"/>
        <w:outlineLvl w:val="1"/>
        <w:rPr>
          <w:color w:val="auto"/>
          <w:highlight w:val="none"/>
        </w:rPr>
      </w:pPr>
      <w:bookmarkStart w:id="7" w:name="_Toc1023"/>
      <w:r>
        <w:rPr>
          <w:color w:val="auto"/>
          <w:highlight w:val="none"/>
        </w:rPr>
        <w:t>报价费用</w:t>
      </w:r>
      <w:bookmarkEnd w:id="7"/>
    </w:p>
    <w:p>
      <w:pPr>
        <w:pStyle w:val="21"/>
        <w:numPr>
          <w:ilvl w:val="1"/>
          <w:numId w:val="1"/>
        </w:numPr>
        <w:tabs>
          <w:tab w:val="left" w:pos="1385"/>
          <w:tab w:val="left" w:pos="1386"/>
        </w:tabs>
        <w:spacing w:before="101" w:after="0" w:line="240" w:lineRule="auto"/>
        <w:ind w:left="1385" w:right="0" w:hanging="606"/>
        <w:jc w:val="left"/>
        <w:rPr>
          <w:color w:val="auto"/>
          <w:sz w:val="24"/>
          <w:highlight w:val="none"/>
        </w:rPr>
      </w:pPr>
      <w:r>
        <w:rPr>
          <w:color w:val="auto"/>
          <w:sz w:val="24"/>
          <w:highlight w:val="none"/>
        </w:rPr>
        <w:t>无论报价结果如何，凡参与采购、报价活动</w:t>
      </w:r>
      <w:r>
        <w:rPr>
          <w:rFonts w:hint="eastAsia"/>
          <w:color w:val="auto"/>
          <w:sz w:val="24"/>
          <w:highlight w:val="none"/>
          <w:lang w:eastAsia="zh-CN"/>
        </w:rPr>
        <w:t>有关</w:t>
      </w:r>
      <w:r>
        <w:rPr>
          <w:color w:val="auto"/>
          <w:sz w:val="24"/>
          <w:highlight w:val="none"/>
        </w:rPr>
        <w:t>的所有费用将由供应商自行</w:t>
      </w:r>
    </w:p>
    <w:p>
      <w:pPr>
        <w:pStyle w:val="9"/>
        <w:spacing w:before="153"/>
        <w:ind w:left="298"/>
        <w:rPr>
          <w:color w:val="auto"/>
          <w:highlight w:val="none"/>
        </w:rPr>
      </w:pPr>
      <w:r>
        <w:rPr>
          <w:color w:val="auto"/>
          <w:highlight w:val="none"/>
        </w:rPr>
        <w:t>承担。</w:t>
      </w:r>
    </w:p>
    <w:p>
      <w:pPr>
        <w:pStyle w:val="21"/>
        <w:numPr>
          <w:ilvl w:val="1"/>
          <w:numId w:val="1"/>
        </w:numPr>
        <w:tabs>
          <w:tab w:val="left" w:pos="1378"/>
          <w:tab w:val="left" w:pos="1379"/>
        </w:tabs>
        <w:spacing w:before="139" w:after="0" w:line="240" w:lineRule="auto"/>
        <w:ind w:left="1378" w:right="0" w:hanging="601"/>
        <w:jc w:val="left"/>
        <w:rPr>
          <w:color w:val="auto"/>
          <w:sz w:val="24"/>
          <w:highlight w:val="none"/>
        </w:rPr>
      </w:pPr>
      <w:r>
        <w:rPr>
          <w:color w:val="auto"/>
          <w:sz w:val="24"/>
          <w:highlight w:val="none"/>
        </w:rPr>
        <w:t>供应商被视为熟悉本采购项目的各种情况以及与履行合同</w:t>
      </w:r>
      <w:r>
        <w:rPr>
          <w:rFonts w:hint="eastAsia"/>
          <w:color w:val="auto"/>
          <w:sz w:val="24"/>
          <w:highlight w:val="none"/>
          <w:lang w:eastAsia="zh-CN"/>
        </w:rPr>
        <w:t>有关</w:t>
      </w:r>
      <w:r>
        <w:rPr>
          <w:color w:val="auto"/>
          <w:sz w:val="24"/>
          <w:highlight w:val="none"/>
        </w:rPr>
        <w:t>的一切情况。</w:t>
      </w:r>
    </w:p>
    <w:p>
      <w:pPr>
        <w:pStyle w:val="8"/>
        <w:numPr>
          <w:ilvl w:val="0"/>
          <w:numId w:val="1"/>
        </w:numPr>
        <w:tabs>
          <w:tab w:val="left" w:pos="1144"/>
        </w:tabs>
        <w:spacing w:before="52" w:after="0" w:line="240" w:lineRule="auto"/>
        <w:ind w:left="1143" w:right="0" w:hanging="364"/>
        <w:jc w:val="left"/>
        <w:outlineLvl w:val="1"/>
        <w:rPr>
          <w:color w:val="auto"/>
          <w:highlight w:val="none"/>
        </w:rPr>
      </w:pPr>
      <w:bookmarkStart w:id="8" w:name="_Toc25013"/>
      <w:r>
        <w:rPr>
          <w:color w:val="auto"/>
          <w:highlight w:val="none"/>
        </w:rPr>
        <w:t>询价通知书的构成</w:t>
      </w:r>
      <w:bookmarkEnd w:id="8"/>
    </w:p>
    <w:p>
      <w:pPr>
        <w:pStyle w:val="21"/>
        <w:numPr>
          <w:ilvl w:val="1"/>
          <w:numId w:val="1"/>
        </w:numPr>
        <w:tabs>
          <w:tab w:val="left" w:pos="1379"/>
        </w:tabs>
        <w:spacing w:before="109" w:after="0" w:line="240" w:lineRule="auto"/>
        <w:ind w:left="1378" w:right="0" w:hanging="601"/>
        <w:jc w:val="both"/>
        <w:rPr>
          <w:color w:val="auto"/>
          <w:sz w:val="24"/>
          <w:highlight w:val="none"/>
        </w:rPr>
      </w:pPr>
      <w:r>
        <w:rPr>
          <w:color w:val="auto"/>
          <w:sz w:val="24"/>
          <w:highlight w:val="none"/>
        </w:rPr>
        <w:t>询价通知书由下述部分组成：</w:t>
      </w:r>
    </w:p>
    <w:p>
      <w:pPr>
        <w:pStyle w:val="9"/>
        <w:spacing w:before="172" w:line="374" w:lineRule="auto"/>
        <w:ind w:left="1018" w:right="7259"/>
        <w:jc w:val="both"/>
        <w:rPr>
          <w:color w:val="auto"/>
          <w:highlight w:val="none"/>
        </w:rPr>
      </w:pPr>
      <w:r>
        <w:rPr>
          <w:color w:val="auto"/>
          <w:spacing w:val="-2"/>
          <w:highlight w:val="none"/>
        </w:rPr>
        <w:t>第一部分 报价须知第二部分 询价说明第三部分 报价说明</w:t>
      </w:r>
    </w:p>
    <w:p>
      <w:pPr>
        <w:pStyle w:val="9"/>
        <w:spacing w:before="1" w:line="374" w:lineRule="auto"/>
        <w:ind w:left="1018" w:right="5579"/>
        <w:jc w:val="both"/>
        <w:rPr>
          <w:color w:val="auto"/>
          <w:highlight w:val="none"/>
        </w:rPr>
      </w:pPr>
      <w:r>
        <w:rPr>
          <w:color w:val="auto"/>
          <w:spacing w:val="-2"/>
          <w:highlight w:val="none"/>
        </w:rPr>
        <w:t>第四部分 货物需求及技术规格说明</w:t>
      </w:r>
      <w:r>
        <w:rPr>
          <w:color w:val="auto"/>
          <w:highlight w:val="none"/>
        </w:rPr>
        <w:t>第五部分 商务部分</w:t>
      </w:r>
    </w:p>
    <w:p>
      <w:pPr>
        <w:pStyle w:val="9"/>
        <w:spacing w:before="1"/>
        <w:ind w:left="1018"/>
        <w:jc w:val="both"/>
        <w:rPr>
          <w:color w:val="auto"/>
          <w:highlight w:val="none"/>
        </w:rPr>
      </w:pPr>
      <w:r>
        <w:rPr>
          <w:color w:val="auto"/>
          <w:highlight w:val="none"/>
        </w:rPr>
        <w:t>第六部分 附件</w:t>
      </w:r>
    </w:p>
    <w:p>
      <w:pPr>
        <w:spacing w:after="0"/>
        <w:jc w:val="both"/>
        <w:rPr>
          <w:color w:val="auto"/>
          <w:highlight w:val="none"/>
        </w:rPr>
        <w:sectPr>
          <w:headerReference r:id="rId3" w:type="default"/>
          <w:footerReference r:id="rId4" w:type="default"/>
          <w:pgSz w:w="11900" w:h="16840"/>
          <w:pgMar w:top="1100" w:right="460" w:bottom="1380" w:left="1120" w:header="894" w:footer="1196" w:gutter="0"/>
          <w:cols w:equalWidth="0" w:num="1">
            <w:col w:w="10320"/>
          </w:cols>
        </w:sectPr>
      </w:pPr>
    </w:p>
    <w:p>
      <w:pPr>
        <w:pStyle w:val="9"/>
        <w:spacing w:before="8"/>
        <w:rPr>
          <w:color w:val="auto"/>
          <w:sz w:val="17"/>
          <w:highlight w:val="none"/>
        </w:rPr>
      </w:pPr>
    </w:p>
    <w:p>
      <w:pPr>
        <w:pStyle w:val="8"/>
        <w:numPr>
          <w:ilvl w:val="0"/>
          <w:numId w:val="1"/>
        </w:numPr>
        <w:tabs>
          <w:tab w:val="left" w:pos="1144"/>
        </w:tabs>
        <w:spacing w:before="0" w:after="0" w:line="421" w:lineRule="exact"/>
        <w:ind w:left="1143" w:right="0" w:hanging="364"/>
        <w:jc w:val="left"/>
        <w:outlineLvl w:val="1"/>
        <w:rPr>
          <w:color w:val="auto"/>
          <w:highlight w:val="none"/>
        </w:rPr>
      </w:pPr>
      <w:bookmarkStart w:id="9" w:name="_Toc23448"/>
      <w:r>
        <w:rPr>
          <w:color w:val="auto"/>
          <w:highlight w:val="none"/>
        </w:rPr>
        <w:t>询价通知书的澄清或修改</w:t>
      </w:r>
      <w:bookmarkEnd w:id="9"/>
    </w:p>
    <w:p>
      <w:pPr>
        <w:pStyle w:val="21"/>
        <w:numPr>
          <w:ilvl w:val="1"/>
          <w:numId w:val="1"/>
        </w:numPr>
        <w:tabs>
          <w:tab w:val="left" w:pos="1379"/>
        </w:tabs>
        <w:spacing w:before="0" w:after="0" w:line="259" w:lineRule="auto"/>
        <w:ind w:left="298" w:right="947" w:firstLine="480"/>
        <w:jc w:val="both"/>
        <w:rPr>
          <w:color w:val="auto"/>
          <w:sz w:val="24"/>
          <w:highlight w:val="none"/>
        </w:rPr>
      </w:pPr>
      <w:r>
        <w:rPr>
          <w:color w:val="auto"/>
          <w:sz w:val="24"/>
          <w:highlight w:val="none"/>
        </w:rPr>
        <w:t>提交响应文件截止之日前，采购方可以对已发出的询价通知书进行必要的澄</w:t>
      </w:r>
      <w:r>
        <w:rPr>
          <w:color w:val="auto"/>
          <w:spacing w:val="-6"/>
          <w:sz w:val="24"/>
          <w:highlight w:val="none"/>
        </w:rPr>
        <w:t>清或者修改。澄清或者修改的内容可能影响响应文件编制，且修改或补充距离提交响应</w:t>
      </w:r>
      <w:r>
        <w:rPr>
          <w:color w:val="auto"/>
          <w:spacing w:val="-8"/>
          <w:sz w:val="24"/>
          <w:highlight w:val="none"/>
        </w:rPr>
        <w:t xml:space="preserve">文件截止日不足 </w:t>
      </w:r>
      <w:r>
        <w:rPr>
          <w:color w:val="auto"/>
          <w:sz w:val="24"/>
          <w:highlight w:val="none"/>
        </w:rPr>
        <w:t>3</w:t>
      </w:r>
      <w:r>
        <w:rPr>
          <w:color w:val="auto"/>
          <w:spacing w:val="-12"/>
          <w:sz w:val="24"/>
          <w:highlight w:val="none"/>
        </w:rPr>
        <w:t xml:space="preserve"> 个工作日时，将顺延提交响应文件截止日，顺延的截止日以在“新疆</w:t>
      </w:r>
      <w:r>
        <w:rPr>
          <w:color w:val="auto"/>
          <w:sz w:val="24"/>
          <w:highlight w:val="none"/>
        </w:rPr>
        <w:t>政府采购网”上发布的变更公告为准。</w:t>
      </w:r>
    </w:p>
    <w:p>
      <w:pPr>
        <w:pStyle w:val="8"/>
        <w:spacing w:line="366" w:lineRule="exact"/>
        <w:outlineLvl w:val="1"/>
        <w:rPr>
          <w:color w:val="auto"/>
          <w:highlight w:val="none"/>
        </w:rPr>
      </w:pPr>
      <w:bookmarkStart w:id="10" w:name="_Toc29707"/>
      <w:r>
        <w:rPr>
          <w:color w:val="auto"/>
          <w:highlight w:val="none"/>
        </w:rPr>
        <w:t>7</w:t>
      </w:r>
      <w:r>
        <w:rPr>
          <w:rFonts w:hint="eastAsia" w:eastAsia="宋体"/>
          <w:color w:val="auto"/>
          <w:highlight w:val="none"/>
          <w:lang w:eastAsia="zh-CN"/>
        </w:rPr>
        <w:t>、</w:t>
      </w:r>
      <w:r>
        <w:rPr>
          <w:color w:val="auto"/>
          <w:highlight w:val="none"/>
        </w:rPr>
        <w:t>廉洁自律承诺要求</w:t>
      </w:r>
      <w:bookmarkEnd w:id="10"/>
    </w:p>
    <w:p>
      <w:pPr>
        <w:pStyle w:val="9"/>
        <w:spacing w:before="1"/>
        <w:ind w:left="778"/>
        <w:rPr>
          <w:color w:val="auto"/>
          <w:highlight w:val="none"/>
        </w:rPr>
      </w:pPr>
      <w:r>
        <w:rPr>
          <w:color w:val="auto"/>
          <w:highlight w:val="none"/>
        </w:rPr>
        <w:t>所有供应商（供应商）必须填写反商业贿赂承诺书（不填将视为无效报价处理</w:t>
      </w:r>
      <w:r>
        <w:rPr>
          <w:color w:val="auto"/>
          <w:spacing w:val="-120"/>
          <w:highlight w:val="none"/>
        </w:rPr>
        <w:t>）</w:t>
      </w:r>
      <w:r>
        <w:rPr>
          <w:color w:val="auto"/>
          <w:highlight w:val="none"/>
        </w:rPr>
        <w:t>。</w:t>
      </w:r>
    </w:p>
    <w:p>
      <w:pPr>
        <w:pStyle w:val="9"/>
        <w:spacing w:before="1"/>
        <w:ind w:left="778"/>
        <w:rPr>
          <w:color w:val="auto"/>
          <w:highlight w:val="none"/>
        </w:rPr>
      </w:pPr>
    </w:p>
    <w:p>
      <w:pPr>
        <w:pStyle w:val="9"/>
        <w:rPr>
          <w:color w:val="auto"/>
          <w:highlight w:val="none"/>
        </w:rPr>
      </w:pPr>
    </w:p>
    <w:p>
      <w:pPr>
        <w:pStyle w:val="3"/>
        <w:tabs>
          <w:tab w:val="left" w:pos="2428"/>
        </w:tabs>
        <w:outlineLvl w:val="0"/>
        <w:rPr>
          <w:color w:val="auto"/>
          <w:highlight w:val="none"/>
        </w:rPr>
      </w:pPr>
      <w:bookmarkStart w:id="11" w:name="_Toc6858"/>
      <w:r>
        <w:rPr>
          <w:color w:val="auto"/>
          <w:highlight w:val="none"/>
        </w:rPr>
        <w:t>第三部分</w:t>
      </w:r>
      <w:r>
        <w:rPr>
          <w:color w:val="auto"/>
          <w:highlight w:val="none"/>
        </w:rPr>
        <w:tab/>
      </w:r>
      <w:r>
        <w:rPr>
          <w:color w:val="auto"/>
          <w:highlight w:val="none"/>
        </w:rPr>
        <w:t>报价说明</w:t>
      </w:r>
      <w:bookmarkEnd w:id="11"/>
    </w:p>
    <w:p>
      <w:pPr>
        <w:pStyle w:val="4"/>
        <w:spacing w:before="171"/>
        <w:ind w:left="4"/>
        <w:outlineLvl w:val="1"/>
        <w:rPr>
          <w:color w:val="auto"/>
          <w:highlight w:val="none"/>
        </w:rPr>
      </w:pPr>
      <w:bookmarkStart w:id="12" w:name="_Toc3833"/>
      <w:r>
        <w:rPr>
          <w:color w:val="auto"/>
          <w:highlight w:val="none"/>
        </w:rPr>
        <w:t>第一章</w:t>
      </w:r>
      <w:r>
        <w:rPr>
          <w:rFonts w:hint="eastAsia" w:eastAsia="宋体"/>
          <w:color w:val="auto"/>
          <w:highlight w:val="none"/>
          <w:lang w:eastAsia="zh-CN"/>
        </w:rPr>
        <w:t>、</w:t>
      </w:r>
      <w:r>
        <w:rPr>
          <w:color w:val="auto"/>
          <w:highlight w:val="none"/>
        </w:rPr>
        <w:t>对供应商的资质要求</w:t>
      </w:r>
      <w:bookmarkEnd w:id="12"/>
    </w:p>
    <w:p>
      <w:pPr>
        <w:pStyle w:val="8"/>
        <w:spacing w:before="257" w:line="240" w:lineRule="auto"/>
        <w:rPr>
          <w:color w:val="auto"/>
          <w:highlight w:val="none"/>
        </w:rPr>
      </w:pPr>
      <w:r>
        <w:rPr>
          <w:color w:val="auto"/>
          <w:highlight w:val="none"/>
        </w:rPr>
        <w:t>1</w:t>
      </w:r>
      <w:r>
        <w:rPr>
          <w:rFonts w:hint="eastAsia" w:eastAsia="宋体"/>
          <w:color w:val="auto"/>
          <w:highlight w:val="none"/>
          <w:lang w:eastAsia="zh-CN"/>
        </w:rPr>
        <w:t>、</w:t>
      </w:r>
      <w:r>
        <w:rPr>
          <w:color w:val="auto"/>
          <w:highlight w:val="none"/>
        </w:rPr>
        <w:t>报价资质</w:t>
      </w:r>
    </w:p>
    <w:p>
      <w:pPr>
        <w:pStyle w:val="9"/>
        <w:spacing w:before="94"/>
        <w:ind w:left="780"/>
        <w:rPr>
          <w:color w:val="auto"/>
          <w:highlight w:val="none"/>
        </w:rPr>
      </w:pPr>
      <w:bookmarkStart w:id="13" w:name="_Toc3863"/>
      <w:r>
        <w:rPr>
          <w:rFonts w:hint="eastAsia"/>
          <w:color w:val="auto"/>
          <w:highlight w:val="none"/>
        </w:rPr>
        <w:t>1.满足《中华人民共和国政府采购法》第二十二条规定；</w:t>
      </w:r>
    </w:p>
    <w:p>
      <w:pPr>
        <w:pStyle w:val="9"/>
        <w:spacing w:before="94"/>
        <w:ind w:left="780"/>
        <w:rPr>
          <w:color w:val="auto"/>
          <w:highlight w:val="none"/>
        </w:rPr>
      </w:pPr>
      <w:r>
        <w:rPr>
          <w:rFonts w:hint="eastAsia"/>
          <w:color w:val="auto"/>
          <w:highlight w:val="none"/>
        </w:rPr>
        <w:t>2.落实政府采购政策需满足的资格要求：（1）《政府采购促进中小企业发展暂行办法》（财库〔2011〕181号）；</w:t>
      </w:r>
      <w:r>
        <w:rPr>
          <w:color w:val="auto"/>
          <w:highlight w:val="none"/>
        </w:rPr>
        <w:t> </w:t>
      </w:r>
      <w:r>
        <w:rPr>
          <w:rFonts w:hint="eastAsia"/>
          <w:color w:val="auto"/>
          <w:highlight w:val="none"/>
        </w:rPr>
        <w:t>（2）《财政部、司法部关于政府采购支持监狱企业发展有关问题的通知》（财库〔2014〕68号）；</w:t>
      </w:r>
      <w:r>
        <w:rPr>
          <w:color w:val="auto"/>
          <w:highlight w:val="none"/>
        </w:rPr>
        <w:t> </w:t>
      </w:r>
      <w:r>
        <w:rPr>
          <w:rFonts w:hint="eastAsia"/>
          <w:color w:val="auto"/>
          <w:highlight w:val="none"/>
        </w:rPr>
        <w:t>（3）《国务院办公厅关于建立政府强制采购节能产品制度的通知》（国办发〔2007〕51号）；</w:t>
      </w:r>
      <w:r>
        <w:rPr>
          <w:color w:val="auto"/>
          <w:highlight w:val="none"/>
        </w:rPr>
        <w:t> </w:t>
      </w:r>
      <w:r>
        <w:rPr>
          <w:rFonts w:hint="eastAsia"/>
          <w:color w:val="auto"/>
          <w:highlight w:val="none"/>
        </w:rPr>
        <w:t>（4）《财政部民政部中国残疾人联合会关于促进残疾人就业政府采购政策的通知》财库〔2017〕141号</w:t>
      </w:r>
      <w:r>
        <w:rPr>
          <w:color w:val="auto"/>
          <w:highlight w:val="none"/>
        </w:rPr>
        <w:t> </w:t>
      </w:r>
      <w:r>
        <w:rPr>
          <w:rFonts w:hint="eastAsia"/>
          <w:color w:val="auto"/>
          <w:highlight w:val="none"/>
        </w:rPr>
        <w:t>；</w:t>
      </w:r>
    </w:p>
    <w:p>
      <w:pPr>
        <w:pStyle w:val="9"/>
        <w:spacing w:before="94"/>
        <w:ind w:left="780"/>
        <w:rPr>
          <w:color w:val="auto"/>
          <w:highlight w:val="none"/>
        </w:rPr>
      </w:pPr>
      <w:r>
        <w:rPr>
          <w:rFonts w:hint="eastAsia"/>
          <w:color w:val="auto"/>
          <w:highlight w:val="none"/>
        </w:rPr>
        <w:t>3.本项目的特定资格要求：</w:t>
      </w:r>
    </w:p>
    <w:p>
      <w:pPr>
        <w:pStyle w:val="9"/>
        <w:spacing w:before="94"/>
        <w:ind w:left="780"/>
        <w:rPr>
          <w:color w:val="auto"/>
          <w:highlight w:val="none"/>
        </w:rPr>
      </w:pPr>
      <w:r>
        <w:rPr>
          <w:rFonts w:hint="eastAsia"/>
          <w:color w:val="auto"/>
          <w:highlight w:val="none"/>
        </w:rPr>
        <w:t>（1）投标人有效的独立法人资格的营业执照原件。</w:t>
      </w:r>
    </w:p>
    <w:p>
      <w:pPr>
        <w:pStyle w:val="9"/>
        <w:spacing w:before="94"/>
        <w:ind w:left="780"/>
        <w:rPr>
          <w:color w:val="auto"/>
          <w:highlight w:val="none"/>
        </w:rPr>
      </w:pPr>
      <w:r>
        <w:rPr>
          <w:rFonts w:hint="eastAsia"/>
          <w:color w:val="auto"/>
          <w:highlight w:val="none"/>
        </w:rPr>
        <w:t>（2）法定代表人授权委托书原件、被授权人《居民身份证》原件及企业缴纳社保证明（最近6个月）。</w:t>
      </w:r>
    </w:p>
    <w:p>
      <w:pPr>
        <w:pStyle w:val="9"/>
        <w:spacing w:before="94"/>
        <w:ind w:left="780"/>
        <w:rPr>
          <w:color w:val="auto"/>
          <w:highlight w:val="none"/>
        </w:rPr>
      </w:pPr>
      <w:r>
        <w:rPr>
          <w:rFonts w:hint="eastAsia"/>
          <w:color w:val="auto"/>
          <w:highlight w:val="none"/>
        </w:rPr>
        <w:t>（3）新疆新之建工程咨询有限公司开具的投标保证金收据原件。</w:t>
      </w:r>
    </w:p>
    <w:p>
      <w:pPr>
        <w:pStyle w:val="9"/>
        <w:spacing w:before="94"/>
        <w:ind w:left="780"/>
        <w:rPr>
          <w:color w:val="auto"/>
          <w:highlight w:val="none"/>
        </w:rPr>
      </w:pPr>
      <w:r>
        <w:rPr>
          <w:rFonts w:hint="eastAsia"/>
          <w:color w:val="auto"/>
          <w:highlight w:val="none"/>
        </w:rPr>
        <w:t>（4）税务机关出具的参加本次采购活动前3个月报价人依法纳税凭证原件或有电子专用章的完税证明。</w:t>
      </w:r>
    </w:p>
    <w:p>
      <w:pPr>
        <w:pStyle w:val="9"/>
        <w:spacing w:before="94"/>
        <w:ind w:left="780"/>
        <w:rPr>
          <w:rFonts w:hint="eastAsia"/>
          <w:color w:val="auto"/>
          <w:highlight w:val="none"/>
        </w:rPr>
      </w:pPr>
      <w:r>
        <w:rPr>
          <w:rFonts w:hint="eastAsia"/>
          <w:color w:val="auto"/>
          <w:highlight w:val="none"/>
        </w:rPr>
        <w:t>（5）会计事务所出具的2019年度财务审计报告原件或银行出具的资信证明原件。</w:t>
      </w:r>
    </w:p>
    <w:p>
      <w:pPr>
        <w:pStyle w:val="9"/>
        <w:spacing w:before="94"/>
        <w:ind w:left="780"/>
        <w:rPr>
          <w:rFonts w:hint="eastAsia"/>
          <w:color w:val="auto"/>
          <w:highlight w:val="none"/>
        </w:rPr>
      </w:pPr>
      <w:r>
        <w:rPr>
          <w:rFonts w:hint="eastAsia"/>
          <w:color w:val="auto"/>
          <w:highlight w:val="none"/>
        </w:rPr>
        <w:t>说明：其中（1）-（5）为资格审查时的必备条件，投标人必须按要求现场单独提供，如果提供不全（或密封在</w:t>
      </w:r>
      <w:r>
        <w:rPr>
          <w:rFonts w:hint="eastAsia"/>
          <w:color w:val="auto"/>
          <w:highlight w:val="none"/>
          <w:lang w:val="en-US" w:eastAsia="zh-CN"/>
        </w:rPr>
        <w:t>响应</w:t>
      </w:r>
      <w:r>
        <w:rPr>
          <w:rFonts w:hint="eastAsia"/>
          <w:color w:val="auto"/>
          <w:highlight w:val="none"/>
        </w:rPr>
        <w:t>文件中）则视为对</w:t>
      </w:r>
      <w:r>
        <w:rPr>
          <w:rFonts w:hint="eastAsia"/>
          <w:color w:val="auto"/>
          <w:highlight w:val="none"/>
          <w:lang w:val="en-US" w:eastAsia="zh-CN"/>
        </w:rPr>
        <w:t>询价通知书</w:t>
      </w:r>
      <w:r>
        <w:rPr>
          <w:rFonts w:hint="eastAsia"/>
          <w:color w:val="auto"/>
          <w:highlight w:val="none"/>
        </w:rPr>
        <w:t>资格审查内容的不响应，投标将被拒绝（不接受二次提供）。</w:t>
      </w:r>
    </w:p>
    <w:p>
      <w:pPr>
        <w:pStyle w:val="9"/>
        <w:spacing w:before="94"/>
        <w:ind w:left="780"/>
        <w:rPr>
          <w:color w:val="auto"/>
          <w:highlight w:val="none"/>
        </w:rPr>
      </w:pPr>
      <w:r>
        <w:rPr>
          <w:rFonts w:hint="eastAsia"/>
          <w:color w:val="auto"/>
          <w:highlight w:val="none"/>
        </w:rPr>
        <w:t>4.凡参加本次项目的投标人，未被“信用中国”网站（www.creditchina.gov.cn）中列入失信被执行人或重大税收违法案件当事人名单的供应商、未被中国政府采购网（www.ccgp.gov.cn）列入政府采购严重违法失信行为记录名单中被财政部门禁止参加政府采购活动的供应商（处罚决定规定的时间和地域范围内）；</w:t>
      </w:r>
    </w:p>
    <w:p>
      <w:pPr>
        <w:pStyle w:val="14"/>
        <w:rPr>
          <w:color w:val="auto"/>
          <w:highlight w:val="none"/>
        </w:rPr>
      </w:pPr>
    </w:p>
    <w:p>
      <w:pPr>
        <w:pStyle w:val="4"/>
        <w:spacing w:before="72"/>
        <w:ind w:left="3065" w:right="0"/>
        <w:jc w:val="left"/>
        <w:outlineLvl w:val="1"/>
        <w:rPr>
          <w:color w:val="auto"/>
          <w:highlight w:val="none"/>
        </w:rPr>
      </w:pPr>
      <w:r>
        <w:rPr>
          <w:color w:val="auto"/>
          <w:highlight w:val="none"/>
        </w:rPr>
        <w:t>第二章</w:t>
      </w:r>
      <w:r>
        <w:rPr>
          <w:rFonts w:hint="eastAsia" w:eastAsia="宋体"/>
          <w:color w:val="auto"/>
          <w:highlight w:val="none"/>
          <w:lang w:eastAsia="zh-CN"/>
        </w:rPr>
        <w:t>、</w:t>
      </w:r>
      <w:r>
        <w:rPr>
          <w:color w:val="auto"/>
          <w:highlight w:val="none"/>
        </w:rPr>
        <w:t>响应文件的编写</w:t>
      </w:r>
      <w:bookmarkEnd w:id="13"/>
    </w:p>
    <w:p>
      <w:pPr>
        <w:pStyle w:val="8"/>
        <w:spacing w:before="156" w:line="427" w:lineRule="exact"/>
        <w:rPr>
          <w:color w:val="auto"/>
          <w:highlight w:val="none"/>
        </w:rPr>
      </w:pPr>
      <w:r>
        <w:rPr>
          <w:color w:val="auto"/>
          <w:highlight w:val="none"/>
        </w:rPr>
        <w:t>2</w:t>
      </w:r>
      <w:r>
        <w:rPr>
          <w:rFonts w:hint="eastAsia" w:eastAsia="宋体"/>
          <w:color w:val="auto"/>
          <w:highlight w:val="none"/>
          <w:lang w:eastAsia="zh-CN"/>
        </w:rPr>
        <w:t>、</w:t>
      </w:r>
      <w:r>
        <w:rPr>
          <w:color w:val="auto"/>
          <w:highlight w:val="none"/>
        </w:rPr>
        <w:t>要求</w:t>
      </w:r>
    </w:p>
    <w:p>
      <w:pPr>
        <w:pStyle w:val="21"/>
        <w:numPr>
          <w:ilvl w:val="1"/>
          <w:numId w:val="2"/>
        </w:numPr>
        <w:tabs>
          <w:tab w:val="left" w:pos="1499"/>
        </w:tabs>
        <w:spacing w:before="0" w:after="0" w:line="259" w:lineRule="auto"/>
        <w:ind w:left="298" w:right="951" w:firstLine="480"/>
        <w:jc w:val="both"/>
        <w:rPr>
          <w:color w:val="auto"/>
          <w:sz w:val="24"/>
          <w:highlight w:val="none"/>
        </w:rPr>
      </w:pPr>
      <w:r>
        <w:rPr>
          <w:color w:val="auto"/>
          <w:spacing w:val="-4"/>
          <w:sz w:val="24"/>
          <w:highlight w:val="none"/>
        </w:rPr>
        <w:t>供应商应详细阅读询价通知书中的条款、规范、表示、条件和格式等所有内</w:t>
      </w:r>
      <w:r>
        <w:rPr>
          <w:color w:val="auto"/>
          <w:spacing w:val="-7"/>
          <w:sz w:val="24"/>
          <w:highlight w:val="none"/>
        </w:rPr>
        <w:t>容，按询价通知书的要求份数提供响应文件，并保证所提供全部材料的真实性，以使其</w:t>
      </w:r>
      <w:r>
        <w:rPr>
          <w:color w:val="auto"/>
          <w:sz w:val="24"/>
          <w:highlight w:val="none"/>
        </w:rPr>
        <w:t>报价对询价通知书做出实质性响应。否则，其报价可能被拒绝。</w:t>
      </w:r>
    </w:p>
    <w:p>
      <w:pPr>
        <w:pStyle w:val="21"/>
        <w:numPr>
          <w:ilvl w:val="1"/>
          <w:numId w:val="2"/>
        </w:numPr>
        <w:tabs>
          <w:tab w:val="left" w:pos="1499"/>
        </w:tabs>
        <w:spacing w:before="0" w:after="0" w:line="259" w:lineRule="auto"/>
        <w:ind w:left="298" w:right="947" w:firstLine="480"/>
        <w:jc w:val="both"/>
        <w:rPr>
          <w:color w:val="auto"/>
          <w:sz w:val="24"/>
          <w:highlight w:val="none"/>
        </w:rPr>
      </w:pPr>
      <w:r>
        <w:rPr>
          <w:color w:val="auto"/>
          <w:spacing w:val="-4"/>
          <w:sz w:val="24"/>
          <w:highlight w:val="none"/>
        </w:rPr>
        <w:t>允许供应商对本询价通知书中的所有包报价，也可根据本企业生产或代理产品的情况对部分包进行报价，但不允许供应商对某一包中的一项或部分项进行报价。采</w:t>
      </w:r>
      <w:r>
        <w:rPr>
          <w:color w:val="auto"/>
          <w:sz w:val="24"/>
          <w:highlight w:val="none"/>
        </w:rPr>
        <w:t>购人可选择一家供应商为所有包的成交人，也可选择若干个供应商分别成交。</w:t>
      </w:r>
    </w:p>
    <w:p>
      <w:pPr>
        <w:pStyle w:val="8"/>
        <w:spacing w:line="350" w:lineRule="exact"/>
        <w:rPr>
          <w:color w:val="auto"/>
          <w:highlight w:val="none"/>
        </w:rPr>
      </w:pPr>
      <w:r>
        <w:rPr>
          <w:color w:val="auto"/>
          <w:highlight w:val="none"/>
        </w:rPr>
        <w:t>3</w:t>
      </w:r>
      <w:r>
        <w:rPr>
          <w:rFonts w:hint="eastAsia" w:eastAsia="宋体"/>
          <w:color w:val="auto"/>
          <w:highlight w:val="none"/>
          <w:lang w:eastAsia="zh-CN"/>
        </w:rPr>
        <w:t>、</w:t>
      </w:r>
      <w:r>
        <w:rPr>
          <w:color w:val="auto"/>
          <w:highlight w:val="none"/>
        </w:rPr>
        <w:t xml:space="preserve"> 响应文件语言和度量单位</w:t>
      </w:r>
    </w:p>
    <w:p>
      <w:pPr>
        <w:pStyle w:val="21"/>
        <w:numPr>
          <w:ilvl w:val="1"/>
          <w:numId w:val="3"/>
        </w:numPr>
        <w:tabs>
          <w:tab w:val="left" w:pos="1499"/>
        </w:tabs>
        <w:spacing w:before="0" w:after="0" w:line="259" w:lineRule="auto"/>
        <w:ind w:left="298" w:right="947" w:firstLine="480"/>
        <w:jc w:val="both"/>
        <w:rPr>
          <w:color w:val="auto"/>
          <w:sz w:val="24"/>
          <w:highlight w:val="none"/>
        </w:rPr>
      </w:pPr>
      <w:r>
        <w:rPr>
          <w:color w:val="auto"/>
          <w:spacing w:val="-4"/>
          <w:sz w:val="24"/>
          <w:highlight w:val="none"/>
        </w:rPr>
        <w:t>响应文件及供应商和采购方就采购、报价交换的文件和往来信件，均须以中</w:t>
      </w:r>
      <w:r>
        <w:rPr>
          <w:color w:val="auto"/>
          <w:sz w:val="24"/>
          <w:highlight w:val="none"/>
        </w:rPr>
        <w:t>文书写。</w:t>
      </w:r>
    </w:p>
    <w:p>
      <w:pPr>
        <w:pStyle w:val="21"/>
        <w:numPr>
          <w:ilvl w:val="1"/>
          <w:numId w:val="3"/>
        </w:numPr>
        <w:tabs>
          <w:tab w:val="left" w:pos="1499"/>
        </w:tabs>
        <w:spacing w:before="0" w:after="0" w:line="259" w:lineRule="auto"/>
        <w:ind w:left="298" w:right="951" w:firstLine="480"/>
        <w:jc w:val="both"/>
        <w:rPr>
          <w:color w:val="auto"/>
          <w:sz w:val="24"/>
          <w:highlight w:val="none"/>
        </w:rPr>
      </w:pPr>
      <w:r>
        <w:rPr>
          <w:color w:val="auto"/>
          <w:spacing w:val="-4"/>
          <w:sz w:val="24"/>
          <w:highlight w:val="none"/>
        </w:rPr>
        <w:t>除在询价通知书的技术规格中另有规定外，计量单位应使用中华人民共和国</w:t>
      </w:r>
      <w:r>
        <w:rPr>
          <w:color w:val="auto"/>
          <w:sz w:val="24"/>
          <w:highlight w:val="none"/>
        </w:rPr>
        <w:t>法定计量单位。</w:t>
      </w:r>
    </w:p>
    <w:p>
      <w:pPr>
        <w:pStyle w:val="8"/>
        <w:spacing w:line="348" w:lineRule="exact"/>
        <w:rPr>
          <w:color w:val="auto"/>
          <w:highlight w:val="none"/>
        </w:rPr>
      </w:pPr>
      <w:r>
        <w:rPr>
          <w:color w:val="auto"/>
          <w:highlight w:val="none"/>
        </w:rPr>
        <w:t>4</w:t>
      </w:r>
      <w:r>
        <w:rPr>
          <w:rFonts w:hint="eastAsia" w:eastAsia="宋体"/>
          <w:color w:val="auto"/>
          <w:highlight w:val="none"/>
          <w:lang w:eastAsia="zh-CN"/>
        </w:rPr>
        <w:t>、</w:t>
      </w:r>
      <w:r>
        <w:rPr>
          <w:color w:val="auto"/>
          <w:highlight w:val="none"/>
        </w:rPr>
        <w:t>响应文件的组成</w:t>
      </w:r>
    </w:p>
    <w:p>
      <w:pPr>
        <w:pStyle w:val="9"/>
        <w:tabs>
          <w:tab w:val="left" w:pos="1378"/>
        </w:tabs>
        <w:spacing w:line="293" w:lineRule="exact"/>
        <w:ind w:left="778"/>
        <w:rPr>
          <w:color w:val="auto"/>
          <w:highlight w:val="none"/>
        </w:rPr>
      </w:pPr>
      <w:r>
        <w:rPr>
          <w:color w:val="auto"/>
          <w:highlight w:val="none"/>
        </w:rPr>
        <w:t>4.1</w:t>
      </w:r>
      <w:r>
        <w:rPr>
          <w:color w:val="auto"/>
          <w:highlight w:val="none"/>
        </w:rPr>
        <w:tab/>
      </w:r>
      <w:r>
        <w:rPr>
          <w:color w:val="auto"/>
          <w:highlight w:val="none"/>
        </w:rPr>
        <w:t>供应商编写的响应文件应包括下列内容：</w:t>
      </w:r>
    </w:p>
    <w:p>
      <w:pPr>
        <w:pStyle w:val="21"/>
        <w:numPr>
          <w:ilvl w:val="0"/>
          <w:numId w:val="4"/>
        </w:numPr>
        <w:tabs>
          <w:tab w:val="left" w:pos="1380"/>
        </w:tabs>
        <w:spacing w:before="3" w:after="0" w:line="240" w:lineRule="auto"/>
        <w:ind w:left="1379" w:right="0" w:hanging="602"/>
        <w:jc w:val="left"/>
        <w:rPr>
          <w:color w:val="auto"/>
          <w:sz w:val="24"/>
          <w:highlight w:val="none"/>
        </w:rPr>
      </w:pPr>
      <w:r>
        <w:rPr>
          <w:color w:val="auto"/>
          <w:sz w:val="24"/>
          <w:highlight w:val="none"/>
        </w:rPr>
        <w:t>报价表；</w:t>
      </w:r>
    </w:p>
    <w:p>
      <w:pPr>
        <w:pStyle w:val="21"/>
        <w:numPr>
          <w:ilvl w:val="0"/>
          <w:numId w:val="4"/>
        </w:numPr>
        <w:tabs>
          <w:tab w:val="left" w:pos="1380"/>
        </w:tabs>
        <w:spacing w:before="24" w:after="0" w:line="240" w:lineRule="auto"/>
        <w:ind w:left="1379" w:right="0" w:hanging="602"/>
        <w:jc w:val="left"/>
        <w:rPr>
          <w:color w:val="auto"/>
          <w:sz w:val="24"/>
          <w:highlight w:val="none"/>
        </w:rPr>
      </w:pPr>
      <w:r>
        <w:rPr>
          <w:color w:val="auto"/>
          <w:sz w:val="24"/>
          <w:highlight w:val="none"/>
        </w:rPr>
        <w:t>报价资格证明文件；</w:t>
      </w:r>
    </w:p>
    <w:p>
      <w:pPr>
        <w:pStyle w:val="21"/>
        <w:numPr>
          <w:ilvl w:val="0"/>
          <w:numId w:val="4"/>
        </w:numPr>
        <w:tabs>
          <w:tab w:val="left" w:pos="1380"/>
        </w:tabs>
        <w:spacing w:before="26" w:after="0" w:line="240" w:lineRule="auto"/>
        <w:ind w:left="1379" w:right="0" w:hanging="602"/>
        <w:jc w:val="left"/>
        <w:rPr>
          <w:color w:val="auto"/>
          <w:sz w:val="24"/>
          <w:highlight w:val="none"/>
        </w:rPr>
      </w:pPr>
      <w:r>
        <w:rPr>
          <w:color w:val="auto"/>
          <w:sz w:val="24"/>
          <w:highlight w:val="none"/>
        </w:rPr>
        <w:t>货物的相关技术/证明资料； 货物彩页。</w:t>
      </w:r>
    </w:p>
    <w:p>
      <w:pPr>
        <w:pStyle w:val="21"/>
        <w:numPr>
          <w:ilvl w:val="0"/>
          <w:numId w:val="4"/>
        </w:numPr>
        <w:tabs>
          <w:tab w:val="left" w:pos="1386"/>
        </w:tabs>
        <w:spacing w:before="26" w:after="0" w:line="240" w:lineRule="auto"/>
        <w:ind w:left="1385" w:right="0" w:hanging="608"/>
        <w:jc w:val="left"/>
        <w:rPr>
          <w:color w:val="auto"/>
          <w:sz w:val="24"/>
          <w:highlight w:val="none"/>
        </w:rPr>
      </w:pPr>
      <w:r>
        <w:rPr>
          <w:color w:val="auto"/>
          <w:sz w:val="24"/>
          <w:highlight w:val="none"/>
        </w:rPr>
        <w:t>询价通知书中货物需求及技术规格、合同特殊条款所要求提交的文件、资料</w:t>
      </w:r>
    </w:p>
    <w:p>
      <w:pPr>
        <w:pStyle w:val="9"/>
        <w:spacing w:before="26"/>
        <w:ind w:left="298"/>
        <w:rPr>
          <w:color w:val="auto"/>
          <w:highlight w:val="none"/>
        </w:rPr>
      </w:pPr>
      <w:r>
        <w:rPr>
          <w:color w:val="auto"/>
          <w:highlight w:val="none"/>
        </w:rPr>
        <w:t>等。</w:t>
      </w:r>
    </w:p>
    <w:p>
      <w:pPr>
        <w:pStyle w:val="9"/>
        <w:spacing w:before="24" w:line="281" w:lineRule="exact"/>
        <w:ind w:left="778"/>
        <w:rPr>
          <w:color w:val="auto"/>
          <w:highlight w:val="none"/>
        </w:rPr>
      </w:pPr>
      <w:r>
        <w:rPr>
          <w:color w:val="auto"/>
          <w:highlight w:val="none"/>
        </w:rPr>
        <w:t>具体编制顺序按附件中询价通知书编制顺序。</w:t>
      </w:r>
    </w:p>
    <w:p>
      <w:pPr>
        <w:pStyle w:val="8"/>
        <w:spacing w:line="361" w:lineRule="exact"/>
        <w:rPr>
          <w:color w:val="auto"/>
          <w:highlight w:val="none"/>
        </w:rPr>
      </w:pPr>
      <w:r>
        <w:rPr>
          <w:color w:val="auto"/>
          <w:highlight w:val="none"/>
        </w:rPr>
        <w:t>5</w:t>
      </w:r>
      <w:r>
        <w:rPr>
          <w:rFonts w:hint="eastAsia" w:eastAsia="宋体"/>
          <w:color w:val="auto"/>
          <w:highlight w:val="none"/>
          <w:lang w:eastAsia="zh-CN"/>
        </w:rPr>
        <w:t>、</w:t>
      </w:r>
      <w:r>
        <w:rPr>
          <w:color w:val="auto"/>
          <w:highlight w:val="none"/>
        </w:rPr>
        <w:t>响应文件格式</w:t>
      </w:r>
    </w:p>
    <w:p>
      <w:pPr>
        <w:spacing w:before="26" w:line="180" w:lineRule="auto"/>
        <w:ind w:left="298" w:right="947" w:firstLine="480"/>
        <w:jc w:val="both"/>
        <w:rPr>
          <w:rFonts w:hint="eastAsia" w:ascii="Microsoft JhengHei" w:eastAsia="宋体"/>
          <w:b/>
          <w:color w:val="auto"/>
          <w:sz w:val="24"/>
          <w:highlight w:val="none"/>
          <w:lang w:eastAsia="zh-CN"/>
        </w:rPr>
      </w:pPr>
      <w:r>
        <w:rPr>
          <w:color w:val="auto"/>
          <w:sz w:val="24"/>
          <w:highlight w:val="none"/>
        </w:rPr>
        <w:t>5.1</w:t>
      </w:r>
      <w:r>
        <w:rPr>
          <w:color w:val="auto"/>
          <w:spacing w:val="105"/>
          <w:sz w:val="24"/>
          <w:highlight w:val="none"/>
        </w:rPr>
        <w:t xml:space="preserve"> </w:t>
      </w:r>
      <w:r>
        <w:rPr>
          <w:rFonts w:hint="eastAsia" w:ascii="Microsoft JhengHei" w:eastAsia="Microsoft JhengHei"/>
          <w:b/>
          <w:color w:val="auto"/>
          <w:sz w:val="24"/>
          <w:highlight w:val="none"/>
        </w:rPr>
        <w:t>供应商应按询价通知书中提供的响应文件格式认真编写响应文件</w:t>
      </w:r>
      <w:r>
        <w:rPr>
          <w:rFonts w:hint="eastAsia" w:ascii="Microsoft JhengHei" w:eastAsia="宋体"/>
          <w:b/>
          <w:color w:val="auto"/>
          <w:sz w:val="24"/>
          <w:highlight w:val="none"/>
          <w:lang w:eastAsia="zh-CN"/>
        </w:rPr>
        <w:t>，</w:t>
      </w:r>
      <w:r>
        <w:rPr>
          <w:rFonts w:hint="eastAsia" w:ascii="Microsoft JhengHei" w:eastAsia="Microsoft JhengHei"/>
          <w:b/>
          <w:color w:val="auto"/>
          <w:sz w:val="24"/>
          <w:highlight w:val="none"/>
        </w:rPr>
        <w:t xml:space="preserve">并使用A4 </w:t>
      </w:r>
      <w:r>
        <w:rPr>
          <w:rFonts w:hint="eastAsia" w:ascii="Microsoft JhengHei" w:eastAsia="Microsoft JhengHei"/>
          <w:b/>
          <w:color w:val="auto"/>
          <w:spacing w:val="-3"/>
          <w:sz w:val="24"/>
          <w:highlight w:val="none"/>
        </w:rPr>
        <w:t>规格纸张打印</w:t>
      </w:r>
      <w:r>
        <w:rPr>
          <w:rFonts w:hint="eastAsia" w:ascii="Microsoft JhengHei" w:eastAsia="Microsoft JhengHei"/>
          <w:b/>
          <w:color w:val="auto"/>
          <w:sz w:val="24"/>
          <w:highlight w:val="none"/>
        </w:rPr>
        <w:t>（可以双面打印</w:t>
      </w:r>
      <w:r>
        <w:rPr>
          <w:rFonts w:hint="eastAsia" w:ascii="Microsoft JhengHei" w:eastAsia="Microsoft JhengHei"/>
          <w:b/>
          <w:color w:val="auto"/>
          <w:spacing w:val="-118"/>
          <w:sz w:val="24"/>
          <w:highlight w:val="none"/>
        </w:rPr>
        <w:t>）</w:t>
      </w:r>
      <w:r>
        <w:rPr>
          <w:rFonts w:hint="eastAsia" w:ascii="Microsoft JhengHei" w:eastAsia="宋体"/>
          <w:b/>
          <w:color w:val="auto"/>
          <w:spacing w:val="-7"/>
          <w:sz w:val="24"/>
          <w:highlight w:val="none"/>
          <w:lang w:eastAsia="zh-CN"/>
        </w:rPr>
        <w:t>，</w:t>
      </w:r>
      <w:r>
        <w:rPr>
          <w:rFonts w:hint="eastAsia" w:ascii="Microsoft JhengHei" w:eastAsia="Microsoft JhengHei"/>
          <w:b/>
          <w:color w:val="auto"/>
          <w:spacing w:val="-7"/>
          <w:sz w:val="24"/>
          <w:highlight w:val="none"/>
        </w:rPr>
        <w:t>装订成册</w:t>
      </w:r>
      <w:r>
        <w:rPr>
          <w:rFonts w:hint="eastAsia" w:ascii="Microsoft JhengHei" w:eastAsia="Microsoft JhengHei"/>
          <w:b/>
          <w:color w:val="auto"/>
          <w:sz w:val="24"/>
          <w:highlight w:val="none"/>
        </w:rPr>
        <w:t>（</w:t>
      </w:r>
      <w:r>
        <w:rPr>
          <w:rFonts w:hint="eastAsia" w:ascii="Microsoft JhengHei" w:eastAsia="Microsoft JhengHei"/>
          <w:b/>
          <w:color w:val="auto"/>
          <w:spacing w:val="-3"/>
          <w:sz w:val="24"/>
          <w:highlight w:val="none"/>
        </w:rPr>
        <w:t>订口在长边</w:t>
      </w:r>
      <w:r>
        <w:rPr>
          <w:rFonts w:hint="eastAsia" w:ascii="Microsoft JhengHei" w:eastAsia="宋体"/>
          <w:b/>
          <w:color w:val="auto"/>
          <w:spacing w:val="-3"/>
          <w:sz w:val="24"/>
          <w:highlight w:val="none"/>
          <w:lang w:eastAsia="zh-CN"/>
        </w:rPr>
        <w:t>，</w:t>
      </w:r>
      <w:r>
        <w:rPr>
          <w:rFonts w:hint="eastAsia" w:ascii="Microsoft JhengHei" w:eastAsia="Microsoft JhengHei"/>
          <w:b/>
          <w:color w:val="auto"/>
          <w:spacing w:val="-3"/>
          <w:sz w:val="24"/>
          <w:highlight w:val="none"/>
        </w:rPr>
        <w:t>装订线应位于左侧</w:t>
      </w:r>
      <w:r>
        <w:rPr>
          <w:rFonts w:hint="eastAsia" w:ascii="Microsoft JhengHei" w:eastAsia="Microsoft JhengHei"/>
          <w:b/>
          <w:color w:val="auto"/>
          <w:spacing w:val="-120"/>
          <w:sz w:val="24"/>
          <w:highlight w:val="none"/>
        </w:rPr>
        <w:t>）</w:t>
      </w:r>
      <w:r>
        <w:rPr>
          <w:rFonts w:hint="eastAsia" w:ascii="Microsoft JhengHei" w:eastAsia="Microsoft JhengHei"/>
          <w:b/>
          <w:color w:val="auto"/>
          <w:spacing w:val="-7"/>
          <w:sz w:val="24"/>
          <w:highlight w:val="none"/>
        </w:rPr>
        <w:t>。响应文</w:t>
      </w:r>
      <w:r>
        <w:rPr>
          <w:rFonts w:hint="eastAsia" w:ascii="Microsoft JhengHei" w:eastAsia="Microsoft JhengHei"/>
          <w:b/>
          <w:color w:val="auto"/>
          <w:sz w:val="24"/>
          <w:highlight w:val="none"/>
        </w:rPr>
        <w:t>件</w:t>
      </w:r>
      <w:r>
        <w:rPr>
          <w:rFonts w:hint="eastAsia" w:ascii="Microsoft JhengHei" w:eastAsia="Microsoft JhengHei"/>
          <w:b/>
          <w:color w:val="auto"/>
          <w:w w:val="115"/>
          <w:sz w:val="24"/>
          <w:highlight w:val="none"/>
        </w:rPr>
        <w:t>(</w:t>
      </w:r>
      <w:r>
        <w:rPr>
          <w:rFonts w:hint="eastAsia" w:ascii="Microsoft JhengHei" w:eastAsia="Microsoft JhengHei"/>
          <w:b/>
          <w:color w:val="auto"/>
          <w:spacing w:val="-7"/>
          <w:sz w:val="24"/>
          <w:highlight w:val="none"/>
        </w:rPr>
        <w:t>含正、副本</w:t>
      </w:r>
      <w:r>
        <w:rPr>
          <w:rFonts w:hint="eastAsia" w:ascii="Microsoft JhengHei" w:eastAsia="Microsoft JhengHei"/>
          <w:b/>
          <w:color w:val="auto"/>
          <w:w w:val="115"/>
          <w:sz w:val="24"/>
          <w:highlight w:val="none"/>
        </w:rPr>
        <w:t>)</w:t>
      </w:r>
      <w:r>
        <w:rPr>
          <w:rFonts w:hint="eastAsia" w:ascii="Microsoft JhengHei" w:eastAsia="Microsoft JhengHei"/>
          <w:b/>
          <w:color w:val="auto"/>
          <w:spacing w:val="-5"/>
          <w:sz w:val="24"/>
          <w:highlight w:val="none"/>
        </w:rPr>
        <w:t>必须编写连续目录页码，并牢固装订成册，响应文件封面须标注询价通知书编号，否则将被视为无效报价</w:t>
      </w:r>
      <w:r>
        <w:rPr>
          <w:rFonts w:hint="eastAsia" w:ascii="Microsoft JhengHei" w:eastAsia="宋体"/>
          <w:b/>
          <w:color w:val="auto"/>
          <w:spacing w:val="-5"/>
          <w:sz w:val="24"/>
          <w:highlight w:val="none"/>
          <w:lang w:eastAsia="zh-CN"/>
        </w:rPr>
        <w:t>。</w:t>
      </w:r>
    </w:p>
    <w:p>
      <w:pPr>
        <w:pStyle w:val="9"/>
        <w:spacing w:before="7" w:line="259" w:lineRule="auto"/>
        <w:ind w:left="298" w:right="947" w:firstLine="480"/>
        <w:jc w:val="both"/>
        <w:rPr>
          <w:color w:val="auto"/>
          <w:highlight w:val="none"/>
        </w:rPr>
      </w:pPr>
      <w:r>
        <w:rPr>
          <w:color w:val="auto"/>
          <w:highlight w:val="none"/>
        </w:rPr>
        <w:t>牢固装订成册是指用适当的办法,牢固紧密扎紧，以保证响应文件在翻阅过程中不</w:t>
      </w:r>
      <w:r>
        <w:rPr>
          <w:color w:val="auto"/>
          <w:spacing w:val="-7"/>
          <w:highlight w:val="none"/>
        </w:rPr>
        <w:t>至于散开，或不能用简单办法将任何一页在没有任何损坏的情况下取出或插入。各种用</w:t>
      </w:r>
      <w:r>
        <w:rPr>
          <w:color w:val="auto"/>
          <w:spacing w:val="-5"/>
          <w:highlight w:val="none"/>
        </w:rPr>
        <w:t>活页夹、文件夹、塑料方便式书脊</w:t>
      </w:r>
      <w:r>
        <w:rPr>
          <w:color w:val="auto"/>
          <w:highlight w:val="none"/>
        </w:rPr>
        <w:t>（插入式或穿孔式</w:t>
      </w:r>
      <w:r>
        <w:rPr>
          <w:color w:val="auto"/>
          <w:spacing w:val="-10"/>
          <w:highlight w:val="none"/>
        </w:rPr>
        <w:t>）</w:t>
      </w:r>
      <w:r>
        <w:rPr>
          <w:color w:val="auto"/>
          <w:spacing w:val="-2"/>
          <w:highlight w:val="none"/>
        </w:rPr>
        <w:t>装订均不认为是牢固装订，其报</w:t>
      </w:r>
      <w:r>
        <w:rPr>
          <w:color w:val="auto"/>
          <w:highlight w:val="none"/>
        </w:rPr>
        <w:t>价将被拒绝。</w:t>
      </w:r>
    </w:p>
    <w:p>
      <w:pPr>
        <w:pStyle w:val="8"/>
        <w:spacing w:before="4" w:line="180" w:lineRule="auto"/>
        <w:ind w:left="298" w:right="945" w:firstLine="482"/>
        <w:jc w:val="both"/>
        <w:rPr>
          <w:rFonts w:hint="eastAsia" w:eastAsia="宋体"/>
          <w:color w:val="auto"/>
          <w:highlight w:val="none"/>
          <w:lang w:eastAsia="zh-CN"/>
        </w:rPr>
      </w:pPr>
      <w:r>
        <w:rPr>
          <w:color w:val="auto"/>
          <w:spacing w:val="-6"/>
          <w:highlight w:val="none"/>
        </w:rPr>
        <w:t>响应文件封面须标注项目名称、所报包号、询价通知书编号、供应商名称</w:t>
      </w:r>
      <w:r>
        <w:rPr>
          <w:color w:val="auto"/>
          <w:highlight w:val="none"/>
        </w:rPr>
        <w:t>（须加盖</w:t>
      </w:r>
      <w:r>
        <w:rPr>
          <w:color w:val="auto"/>
          <w:spacing w:val="1"/>
          <w:highlight w:val="none"/>
        </w:rPr>
        <w:t>公章</w:t>
      </w:r>
      <w:r>
        <w:rPr>
          <w:color w:val="auto"/>
          <w:spacing w:val="-120"/>
          <w:highlight w:val="none"/>
        </w:rPr>
        <w:t>）</w:t>
      </w:r>
      <w:r>
        <w:rPr>
          <w:color w:val="auto"/>
          <w:spacing w:val="-6"/>
          <w:highlight w:val="none"/>
        </w:rPr>
        <w:t>、报价代表及其联系电话</w:t>
      </w:r>
      <w:r>
        <w:rPr>
          <w:color w:val="auto"/>
          <w:highlight w:val="none"/>
        </w:rPr>
        <w:t>（</w:t>
      </w:r>
      <w:r>
        <w:rPr>
          <w:color w:val="auto"/>
          <w:spacing w:val="-9"/>
          <w:highlight w:val="none"/>
        </w:rPr>
        <w:t>详见第六部分其它</w:t>
      </w:r>
      <w:r>
        <w:rPr>
          <w:rFonts w:hint="eastAsia" w:eastAsia="宋体"/>
          <w:color w:val="auto"/>
          <w:spacing w:val="-9"/>
          <w:highlight w:val="none"/>
          <w:lang w:eastAsia="zh-CN"/>
        </w:rPr>
        <w:t>有关</w:t>
      </w:r>
      <w:r>
        <w:rPr>
          <w:color w:val="auto"/>
          <w:spacing w:val="-9"/>
          <w:highlight w:val="none"/>
        </w:rPr>
        <w:t>附件格式范本“</w:t>
      </w:r>
      <w:r>
        <w:rPr>
          <w:color w:val="auto"/>
          <w:highlight w:val="none"/>
        </w:rPr>
        <w:t>（</w:t>
      </w:r>
      <w:r>
        <w:rPr>
          <w:color w:val="auto"/>
          <w:spacing w:val="2"/>
          <w:highlight w:val="none"/>
        </w:rPr>
        <w:t>一</w:t>
      </w:r>
      <w:r>
        <w:rPr>
          <w:color w:val="auto"/>
          <w:spacing w:val="-22"/>
          <w:highlight w:val="none"/>
        </w:rPr>
        <w:t>）</w:t>
      </w:r>
      <w:r>
        <w:rPr>
          <w:color w:val="auto"/>
          <w:spacing w:val="1"/>
          <w:highlight w:val="none"/>
        </w:rPr>
        <w:t>响应文件</w:t>
      </w:r>
      <w:r>
        <w:rPr>
          <w:color w:val="auto"/>
          <w:highlight w:val="none"/>
        </w:rPr>
        <w:t>封面</w:t>
      </w:r>
      <w:r>
        <w:rPr>
          <w:color w:val="auto"/>
          <w:spacing w:val="-119"/>
          <w:highlight w:val="none"/>
        </w:rPr>
        <w:t>）</w:t>
      </w:r>
      <w:r>
        <w:rPr>
          <w:color w:val="auto"/>
          <w:spacing w:val="-60"/>
          <w:highlight w:val="none"/>
        </w:rPr>
        <w:t>”</w:t>
      </w:r>
      <w:r>
        <w:rPr>
          <w:rFonts w:hint="eastAsia" w:eastAsia="宋体"/>
          <w:color w:val="auto"/>
          <w:spacing w:val="-60"/>
          <w:highlight w:val="none"/>
          <w:lang w:eastAsia="zh-CN"/>
        </w:rPr>
        <w:t>。</w:t>
      </w:r>
    </w:p>
    <w:p>
      <w:pPr>
        <w:pStyle w:val="21"/>
        <w:numPr>
          <w:ilvl w:val="0"/>
          <w:numId w:val="0"/>
        </w:numPr>
        <w:tabs>
          <w:tab w:val="left" w:pos="1266"/>
        </w:tabs>
        <w:spacing w:before="0" w:after="0" w:line="353" w:lineRule="exact"/>
        <w:ind w:left="779" w:leftChars="0" w:right="0" w:rightChars="0"/>
        <w:jc w:val="both"/>
        <w:rPr>
          <w:rFonts w:hint="eastAsia" w:ascii="Microsoft JhengHei" w:eastAsia="Microsoft JhengHei"/>
          <w:b/>
          <w:color w:val="auto"/>
          <w:sz w:val="24"/>
          <w:highlight w:val="none"/>
        </w:rPr>
      </w:pPr>
      <w:r>
        <w:rPr>
          <w:rFonts w:hint="eastAsia" w:ascii="Microsoft JhengHei" w:eastAsia="宋体"/>
          <w:b/>
          <w:color w:val="auto"/>
          <w:sz w:val="24"/>
          <w:highlight w:val="none"/>
          <w:lang w:val="en-US" w:eastAsia="zh-CN"/>
        </w:rPr>
        <w:t>6、</w:t>
      </w:r>
      <w:r>
        <w:rPr>
          <w:rFonts w:hint="eastAsia" w:ascii="Microsoft JhengHei" w:eastAsia="Microsoft JhengHei"/>
          <w:b/>
          <w:color w:val="auto"/>
          <w:sz w:val="24"/>
          <w:highlight w:val="none"/>
        </w:rPr>
        <w:t>报价</w:t>
      </w:r>
    </w:p>
    <w:p>
      <w:pPr>
        <w:pStyle w:val="21"/>
        <w:numPr>
          <w:ilvl w:val="1"/>
          <w:numId w:val="5"/>
        </w:numPr>
        <w:tabs>
          <w:tab w:val="left" w:pos="1384"/>
        </w:tabs>
        <w:spacing w:before="0" w:after="0" w:line="259" w:lineRule="auto"/>
        <w:ind w:left="298" w:right="945" w:firstLine="480"/>
        <w:jc w:val="both"/>
        <w:rPr>
          <w:color w:val="auto"/>
          <w:sz w:val="24"/>
          <w:highlight w:val="none"/>
        </w:rPr>
      </w:pPr>
      <w:r>
        <w:rPr>
          <w:color w:val="auto"/>
          <w:sz w:val="24"/>
          <w:highlight w:val="none"/>
        </w:rPr>
        <w:t>供应商应在报价表上标明单价和总价。如单价和总价不符，以单价与数量计</w:t>
      </w:r>
      <w:r>
        <w:rPr>
          <w:color w:val="auto"/>
          <w:spacing w:val="-6"/>
          <w:sz w:val="24"/>
          <w:highlight w:val="none"/>
        </w:rPr>
        <w:t>算的数额为准。小写和大写不符，以大写为准。供应商如果不同意上述修改原则，其投</w:t>
      </w:r>
      <w:r>
        <w:rPr>
          <w:color w:val="auto"/>
          <w:sz w:val="24"/>
          <w:highlight w:val="none"/>
        </w:rPr>
        <w:t>标将被拒绝。</w:t>
      </w:r>
    </w:p>
    <w:p>
      <w:pPr>
        <w:pStyle w:val="9"/>
        <w:spacing w:before="160"/>
        <w:ind w:left="778"/>
        <w:rPr>
          <w:color w:val="auto"/>
          <w:highlight w:val="none"/>
        </w:rPr>
      </w:pPr>
      <w:r>
        <w:rPr>
          <w:color w:val="auto"/>
          <w:highlight w:val="none"/>
        </w:rPr>
        <w:t>供应商应在报价表成交明其提供的所有货物及其相关的所有费用的总价，采购方不</w:t>
      </w:r>
    </w:p>
    <w:p>
      <w:pPr>
        <w:pStyle w:val="9"/>
        <w:spacing w:before="24"/>
        <w:ind w:left="298"/>
        <w:rPr>
          <w:color w:val="auto"/>
          <w:highlight w:val="none"/>
        </w:rPr>
      </w:pPr>
      <w:r>
        <w:rPr>
          <w:color w:val="auto"/>
          <w:highlight w:val="none"/>
        </w:rPr>
        <w:t>接受任何有选择性的报价。</w:t>
      </w:r>
    </w:p>
    <w:p>
      <w:pPr>
        <w:pStyle w:val="9"/>
        <w:spacing w:before="26"/>
        <w:ind w:left="778"/>
        <w:rPr>
          <w:color w:val="auto"/>
          <w:highlight w:val="none"/>
        </w:rPr>
      </w:pPr>
      <w:r>
        <w:rPr>
          <w:color w:val="auto"/>
          <w:highlight w:val="none"/>
        </w:rPr>
        <w:t>报价的大小写均须按法定格式填写。报价没有同时填写大写和小写的，将被拒绝。</w:t>
      </w:r>
    </w:p>
    <w:p>
      <w:pPr>
        <w:pStyle w:val="21"/>
        <w:numPr>
          <w:ilvl w:val="1"/>
          <w:numId w:val="6"/>
        </w:numPr>
        <w:tabs>
          <w:tab w:val="left" w:pos="1618"/>
          <w:tab w:val="left" w:pos="1619"/>
        </w:tabs>
        <w:spacing w:before="26" w:after="0" w:line="240" w:lineRule="auto"/>
        <w:ind w:left="1618" w:right="0" w:hanging="841"/>
        <w:jc w:val="left"/>
        <w:rPr>
          <w:color w:val="auto"/>
          <w:sz w:val="24"/>
          <w:highlight w:val="none"/>
        </w:rPr>
      </w:pPr>
      <w:r>
        <w:rPr>
          <w:color w:val="auto"/>
          <w:sz w:val="24"/>
          <w:highlight w:val="none"/>
        </w:rPr>
        <w:t>报价时应对下列几点应特别注明：</w:t>
      </w:r>
    </w:p>
    <w:p>
      <w:pPr>
        <w:pStyle w:val="21"/>
        <w:numPr>
          <w:ilvl w:val="2"/>
          <w:numId w:val="6"/>
        </w:numPr>
        <w:tabs>
          <w:tab w:val="left" w:pos="1738"/>
          <w:tab w:val="left" w:pos="1739"/>
        </w:tabs>
        <w:spacing w:before="26" w:after="0" w:line="240" w:lineRule="auto"/>
        <w:ind w:left="1738" w:right="0" w:hanging="961"/>
        <w:jc w:val="left"/>
        <w:rPr>
          <w:color w:val="auto"/>
          <w:sz w:val="24"/>
          <w:highlight w:val="none"/>
        </w:rPr>
      </w:pPr>
      <w:r>
        <w:rPr>
          <w:color w:val="auto"/>
          <w:sz w:val="24"/>
          <w:highlight w:val="none"/>
        </w:rPr>
        <w:t>询价通知书中特别要求的备品备件、易损件和专用工具的费用；</w:t>
      </w:r>
    </w:p>
    <w:p>
      <w:pPr>
        <w:pStyle w:val="21"/>
        <w:numPr>
          <w:ilvl w:val="2"/>
          <w:numId w:val="6"/>
        </w:numPr>
        <w:tabs>
          <w:tab w:val="left" w:pos="1738"/>
          <w:tab w:val="left" w:pos="1739"/>
        </w:tabs>
        <w:spacing w:before="24" w:after="0" w:line="240" w:lineRule="auto"/>
        <w:ind w:left="1738" w:right="0" w:hanging="961"/>
        <w:jc w:val="left"/>
        <w:rPr>
          <w:color w:val="auto"/>
          <w:highlight w:val="none"/>
        </w:rPr>
      </w:pPr>
      <w:r>
        <w:rPr>
          <w:color w:val="auto"/>
          <w:spacing w:val="-4"/>
          <w:sz w:val="24"/>
          <w:highlight w:val="none"/>
        </w:rPr>
        <w:t>询价通知书中特别要求的运输、保险</w:t>
      </w:r>
      <w:r>
        <w:rPr>
          <w:rFonts w:hint="eastAsia"/>
          <w:color w:val="auto"/>
          <w:spacing w:val="-4"/>
          <w:sz w:val="24"/>
          <w:highlight w:val="none"/>
          <w:lang w:eastAsia="zh-CN"/>
        </w:rPr>
        <w:t>、保修</w:t>
      </w:r>
      <w:r>
        <w:rPr>
          <w:color w:val="auto"/>
          <w:spacing w:val="-4"/>
          <w:sz w:val="24"/>
          <w:highlight w:val="none"/>
        </w:rPr>
        <w:t>及其它附带服务</w:t>
      </w:r>
      <w:r>
        <w:rPr>
          <w:color w:val="auto"/>
          <w:highlight w:val="none"/>
        </w:rPr>
        <w:t>的全部费用；</w:t>
      </w:r>
    </w:p>
    <w:p>
      <w:pPr>
        <w:pStyle w:val="21"/>
        <w:numPr>
          <w:ilvl w:val="2"/>
          <w:numId w:val="6"/>
        </w:numPr>
        <w:tabs>
          <w:tab w:val="left" w:pos="1624"/>
        </w:tabs>
        <w:spacing w:before="26" w:after="0" w:line="259" w:lineRule="auto"/>
        <w:ind w:left="298" w:right="947" w:firstLine="480"/>
        <w:jc w:val="both"/>
        <w:rPr>
          <w:color w:val="auto"/>
          <w:sz w:val="24"/>
          <w:highlight w:val="none"/>
        </w:rPr>
      </w:pPr>
      <w:r>
        <w:rPr>
          <w:color w:val="auto"/>
          <w:sz w:val="24"/>
          <w:highlight w:val="none"/>
        </w:rPr>
        <w:t>供应商提供的在中华人民共和国制造的货物，或已在中华人民共和国境内</w:t>
      </w:r>
      <w:r>
        <w:rPr>
          <w:color w:val="auto"/>
          <w:spacing w:val="-8"/>
          <w:sz w:val="24"/>
          <w:highlight w:val="none"/>
        </w:rPr>
        <w:t>的、国外生产的、已经进口货物，其货物的报价即交货价中，包括制造、组装该货物所</w:t>
      </w:r>
      <w:r>
        <w:rPr>
          <w:color w:val="auto"/>
          <w:sz w:val="24"/>
          <w:highlight w:val="none"/>
        </w:rPr>
        <w:t>使用的零部件及原材料已付的全部关税、销售税和其他税。</w:t>
      </w:r>
    </w:p>
    <w:p>
      <w:pPr>
        <w:pStyle w:val="8"/>
        <w:spacing w:line="350" w:lineRule="exact"/>
        <w:rPr>
          <w:color w:val="auto"/>
          <w:highlight w:val="none"/>
        </w:rPr>
      </w:pPr>
      <w:r>
        <w:rPr>
          <w:color w:val="auto"/>
          <w:highlight w:val="none"/>
        </w:rPr>
        <w:t>7</w:t>
      </w:r>
      <w:r>
        <w:rPr>
          <w:rFonts w:hint="eastAsia" w:eastAsia="宋体"/>
          <w:color w:val="auto"/>
          <w:highlight w:val="none"/>
          <w:lang w:eastAsia="zh-CN"/>
        </w:rPr>
        <w:t>、</w:t>
      </w:r>
      <w:r>
        <w:rPr>
          <w:color w:val="auto"/>
          <w:highlight w:val="none"/>
        </w:rPr>
        <w:t>报价的货币单位</w:t>
      </w:r>
    </w:p>
    <w:p>
      <w:pPr>
        <w:pStyle w:val="9"/>
        <w:tabs>
          <w:tab w:val="left" w:pos="1383"/>
        </w:tabs>
        <w:spacing w:line="293" w:lineRule="exact"/>
        <w:ind w:left="778"/>
        <w:rPr>
          <w:color w:val="auto"/>
          <w:highlight w:val="none"/>
        </w:rPr>
      </w:pPr>
      <w:r>
        <w:rPr>
          <w:color w:val="auto"/>
          <w:highlight w:val="none"/>
        </w:rPr>
        <w:t>7.1</w:t>
      </w:r>
      <w:r>
        <w:rPr>
          <w:color w:val="auto"/>
          <w:highlight w:val="none"/>
        </w:rPr>
        <w:tab/>
      </w:r>
      <w:r>
        <w:rPr>
          <w:color w:val="auto"/>
          <w:highlight w:val="none"/>
        </w:rPr>
        <w:t>报价单位均为人民币。对进口设备的报价也应以人民币进行报价，允许供应</w:t>
      </w:r>
    </w:p>
    <w:p>
      <w:pPr>
        <w:pStyle w:val="9"/>
        <w:spacing w:before="26" w:line="280" w:lineRule="exact"/>
        <w:ind w:left="298"/>
        <w:rPr>
          <w:color w:val="auto"/>
          <w:highlight w:val="none"/>
        </w:rPr>
      </w:pPr>
      <w:r>
        <w:rPr>
          <w:color w:val="auto"/>
          <w:highlight w:val="none"/>
        </w:rPr>
        <w:t>商填列按报价当天的人民币汇率折算的外币报价。</w:t>
      </w:r>
    </w:p>
    <w:p>
      <w:pPr>
        <w:pStyle w:val="8"/>
        <w:spacing w:line="399" w:lineRule="exact"/>
        <w:rPr>
          <w:color w:val="auto"/>
          <w:highlight w:val="none"/>
        </w:rPr>
      </w:pPr>
      <w:r>
        <w:rPr>
          <w:color w:val="auto"/>
          <w:highlight w:val="none"/>
        </w:rPr>
        <w:t>8</w:t>
      </w:r>
      <w:r>
        <w:rPr>
          <w:rFonts w:hint="eastAsia" w:eastAsia="宋体"/>
          <w:color w:val="auto"/>
          <w:highlight w:val="none"/>
          <w:lang w:eastAsia="zh-CN"/>
        </w:rPr>
        <w:t>、</w:t>
      </w:r>
      <w:r>
        <w:rPr>
          <w:color w:val="auto"/>
          <w:highlight w:val="none"/>
        </w:rPr>
        <w:t>询价通知书规定的技术响应文件</w:t>
      </w:r>
    </w:p>
    <w:p>
      <w:pPr>
        <w:pStyle w:val="21"/>
        <w:numPr>
          <w:ilvl w:val="1"/>
          <w:numId w:val="7"/>
        </w:numPr>
        <w:tabs>
          <w:tab w:val="left" w:pos="1498"/>
          <w:tab w:val="left" w:pos="1499"/>
        </w:tabs>
        <w:spacing w:before="0" w:after="0" w:line="293" w:lineRule="exact"/>
        <w:ind w:left="1498" w:right="0" w:hanging="721"/>
        <w:jc w:val="left"/>
        <w:rPr>
          <w:color w:val="auto"/>
          <w:sz w:val="24"/>
          <w:highlight w:val="none"/>
        </w:rPr>
      </w:pPr>
      <w:r>
        <w:rPr>
          <w:color w:val="auto"/>
          <w:spacing w:val="-2"/>
          <w:sz w:val="24"/>
          <w:highlight w:val="none"/>
        </w:rPr>
        <w:t>供应商须提交证明拟供货物和服务符合询价通知书规定的技术响应文件，作</w:t>
      </w:r>
    </w:p>
    <w:p>
      <w:pPr>
        <w:pStyle w:val="9"/>
        <w:spacing w:before="26"/>
        <w:ind w:left="298"/>
        <w:rPr>
          <w:color w:val="auto"/>
          <w:highlight w:val="none"/>
        </w:rPr>
      </w:pPr>
      <w:r>
        <w:rPr>
          <w:color w:val="auto"/>
          <w:highlight w:val="none"/>
        </w:rPr>
        <w:t>为询价通知书的一部分。</w:t>
      </w:r>
    </w:p>
    <w:p>
      <w:pPr>
        <w:pStyle w:val="21"/>
        <w:numPr>
          <w:ilvl w:val="1"/>
          <w:numId w:val="7"/>
        </w:numPr>
        <w:tabs>
          <w:tab w:val="left" w:pos="1259"/>
        </w:tabs>
        <w:spacing w:before="26" w:after="0" w:line="240" w:lineRule="auto"/>
        <w:ind w:left="1258" w:right="0" w:hanging="481"/>
        <w:jc w:val="left"/>
        <w:rPr>
          <w:color w:val="auto"/>
          <w:sz w:val="24"/>
          <w:highlight w:val="none"/>
        </w:rPr>
      </w:pPr>
      <w:r>
        <w:rPr>
          <w:color w:val="auto"/>
          <w:sz w:val="24"/>
          <w:highlight w:val="none"/>
        </w:rPr>
        <w:t>上述文件可以是文字资料、图纸和数据，并提供：</w:t>
      </w:r>
    </w:p>
    <w:p>
      <w:pPr>
        <w:pStyle w:val="21"/>
        <w:numPr>
          <w:ilvl w:val="0"/>
          <w:numId w:val="8"/>
        </w:numPr>
        <w:tabs>
          <w:tab w:val="left" w:pos="1380"/>
        </w:tabs>
        <w:spacing w:before="24" w:after="0" w:line="240" w:lineRule="auto"/>
        <w:ind w:left="1379" w:right="0" w:hanging="602"/>
        <w:jc w:val="left"/>
        <w:rPr>
          <w:color w:val="auto"/>
          <w:sz w:val="24"/>
          <w:highlight w:val="none"/>
        </w:rPr>
      </w:pPr>
      <w:r>
        <w:rPr>
          <w:color w:val="auto"/>
          <w:sz w:val="24"/>
          <w:highlight w:val="none"/>
        </w:rPr>
        <w:t>货物主要技术及性能特点的详细描述；</w:t>
      </w:r>
    </w:p>
    <w:p>
      <w:pPr>
        <w:pStyle w:val="21"/>
        <w:numPr>
          <w:ilvl w:val="0"/>
          <w:numId w:val="8"/>
        </w:numPr>
        <w:tabs>
          <w:tab w:val="left" w:pos="1380"/>
        </w:tabs>
        <w:spacing w:before="26" w:after="0" w:line="240" w:lineRule="auto"/>
        <w:ind w:left="1379" w:right="0" w:hanging="602"/>
        <w:jc w:val="left"/>
        <w:rPr>
          <w:color w:val="auto"/>
          <w:sz w:val="24"/>
          <w:highlight w:val="none"/>
        </w:rPr>
      </w:pPr>
      <w:r>
        <w:rPr>
          <w:color w:val="auto"/>
          <w:sz w:val="24"/>
          <w:highlight w:val="none"/>
        </w:rPr>
        <w:t>货物主要部件的详细资料，包括检验报告等；</w:t>
      </w:r>
    </w:p>
    <w:p>
      <w:pPr>
        <w:pStyle w:val="21"/>
        <w:numPr>
          <w:ilvl w:val="0"/>
          <w:numId w:val="8"/>
        </w:numPr>
        <w:tabs>
          <w:tab w:val="left" w:pos="1386"/>
        </w:tabs>
        <w:spacing w:before="26" w:after="0" w:line="259" w:lineRule="auto"/>
        <w:ind w:left="298" w:right="951" w:firstLine="480"/>
        <w:jc w:val="left"/>
        <w:rPr>
          <w:color w:val="auto"/>
          <w:sz w:val="24"/>
          <w:highlight w:val="none"/>
        </w:rPr>
      </w:pPr>
      <w:r>
        <w:rPr>
          <w:color w:val="auto"/>
          <w:sz w:val="24"/>
          <w:highlight w:val="none"/>
        </w:rPr>
        <w:t>一份在技术规格中规定的保证货物正常和连续运转期间所需要的所有备件和专业工具的详细清单包括价格及供货来源信息。</w:t>
      </w:r>
    </w:p>
    <w:p>
      <w:pPr>
        <w:pStyle w:val="9"/>
        <w:spacing w:before="26" w:line="259" w:lineRule="auto"/>
        <w:ind w:left="298" w:right="886" w:firstLine="480"/>
        <w:rPr>
          <w:color w:val="auto"/>
          <w:highlight w:val="none"/>
        </w:rPr>
      </w:pPr>
      <w:r>
        <w:rPr>
          <w:color w:val="auto"/>
          <w:highlight w:val="none"/>
        </w:rPr>
        <w:t>没有按要求提供资料或提供资料不完全的，将视为对询价通知书没有做出实质性响应，其风险由供应商自行承担。</w:t>
      </w:r>
    </w:p>
    <w:p>
      <w:pPr>
        <w:pStyle w:val="8"/>
        <w:spacing w:line="350" w:lineRule="exact"/>
        <w:rPr>
          <w:color w:val="auto"/>
          <w:highlight w:val="none"/>
        </w:rPr>
      </w:pPr>
      <w:r>
        <w:rPr>
          <w:color w:val="auto"/>
          <w:highlight w:val="none"/>
        </w:rPr>
        <w:t>9</w:t>
      </w:r>
      <w:r>
        <w:rPr>
          <w:rFonts w:hint="eastAsia" w:eastAsia="宋体"/>
          <w:color w:val="auto"/>
          <w:highlight w:val="none"/>
          <w:lang w:eastAsia="zh-CN"/>
        </w:rPr>
        <w:t>、</w:t>
      </w:r>
      <w:r>
        <w:rPr>
          <w:color w:val="auto"/>
          <w:highlight w:val="none"/>
        </w:rPr>
        <w:t>报价有效期</w:t>
      </w:r>
    </w:p>
    <w:p>
      <w:pPr>
        <w:pStyle w:val="21"/>
        <w:numPr>
          <w:ilvl w:val="0"/>
          <w:numId w:val="0"/>
        </w:numPr>
        <w:tabs>
          <w:tab w:val="left" w:pos="1378"/>
          <w:tab w:val="left" w:pos="1379"/>
        </w:tabs>
        <w:spacing w:before="0" w:after="0" w:line="292" w:lineRule="exact"/>
        <w:ind w:left="777" w:leftChars="0" w:right="0" w:rightChars="0"/>
        <w:jc w:val="left"/>
        <w:rPr>
          <w:color w:val="auto"/>
          <w:sz w:val="24"/>
          <w:highlight w:val="none"/>
        </w:rPr>
      </w:pPr>
      <w:r>
        <w:rPr>
          <w:rFonts w:hint="eastAsia"/>
          <w:color w:val="auto"/>
          <w:sz w:val="24"/>
          <w:highlight w:val="none"/>
          <w:lang w:val="en-US" w:eastAsia="zh-CN"/>
        </w:rPr>
        <w:t xml:space="preserve">9.1   </w:t>
      </w:r>
      <w:r>
        <w:rPr>
          <w:color w:val="auto"/>
          <w:sz w:val="24"/>
          <w:highlight w:val="none"/>
        </w:rPr>
        <w:t>响应文件从评审之日起，有效期为90天（如不满足将导致废标</w:t>
      </w:r>
      <w:r>
        <w:rPr>
          <w:color w:val="auto"/>
          <w:spacing w:val="-120"/>
          <w:sz w:val="24"/>
          <w:highlight w:val="none"/>
        </w:rPr>
        <w:t>）</w:t>
      </w:r>
      <w:r>
        <w:rPr>
          <w:color w:val="auto"/>
          <w:sz w:val="24"/>
          <w:highlight w:val="none"/>
        </w:rPr>
        <w:t>。</w:t>
      </w:r>
    </w:p>
    <w:p>
      <w:pPr>
        <w:pStyle w:val="21"/>
        <w:numPr>
          <w:ilvl w:val="0"/>
          <w:numId w:val="0"/>
        </w:numPr>
        <w:tabs>
          <w:tab w:val="left" w:pos="1378"/>
          <w:tab w:val="left" w:pos="1379"/>
        </w:tabs>
        <w:spacing w:before="26" w:after="0" w:line="281" w:lineRule="exact"/>
        <w:ind w:left="777" w:leftChars="0" w:right="0" w:rightChars="0"/>
        <w:jc w:val="left"/>
        <w:rPr>
          <w:color w:val="auto"/>
          <w:sz w:val="24"/>
          <w:highlight w:val="none"/>
        </w:rPr>
      </w:pPr>
      <w:r>
        <w:rPr>
          <w:rFonts w:hint="eastAsia"/>
          <w:color w:val="auto"/>
          <w:sz w:val="24"/>
          <w:highlight w:val="none"/>
          <w:lang w:val="en-US" w:eastAsia="zh-CN"/>
        </w:rPr>
        <w:t xml:space="preserve">9.2   </w:t>
      </w:r>
      <w:r>
        <w:rPr>
          <w:color w:val="auto"/>
          <w:sz w:val="24"/>
          <w:highlight w:val="none"/>
        </w:rPr>
        <w:t>在特殊情况下，采购方可与供应商协商延长响应文件的有效期。</w:t>
      </w:r>
    </w:p>
    <w:p>
      <w:pPr>
        <w:pStyle w:val="8"/>
        <w:rPr>
          <w:color w:val="auto"/>
          <w:highlight w:val="none"/>
        </w:rPr>
      </w:pPr>
      <w:r>
        <w:rPr>
          <w:color w:val="auto"/>
          <w:highlight w:val="none"/>
        </w:rPr>
        <w:t>10</w:t>
      </w:r>
      <w:r>
        <w:rPr>
          <w:rFonts w:hint="eastAsia" w:eastAsia="宋体"/>
          <w:color w:val="auto"/>
          <w:highlight w:val="none"/>
          <w:lang w:eastAsia="zh-CN"/>
        </w:rPr>
        <w:t>、</w:t>
      </w:r>
      <w:r>
        <w:rPr>
          <w:color w:val="auto"/>
          <w:highlight w:val="none"/>
        </w:rPr>
        <w:t>响应文件的签署规定</w:t>
      </w:r>
    </w:p>
    <w:p>
      <w:pPr>
        <w:pStyle w:val="21"/>
        <w:numPr>
          <w:ilvl w:val="1"/>
          <w:numId w:val="9"/>
        </w:numPr>
        <w:tabs>
          <w:tab w:val="left" w:pos="1619"/>
        </w:tabs>
        <w:spacing w:before="0" w:after="0" w:line="293" w:lineRule="exact"/>
        <w:ind w:left="1618" w:right="0" w:hanging="841"/>
        <w:jc w:val="both"/>
        <w:rPr>
          <w:color w:val="auto"/>
          <w:sz w:val="24"/>
          <w:highlight w:val="none"/>
        </w:rPr>
      </w:pPr>
      <w:r>
        <w:rPr>
          <w:color w:val="auto"/>
          <w:sz w:val="24"/>
          <w:highlight w:val="none"/>
        </w:rPr>
        <w:t>响应文件的页面必须用印刷体打印。</w:t>
      </w:r>
    </w:p>
    <w:p>
      <w:pPr>
        <w:pStyle w:val="21"/>
        <w:numPr>
          <w:ilvl w:val="1"/>
          <w:numId w:val="9"/>
        </w:numPr>
        <w:tabs>
          <w:tab w:val="left" w:pos="1624"/>
        </w:tabs>
        <w:spacing w:before="24" w:after="0" w:line="259" w:lineRule="auto"/>
        <w:ind w:left="298" w:right="947" w:firstLine="480"/>
        <w:jc w:val="both"/>
        <w:rPr>
          <w:color w:val="auto"/>
          <w:sz w:val="24"/>
          <w:highlight w:val="none"/>
        </w:rPr>
      </w:pPr>
      <w:r>
        <w:rPr>
          <w:color w:val="auto"/>
          <w:sz w:val="24"/>
          <w:highlight w:val="none"/>
        </w:rPr>
        <w:t>响应文件应清楚工整，一般不准修改。个别非实质性修改之处应由供应商的被授权人或法人代表签章。</w:t>
      </w:r>
    </w:p>
    <w:p>
      <w:pPr>
        <w:pStyle w:val="21"/>
        <w:numPr>
          <w:ilvl w:val="1"/>
          <w:numId w:val="9"/>
        </w:numPr>
        <w:tabs>
          <w:tab w:val="left" w:pos="1508"/>
        </w:tabs>
        <w:spacing w:before="3" w:after="0" w:line="259" w:lineRule="auto"/>
        <w:ind w:left="298" w:right="945" w:firstLine="480"/>
        <w:jc w:val="both"/>
        <w:rPr>
          <w:color w:val="auto"/>
          <w:sz w:val="24"/>
          <w:highlight w:val="none"/>
        </w:rPr>
      </w:pPr>
      <w:r>
        <w:rPr>
          <w:color w:val="auto"/>
          <w:spacing w:val="4"/>
          <w:sz w:val="24"/>
          <w:highlight w:val="none"/>
        </w:rPr>
        <w:t>响应文件应由法人代表或法人授权代表在规定的签章处逐一签署并加盖单</w:t>
      </w:r>
      <w:r>
        <w:rPr>
          <w:color w:val="auto"/>
          <w:spacing w:val="-8"/>
          <w:sz w:val="24"/>
          <w:highlight w:val="none"/>
        </w:rPr>
        <w:t>位公章。所有供应商签字、法人代表签字、法人代表授权人签字和其它签字处必须加盖</w:t>
      </w:r>
      <w:r>
        <w:rPr>
          <w:color w:val="auto"/>
          <w:sz w:val="24"/>
          <w:highlight w:val="none"/>
        </w:rPr>
        <w:t>具有法律效力的供应商的印章后，响应文件方为有效（自然人除外</w:t>
      </w:r>
      <w:r>
        <w:rPr>
          <w:color w:val="auto"/>
          <w:spacing w:val="-120"/>
          <w:sz w:val="24"/>
          <w:highlight w:val="none"/>
        </w:rPr>
        <w:t>）</w:t>
      </w:r>
      <w:r>
        <w:rPr>
          <w:color w:val="auto"/>
          <w:sz w:val="24"/>
          <w:highlight w:val="none"/>
        </w:rPr>
        <w:t>。</w:t>
      </w:r>
    </w:p>
    <w:p>
      <w:pPr>
        <w:pStyle w:val="21"/>
        <w:numPr>
          <w:ilvl w:val="1"/>
          <w:numId w:val="9"/>
        </w:numPr>
        <w:tabs>
          <w:tab w:val="left" w:pos="1499"/>
        </w:tabs>
        <w:spacing w:before="2" w:after="0" w:line="259" w:lineRule="auto"/>
        <w:ind w:left="298" w:right="947" w:firstLine="480"/>
        <w:jc w:val="both"/>
        <w:rPr>
          <w:color w:val="auto"/>
          <w:sz w:val="24"/>
          <w:highlight w:val="none"/>
        </w:rPr>
      </w:pPr>
      <w:r>
        <w:rPr>
          <w:color w:val="auto"/>
          <w:spacing w:val="-15"/>
          <w:sz w:val="24"/>
          <w:highlight w:val="none"/>
        </w:rPr>
        <w:t>所有响应文件必须提交正本和副本，并在封面上标记“正本”和“副本”</w:t>
      </w:r>
      <w:r>
        <w:rPr>
          <w:color w:val="auto"/>
          <w:spacing w:val="-178"/>
          <w:sz w:val="24"/>
          <w:highlight w:val="none"/>
        </w:rPr>
        <w:t>。</w:t>
      </w:r>
      <w:r>
        <w:rPr>
          <w:color w:val="auto"/>
          <w:sz w:val="24"/>
          <w:highlight w:val="none"/>
        </w:rPr>
        <w:t>（</w:t>
      </w:r>
      <w:r>
        <w:rPr>
          <w:color w:val="auto"/>
          <w:spacing w:val="-15"/>
          <w:sz w:val="24"/>
          <w:highlight w:val="none"/>
        </w:rPr>
        <w:t>响</w:t>
      </w:r>
      <w:r>
        <w:rPr>
          <w:color w:val="auto"/>
          <w:sz w:val="24"/>
          <w:highlight w:val="none"/>
        </w:rPr>
        <w:t>应文件一律不退）</w:t>
      </w:r>
    </w:p>
    <w:p>
      <w:pPr>
        <w:pStyle w:val="21"/>
        <w:numPr>
          <w:ilvl w:val="1"/>
          <w:numId w:val="9"/>
        </w:numPr>
        <w:tabs>
          <w:tab w:val="left" w:pos="1624"/>
        </w:tabs>
        <w:spacing w:before="3" w:after="0" w:line="259" w:lineRule="auto"/>
        <w:ind w:left="298" w:right="945" w:firstLine="480"/>
        <w:jc w:val="both"/>
        <w:rPr>
          <w:color w:val="auto"/>
          <w:sz w:val="24"/>
          <w:highlight w:val="none"/>
        </w:rPr>
      </w:pPr>
      <w:r>
        <w:rPr>
          <w:color w:val="auto"/>
          <w:sz w:val="24"/>
          <w:highlight w:val="none"/>
        </w:rPr>
        <w:t>响应文件的正本与副本应当完全一致。当正本和副本之间出现差异时，以正本为准。</w:t>
      </w:r>
    </w:p>
    <w:p>
      <w:pPr>
        <w:pStyle w:val="21"/>
        <w:numPr>
          <w:ilvl w:val="1"/>
          <w:numId w:val="9"/>
        </w:numPr>
        <w:tabs>
          <w:tab w:val="left" w:pos="1619"/>
        </w:tabs>
        <w:spacing w:before="0" w:after="0" w:line="240" w:lineRule="auto"/>
        <w:ind w:left="1618" w:right="0" w:hanging="841"/>
        <w:jc w:val="both"/>
        <w:rPr>
          <w:color w:val="auto"/>
          <w:sz w:val="24"/>
          <w:highlight w:val="none"/>
        </w:rPr>
      </w:pPr>
      <w:r>
        <w:rPr>
          <w:color w:val="auto"/>
          <w:sz w:val="24"/>
          <w:highlight w:val="none"/>
        </w:rPr>
        <w:t>以电报、电话、传真、电子邮件等形式提交的报价概不接受。</w:t>
      </w:r>
    </w:p>
    <w:p>
      <w:pPr>
        <w:pStyle w:val="21"/>
        <w:numPr>
          <w:ilvl w:val="0"/>
          <w:numId w:val="0"/>
        </w:numPr>
        <w:tabs>
          <w:tab w:val="left" w:pos="1619"/>
        </w:tabs>
        <w:spacing w:before="0" w:after="0" w:line="240" w:lineRule="auto"/>
        <w:ind w:left="777" w:leftChars="0" w:right="0" w:rightChars="0"/>
        <w:jc w:val="both"/>
        <w:rPr>
          <w:color w:val="auto"/>
          <w:sz w:val="24"/>
          <w:highlight w:val="none"/>
        </w:rPr>
      </w:pPr>
    </w:p>
    <w:p>
      <w:pPr>
        <w:pStyle w:val="9"/>
        <w:rPr>
          <w:color w:val="auto"/>
          <w:sz w:val="17"/>
          <w:highlight w:val="none"/>
        </w:rPr>
      </w:pPr>
    </w:p>
    <w:p>
      <w:pPr>
        <w:pStyle w:val="4"/>
        <w:spacing w:line="537" w:lineRule="exact"/>
        <w:outlineLvl w:val="1"/>
        <w:rPr>
          <w:color w:val="auto"/>
          <w:highlight w:val="none"/>
        </w:rPr>
      </w:pPr>
      <w:bookmarkStart w:id="14" w:name="_Toc30448"/>
      <w:r>
        <w:rPr>
          <w:color w:val="auto"/>
          <w:highlight w:val="none"/>
        </w:rPr>
        <w:t>第三章、响应文件的递交</w:t>
      </w:r>
      <w:bookmarkEnd w:id="14"/>
    </w:p>
    <w:p>
      <w:pPr>
        <w:pStyle w:val="9"/>
        <w:spacing w:before="13"/>
        <w:rPr>
          <w:rFonts w:ascii="Microsoft JhengHei"/>
          <w:b/>
          <w:color w:val="auto"/>
          <w:sz w:val="22"/>
          <w:highlight w:val="none"/>
        </w:rPr>
      </w:pPr>
    </w:p>
    <w:p>
      <w:pPr>
        <w:pStyle w:val="8"/>
        <w:spacing w:line="426" w:lineRule="exact"/>
        <w:rPr>
          <w:color w:val="auto"/>
          <w:highlight w:val="none"/>
        </w:rPr>
      </w:pPr>
      <w:r>
        <w:rPr>
          <w:color w:val="auto"/>
          <w:highlight w:val="none"/>
        </w:rPr>
        <w:t>12</w:t>
      </w:r>
      <w:r>
        <w:rPr>
          <w:rFonts w:hint="eastAsia" w:eastAsia="宋体"/>
          <w:color w:val="auto"/>
          <w:highlight w:val="none"/>
          <w:lang w:eastAsia="zh-CN"/>
        </w:rPr>
        <w:t>、</w:t>
      </w:r>
      <w:r>
        <w:rPr>
          <w:color w:val="auto"/>
          <w:highlight w:val="none"/>
        </w:rPr>
        <w:t>响应文件的密封与标记</w:t>
      </w:r>
    </w:p>
    <w:p>
      <w:pPr>
        <w:pStyle w:val="21"/>
        <w:numPr>
          <w:ilvl w:val="1"/>
          <w:numId w:val="10"/>
        </w:numPr>
        <w:tabs>
          <w:tab w:val="left" w:pos="1625"/>
          <w:tab w:val="left" w:pos="1626"/>
        </w:tabs>
        <w:spacing w:before="0" w:after="0" w:line="292" w:lineRule="exact"/>
        <w:ind w:left="1625" w:right="0" w:hanging="848"/>
        <w:jc w:val="left"/>
        <w:rPr>
          <w:color w:val="auto"/>
          <w:sz w:val="24"/>
          <w:highlight w:val="none"/>
        </w:rPr>
      </w:pPr>
      <w:r>
        <w:rPr>
          <w:color w:val="auto"/>
          <w:sz w:val="24"/>
          <w:highlight w:val="none"/>
        </w:rPr>
        <w:t>供应商应将响应文件的正本和所有副本密封，单个密封件厚度不得超过 3</w:t>
      </w:r>
    </w:p>
    <w:p>
      <w:pPr>
        <w:pStyle w:val="9"/>
        <w:spacing w:before="26"/>
        <w:ind w:left="298"/>
        <w:rPr>
          <w:color w:val="auto"/>
          <w:highlight w:val="none"/>
        </w:rPr>
      </w:pPr>
      <w:r>
        <w:rPr>
          <w:color w:val="auto"/>
          <w:highlight w:val="none"/>
        </w:rPr>
        <w:t>厘米，宽度不得超过 26 厘米，并在每个密封件的封面上标明项目名称、项目编号、投</w:t>
      </w:r>
    </w:p>
    <w:p>
      <w:pPr>
        <w:pStyle w:val="9"/>
        <w:spacing w:before="26"/>
        <w:ind w:left="298"/>
        <w:rPr>
          <w:color w:val="auto"/>
          <w:highlight w:val="none"/>
        </w:rPr>
      </w:pPr>
      <w:r>
        <w:rPr>
          <w:color w:val="auto"/>
          <w:highlight w:val="none"/>
        </w:rPr>
        <w:t>标单位名称。注明“报价时才能启封”字样。</w:t>
      </w:r>
    </w:p>
    <w:p>
      <w:pPr>
        <w:pStyle w:val="21"/>
        <w:numPr>
          <w:ilvl w:val="1"/>
          <w:numId w:val="10"/>
        </w:numPr>
        <w:tabs>
          <w:tab w:val="left" w:pos="1498"/>
          <w:tab w:val="left" w:pos="1499"/>
        </w:tabs>
        <w:spacing w:before="26" w:after="0" w:line="240" w:lineRule="auto"/>
        <w:ind w:left="1498" w:right="0" w:hanging="721"/>
        <w:jc w:val="left"/>
        <w:rPr>
          <w:color w:val="auto"/>
          <w:sz w:val="24"/>
          <w:highlight w:val="none"/>
        </w:rPr>
      </w:pPr>
      <w:r>
        <w:rPr>
          <w:color w:val="auto"/>
          <w:sz w:val="24"/>
          <w:highlight w:val="none"/>
        </w:rPr>
        <w:t>询价采购方式无检查资质环节。</w:t>
      </w:r>
    </w:p>
    <w:p>
      <w:pPr>
        <w:pStyle w:val="21"/>
        <w:numPr>
          <w:ilvl w:val="1"/>
          <w:numId w:val="10"/>
        </w:numPr>
        <w:tabs>
          <w:tab w:val="left" w:pos="1618"/>
          <w:tab w:val="left" w:pos="1619"/>
        </w:tabs>
        <w:spacing w:before="24" w:after="0" w:line="240" w:lineRule="auto"/>
        <w:ind w:left="1618" w:right="0" w:hanging="841"/>
        <w:jc w:val="left"/>
        <w:rPr>
          <w:color w:val="auto"/>
          <w:sz w:val="24"/>
          <w:highlight w:val="none"/>
        </w:rPr>
      </w:pPr>
      <w:r>
        <w:rPr>
          <w:color w:val="auto"/>
          <w:sz w:val="24"/>
          <w:highlight w:val="none"/>
        </w:rPr>
        <w:t>任何不完整或不满足采购文件要求的响应文件将被拒绝。</w:t>
      </w:r>
    </w:p>
    <w:p>
      <w:pPr>
        <w:pStyle w:val="21"/>
        <w:numPr>
          <w:ilvl w:val="1"/>
          <w:numId w:val="10"/>
        </w:numPr>
        <w:tabs>
          <w:tab w:val="left" w:pos="1623"/>
          <w:tab w:val="left" w:pos="1624"/>
        </w:tabs>
        <w:spacing w:before="26" w:after="0" w:line="240" w:lineRule="auto"/>
        <w:ind w:left="1623" w:right="0" w:hanging="846"/>
        <w:jc w:val="left"/>
        <w:rPr>
          <w:color w:val="auto"/>
          <w:sz w:val="24"/>
          <w:highlight w:val="none"/>
        </w:rPr>
      </w:pPr>
      <w:r>
        <w:rPr>
          <w:color w:val="auto"/>
          <w:sz w:val="24"/>
          <w:highlight w:val="none"/>
        </w:rPr>
        <w:t>由于不可抗拒原因或无法控制的事件而导致的丢失或损坏投标包装体内的</w:t>
      </w:r>
    </w:p>
    <w:p>
      <w:pPr>
        <w:pStyle w:val="9"/>
        <w:spacing w:before="26" w:line="281" w:lineRule="exact"/>
        <w:ind w:left="298"/>
        <w:rPr>
          <w:color w:val="auto"/>
          <w:highlight w:val="none"/>
        </w:rPr>
      </w:pPr>
      <w:r>
        <w:rPr>
          <w:color w:val="auto"/>
          <w:highlight w:val="none"/>
        </w:rPr>
        <w:t>响应文件时，采购方将不负责任。</w:t>
      </w:r>
    </w:p>
    <w:p>
      <w:pPr>
        <w:pStyle w:val="8"/>
        <w:spacing w:line="399" w:lineRule="exact"/>
        <w:rPr>
          <w:color w:val="auto"/>
          <w:highlight w:val="none"/>
        </w:rPr>
      </w:pPr>
      <w:r>
        <w:rPr>
          <w:color w:val="auto"/>
          <w:highlight w:val="none"/>
        </w:rPr>
        <w:t>13</w:t>
      </w:r>
      <w:r>
        <w:rPr>
          <w:rFonts w:hint="eastAsia" w:eastAsia="宋体"/>
          <w:color w:val="auto"/>
          <w:highlight w:val="none"/>
          <w:lang w:eastAsia="zh-CN"/>
        </w:rPr>
        <w:t>、</w:t>
      </w:r>
      <w:r>
        <w:rPr>
          <w:color w:val="auto"/>
          <w:highlight w:val="none"/>
        </w:rPr>
        <w:t>报价截止时间</w:t>
      </w:r>
    </w:p>
    <w:p>
      <w:pPr>
        <w:pStyle w:val="21"/>
        <w:numPr>
          <w:ilvl w:val="1"/>
          <w:numId w:val="11"/>
        </w:numPr>
        <w:tabs>
          <w:tab w:val="left" w:pos="1623"/>
          <w:tab w:val="left" w:pos="1624"/>
        </w:tabs>
        <w:spacing w:before="0" w:after="0" w:line="292" w:lineRule="exact"/>
        <w:ind w:left="1623" w:right="0" w:hanging="846"/>
        <w:jc w:val="left"/>
        <w:rPr>
          <w:color w:val="auto"/>
          <w:sz w:val="24"/>
          <w:highlight w:val="none"/>
        </w:rPr>
      </w:pPr>
      <w:r>
        <w:rPr>
          <w:color w:val="auto"/>
          <w:sz w:val="24"/>
          <w:highlight w:val="none"/>
        </w:rPr>
        <w:t>响应文件须在响应文件递交截止时间前(详见第一部分询价须知)前递交。</w:t>
      </w:r>
    </w:p>
    <w:p>
      <w:pPr>
        <w:pStyle w:val="9"/>
        <w:spacing w:before="26"/>
        <w:ind w:left="298"/>
        <w:rPr>
          <w:color w:val="auto"/>
          <w:highlight w:val="none"/>
        </w:rPr>
      </w:pPr>
      <w:r>
        <w:rPr>
          <w:color w:val="auto"/>
          <w:highlight w:val="none"/>
        </w:rPr>
        <w:t>响应文件请以密封形式递交至</w:t>
      </w:r>
      <w:r>
        <w:rPr>
          <w:rFonts w:hint="eastAsia"/>
          <w:color w:val="auto"/>
          <w:highlight w:val="none"/>
          <w:lang w:eastAsia="zh-CN"/>
        </w:rPr>
        <w:t>新疆新之建工程咨询有限公司</w:t>
      </w:r>
      <w:r>
        <w:rPr>
          <w:color w:val="auto"/>
          <w:highlight w:val="none"/>
        </w:rPr>
        <w:t>指定地点。</w:t>
      </w:r>
    </w:p>
    <w:p>
      <w:pPr>
        <w:pStyle w:val="21"/>
        <w:numPr>
          <w:ilvl w:val="1"/>
          <w:numId w:val="11"/>
        </w:numPr>
        <w:tabs>
          <w:tab w:val="left" w:pos="1623"/>
          <w:tab w:val="left" w:pos="1624"/>
        </w:tabs>
        <w:spacing w:before="27" w:after="0" w:line="259" w:lineRule="auto"/>
        <w:ind w:left="298" w:right="945" w:firstLine="480"/>
        <w:jc w:val="left"/>
        <w:rPr>
          <w:color w:val="auto"/>
          <w:sz w:val="24"/>
          <w:highlight w:val="none"/>
        </w:rPr>
      </w:pPr>
      <w:r>
        <w:rPr>
          <w:color w:val="auto"/>
          <w:sz w:val="24"/>
          <w:highlight w:val="none"/>
        </w:rPr>
        <w:t>所有响应文件不论派人送交还是通过邮寄的方式递交，都必须在采购方规定的报价截止时间之前送达指定的地点，在此之后送达的响应文件，将一律被拒收。</w:t>
      </w:r>
    </w:p>
    <w:p>
      <w:pPr>
        <w:pStyle w:val="21"/>
        <w:numPr>
          <w:ilvl w:val="1"/>
          <w:numId w:val="11"/>
        </w:numPr>
        <w:tabs>
          <w:tab w:val="left" w:pos="1623"/>
          <w:tab w:val="left" w:pos="1624"/>
        </w:tabs>
        <w:spacing w:before="0" w:after="0" w:line="259" w:lineRule="auto"/>
        <w:ind w:left="298" w:right="947" w:firstLine="480"/>
        <w:jc w:val="left"/>
        <w:rPr>
          <w:color w:val="auto"/>
          <w:sz w:val="24"/>
          <w:highlight w:val="none"/>
        </w:rPr>
      </w:pPr>
      <w:r>
        <w:rPr>
          <w:color w:val="auto"/>
          <w:sz w:val="24"/>
          <w:highlight w:val="none"/>
        </w:rPr>
        <w:t>出现因询价通知书的修改而推迟报价截止时间的情况时，供应商则须于采购方的书面修改通知重新规定的报价截止时间之前递交。</w:t>
      </w:r>
    </w:p>
    <w:p>
      <w:pPr>
        <w:pStyle w:val="8"/>
        <w:spacing w:line="351" w:lineRule="exact"/>
        <w:rPr>
          <w:color w:val="auto"/>
          <w:highlight w:val="none"/>
        </w:rPr>
      </w:pPr>
      <w:r>
        <w:rPr>
          <w:color w:val="auto"/>
          <w:highlight w:val="none"/>
        </w:rPr>
        <w:t>14</w:t>
      </w:r>
      <w:r>
        <w:rPr>
          <w:rFonts w:hint="eastAsia" w:eastAsia="宋体"/>
          <w:color w:val="auto"/>
          <w:highlight w:val="none"/>
          <w:lang w:eastAsia="zh-CN"/>
        </w:rPr>
        <w:t>、</w:t>
      </w:r>
      <w:r>
        <w:rPr>
          <w:color w:val="auto"/>
          <w:highlight w:val="none"/>
        </w:rPr>
        <w:t>响应文件的修改和撤销</w:t>
      </w:r>
    </w:p>
    <w:p>
      <w:pPr>
        <w:pStyle w:val="21"/>
        <w:numPr>
          <w:ilvl w:val="0"/>
          <w:numId w:val="0"/>
        </w:numPr>
        <w:tabs>
          <w:tab w:val="left" w:pos="1499"/>
        </w:tabs>
        <w:spacing w:before="0" w:after="0" w:line="259" w:lineRule="auto"/>
        <w:ind w:left="778" w:leftChars="0" w:right="827" w:rightChars="0"/>
        <w:jc w:val="both"/>
        <w:rPr>
          <w:color w:val="auto"/>
          <w:sz w:val="24"/>
          <w:highlight w:val="none"/>
        </w:rPr>
      </w:pPr>
      <w:r>
        <w:rPr>
          <w:rFonts w:hint="eastAsia"/>
          <w:color w:val="auto"/>
          <w:spacing w:val="-3"/>
          <w:sz w:val="24"/>
          <w:highlight w:val="none"/>
          <w:lang w:val="en-US" w:eastAsia="zh-CN"/>
        </w:rPr>
        <w:t xml:space="preserve">14.1  </w:t>
      </w:r>
      <w:r>
        <w:rPr>
          <w:color w:val="auto"/>
          <w:spacing w:val="-3"/>
          <w:sz w:val="24"/>
          <w:highlight w:val="none"/>
        </w:rPr>
        <w:t>供应商在递交响应文件后，可在规定的报价截止时间之前，对其响应文件以</w:t>
      </w:r>
      <w:r>
        <w:rPr>
          <w:color w:val="auto"/>
          <w:spacing w:val="-13"/>
          <w:sz w:val="24"/>
          <w:highlight w:val="none"/>
        </w:rPr>
        <w:t>书面通知的形式进行修改或撤销。该通知须有报价代理人的签字，并得到采购方的确认。</w:t>
      </w:r>
    </w:p>
    <w:p>
      <w:pPr>
        <w:pStyle w:val="21"/>
        <w:numPr>
          <w:ilvl w:val="0"/>
          <w:numId w:val="0"/>
        </w:numPr>
        <w:tabs>
          <w:tab w:val="left" w:pos="1508"/>
        </w:tabs>
        <w:spacing w:before="0" w:after="0" w:line="259" w:lineRule="auto"/>
        <w:ind w:left="778" w:leftChars="0" w:right="951" w:rightChars="0"/>
        <w:jc w:val="both"/>
        <w:rPr>
          <w:color w:val="auto"/>
          <w:sz w:val="24"/>
          <w:highlight w:val="none"/>
        </w:rPr>
      </w:pPr>
      <w:r>
        <w:rPr>
          <w:rFonts w:hint="eastAsia"/>
          <w:color w:val="auto"/>
          <w:spacing w:val="3"/>
          <w:sz w:val="24"/>
          <w:highlight w:val="none"/>
          <w:lang w:val="en-US" w:eastAsia="zh-CN"/>
        </w:rPr>
        <w:t xml:space="preserve">14.2  </w:t>
      </w:r>
      <w:r>
        <w:rPr>
          <w:color w:val="auto"/>
          <w:spacing w:val="3"/>
          <w:sz w:val="24"/>
          <w:highlight w:val="none"/>
        </w:rPr>
        <w:t>供应商对响应文件修改的书面材料或撤销通知应按询价通知书要求进行密</w:t>
      </w:r>
      <w:r>
        <w:rPr>
          <w:color w:val="auto"/>
          <w:spacing w:val="-9"/>
          <w:sz w:val="24"/>
          <w:highlight w:val="none"/>
        </w:rPr>
        <w:t>封、标注和递交，并注明“修改响应文件”或“撤销报价”字样，修改或撤销的内容须</w:t>
      </w:r>
      <w:r>
        <w:rPr>
          <w:color w:val="auto"/>
          <w:sz w:val="24"/>
          <w:highlight w:val="none"/>
        </w:rPr>
        <w:t>按询价通知书的要求签署、盖章，并作为响应文件的组成部分。</w:t>
      </w:r>
    </w:p>
    <w:p>
      <w:pPr>
        <w:pStyle w:val="21"/>
        <w:numPr>
          <w:ilvl w:val="0"/>
          <w:numId w:val="0"/>
        </w:numPr>
        <w:tabs>
          <w:tab w:val="left" w:pos="1499"/>
        </w:tabs>
        <w:spacing w:before="0" w:after="0" w:line="240" w:lineRule="auto"/>
        <w:ind w:left="777" w:leftChars="0" w:right="0" w:rightChars="0"/>
        <w:jc w:val="both"/>
        <w:rPr>
          <w:color w:val="auto"/>
          <w:sz w:val="24"/>
          <w:highlight w:val="none"/>
        </w:rPr>
      </w:pPr>
      <w:r>
        <w:rPr>
          <w:rFonts w:hint="eastAsia"/>
          <w:color w:val="auto"/>
          <w:spacing w:val="-2"/>
          <w:sz w:val="24"/>
          <w:highlight w:val="none"/>
          <w:lang w:val="en-US" w:eastAsia="zh-CN"/>
        </w:rPr>
        <w:t xml:space="preserve">14.3  </w:t>
      </w:r>
      <w:r>
        <w:rPr>
          <w:color w:val="auto"/>
          <w:spacing w:val="-2"/>
          <w:sz w:val="24"/>
          <w:highlight w:val="none"/>
        </w:rPr>
        <w:t>对响应文件修改的书面材料应于报价截止日前送达采购方，报价截止时间以</w:t>
      </w:r>
    </w:p>
    <w:p>
      <w:pPr>
        <w:pStyle w:val="9"/>
        <w:spacing w:before="15"/>
        <w:ind w:left="298"/>
        <w:rPr>
          <w:color w:val="auto"/>
          <w:highlight w:val="none"/>
        </w:rPr>
      </w:pPr>
      <w:r>
        <w:rPr>
          <w:color w:val="auto"/>
          <w:highlight w:val="none"/>
        </w:rPr>
        <w:t>后不得修改响应文件。</w:t>
      </w:r>
    </w:p>
    <w:p>
      <w:pPr>
        <w:pStyle w:val="9"/>
        <w:rPr>
          <w:color w:val="auto"/>
          <w:highlight w:val="none"/>
        </w:rPr>
      </w:pPr>
    </w:p>
    <w:p>
      <w:pPr>
        <w:pStyle w:val="9"/>
        <w:rPr>
          <w:color w:val="auto"/>
          <w:highlight w:val="none"/>
        </w:rPr>
      </w:pPr>
    </w:p>
    <w:p>
      <w:pPr>
        <w:pStyle w:val="9"/>
        <w:spacing w:before="6"/>
        <w:rPr>
          <w:color w:val="auto"/>
          <w:sz w:val="19"/>
          <w:highlight w:val="none"/>
        </w:rPr>
      </w:pPr>
    </w:p>
    <w:p>
      <w:pPr>
        <w:pStyle w:val="4"/>
        <w:spacing w:before="1"/>
        <w:outlineLvl w:val="1"/>
        <w:rPr>
          <w:color w:val="auto"/>
          <w:highlight w:val="none"/>
        </w:rPr>
      </w:pPr>
      <w:bookmarkStart w:id="15" w:name="_Toc19517"/>
      <w:r>
        <w:rPr>
          <w:color w:val="auto"/>
          <w:highlight w:val="none"/>
        </w:rPr>
        <w:t>第四章</w:t>
      </w:r>
      <w:r>
        <w:rPr>
          <w:rFonts w:hint="eastAsia" w:eastAsia="宋体"/>
          <w:color w:val="auto"/>
          <w:highlight w:val="none"/>
          <w:lang w:eastAsia="zh-CN"/>
        </w:rPr>
        <w:t>、</w:t>
      </w:r>
      <w:r>
        <w:rPr>
          <w:color w:val="auto"/>
          <w:highlight w:val="none"/>
        </w:rPr>
        <w:t>询价</w:t>
      </w:r>
      <w:bookmarkEnd w:id="15"/>
    </w:p>
    <w:p>
      <w:pPr>
        <w:pStyle w:val="8"/>
        <w:spacing w:before="156" w:line="427" w:lineRule="exact"/>
        <w:rPr>
          <w:color w:val="auto"/>
          <w:highlight w:val="none"/>
        </w:rPr>
      </w:pPr>
      <w:r>
        <w:rPr>
          <w:color w:val="auto"/>
          <w:highlight w:val="none"/>
        </w:rPr>
        <w:t>15</w:t>
      </w:r>
      <w:r>
        <w:rPr>
          <w:rFonts w:hint="eastAsia" w:eastAsia="宋体"/>
          <w:color w:val="auto"/>
          <w:highlight w:val="none"/>
          <w:lang w:eastAsia="zh-CN"/>
        </w:rPr>
        <w:t>、</w:t>
      </w:r>
      <w:r>
        <w:rPr>
          <w:color w:val="auto"/>
          <w:highlight w:val="none"/>
        </w:rPr>
        <w:t>询价依据</w:t>
      </w:r>
    </w:p>
    <w:p>
      <w:pPr>
        <w:pStyle w:val="9"/>
        <w:tabs>
          <w:tab w:val="left" w:pos="1618"/>
        </w:tabs>
        <w:spacing w:line="267" w:lineRule="exact"/>
        <w:ind w:left="778"/>
        <w:rPr>
          <w:color w:val="auto"/>
          <w:highlight w:val="none"/>
        </w:rPr>
      </w:pPr>
      <w:r>
        <w:rPr>
          <w:color w:val="auto"/>
          <w:highlight w:val="none"/>
        </w:rPr>
        <w:t>15.1</w:t>
      </w:r>
      <w:r>
        <w:rPr>
          <w:color w:val="auto"/>
          <w:highlight w:val="none"/>
        </w:rPr>
        <w:tab/>
      </w:r>
      <w:r>
        <w:rPr>
          <w:color w:val="auto"/>
          <w:highlight w:val="none"/>
        </w:rPr>
        <w:t>询价的依据为采购方的询价通知书和供应商的响应文件。</w:t>
      </w:r>
    </w:p>
    <w:p>
      <w:pPr>
        <w:pStyle w:val="8"/>
        <w:spacing w:line="399" w:lineRule="exact"/>
        <w:rPr>
          <w:color w:val="auto"/>
          <w:highlight w:val="none"/>
        </w:rPr>
      </w:pPr>
      <w:r>
        <w:rPr>
          <w:color w:val="auto"/>
          <w:highlight w:val="none"/>
        </w:rPr>
        <w:t>16</w:t>
      </w:r>
      <w:r>
        <w:rPr>
          <w:rFonts w:hint="eastAsia" w:eastAsia="宋体"/>
          <w:color w:val="auto"/>
          <w:highlight w:val="none"/>
          <w:lang w:eastAsia="zh-CN"/>
        </w:rPr>
        <w:t>、</w:t>
      </w:r>
      <w:r>
        <w:rPr>
          <w:color w:val="auto"/>
          <w:highlight w:val="none"/>
        </w:rPr>
        <w:t>询价</w:t>
      </w:r>
    </w:p>
    <w:p>
      <w:pPr>
        <w:pStyle w:val="21"/>
        <w:numPr>
          <w:ilvl w:val="1"/>
          <w:numId w:val="12"/>
        </w:numPr>
        <w:tabs>
          <w:tab w:val="left" w:pos="1499"/>
        </w:tabs>
        <w:spacing w:before="0" w:after="0" w:line="292" w:lineRule="exact"/>
        <w:ind w:left="1498" w:right="0" w:hanging="721"/>
        <w:jc w:val="both"/>
        <w:rPr>
          <w:color w:val="auto"/>
          <w:sz w:val="24"/>
          <w:highlight w:val="none"/>
        </w:rPr>
      </w:pPr>
      <w:r>
        <w:rPr>
          <w:color w:val="auto"/>
          <w:sz w:val="24"/>
          <w:highlight w:val="none"/>
        </w:rPr>
        <w:t>询价小组</w:t>
      </w:r>
    </w:p>
    <w:p>
      <w:pPr>
        <w:pStyle w:val="21"/>
        <w:numPr>
          <w:ilvl w:val="2"/>
          <w:numId w:val="12"/>
        </w:numPr>
        <w:tabs>
          <w:tab w:val="left" w:pos="1739"/>
        </w:tabs>
        <w:spacing w:before="26" w:after="0" w:line="259" w:lineRule="auto"/>
        <w:ind w:left="298" w:right="951" w:firstLine="480"/>
        <w:jc w:val="both"/>
        <w:rPr>
          <w:color w:val="auto"/>
          <w:sz w:val="24"/>
          <w:highlight w:val="none"/>
        </w:rPr>
      </w:pPr>
      <w:r>
        <w:rPr>
          <w:color w:val="auto"/>
          <w:spacing w:val="-6"/>
          <w:sz w:val="24"/>
          <w:highlight w:val="none"/>
        </w:rPr>
        <w:t>采购方将根据《中华人民共和国政府采购法》和《政府采购非采购采购方</w:t>
      </w:r>
      <w:r>
        <w:rPr>
          <w:color w:val="auto"/>
          <w:spacing w:val="-3"/>
          <w:sz w:val="24"/>
          <w:highlight w:val="none"/>
        </w:rPr>
        <w:t>式管理办法》(财政部令第</w:t>
      </w:r>
      <w:r>
        <w:rPr>
          <w:color w:val="auto"/>
          <w:sz w:val="24"/>
          <w:highlight w:val="none"/>
        </w:rPr>
        <w:t>74</w:t>
      </w:r>
      <w:r>
        <w:rPr>
          <w:color w:val="auto"/>
          <w:spacing w:val="-5"/>
          <w:sz w:val="24"/>
          <w:highlight w:val="none"/>
        </w:rPr>
        <w:t>号)的规定，依法组建本次采购的询价小组，负责本次采购</w:t>
      </w:r>
      <w:r>
        <w:rPr>
          <w:color w:val="auto"/>
          <w:sz w:val="24"/>
          <w:highlight w:val="none"/>
        </w:rPr>
        <w:t>询价的评定活动。</w:t>
      </w:r>
    </w:p>
    <w:p>
      <w:pPr>
        <w:pStyle w:val="21"/>
        <w:numPr>
          <w:ilvl w:val="2"/>
          <w:numId w:val="12"/>
        </w:numPr>
        <w:tabs>
          <w:tab w:val="left" w:pos="1619"/>
        </w:tabs>
        <w:spacing w:before="2" w:after="0" w:line="240" w:lineRule="auto"/>
        <w:ind w:left="1618" w:right="0" w:hanging="841"/>
        <w:jc w:val="both"/>
        <w:rPr>
          <w:color w:val="auto"/>
          <w:sz w:val="24"/>
          <w:highlight w:val="none"/>
        </w:rPr>
      </w:pPr>
      <w:r>
        <w:rPr>
          <w:color w:val="auto"/>
          <w:sz w:val="24"/>
          <w:highlight w:val="none"/>
        </w:rPr>
        <w:t>询价小组在采购活动过程中应当履行下列职责：</w:t>
      </w:r>
    </w:p>
    <w:p>
      <w:pPr>
        <w:pStyle w:val="9"/>
        <w:spacing w:before="26"/>
        <w:ind w:left="778"/>
        <w:rPr>
          <w:color w:val="auto"/>
          <w:highlight w:val="none"/>
        </w:rPr>
      </w:pPr>
      <w:r>
        <w:rPr>
          <w:color w:val="auto"/>
          <w:highlight w:val="none"/>
        </w:rPr>
        <w:t>（一）审查供应商的响应文件并作出评价；</w:t>
      </w:r>
    </w:p>
    <w:p>
      <w:pPr>
        <w:pStyle w:val="9"/>
        <w:spacing w:before="26"/>
        <w:ind w:left="778"/>
        <w:rPr>
          <w:color w:val="auto"/>
          <w:highlight w:val="none"/>
        </w:rPr>
      </w:pPr>
      <w:r>
        <w:rPr>
          <w:color w:val="auto"/>
          <w:highlight w:val="none"/>
        </w:rPr>
        <w:t>（二）要求供应商解释或者澄清其响应文件；</w:t>
      </w:r>
    </w:p>
    <w:p>
      <w:pPr>
        <w:pStyle w:val="9"/>
        <w:spacing w:before="26"/>
        <w:ind w:left="778"/>
        <w:rPr>
          <w:color w:val="auto"/>
          <w:highlight w:val="none"/>
        </w:rPr>
      </w:pPr>
      <w:r>
        <w:rPr>
          <w:color w:val="auto"/>
          <w:highlight w:val="none"/>
        </w:rPr>
        <w:t>（三）编写评审报告；</w:t>
      </w:r>
    </w:p>
    <w:p>
      <w:pPr>
        <w:pStyle w:val="9"/>
        <w:spacing w:before="160"/>
        <w:ind w:left="778"/>
        <w:rPr>
          <w:color w:val="auto"/>
          <w:highlight w:val="none"/>
        </w:rPr>
      </w:pPr>
      <w:r>
        <w:rPr>
          <w:color w:val="auto"/>
          <w:highlight w:val="none"/>
        </w:rPr>
        <w:t>（四）告知采购人、采购代理机构在评审过程中发现的供应商的违法违规行为。</w:t>
      </w:r>
    </w:p>
    <w:p>
      <w:pPr>
        <w:pStyle w:val="21"/>
        <w:numPr>
          <w:ilvl w:val="2"/>
          <w:numId w:val="12"/>
        </w:numPr>
        <w:tabs>
          <w:tab w:val="left" w:pos="1619"/>
        </w:tabs>
        <w:spacing w:before="24" w:after="0" w:line="240" w:lineRule="auto"/>
        <w:ind w:left="1618" w:right="0" w:hanging="841"/>
        <w:jc w:val="left"/>
        <w:rPr>
          <w:color w:val="auto"/>
          <w:sz w:val="24"/>
          <w:highlight w:val="none"/>
        </w:rPr>
      </w:pPr>
      <w:r>
        <w:rPr>
          <w:color w:val="auto"/>
          <w:sz w:val="24"/>
          <w:highlight w:val="none"/>
        </w:rPr>
        <w:t>询价小组成员应当履行下列义务：</w:t>
      </w:r>
    </w:p>
    <w:p>
      <w:pPr>
        <w:pStyle w:val="9"/>
        <w:spacing w:before="26"/>
        <w:ind w:left="778"/>
        <w:rPr>
          <w:color w:val="auto"/>
          <w:highlight w:val="none"/>
        </w:rPr>
      </w:pPr>
      <w:r>
        <w:rPr>
          <w:color w:val="auto"/>
          <w:highlight w:val="none"/>
        </w:rPr>
        <w:t>（一）遵纪守法，客观、公正、廉洁地履行职责；</w:t>
      </w:r>
    </w:p>
    <w:p>
      <w:pPr>
        <w:pStyle w:val="9"/>
        <w:spacing w:before="26"/>
        <w:ind w:left="778"/>
        <w:rPr>
          <w:color w:val="auto"/>
          <w:highlight w:val="none"/>
        </w:rPr>
      </w:pPr>
      <w:r>
        <w:rPr>
          <w:color w:val="auto"/>
          <w:highlight w:val="none"/>
        </w:rPr>
        <w:t>（二）根据询价通知书的规定独立进行评审，对个人的评审意见承担法律责任；</w:t>
      </w:r>
    </w:p>
    <w:p>
      <w:pPr>
        <w:pStyle w:val="9"/>
        <w:spacing w:before="26"/>
        <w:ind w:left="778"/>
        <w:rPr>
          <w:color w:val="auto"/>
          <w:highlight w:val="none"/>
        </w:rPr>
      </w:pPr>
      <w:r>
        <w:rPr>
          <w:color w:val="auto"/>
          <w:highlight w:val="none"/>
        </w:rPr>
        <w:t>（三）参与评审报告的起草；</w:t>
      </w:r>
    </w:p>
    <w:p>
      <w:pPr>
        <w:pStyle w:val="9"/>
        <w:spacing w:before="24"/>
        <w:ind w:left="778"/>
        <w:rPr>
          <w:color w:val="auto"/>
          <w:highlight w:val="none"/>
        </w:rPr>
      </w:pPr>
      <w:r>
        <w:rPr>
          <w:color w:val="auto"/>
          <w:highlight w:val="none"/>
        </w:rPr>
        <w:t>（四）配合采购人、采购代理机构答复供应商提出的质疑；</w:t>
      </w:r>
    </w:p>
    <w:p>
      <w:pPr>
        <w:pStyle w:val="9"/>
        <w:spacing w:before="26"/>
        <w:ind w:left="778"/>
        <w:rPr>
          <w:color w:val="auto"/>
          <w:sz w:val="28"/>
          <w:highlight w:val="none"/>
        </w:rPr>
      </w:pPr>
      <w:r>
        <w:rPr>
          <w:color w:val="auto"/>
          <w:highlight w:val="none"/>
        </w:rPr>
        <w:t>（五）配合财政部门的投诉处理和监督检查工作。</w:t>
      </w:r>
    </w:p>
    <w:p>
      <w:pPr>
        <w:pStyle w:val="21"/>
        <w:numPr>
          <w:ilvl w:val="2"/>
          <w:numId w:val="12"/>
        </w:numPr>
        <w:tabs>
          <w:tab w:val="left" w:pos="1731"/>
          <w:tab w:val="left" w:pos="1732"/>
        </w:tabs>
        <w:spacing w:before="1" w:after="0" w:line="280" w:lineRule="exact"/>
        <w:ind w:left="1731" w:right="0" w:hanging="961"/>
        <w:jc w:val="left"/>
        <w:rPr>
          <w:color w:val="auto"/>
          <w:sz w:val="24"/>
          <w:highlight w:val="none"/>
        </w:rPr>
      </w:pPr>
      <w:r>
        <w:rPr>
          <w:color w:val="auto"/>
          <w:sz w:val="24"/>
          <w:highlight w:val="none"/>
        </w:rPr>
        <w:t>询价小组成员遵循法定的回避规定。</w:t>
      </w:r>
    </w:p>
    <w:p>
      <w:pPr>
        <w:pStyle w:val="8"/>
        <w:numPr>
          <w:ilvl w:val="0"/>
          <w:numId w:val="0"/>
        </w:numPr>
        <w:tabs>
          <w:tab w:val="left" w:pos="1146"/>
        </w:tabs>
        <w:spacing w:before="0" w:after="0" w:line="399" w:lineRule="exact"/>
        <w:ind w:left="779" w:leftChars="0" w:right="0" w:rightChars="0"/>
        <w:jc w:val="left"/>
        <w:rPr>
          <w:color w:val="auto"/>
          <w:highlight w:val="none"/>
        </w:rPr>
      </w:pPr>
      <w:r>
        <w:rPr>
          <w:rFonts w:hint="eastAsia" w:eastAsia="宋体"/>
          <w:color w:val="auto"/>
          <w:highlight w:val="none"/>
          <w:lang w:val="en-US" w:eastAsia="zh-CN"/>
        </w:rPr>
        <w:t>17、</w:t>
      </w:r>
      <w:r>
        <w:rPr>
          <w:color w:val="auto"/>
          <w:highlight w:val="none"/>
        </w:rPr>
        <w:t>询价和评审过程的保密性</w:t>
      </w:r>
    </w:p>
    <w:p>
      <w:pPr>
        <w:pStyle w:val="21"/>
        <w:numPr>
          <w:ilvl w:val="1"/>
          <w:numId w:val="13"/>
        </w:numPr>
        <w:tabs>
          <w:tab w:val="left" w:pos="1498"/>
          <w:tab w:val="left" w:pos="1499"/>
        </w:tabs>
        <w:spacing w:before="0" w:after="0" w:line="293" w:lineRule="exact"/>
        <w:ind w:left="1498" w:right="0" w:hanging="721"/>
        <w:jc w:val="left"/>
        <w:rPr>
          <w:color w:val="auto"/>
          <w:sz w:val="24"/>
          <w:highlight w:val="none"/>
        </w:rPr>
      </w:pPr>
      <w:r>
        <w:rPr>
          <w:color w:val="auto"/>
          <w:spacing w:val="-4"/>
          <w:sz w:val="24"/>
          <w:highlight w:val="none"/>
        </w:rPr>
        <w:t>所有与本次询价采购</w:t>
      </w:r>
      <w:r>
        <w:rPr>
          <w:rFonts w:hint="eastAsia"/>
          <w:color w:val="auto"/>
          <w:spacing w:val="-4"/>
          <w:sz w:val="24"/>
          <w:highlight w:val="none"/>
          <w:lang w:eastAsia="zh-CN"/>
        </w:rPr>
        <w:t>有关</w:t>
      </w:r>
      <w:r>
        <w:rPr>
          <w:color w:val="auto"/>
          <w:spacing w:val="-4"/>
          <w:sz w:val="24"/>
          <w:highlight w:val="none"/>
        </w:rPr>
        <w:t>的人员，均不得向供应商及与询价项目无关的其他</w:t>
      </w:r>
    </w:p>
    <w:p>
      <w:pPr>
        <w:pStyle w:val="9"/>
        <w:spacing w:before="26"/>
        <w:ind w:left="298"/>
        <w:rPr>
          <w:color w:val="auto"/>
          <w:highlight w:val="none"/>
        </w:rPr>
      </w:pPr>
      <w:r>
        <w:rPr>
          <w:color w:val="auto"/>
          <w:highlight w:val="none"/>
        </w:rPr>
        <w:t>人员，透露与询价</w:t>
      </w:r>
      <w:r>
        <w:rPr>
          <w:rFonts w:hint="eastAsia"/>
          <w:color w:val="auto"/>
          <w:highlight w:val="none"/>
          <w:lang w:eastAsia="zh-CN"/>
        </w:rPr>
        <w:t>有关</w:t>
      </w:r>
      <w:r>
        <w:rPr>
          <w:color w:val="auto"/>
          <w:highlight w:val="none"/>
        </w:rPr>
        <w:t>的资料以及授予合同的意见等。</w:t>
      </w:r>
    </w:p>
    <w:p>
      <w:pPr>
        <w:pStyle w:val="21"/>
        <w:numPr>
          <w:ilvl w:val="1"/>
          <w:numId w:val="13"/>
        </w:numPr>
        <w:tabs>
          <w:tab w:val="left" w:pos="1594"/>
          <w:tab w:val="left" w:pos="1595"/>
        </w:tabs>
        <w:spacing w:before="26" w:after="0" w:line="240" w:lineRule="auto"/>
        <w:ind w:left="1594" w:right="0" w:hanging="721"/>
        <w:jc w:val="left"/>
        <w:rPr>
          <w:color w:val="auto"/>
          <w:sz w:val="24"/>
          <w:highlight w:val="none"/>
        </w:rPr>
      </w:pPr>
      <w:r>
        <w:rPr>
          <w:color w:val="auto"/>
          <w:sz w:val="24"/>
          <w:highlight w:val="none"/>
        </w:rPr>
        <w:t>在询价过程中，供应商试图在响应文件审查、澄清、比较及授予合同方面</w:t>
      </w:r>
    </w:p>
    <w:p>
      <w:pPr>
        <w:pStyle w:val="9"/>
        <w:spacing w:before="24" w:line="281" w:lineRule="exact"/>
        <w:ind w:left="298"/>
        <w:rPr>
          <w:color w:val="auto"/>
          <w:highlight w:val="none"/>
        </w:rPr>
      </w:pPr>
      <w:r>
        <w:rPr>
          <w:color w:val="auto"/>
          <w:highlight w:val="none"/>
        </w:rPr>
        <w:t>采购人员施加影响的任何行为都可能导致其报价被拒绝。</w:t>
      </w:r>
    </w:p>
    <w:p>
      <w:pPr>
        <w:pStyle w:val="8"/>
        <w:rPr>
          <w:color w:val="auto"/>
          <w:highlight w:val="none"/>
        </w:rPr>
      </w:pPr>
      <w:r>
        <w:rPr>
          <w:color w:val="auto"/>
          <w:highlight w:val="none"/>
        </w:rPr>
        <w:t>18</w:t>
      </w:r>
      <w:r>
        <w:rPr>
          <w:rFonts w:hint="eastAsia" w:eastAsia="宋体"/>
          <w:color w:val="auto"/>
          <w:highlight w:val="none"/>
          <w:lang w:eastAsia="zh-CN"/>
        </w:rPr>
        <w:t>、</w:t>
      </w:r>
      <w:r>
        <w:rPr>
          <w:color w:val="auto"/>
          <w:highlight w:val="none"/>
        </w:rPr>
        <w:t>询价程序、报价确认和澄清及成交原则</w:t>
      </w:r>
    </w:p>
    <w:p>
      <w:pPr>
        <w:pStyle w:val="21"/>
        <w:numPr>
          <w:ilvl w:val="1"/>
          <w:numId w:val="14"/>
        </w:numPr>
        <w:tabs>
          <w:tab w:val="left" w:pos="1498"/>
          <w:tab w:val="left" w:pos="1499"/>
        </w:tabs>
        <w:spacing w:before="0" w:after="0" w:line="293" w:lineRule="exact"/>
        <w:ind w:left="1498" w:right="0" w:hanging="721"/>
        <w:jc w:val="left"/>
        <w:rPr>
          <w:color w:val="auto"/>
          <w:sz w:val="24"/>
          <w:highlight w:val="none"/>
        </w:rPr>
      </w:pPr>
      <w:r>
        <w:rPr>
          <w:color w:val="auto"/>
          <w:sz w:val="24"/>
          <w:highlight w:val="none"/>
        </w:rPr>
        <w:t>询价程序：</w:t>
      </w:r>
    </w:p>
    <w:p>
      <w:pPr>
        <w:pStyle w:val="9"/>
        <w:spacing w:before="26"/>
        <w:ind w:left="778"/>
        <w:rPr>
          <w:color w:val="auto"/>
          <w:highlight w:val="none"/>
        </w:rPr>
      </w:pPr>
      <w:r>
        <w:rPr>
          <w:color w:val="auto"/>
          <w:highlight w:val="none"/>
        </w:rPr>
        <w:t>询价小组根据询价通知书的规定，集体与合格的供应商分别进行询价。</w:t>
      </w:r>
    </w:p>
    <w:p>
      <w:pPr>
        <w:pStyle w:val="21"/>
        <w:numPr>
          <w:ilvl w:val="0"/>
          <w:numId w:val="15"/>
        </w:numPr>
        <w:tabs>
          <w:tab w:val="left" w:pos="1140"/>
        </w:tabs>
        <w:spacing w:before="23" w:after="0" w:line="240" w:lineRule="auto"/>
        <w:ind w:left="1139" w:right="0" w:hanging="362"/>
        <w:jc w:val="left"/>
        <w:rPr>
          <w:color w:val="auto"/>
          <w:sz w:val="24"/>
          <w:highlight w:val="none"/>
        </w:rPr>
      </w:pPr>
      <w:r>
        <w:rPr>
          <w:color w:val="auto"/>
          <w:sz w:val="24"/>
          <w:highlight w:val="none"/>
        </w:rPr>
        <w:t>在询价过程中，根据供应商的供应商案，进行技术和商务询价。</w:t>
      </w:r>
    </w:p>
    <w:p>
      <w:pPr>
        <w:pStyle w:val="21"/>
        <w:numPr>
          <w:ilvl w:val="0"/>
          <w:numId w:val="15"/>
        </w:numPr>
        <w:tabs>
          <w:tab w:val="left" w:pos="1141"/>
        </w:tabs>
        <w:spacing w:before="26" w:after="0" w:line="240" w:lineRule="auto"/>
        <w:ind w:left="1140" w:right="0" w:hanging="363"/>
        <w:jc w:val="left"/>
        <w:rPr>
          <w:color w:val="auto"/>
          <w:sz w:val="24"/>
          <w:highlight w:val="none"/>
        </w:rPr>
      </w:pPr>
      <w:r>
        <w:rPr>
          <w:color w:val="auto"/>
          <w:sz w:val="24"/>
          <w:highlight w:val="none"/>
        </w:rPr>
        <w:t>询价小组根据符合采购需求、质量和服务相等且报价最低的原则确定成交供应</w:t>
      </w:r>
    </w:p>
    <w:p>
      <w:pPr>
        <w:pStyle w:val="9"/>
        <w:spacing w:before="27"/>
        <w:ind w:left="298"/>
        <w:rPr>
          <w:color w:val="auto"/>
          <w:highlight w:val="none"/>
        </w:rPr>
      </w:pPr>
      <w:r>
        <w:rPr>
          <w:color w:val="auto"/>
          <w:highlight w:val="none"/>
        </w:rPr>
        <w:t>商。</w:t>
      </w:r>
    </w:p>
    <w:p>
      <w:pPr>
        <w:pStyle w:val="21"/>
        <w:numPr>
          <w:ilvl w:val="1"/>
          <w:numId w:val="14"/>
        </w:numPr>
        <w:tabs>
          <w:tab w:val="left" w:pos="1499"/>
        </w:tabs>
        <w:spacing w:before="26" w:after="0" w:line="259" w:lineRule="auto"/>
        <w:ind w:left="298" w:right="947" w:firstLine="480"/>
        <w:jc w:val="both"/>
        <w:rPr>
          <w:color w:val="auto"/>
          <w:sz w:val="24"/>
          <w:highlight w:val="none"/>
        </w:rPr>
      </w:pPr>
      <w:r>
        <w:rPr>
          <w:color w:val="auto"/>
          <w:spacing w:val="-5"/>
          <w:sz w:val="24"/>
          <w:highlight w:val="none"/>
        </w:rPr>
        <w:t>对报价是否均超过采购预算的审查和确认：根据《中华人民共和国政府采购</w:t>
      </w:r>
      <w:r>
        <w:rPr>
          <w:color w:val="auto"/>
          <w:spacing w:val="-9"/>
          <w:sz w:val="24"/>
          <w:highlight w:val="none"/>
        </w:rPr>
        <w:t>法》的规定，所有供应商的报价均超过采购预算，采购人不能支付时，应予废标。出现</w:t>
      </w:r>
      <w:r>
        <w:rPr>
          <w:color w:val="auto"/>
          <w:sz w:val="24"/>
          <w:highlight w:val="none"/>
        </w:rPr>
        <w:t>此种情况时，询价小组有权决定拒绝所有响应文件。</w:t>
      </w:r>
    </w:p>
    <w:p>
      <w:pPr>
        <w:pStyle w:val="21"/>
        <w:numPr>
          <w:ilvl w:val="1"/>
          <w:numId w:val="14"/>
        </w:numPr>
        <w:tabs>
          <w:tab w:val="left" w:pos="1499"/>
        </w:tabs>
        <w:spacing w:before="2" w:after="0" w:line="259" w:lineRule="auto"/>
        <w:ind w:left="298" w:right="899" w:firstLine="480"/>
        <w:jc w:val="both"/>
        <w:rPr>
          <w:color w:val="auto"/>
          <w:sz w:val="24"/>
          <w:highlight w:val="none"/>
        </w:rPr>
      </w:pPr>
      <w:r>
        <w:rPr>
          <w:color w:val="auto"/>
          <w:spacing w:val="-1"/>
          <w:sz w:val="24"/>
          <w:highlight w:val="none"/>
        </w:rPr>
        <w:t xml:space="preserve">询价小组对响应文件进行符合性审查时，对属于下列情况之一的响应文件， </w:t>
      </w:r>
      <w:r>
        <w:rPr>
          <w:color w:val="auto"/>
          <w:sz w:val="24"/>
          <w:highlight w:val="none"/>
        </w:rPr>
        <w:t>将作无效报价处理：</w:t>
      </w:r>
    </w:p>
    <w:p>
      <w:pPr>
        <w:pStyle w:val="8"/>
        <w:numPr>
          <w:ilvl w:val="0"/>
          <w:numId w:val="16"/>
        </w:numPr>
        <w:tabs>
          <w:tab w:val="left" w:pos="1144"/>
        </w:tabs>
        <w:spacing w:before="0" w:after="0" w:line="309" w:lineRule="exact"/>
        <w:ind w:left="1143" w:right="0" w:hanging="606"/>
        <w:jc w:val="left"/>
        <w:rPr>
          <w:rFonts w:hint="eastAsia" w:ascii="仿宋" w:eastAsia="仿宋"/>
          <w:color w:val="auto"/>
          <w:sz w:val="22"/>
          <w:highlight w:val="none"/>
        </w:rPr>
      </w:pPr>
      <w:r>
        <w:rPr>
          <w:color w:val="auto"/>
          <w:highlight w:val="none"/>
        </w:rPr>
        <w:t>响应文件未按规定由供应商法定代表人或其授权代理人签字的（需要加盖公章</w:t>
      </w:r>
    </w:p>
    <w:p>
      <w:pPr>
        <w:spacing w:before="0" w:line="334" w:lineRule="exact"/>
        <w:ind w:left="298" w:right="0" w:firstLine="0"/>
        <w:jc w:val="left"/>
        <w:rPr>
          <w:rFonts w:hint="eastAsia" w:ascii="Microsoft JhengHei" w:eastAsia="Microsoft JhengHei"/>
          <w:b/>
          <w:color w:val="auto"/>
          <w:sz w:val="24"/>
          <w:highlight w:val="none"/>
        </w:rPr>
      </w:pPr>
      <w:r>
        <w:rPr>
          <w:rFonts w:hint="eastAsia" w:ascii="Microsoft JhengHei" w:eastAsia="Microsoft JhengHei"/>
          <w:b/>
          <w:color w:val="auto"/>
          <w:sz w:val="24"/>
          <w:highlight w:val="none"/>
        </w:rPr>
        <w:t>时，供应商应按照询价小组的要求在规定时间内加盖公章</w:t>
      </w:r>
      <w:r>
        <w:rPr>
          <w:rFonts w:hint="eastAsia" w:ascii="Microsoft JhengHei" w:eastAsia="Microsoft JhengHei"/>
          <w:b/>
          <w:color w:val="auto"/>
          <w:spacing w:val="-118"/>
          <w:sz w:val="24"/>
          <w:highlight w:val="none"/>
        </w:rPr>
        <w:t>）</w:t>
      </w:r>
      <w:r>
        <w:rPr>
          <w:rFonts w:hint="eastAsia" w:ascii="Microsoft JhengHei" w:eastAsia="Microsoft JhengHei"/>
          <w:b/>
          <w:color w:val="auto"/>
          <w:sz w:val="24"/>
          <w:highlight w:val="none"/>
        </w:rPr>
        <w:t>；</w:t>
      </w:r>
    </w:p>
    <w:p>
      <w:pPr>
        <w:pStyle w:val="21"/>
        <w:numPr>
          <w:ilvl w:val="0"/>
          <w:numId w:val="16"/>
        </w:numPr>
        <w:tabs>
          <w:tab w:val="left" w:pos="1144"/>
        </w:tabs>
        <w:spacing w:before="0" w:after="0" w:line="334" w:lineRule="exact"/>
        <w:ind w:left="1143" w:right="0" w:hanging="606"/>
        <w:jc w:val="left"/>
        <w:rPr>
          <w:rFonts w:hint="eastAsia" w:ascii="Microsoft JhengHei" w:eastAsia="Microsoft JhengHei"/>
          <w:b/>
          <w:color w:val="auto"/>
          <w:sz w:val="22"/>
          <w:highlight w:val="none"/>
        </w:rPr>
      </w:pPr>
      <w:r>
        <w:rPr>
          <w:rFonts w:hint="eastAsia" w:ascii="Microsoft JhengHei" w:eastAsia="Microsoft JhengHei"/>
          <w:b/>
          <w:color w:val="auto"/>
          <w:sz w:val="24"/>
          <w:highlight w:val="none"/>
        </w:rPr>
        <w:t>响应文件载明的采购项目</w:t>
      </w:r>
      <w:r>
        <w:rPr>
          <w:rFonts w:hint="eastAsia" w:ascii="Microsoft JhengHei" w:eastAsia="宋体"/>
          <w:b/>
          <w:color w:val="auto"/>
          <w:sz w:val="24"/>
          <w:highlight w:val="none"/>
          <w:lang w:val="en-US" w:eastAsia="zh-CN"/>
        </w:rPr>
        <w:t>合同履行</w:t>
      </w:r>
      <w:r>
        <w:rPr>
          <w:rFonts w:hint="eastAsia" w:ascii="Microsoft JhengHei" w:eastAsia="Microsoft JhengHei"/>
          <w:b/>
          <w:color w:val="auto"/>
          <w:sz w:val="24"/>
          <w:highlight w:val="none"/>
        </w:rPr>
        <w:t>期限超过询价通知书规定期限的；</w:t>
      </w:r>
    </w:p>
    <w:p>
      <w:pPr>
        <w:pStyle w:val="21"/>
        <w:numPr>
          <w:ilvl w:val="0"/>
          <w:numId w:val="16"/>
        </w:numPr>
        <w:tabs>
          <w:tab w:val="left" w:pos="1146"/>
        </w:tabs>
        <w:spacing w:before="26" w:after="0" w:line="180" w:lineRule="auto"/>
        <w:ind w:left="298" w:right="951" w:firstLine="240"/>
        <w:jc w:val="left"/>
        <w:rPr>
          <w:rFonts w:hint="eastAsia" w:ascii="Microsoft JhengHei" w:eastAsia="Microsoft JhengHei"/>
          <w:b/>
          <w:color w:val="auto"/>
          <w:sz w:val="22"/>
          <w:highlight w:val="none"/>
        </w:rPr>
      </w:pPr>
      <w:r>
        <w:rPr>
          <w:rFonts w:hint="eastAsia" w:ascii="Microsoft JhengHei" w:eastAsia="Microsoft JhengHei"/>
          <w:b/>
          <w:color w:val="auto"/>
          <w:sz w:val="24"/>
          <w:highlight w:val="none"/>
        </w:rPr>
        <w:t>响应文件明显不符合询价通知书规定的技术规格、技术标准以及商务条款要求的；</w:t>
      </w:r>
    </w:p>
    <w:p>
      <w:pPr>
        <w:pStyle w:val="21"/>
        <w:numPr>
          <w:ilvl w:val="0"/>
          <w:numId w:val="16"/>
        </w:numPr>
        <w:tabs>
          <w:tab w:val="left" w:pos="1146"/>
        </w:tabs>
        <w:spacing w:before="0" w:after="0" w:line="182" w:lineRule="auto"/>
        <w:ind w:left="298" w:right="951" w:firstLine="240"/>
        <w:jc w:val="left"/>
        <w:rPr>
          <w:rFonts w:hint="eastAsia" w:ascii="Microsoft JhengHei" w:eastAsia="Microsoft JhengHei"/>
          <w:b/>
          <w:color w:val="auto"/>
          <w:sz w:val="22"/>
          <w:highlight w:val="none"/>
        </w:rPr>
      </w:pPr>
      <w:r>
        <w:rPr>
          <w:rFonts w:hint="eastAsia" w:ascii="Microsoft JhengHei" w:eastAsia="Microsoft JhengHei"/>
          <w:b/>
          <w:color w:val="auto"/>
          <w:sz w:val="24"/>
          <w:highlight w:val="none"/>
        </w:rPr>
        <w:t>响应文件载明的货物包装方式、检验标准和方法等明显不符合询价通知书要求的；</w:t>
      </w:r>
    </w:p>
    <w:p>
      <w:pPr>
        <w:pStyle w:val="21"/>
        <w:numPr>
          <w:ilvl w:val="0"/>
          <w:numId w:val="16"/>
        </w:numPr>
        <w:tabs>
          <w:tab w:val="left" w:pos="1144"/>
        </w:tabs>
        <w:spacing w:before="0" w:after="0" w:line="306" w:lineRule="exact"/>
        <w:ind w:left="1143" w:right="0" w:hanging="606"/>
        <w:jc w:val="left"/>
        <w:rPr>
          <w:rFonts w:hint="eastAsia" w:ascii="Microsoft JhengHei" w:eastAsia="Microsoft JhengHei"/>
          <w:b/>
          <w:color w:val="auto"/>
          <w:sz w:val="22"/>
          <w:highlight w:val="none"/>
        </w:rPr>
      </w:pPr>
      <w:r>
        <w:rPr>
          <w:rFonts w:hint="eastAsia" w:ascii="Microsoft JhengHei" w:eastAsia="Microsoft JhengHei"/>
          <w:b/>
          <w:color w:val="auto"/>
          <w:sz w:val="24"/>
          <w:highlight w:val="none"/>
        </w:rPr>
        <w:t>响应文件附有采购人和采购方不能接受的条件的；</w:t>
      </w:r>
    </w:p>
    <w:p>
      <w:pPr>
        <w:pStyle w:val="21"/>
        <w:numPr>
          <w:ilvl w:val="0"/>
          <w:numId w:val="16"/>
        </w:numPr>
        <w:tabs>
          <w:tab w:val="left" w:pos="1144"/>
        </w:tabs>
        <w:spacing w:before="0" w:after="0" w:line="372" w:lineRule="exact"/>
        <w:ind w:left="1143" w:right="0" w:hanging="606"/>
        <w:jc w:val="left"/>
        <w:rPr>
          <w:rFonts w:hint="eastAsia" w:ascii="Microsoft JhengHei" w:eastAsia="Microsoft JhengHei"/>
          <w:b/>
          <w:color w:val="auto"/>
          <w:sz w:val="22"/>
          <w:highlight w:val="none"/>
        </w:rPr>
      </w:pPr>
      <w:r>
        <w:rPr>
          <w:rFonts w:hint="eastAsia" w:ascii="Microsoft JhengHei" w:eastAsia="Microsoft JhengHei"/>
          <w:b/>
          <w:color w:val="auto"/>
          <w:sz w:val="24"/>
          <w:highlight w:val="none"/>
        </w:rPr>
        <w:t>不符合响应文件规定的其他实质性要求的。</w:t>
      </w:r>
    </w:p>
    <w:p>
      <w:pPr>
        <w:pStyle w:val="21"/>
        <w:numPr>
          <w:ilvl w:val="1"/>
          <w:numId w:val="14"/>
        </w:numPr>
        <w:tabs>
          <w:tab w:val="left" w:pos="1499"/>
        </w:tabs>
        <w:spacing w:before="0" w:after="0" w:line="259" w:lineRule="auto"/>
        <w:ind w:left="298" w:right="951" w:firstLine="480"/>
        <w:jc w:val="both"/>
        <w:rPr>
          <w:color w:val="auto"/>
          <w:sz w:val="24"/>
          <w:highlight w:val="none"/>
        </w:rPr>
      </w:pPr>
      <w:r>
        <w:rPr>
          <w:color w:val="auto"/>
          <w:spacing w:val="-8"/>
          <w:sz w:val="24"/>
          <w:highlight w:val="none"/>
        </w:rPr>
        <w:t>对报价的审查：询价小组将对确定为实质上响应询价通知书要求的响应文件</w:t>
      </w:r>
      <w:r>
        <w:rPr>
          <w:color w:val="auto"/>
          <w:sz w:val="24"/>
          <w:highlight w:val="none"/>
        </w:rPr>
        <w:t>进行审核，看其是否有计算和累加上的错误。</w:t>
      </w:r>
    </w:p>
    <w:p>
      <w:pPr>
        <w:pStyle w:val="9"/>
        <w:spacing w:line="259" w:lineRule="auto"/>
        <w:ind w:left="298" w:right="947" w:firstLine="480"/>
        <w:jc w:val="both"/>
        <w:rPr>
          <w:color w:val="auto"/>
          <w:highlight w:val="none"/>
        </w:rPr>
      </w:pPr>
      <w:r>
        <w:rPr>
          <w:color w:val="auto"/>
          <w:spacing w:val="-5"/>
          <w:highlight w:val="none"/>
        </w:rPr>
        <w:t>询价小组将按《政府采购货物和服务采购投标管理办法》(财政部令第</w:t>
      </w:r>
      <w:r>
        <w:rPr>
          <w:color w:val="auto"/>
          <w:highlight w:val="none"/>
        </w:rPr>
        <w:t>18</w:t>
      </w:r>
      <w:r>
        <w:rPr>
          <w:color w:val="auto"/>
          <w:spacing w:val="-4"/>
          <w:highlight w:val="none"/>
        </w:rPr>
        <w:t>号)第四十</w:t>
      </w:r>
      <w:r>
        <w:rPr>
          <w:color w:val="auto"/>
          <w:spacing w:val="-5"/>
          <w:highlight w:val="none"/>
        </w:rPr>
        <w:t>一条规定修正错误。调整后的价格为评标价，对供应商具有约束力。如果供应商不接受</w:t>
      </w:r>
      <w:r>
        <w:rPr>
          <w:color w:val="auto"/>
          <w:highlight w:val="none"/>
        </w:rPr>
        <w:t>修正后的价格，则其报价将被拒绝。</w:t>
      </w:r>
    </w:p>
    <w:p>
      <w:pPr>
        <w:pStyle w:val="21"/>
        <w:numPr>
          <w:ilvl w:val="1"/>
          <w:numId w:val="14"/>
        </w:numPr>
        <w:tabs>
          <w:tab w:val="left" w:pos="1624"/>
        </w:tabs>
        <w:spacing w:before="0" w:after="0" w:line="259" w:lineRule="auto"/>
        <w:ind w:left="298" w:right="945" w:firstLine="480"/>
        <w:jc w:val="both"/>
        <w:rPr>
          <w:color w:val="auto"/>
          <w:highlight w:val="none"/>
        </w:rPr>
      </w:pPr>
      <w:r>
        <w:rPr>
          <w:color w:val="auto"/>
          <w:sz w:val="24"/>
          <w:highlight w:val="none"/>
        </w:rPr>
        <w:t>澄清：询价小组对于响应文件中个别地方含义不明确、同类问题表述不一</w:t>
      </w:r>
      <w:r>
        <w:rPr>
          <w:color w:val="auto"/>
          <w:spacing w:val="-2"/>
          <w:sz w:val="24"/>
          <w:highlight w:val="none"/>
        </w:rPr>
        <w:t>致或者有明显文字和计算错误的内容，可以书面形式</w:t>
      </w:r>
      <w:r>
        <w:rPr>
          <w:color w:val="auto"/>
          <w:sz w:val="24"/>
          <w:highlight w:val="none"/>
        </w:rPr>
        <w:t>（由询价小组专家签字</w:t>
      </w:r>
      <w:r>
        <w:rPr>
          <w:color w:val="auto"/>
          <w:spacing w:val="-17"/>
          <w:sz w:val="24"/>
          <w:highlight w:val="none"/>
        </w:rPr>
        <w:t>）</w:t>
      </w:r>
      <w:r>
        <w:rPr>
          <w:color w:val="auto"/>
          <w:spacing w:val="-3"/>
          <w:sz w:val="24"/>
          <w:highlight w:val="none"/>
        </w:rPr>
        <w:t>要求供应</w:t>
      </w:r>
      <w:r>
        <w:rPr>
          <w:color w:val="auto"/>
          <w:spacing w:val="-2"/>
          <w:sz w:val="24"/>
          <w:highlight w:val="none"/>
        </w:rPr>
        <w:t>商在规定的时间内</w:t>
      </w:r>
      <w:r>
        <w:rPr>
          <w:color w:val="auto"/>
          <w:sz w:val="24"/>
          <w:highlight w:val="none"/>
        </w:rPr>
        <w:t>（评审结束前</w:t>
      </w:r>
      <w:r>
        <w:rPr>
          <w:color w:val="auto"/>
          <w:spacing w:val="-10"/>
          <w:sz w:val="24"/>
          <w:highlight w:val="none"/>
        </w:rPr>
        <w:t>）</w:t>
      </w:r>
      <w:r>
        <w:rPr>
          <w:color w:val="auto"/>
          <w:spacing w:val="-5"/>
          <w:sz w:val="24"/>
          <w:highlight w:val="none"/>
        </w:rPr>
        <w:t>作出必要的澄清、说明或者补正。供应商的澄清、说</w:t>
      </w:r>
      <w:r>
        <w:rPr>
          <w:color w:val="auto"/>
          <w:spacing w:val="-4"/>
          <w:highlight w:val="none"/>
        </w:rPr>
        <w:t>明或者补正应当采用书面形式，由其法定代表人或授权代理人签字，并不得超出响应文</w:t>
      </w:r>
      <w:r>
        <w:rPr>
          <w:color w:val="auto"/>
          <w:spacing w:val="-5"/>
          <w:highlight w:val="none"/>
        </w:rPr>
        <w:t>件的范围或者改变响应文件的实质性内容。供应商拒不进行澄清、说明、补正的，或者不能在规定时间内做出书面澄清、说明、补正的，询价小组将取消其继续参加询价的资</w:t>
      </w:r>
      <w:r>
        <w:rPr>
          <w:color w:val="auto"/>
          <w:highlight w:val="none"/>
        </w:rPr>
        <w:t>格。</w:t>
      </w:r>
    </w:p>
    <w:p>
      <w:pPr>
        <w:pStyle w:val="21"/>
        <w:numPr>
          <w:ilvl w:val="1"/>
          <w:numId w:val="14"/>
        </w:numPr>
        <w:tabs>
          <w:tab w:val="left" w:pos="1498"/>
          <w:tab w:val="left" w:pos="1499"/>
        </w:tabs>
        <w:spacing w:before="4" w:after="0" w:line="240" w:lineRule="auto"/>
        <w:ind w:left="1498" w:right="0" w:hanging="721"/>
        <w:jc w:val="left"/>
        <w:rPr>
          <w:color w:val="auto"/>
          <w:sz w:val="24"/>
          <w:highlight w:val="none"/>
        </w:rPr>
      </w:pPr>
      <w:r>
        <w:rPr>
          <w:color w:val="auto"/>
          <w:sz w:val="24"/>
          <w:highlight w:val="none"/>
        </w:rPr>
        <w:t>成交原则：本次询价实行最低评标价法。</w:t>
      </w:r>
    </w:p>
    <w:p>
      <w:pPr>
        <w:pStyle w:val="9"/>
        <w:spacing w:before="23"/>
        <w:ind w:left="778"/>
        <w:rPr>
          <w:color w:val="auto"/>
          <w:highlight w:val="none"/>
        </w:rPr>
      </w:pPr>
      <w:r>
        <w:rPr>
          <w:color w:val="auto"/>
          <w:highlight w:val="none"/>
        </w:rPr>
        <w:t>最低评标价法是在全部满足询价通知书实质性要求、符合采购需求、质量和服务相</w:t>
      </w:r>
    </w:p>
    <w:p>
      <w:pPr>
        <w:spacing w:before="72" w:line="194" w:lineRule="auto"/>
        <w:ind w:left="298" w:right="831" w:firstLine="0"/>
        <w:jc w:val="both"/>
        <w:rPr>
          <w:rFonts w:hint="eastAsia" w:ascii="Microsoft JhengHei" w:eastAsia="Microsoft JhengHei"/>
          <w:b/>
          <w:color w:val="auto"/>
          <w:sz w:val="24"/>
          <w:highlight w:val="none"/>
        </w:rPr>
      </w:pPr>
      <w:r>
        <w:rPr>
          <w:color w:val="auto"/>
          <w:spacing w:val="3"/>
          <w:sz w:val="24"/>
          <w:highlight w:val="none"/>
        </w:rPr>
        <w:t>等的前提下，以提出最低报价的供应商作为成交候选供应商或者成交供应商的评标方</w:t>
      </w:r>
      <w:r>
        <w:rPr>
          <w:color w:val="auto"/>
          <w:spacing w:val="-13"/>
          <w:sz w:val="24"/>
          <w:highlight w:val="none"/>
        </w:rPr>
        <w:t>法。</w:t>
      </w:r>
    </w:p>
    <w:p>
      <w:pPr>
        <w:pStyle w:val="21"/>
        <w:numPr>
          <w:ilvl w:val="1"/>
          <w:numId w:val="14"/>
        </w:numPr>
        <w:tabs>
          <w:tab w:val="left" w:pos="1498"/>
          <w:tab w:val="left" w:pos="1499"/>
        </w:tabs>
        <w:spacing w:before="0" w:after="0" w:line="296" w:lineRule="exact"/>
        <w:ind w:left="1498" w:right="0" w:hanging="721"/>
        <w:jc w:val="left"/>
        <w:rPr>
          <w:color w:val="auto"/>
          <w:sz w:val="24"/>
          <w:highlight w:val="none"/>
        </w:rPr>
      </w:pPr>
      <w:r>
        <w:rPr>
          <w:color w:val="auto"/>
          <w:spacing w:val="-3"/>
          <w:sz w:val="24"/>
          <w:highlight w:val="none"/>
        </w:rPr>
        <w:t>询价小组成员按照询价通知书的规定，根据各供应商的商务和技术响应情况</w:t>
      </w:r>
    </w:p>
    <w:p>
      <w:pPr>
        <w:pStyle w:val="9"/>
        <w:spacing w:before="26"/>
        <w:ind w:left="298"/>
        <w:rPr>
          <w:color w:val="auto"/>
          <w:highlight w:val="none"/>
        </w:rPr>
      </w:pPr>
      <w:r>
        <w:rPr>
          <w:color w:val="auto"/>
          <w:highlight w:val="none"/>
        </w:rPr>
        <w:t>等进行比较和评标。</w:t>
      </w:r>
    </w:p>
    <w:p>
      <w:pPr>
        <w:pStyle w:val="4"/>
        <w:tabs>
          <w:tab w:val="left" w:pos="1927"/>
        </w:tabs>
        <w:spacing w:before="201"/>
        <w:outlineLvl w:val="1"/>
        <w:rPr>
          <w:color w:val="auto"/>
          <w:highlight w:val="none"/>
        </w:rPr>
      </w:pPr>
      <w:bookmarkStart w:id="16" w:name="_Toc5502"/>
      <w:r>
        <w:rPr>
          <w:color w:val="auto"/>
          <w:highlight w:val="none"/>
        </w:rPr>
        <w:t>第五章</w:t>
      </w:r>
      <w:r>
        <w:rPr>
          <w:rFonts w:hint="eastAsia" w:eastAsia="宋体"/>
          <w:color w:val="auto"/>
          <w:highlight w:val="none"/>
          <w:lang w:eastAsia="zh-CN"/>
        </w:rPr>
        <w:t>、</w:t>
      </w:r>
      <w:r>
        <w:rPr>
          <w:color w:val="auto"/>
          <w:highlight w:val="none"/>
        </w:rPr>
        <w:t>成</w:t>
      </w:r>
      <w:r>
        <w:rPr>
          <w:color w:val="auto"/>
          <w:highlight w:val="none"/>
        </w:rPr>
        <w:tab/>
      </w:r>
      <w:r>
        <w:rPr>
          <w:color w:val="auto"/>
          <w:highlight w:val="none"/>
        </w:rPr>
        <w:t>交</w:t>
      </w:r>
      <w:bookmarkEnd w:id="16"/>
    </w:p>
    <w:p>
      <w:pPr>
        <w:pStyle w:val="8"/>
        <w:spacing w:before="156" w:line="426" w:lineRule="exact"/>
        <w:rPr>
          <w:color w:val="auto"/>
          <w:highlight w:val="none"/>
        </w:rPr>
      </w:pPr>
      <w:r>
        <w:rPr>
          <w:color w:val="auto"/>
          <w:w w:val="95"/>
          <w:highlight w:val="none"/>
        </w:rPr>
        <w:t>23</w:t>
      </w:r>
      <w:r>
        <w:rPr>
          <w:rFonts w:hint="eastAsia" w:eastAsia="宋体"/>
          <w:color w:val="auto"/>
          <w:w w:val="95"/>
          <w:highlight w:val="none"/>
          <w:lang w:eastAsia="zh-CN"/>
        </w:rPr>
        <w:t>、</w:t>
      </w:r>
      <w:r>
        <w:rPr>
          <w:color w:val="auto"/>
          <w:w w:val="95"/>
          <w:highlight w:val="none"/>
        </w:rPr>
        <w:t>成交标准</w:t>
      </w:r>
    </w:p>
    <w:p>
      <w:pPr>
        <w:pStyle w:val="21"/>
        <w:numPr>
          <w:ilvl w:val="0"/>
          <w:numId w:val="0"/>
        </w:numPr>
        <w:tabs>
          <w:tab w:val="left" w:pos="1491"/>
          <w:tab w:val="left" w:pos="1492"/>
        </w:tabs>
        <w:spacing w:before="0" w:after="0" w:line="292" w:lineRule="exact"/>
        <w:ind w:left="770" w:leftChars="0" w:right="0" w:rightChars="0"/>
        <w:jc w:val="left"/>
        <w:rPr>
          <w:color w:val="auto"/>
          <w:sz w:val="24"/>
          <w:highlight w:val="none"/>
        </w:rPr>
      </w:pPr>
      <w:r>
        <w:rPr>
          <w:rFonts w:hint="eastAsia"/>
          <w:color w:val="auto"/>
          <w:spacing w:val="-2"/>
          <w:sz w:val="24"/>
          <w:highlight w:val="none"/>
          <w:lang w:val="en-US" w:eastAsia="zh-CN"/>
        </w:rPr>
        <w:t xml:space="preserve">23.1  </w:t>
      </w:r>
      <w:r>
        <w:rPr>
          <w:color w:val="auto"/>
          <w:spacing w:val="-2"/>
          <w:sz w:val="24"/>
          <w:highlight w:val="none"/>
        </w:rPr>
        <w:t>合同将授予被确定为实质上响应询价通知书要求，经评定认为具备履行合同</w:t>
      </w:r>
    </w:p>
    <w:p>
      <w:pPr>
        <w:pStyle w:val="9"/>
        <w:spacing w:before="26" w:line="259" w:lineRule="auto"/>
        <w:ind w:left="298" w:right="951"/>
        <w:rPr>
          <w:color w:val="auto"/>
          <w:highlight w:val="none"/>
        </w:rPr>
      </w:pPr>
      <w:r>
        <w:rPr>
          <w:color w:val="auto"/>
          <w:spacing w:val="-8"/>
          <w:highlight w:val="none"/>
        </w:rPr>
        <w:t>义务能力、报价合理、技术和商务条件都符合询价通知书要求的、对买方最为有利的供</w:t>
      </w:r>
      <w:r>
        <w:rPr>
          <w:color w:val="auto"/>
          <w:highlight w:val="none"/>
        </w:rPr>
        <w:t>应商。</w:t>
      </w:r>
    </w:p>
    <w:p>
      <w:pPr>
        <w:pStyle w:val="21"/>
        <w:numPr>
          <w:ilvl w:val="0"/>
          <w:numId w:val="0"/>
        </w:numPr>
        <w:tabs>
          <w:tab w:val="left" w:pos="1491"/>
          <w:tab w:val="left" w:pos="1492"/>
        </w:tabs>
        <w:spacing w:before="3" w:after="0" w:line="280" w:lineRule="exact"/>
        <w:ind w:left="770" w:leftChars="0" w:right="0" w:rightChars="0"/>
        <w:jc w:val="left"/>
        <w:rPr>
          <w:color w:val="auto"/>
          <w:sz w:val="24"/>
          <w:highlight w:val="none"/>
        </w:rPr>
      </w:pPr>
      <w:r>
        <w:rPr>
          <w:rFonts w:hint="eastAsia"/>
          <w:color w:val="auto"/>
          <w:sz w:val="24"/>
          <w:highlight w:val="none"/>
          <w:lang w:val="en-US" w:eastAsia="zh-CN"/>
        </w:rPr>
        <w:t xml:space="preserve">23.2  </w:t>
      </w:r>
      <w:r>
        <w:rPr>
          <w:color w:val="auto"/>
          <w:sz w:val="24"/>
          <w:highlight w:val="none"/>
        </w:rPr>
        <w:t>最低报价不是被授予合同的保证。</w:t>
      </w:r>
    </w:p>
    <w:p>
      <w:pPr>
        <w:pStyle w:val="8"/>
        <w:spacing w:line="399" w:lineRule="exact"/>
        <w:rPr>
          <w:color w:val="auto"/>
          <w:highlight w:val="none"/>
        </w:rPr>
      </w:pPr>
      <w:r>
        <w:rPr>
          <w:color w:val="auto"/>
          <w:highlight w:val="none"/>
        </w:rPr>
        <w:t>24</w:t>
      </w:r>
      <w:r>
        <w:rPr>
          <w:rFonts w:hint="eastAsia" w:eastAsia="宋体"/>
          <w:color w:val="auto"/>
          <w:highlight w:val="none"/>
          <w:lang w:eastAsia="zh-CN"/>
        </w:rPr>
        <w:t>、</w:t>
      </w:r>
      <w:r>
        <w:rPr>
          <w:color w:val="auto"/>
          <w:highlight w:val="none"/>
        </w:rPr>
        <w:t>接受和拒绝任何或所有报价的权力</w:t>
      </w:r>
    </w:p>
    <w:p>
      <w:pPr>
        <w:pStyle w:val="9"/>
        <w:tabs>
          <w:tab w:val="left" w:pos="1476"/>
        </w:tabs>
        <w:spacing w:line="267" w:lineRule="exact"/>
        <w:ind w:left="771"/>
        <w:rPr>
          <w:color w:val="auto"/>
          <w:highlight w:val="none"/>
        </w:rPr>
      </w:pPr>
      <w:r>
        <w:rPr>
          <w:color w:val="auto"/>
          <w:spacing w:val="-3"/>
          <w:highlight w:val="none"/>
        </w:rPr>
        <w:t>24.1</w:t>
      </w:r>
      <w:r>
        <w:rPr>
          <w:color w:val="auto"/>
          <w:spacing w:val="-3"/>
          <w:highlight w:val="none"/>
        </w:rPr>
        <w:tab/>
      </w:r>
      <w:r>
        <w:rPr>
          <w:color w:val="auto"/>
          <w:spacing w:val="-8"/>
          <w:highlight w:val="none"/>
        </w:rPr>
        <w:t>为维护国家利益，询价小组在授予合同之前仍有选择或拒绝任何报价的权力。</w:t>
      </w:r>
    </w:p>
    <w:p>
      <w:pPr>
        <w:pStyle w:val="8"/>
        <w:rPr>
          <w:color w:val="auto"/>
          <w:highlight w:val="none"/>
        </w:rPr>
      </w:pPr>
      <w:r>
        <w:rPr>
          <w:color w:val="auto"/>
          <w:highlight w:val="none"/>
        </w:rPr>
        <w:t>25</w:t>
      </w:r>
      <w:r>
        <w:rPr>
          <w:rFonts w:hint="eastAsia" w:eastAsia="宋体"/>
          <w:color w:val="auto"/>
          <w:highlight w:val="none"/>
          <w:lang w:eastAsia="zh-CN"/>
        </w:rPr>
        <w:t>、</w:t>
      </w:r>
      <w:r>
        <w:rPr>
          <w:color w:val="auto"/>
          <w:highlight w:val="none"/>
        </w:rPr>
        <w:t>成交通知书</w:t>
      </w:r>
    </w:p>
    <w:p>
      <w:pPr>
        <w:pStyle w:val="21"/>
        <w:numPr>
          <w:ilvl w:val="0"/>
          <w:numId w:val="0"/>
        </w:numPr>
        <w:tabs>
          <w:tab w:val="left" w:pos="1496"/>
        </w:tabs>
        <w:spacing w:before="0" w:after="0" w:line="259" w:lineRule="auto"/>
        <w:ind w:left="770" w:leftChars="0" w:right="947" w:rightChars="0"/>
        <w:jc w:val="both"/>
        <w:rPr>
          <w:color w:val="auto"/>
          <w:sz w:val="24"/>
          <w:highlight w:val="none"/>
        </w:rPr>
      </w:pPr>
      <w:r>
        <w:rPr>
          <w:rFonts w:hint="eastAsia"/>
          <w:color w:val="auto"/>
          <w:sz w:val="24"/>
          <w:highlight w:val="none"/>
          <w:lang w:val="en-US" w:eastAsia="zh-CN"/>
        </w:rPr>
        <w:t xml:space="preserve">25.1  </w:t>
      </w:r>
      <w:r>
        <w:rPr>
          <w:color w:val="auto"/>
          <w:sz w:val="24"/>
          <w:highlight w:val="none"/>
        </w:rPr>
        <w:t>成交供应商确定后</w:t>
      </w:r>
      <w:r>
        <w:rPr>
          <w:rFonts w:hint="eastAsia"/>
          <w:color w:val="auto"/>
          <w:sz w:val="24"/>
          <w:highlight w:val="none"/>
          <w:lang w:val="en-US" w:eastAsia="zh-CN"/>
        </w:rPr>
        <w:t>2</w:t>
      </w:r>
      <w:r>
        <w:rPr>
          <w:color w:val="auto"/>
          <w:sz w:val="24"/>
          <w:highlight w:val="none"/>
        </w:rPr>
        <w:t>个工作日内，</w:t>
      </w:r>
      <w:r>
        <w:rPr>
          <w:rFonts w:hint="eastAsia"/>
          <w:color w:val="auto"/>
          <w:sz w:val="24"/>
          <w:highlight w:val="none"/>
          <w:lang w:eastAsia="zh-CN"/>
        </w:rPr>
        <w:t>采购代理机构</w:t>
      </w:r>
      <w:r>
        <w:rPr>
          <w:color w:val="auto"/>
          <w:sz w:val="24"/>
          <w:highlight w:val="none"/>
        </w:rPr>
        <w:t>将以书面形式发出《成交通</w:t>
      </w:r>
      <w:r>
        <w:rPr>
          <w:color w:val="auto"/>
          <w:spacing w:val="-18"/>
          <w:sz w:val="24"/>
          <w:highlight w:val="none"/>
        </w:rPr>
        <w:t>知书》，并在“新疆维吾尔自治区政府采购网”上发布成交公告。《成交通知书》一经发</w:t>
      </w:r>
      <w:r>
        <w:rPr>
          <w:color w:val="auto"/>
          <w:sz w:val="24"/>
          <w:highlight w:val="none"/>
        </w:rPr>
        <w:t>出即发生法律效力。</w:t>
      </w:r>
    </w:p>
    <w:p>
      <w:pPr>
        <w:pStyle w:val="21"/>
        <w:numPr>
          <w:ilvl w:val="0"/>
          <w:numId w:val="0"/>
        </w:numPr>
        <w:tabs>
          <w:tab w:val="left" w:pos="1492"/>
        </w:tabs>
        <w:spacing w:before="0" w:after="0" w:line="240" w:lineRule="auto"/>
        <w:ind w:left="770" w:leftChars="0" w:right="0" w:rightChars="0"/>
        <w:jc w:val="both"/>
        <w:rPr>
          <w:color w:val="auto"/>
          <w:sz w:val="24"/>
          <w:highlight w:val="none"/>
        </w:rPr>
      </w:pPr>
      <w:r>
        <w:rPr>
          <w:rFonts w:hint="eastAsia"/>
          <w:color w:val="auto"/>
          <w:sz w:val="24"/>
          <w:highlight w:val="none"/>
          <w:lang w:val="en-US" w:eastAsia="zh-CN"/>
        </w:rPr>
        <w:t xml:space="preserve">25.2  </w:t>
      </w:r>
      <w:r>
        <w:rPr>
          <w:color w:val="auto"/>
          <w:sz w:val="24"/>
          <w:highlight w:val="none"/>
        </w:rPr>
        <w:t>《成交通知书》将作为签订合同的依据。</w:t>
      </w:r>
    </w:p>
    <w:p>
      <w:pPr>
        <w:pStyle w:val="4"/>
        <w:spacing w:before="188"/>
        <w:outlineLvl w:val="1"/>
        <w:rPr>
          <w:color w:val="auto"/>
          <w:highlight w:val="none"/>
        </w:rPr>
      </w:pPr>
      <w:bookmarkStart w:id="17" w:name="_Toc20276"/>
      <w:r>
        <w:rPr>
          <w:color w:val="auto"/>
          <w:highlight w:val="none"/>
        </w:rPr>
        <w:t>第六章</w:t>
      </w:r>
      <w:r>
        <w:rPr>
          <w:rFonts w:hint="eastAsia" w:eastAsia="宋体"/>
          <w:color w:val="auto"/>
          <w:highlight w:val="none"/>
          <w:lang w:eastAsia="zh-CN"/>
        </w:rPr>
        <w:t>、</w:t>
      </w:r>
      <w:r>
        <w:rPr>
          <w:color w:val="auto"/>
          <w:highlight w:val="none"/>
        </w:rPr>
        <w:t>授予合同</w:t>
      </w:r>
      <w:bookmarkEnd w:id="17"/>
    </w:p>
    <w:p>
      <w:pPr>
        <w:pStyle w:val="8"/>
        <w:spacing w:before="154" w:line="427" w:lineRule="exact"/>
        <w:rPr>
          <w:color w:val="auto"/>
          <w:highlight w:val="none"/>
        </w:rPr>
      </w:pPr>
      <w:r>
        <w:rPr>
          <w:color w:val="auto"/>
          <w:highlight w:val="none"/>
        </w:rPr>
        <w:t>26</w:t>
      </w:r>
      <w:r>
        <w:rPr>
          <w:rFonts w:hint="eastAsia" w:eastAsia="宋体"/>
          <w:color w:val="auto"/>
          <w:highlight w:val="none"/>
          <w:lang w:eastAsia="zh-CN"/>
        </w:rPr>
        <w:t>、</w:t>
      </w:r>
      <w:r>
        <w:rPr>
          <w:color w:val="auto"/>
          <w:highlight w:val="none"/>
        </w:rPr>
        <w:t>签订合同</w:t>
      </w:r>
    </w:p>
    <w:p>
      <w:pPr>
        <w:pStyle w:val="21"/>
        <w:numPr>
          <w:ilvl w:val="1"/>
          <w:numId w:val="17"/>
        </w:numPr>
        <w:tabs>
          <w:tab w:val="left" w:pos="1492"/>
        </w:tabs>
        <w:spacing w:before="0" w:after="0" w:line="259" w:lineRule="auto"/>
        <w:ind w:left="298" w:right="951" w:firstLine="472"/>
        <w:jc w:val="both"/>
        <w:rPr>
          <w:color w:val="auto"/>
          <w:sz w:val="24"/>
          <w:highlight w:val="none"/>
        </w:rPr>
      </w:pPr>
      <w:r>
        <w:rPr>
          <w:color w:val="auto"/>
          <w:spacing w:val="-3"/>
          <w:sz w:val="24"/>
          <w:highlight w:val="none"/>
        </w:rPr>
        <w:t>成交方应在收到采购方的《成交通知书》后</w:t>
      </w:r>
      <w:r>
        <w:rPr>
          <w:color w:val="auto"/>
          <w:sz w:val="24"/>
          <w:highlight w:val="none"/>
        </w:rPr>
        <w:t>30</w:t>
      </w:r>
      <w:r>
        <w:rPr>
          <w:color w:val="auto"/>
          <w:spacing w:val="-5"/>
          <w:sz w:val="24"/>
          <w:highlight w:val="none"/>
        </w:rPr>
        <w:t>日内，按照询价通知书的约定</w:t>
      </w:r>
      <w:r>
        <w:rPr>
          <w:color w:val="auto"/>
          <w:spacing w:val="-4"/>
          <w:sz w:val="24"/>
          <w:highlight w:val="none"/>
        </w:rPr>
        <w:t>和成交方响应文件中的承诺与采购人签订书面合同，所签订的合同不得对询价通知书和</w:t>
      </w:r>
      <w:r>
        <w:rPr>
          <w:color w:val="auto"/>
          <w:sz w:val="24"/>
          <w:highlight w:val="none"/>
        </w:rPr>
        <w:t>成交方的响应文件作实质性修改。</w:t>
      </w:r>
    </w:p>
    <w:p>
      <w:pPr>
        <w:pStyle w:val="21"/>
        <w:numPr>
          <w:ilvl w:val="1"/>
          <w:numId w:val="17"/>
        </w:numPr>
        <w:tabs>
          <w:tab w:val="left" w:pos="1496"/>
        </w:tabs>
        <w:spacing w:before="0" w:after="0" w:line="240" w:lineRule="auto"/>
        <w:ind w:left="1496" w:right="0" w:hanging="725"/>
        <w:jc w:val="both"/>
        <w:rPr>
          <w:color w:val="auto"/>
          <w:sz w:val="24"/>
          <w:highlight w:val="none"/>
        </w:rPr>
      </w:pPr>
      <w:r>
        <w:rPr>
          <w:color w:val="auto"/>
          <w:sz w:val="24"/>
          <w:highlight w:val="none"/>
        </w:rPr>
        <w:t>采购方在授予合同时，有权对采购书中规定的货物和服务的数量在10%的幅</w:t>
      </w:r>
    </w:p>
    <w:p>
      <w:pPr>
        <w:pStyle w:val="9"/>
        <w:spacing w:before="14"/>
        <w:ind w:left="298"/>
        <w:rPr>
          <w:color w:val="auto"/>
          <w:highlight w:val="none"/>
        </w:rPr>
      </w:pPr>
      <w:r>
        <w:rPr>
          <w:color w:val="auto"/>
          <w:highlight w:val="none"/>
        </w:rPr>
        <w:t>度内予以增加或减少。</w:t>
      </w:r>
    </w:p>
    <w:p>
      <w:pPr>
        <w:pStyle w:val="21"/>
        <w:numPr>
          <w:ilvl w:val="1"/>
          <w:numId w:val="17"/>
        </w:numPr>
        <w:tabs>
          <w:tab w:val="left" w:pos="1491"/>
          <w:tab w:val="left" w:pos="1492"/>
        </w:tabs>
        <w:spacing w:before="26" w:after="0" w:line="240" w:lineRule="auto"/>
        <w:ind w:left="1491" w:right="0" w:hanging="721"/>
        <w:jc w:val="left"/>
        <w:rPr>
          <w:color w:val="auto"/>
          <w:sz w:val="24"/>
          <w:highlight w:val="none"/>
        </w:rPr>
      </w:pPr>
      <w:r>
        <w:rPr>
          <w:color w:val="auto"/>
          <w:sz w:val="24"/>
          <w:highlight w:val="none"/>
        </w:rPr>
        <w:t>如成交方拒签合同，则按违约处理。</w:t>
      </w:r>
    </w:p>
    <w:p>
      <w:pPr>
        <w:pStyle w:val="21"/>
        <w:numPr>
          <w:ilvl w:val="1"/>
          <w:numId w:val="17"/>
        </w:numPr>
        <w:tabs>
          <w:tab w:val="left" w:pos="1491"/>
          <w:tab w:val="left" w:pos="1492"/>
        </w:tabs>
        <w:spacing w:before="26" w:after="0" w:line="240" w:lineRule="auto"/>
        <w:ind w:left="1491" w:right="0" w:hanging="721"/>
        <w:jc w:val="left"/>
        <w:rPr>
          <w:color w:val="auto"/>
          <w:sz w:val="24"/>
          <w:highlight w:val="none"/>
        </w:rPr>
      </w:pPr>
      <w:r>
        <w:rPr>
          <w:color w:val="auto"/>
          <w:spacing w:val="-13"/>
          <w:sz w:val="24"/>
          <w:highlight w:val="none"/>
        </w:rPr>
        <w:t>询价通知书、成交方的响应文件及其澄清文件等，均为签订经济合同的依据。</w:t>
      </w:r>
    </w:p>
    <w:p>
      <w:pPr>
        <w:pStyle w:val="21"/>
        <w:numPr>
          <w:ilvl w:val="1"/>
          <w:numId w:val="17"/>
        </w:numPr>
        <w:tabs>
          <w:tab w:val="left" w:pos="1492"/>
        </w:tabs>
        <w:spacing w:before="24" w:after="0" w:line="259" w:lineRule="auto"/>
        <w:ind w:left="298" w:right="947" w:firstLine="472"/>
        <w:jc w:val="both"/>
        <w:rPr>
          <w:color w:val="auto"/>
          <w:sz w:val="24"/>
          <w:highlight w:val="none"/>
        </w:rPr>
      </w:pPr>
      <w:r>
        <w:rPr>
          <w:color w:val="auto"/>
          <w:spacing w:val="-4"/>
          <w:sz w:val="24"/>
          <w:highlight w:val="none"/>
        </w:rPr>
        <w:t>不允许成交人将成交项目分包或转交他人承担。特殊情况下，成交人必须与</w:t>
      </w:r>
      <w:r>
        <w:rPr>
          <w:color w:val="auto"/>
          <w:spacing w:val="-3"/>
          <w:sz w:val="24"/>
          <w:highlight w:val="none"/>
        </w:rPr>
        <w:t>采购方协商后共同决定将合同标的中的部分由第三方承担供货和服务责任，但成交方必</w:t>
      </w:r>
      <w:r>
        <w:rPr>
          <w:color w:val="auto"/>
          <w:spacing w:val="-4"/>
          <w:sz w:val="24"/>
          <w:highlight w:val="none"/>
        </w:rPr>
        <w:t>须对合同标的的全部内容向采购方负责，并保证第三方提供的货物和服务符合询价通知</w:t>
      </w:r>
      <w:r>
        <w:rPr>
          <w:color w:val="auto"/>
          <w:sz w:val="24"/>
          <w:highlight w:val="none"/>
        </w:rPr>
        <w:t>书的约定和响应文件的承诺及相关约定。</w:t>
      </w:r>
    </w:p>
    <w:p>
      <w:pPr>
        <w:spacing w:after="0" w:line="259" w:lineRule="auto"/>
        <w:jc w:val="both"/>
        <w:rPr>
          <w:color w:val="auto"/>
          <w:sz w:val="24"/>
          <w:highlight w:val="none"/>
        </w:rPr>
        <w:sectPr>
          <w:footerReference r:id="rId5" w:type="default"/>
          <w:pgSz w:w="11900" w:h="16840"/>
          <w:pgMar w:top="1100" w:right="460" w:bottom="1340" w:left="1120" w:header="894" w:footer="1153" w:gutter="0"/>
          <w:pgNumType w:start="10"/>
          <w:cols w:equalWidth="0" w:num="1">
            <w:col w:w="10320"/>
          </w:cols>
        </w:sectPr>
      </w:pPr>
    </w:p>
    <w:p>
      <w:pPr>
        <w:pStyle w:val="9"/>
        <w:rPr>
          <w:color w:val="auto"/>
          <w:sz w:val="20"/>
          <w:highlight w:val="none"/>
        </w:rPr>
      </w:pPr>
    </w:p>
    <w:p>
      <w:pPr>
        <w:pStyle w:val="9"/>
        <w:rPr>
          <w:color w:val="auto"/>
          <w:sz w:val="20"/>
          <w:highlight w:val="none"/>
        </w:rPr>
      </w:pPr>
    </w:p>
    <w:p>
      <w:pPr>
        <w:pStyle w:val="9"/>
        <w:spacing w:before="1"/>
        <w:rPr>
          <w:color w:val="auto"/>
          <w:sz w:val="20"/>
          <w:highlight w:val="none"/>
        </w:rPr>
      </w:pPr>
    </w:p>
    <w:p>
      <w:pPr>
        <w:pStyle w:val="3"/>
        <w:tabs>
          <w:tab w:val="left" w:pos="2428"/>
        </w:tabs>
        <w:spacing w:line="702" w:lineRule="exact"/>
        <w:outlineLvl w:val="0"/>
        <w:rPr>
          <w:color w:val="auto"/>
          <w:highlight w:val="none"/>
        </w:rPr>
      </w:pPr>
      <w:bookmarkStart w:id="18" w:name="_Toc20181"/>
      <w:r>
        <w:rPr>
          <w:color w:val="auto"/>
          <w:highlight w:val="none"/>
        </w:rPr>
        <w:t>第四部分</w:t>
      </w:r>
      <w:r>
        <w:rPr>
          <w:color w:val="auto"/>
          <w:highlight w:val="none"/>
        </w:rPr>
        <w:tab/>
      </w:r>
      <w:r>
        <w:rPr>
          <w:color w:val="auto"/>
          <w:highlight w:val="none"/>
        </w:rPr>
        <w:t>货物需求一览表及技术规格</w:t>
      </w:r>
      <w:bookmarkEnd w:id="18"/>
    </w:p>
    <w:p>
      <w:pPr>
        <w:rPr>
          <w:color w:val="auto"/>
          <w:highlight w:val="none"/>
        </w:rPr>
      </w:pPr>
    </w:p>
    <w:p>
      <w:pPr>
        <w:widowControl/>
        <w:spacing w:line="400" w:lineRule="exact"/>
        <w:jc w:val="left"/>
        <w:rPr>
          <w:rFonts w:hint="eastAsia" w:ascii="仿宋" w:hAnsi="仿宋" w:eastAsia="仿宋" w:cs="仿宋"/>
          <w:b/>
          <w:bCs/>
          <w:kern w:val="0"/>
          <w:szCs w:val="21"/>
        </w:rPr>
      </w:pPr>
      <w:bookmarkStart w:id="19" w:name="_Toc16921"/>
      <w:r>
        <w:rPr>
          <w:rFonts w:hint="eastAsia" w:ascii="仿宋" w:hAnsi="仿宋" w:eastAsia="仿宋" w:cs="仿宋"/>
          <w:b/>
          <w:bCs/>
          <w:kern w:val="0"/>
          <w:szCs w:val="21"/>
        </w:rPr>
        <w:t>实施方法说明：</w:t>
      </w:r>
    </w:p>
    <w:p>
      <w:pPr>
        <w:widowControl/>
        <w:spacing w:line="400" w:lineRule="exact"/>
        <w:ind w:firstLine="440" w:firstLineChars="200"/>
        <w:jc w:val="left"/>
        <w:rPr>
          <w:rFonts w:hint="eastAsia" w:ascii="仿宋" w:hAnsi="仿宋" w:eastAsia="仿宋" w:cs="仿宋"/>
          <w:kern w:val="0"/>
          <w:szCs w:val="21"/>
        </w:rPr>
      </w:pPr>
      <w:r>
        <w:rPr>
          <w:rFonts w:hint="eastAsia" w:ascii="仿宋" w:hAnsi="仿宋" w:eastAsia="仿宋" w:cs="仿宋"/>
          <w:kern w:val="0"/>
          <w:szCs w:val="21"/>
        </w:rPr>
        <w:t>需要</w:t>
      </w:r>
      <w:r>
        <w:rPr>
          <w:rFonts w:hint="eastAsia" w:ascii="仿宋" w:hAnsi="仿宋" w:eastAsia="仿宋" w:cs="仿宋"/>
          <w:kern w:val="0"/>
          <w:szCs w:val="21"/>
          <w:lang w:val="en-US" w:eastAsia="zh-CN"/>
        </w:rPr>
        <w:t>投标人提供中心机房平面图</w:t>
      </w:r>
      <w:r>
        <w:rPr>
          <w:rFonts w:hint="eastAsia" w:ascii="仿宋" w:hAnsi="仿宋" w:eastAsia="仿宋" w:cs="仿宋"/>
          <w:kern w:val="0"/>
          <w:szCs w:val="21"/>
        </w:rPr>
        <w:t>、机柜设备布置图、</w:t>
      </w:r>
      <w:r>
        <w:rPr>
          <w:rFonts w:hint="eastAsia" w:ascii="仿宋" w:hAnsi="仿宋" w:eastAsia="仿宋" w:cs="仿宋"/>
          <w:kern w:val="0"/>
          <w:szCs w:val="21"/>
          <w:lang w:val="en-US" w:eastAsia="zh-CN"/>
        </w:rPr>
        <w:t>UPS配电线路图</w:t>
      </w:r>
      <w:r>
        <w:rPr>
          <w:rFonts w:hint="eastAsia" w:ascii="仿宋" w:hAnsi="仿宋" w:eastAsia="仿宋" w:cs="仿宋"/>
          <w:kern w:val="0"/>
          <w:szCs w:val="21"/>
        </w:rPr>
        <w:t>，以及配电、UPS，机房</w:t>
      </w:r>
      <w:r>
        <w:rPr>
          <w:rFonts w:hint="eastAsia" w:ascii="仿宋" w:hAnsi="仿宋" w:eastAsia="仿宋" w:cs="仿宋"/>
          <w:kern w:val="0"/>
          <w:szCs w:val="21"/>
          <w:lang w:val="en-US" w:eastAsia="zh-CN"/>
        </w:rPr>
        <w:t>位置</w:t>
      </w:r>
      <w:r>
        <w:rPr>
          <w:rFonts w:hint="eastAsia" w:ascii="仿宋" w:hAnsi="仿宋" w:eastAsia="仿宋" w:cs="仿宋"/>
          <w:kern w:val="0"/>
          <w:szCs w:val="21"/>
        </w:rPr>
        <w:t>等资料。实施工程师通过</w:t>
      </w:r>
      <w:r>
        <w:rPr>
          <w:rFonts w:hint="eastAsia" w:ascii="仿宋" w:hAnsi="仿宋" w:eastAsia="仿宋" w:cs="仿宋"/>
          <w:kern w:val="0"/>
          <w:szCs w:val="21"/>
          <w:lang w:val="en-US" w:eastAsia="zh-CN"/>
        </w:rPr>
        <w:t>现场勘测</w:t>
      </w:r>
      <w:r>
        <w:rPr>
          <w:rFonts w:hint="eastAsia" w:ascii="仿宋" w:hAnsi="仿宋" w:eastAsia="仿宋" w:cs="仿宋"/>
          <w:kern w:val="0"/>
          <w:szCs w:val="21"/>
        </w:rPr>
        <w:t>得到。进行这一步骤的工作可以利用客户的工作时间实施，也可以利用周六日进行。</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rPr>
        <w:tab/>
      </w:r>
      <w:r>
        <w:rPr>
          <w:rFonts w:hint="eastAsia" w:ascii="仿宋" w:hAnsi="仿宋" w:eastAsia="仿宋" w:cs="仿宋"/>
          <w:kern w:val="0"/>
          <w:szCs w:val="21"/>
        </w:rPr>
        <w:t>编写实施方案</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制定的改造方案：现将原</w:t>
      </w:r>
      <w:r>
        <w:rPr>
          <w:rFonts w:hint="eastAsia" w:ascii="仿宋" w:hAnsi="仿宋" w:eastAsia="仿宋" w:cs="仿宋"/>
          <w:kern w:val="0"/>
          <w:szCs w:val="21"/>
          <w:lang w:eastAsia="zh-CN"/>
        </w:rPr>
        <w:t>中心机房</w:t>
      </w:r>
      <w:r>
        <w:rPr>
          <w:rFonts w:hint="eastAsia" w:ascii="仿宋" w:hAnsi="仿宋" w:eastAsia="仿宋" w:cs="仿宋"/>
          <w:kern w:val="0"/>
          <w:szCs w:val="21"/>
        </w:rPr>
        <w:t>的所有设备共20台机柜</w:t>
      </w:r>
      <w:r>
        <w:rPr>
          <w:rFonts w:hint="eastAsia" w:ascii="仿宋" w:hAnsi="仿宋" w:eastAsia="仿宋" w:cs="仿宋"/>
          <w:kern w:val="0"/>
          <w:szCs w:val="21"/>
          <w:lang w:val="en-US" w:eastAsia="zh-CN"/>
        </w:rPr>
        <w:t>及2</w:t>
      </w:r>
      <w:r>
        <w:rPr>
          <w:rFonts w:hint="eastAsia" w:ascii="仿宋" w:hAnsi="仿宋" w:eastAsia="仿宋" w:cs="仿宋"/>
          <w:kern w:val="0"/>
          <w:szCs w:val="21"/>
        </w:rPr>
        <w:t>0多台服务器，</w:t>
      </w:r>
      <w:r>
        <w:rPr>
          <w:rFonts w:hint="eastAsia" w:ascii="仿宋" w:hAnsi="仿宋" w:eastAsia="仿宋" w:cs="仿宋"/>
          <w:kern w:val="0"/>
          <w:szCs w:val="21"/>
          <w:lang w:val="en-US" w:eastAsia="zh-CN"/>
        </w:rPr>
        <w:t>1</w:t>
      </w:r>
      <w:r>
        <w:rPr>
          <w:rFonts w:hint="eastAsia" w:ascii="仿宋" w:hAnsi="仿宋" w:eastAsia="仿宋" w:cs="仿宋"/>
          <w:kern w:val="0"/>
          <w:szCs w:val="21"/>
        </w:rPr>
        <w:t>0台交换机保证正常运行，然后对原</w:t>
      </w:r>
      <w:r>
        <w:rPr>
          <w:rFonts w:hint="eastAsia" w:ascii="仿宋" w:hAnsi="仿宋" w:eastAsia="仿宋" w:cs="仿宋"/>
          <w:kern w:val="0"/>
          <w:szCs w:val="21"/>
          <w:lang w:eastAsia="zh-CN"/>
        </w:rPr>
        <w:t>中心机房</w:t>
      </w:r>
      <w:r>
        <w:rPr>
          <w:rFonts w:hint="eastAsia" w:ascii="仿宋" w:hAnsi="仿宋" w:eastAsia="仿宋" w:cs="仿宋"/>
          <w:kern w:val="0"/>
          <w:szCs w:val="21"/>
        </w:rPr>
        <w:t>进行改造和装修，包括配电柜4台、UPS 3台、空调2台、照明系统、</w:t>
      </w:r>
      <w:r>
        <w:rPr>
          <w:rFonts w:hint="eastAsia" w:ascii="仿宋" w:hAnsi="仿宋" w:eastAsia="仿宋" w:cs="仿宋"/>
          <w:kern w:val="0"/>
          <w:szCs w:val="21"/>
          <w:lang w:val="en-US" w:eastAsia="zh-CN"/>
        </w:rPr>
        <w:t>PDU系统、综合布线、光缆敷设</w:t>
      </w:r>
      <w:r>
        <w:rPr>
          <w:rFonts w:hint="eastAsia" w:ascii="仿宋" w:hAnsi="仿宋" w:eastAsia="仿宋" w:cs="仿宋"/>
          <w:kern w:val="0"/>
          <w:szCs w:val="21"/>
        </w:rPr>
        <w:t>等。编制的实施方案内容包括：</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rPr>
        <w:tab/>
      </w:r>
      <w:r>
        <w:rPr>
          <w:rFonts w:hint="eastAsia" w:ascii="仿宋" w:hAnsi="仿宋" w:eastAsia="仿宋" w:cs="仿宋"/>
          <w:kern w:val="0"/>
          <w:szCs w:val="21"/>
          <w:lang w:val="en-US" w:eastAsia="zh-CN"/>
        </w:rPr>
        <w:t>中心</w:t>
      </w:r>
      <w:r>
        <w:rPr>
          <w:rFonts w:hint="eastAsia" w:ascii="仿宋" w:hAnsi="仿宋" w:eastAsia="仿宋" w:cs="仿宋"/>
          <w:kern w:val="0"/>
          <w:szCs w:val="21"/>
        </w:rPr>
        <w:t>机房改造的准备工作。</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rPr>
        <w:tab/>
      </w:r>
      <w:r>
        <w:rPr>
          <w:rFonts w:hint="eastAsia" w:ascii="仿宋" w:hAnsi="仿宋" w:eastAsia="仿宋" w:cs="仿宋"/>
          <w:kern w:val="0"/>
          <w:szCs w:val="21"/>
        </w:rPr>
        <w:t>临时机房的确定及设备布置。</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rPr>
        <w:tab/>
      </w:r>
      <w:r>
        <w:rPr>
          <w:rFonts w:hint="eastAsia" w:ascii="仿宋" w:hAnsi="仿宋" w:eastAsia="仿宋" w:cs="仿宋"/>
          <w:kern w:val="0"/>
          <w:szCs w:val="21"/>
        </w:rPr>
        <w:t>综合布线的材料清单。</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4.</w:t>
      </w:r>
      <w:r>
        <w:rPr>
          <w:rFonts w:hint="eastAsia" w:ascii="仿宋" w:hAnsi="仿宋" w:eastAsia="仿宋" w:cs="仿宋"/>
          <w:kern w:val="0"/>
          <w:szCs w:val="21"/>
        </w:rPr>
        <w:tab/>
      </w:r>
      <w:r>
        <w:rPr>
          <w:rFonts w:hint="eastAsia" w:ascii="仿宋" w:hAnsi="仿宋" w:eastAsia="仿宋" w:cs="仿宋"/>
          <w:kern w:val="0"/>
          <w:szCs w:val="21"/>
          <w:lang w:val="en-US" w:eastAsia="zh-CN"/>
        </w:rPr>
        <w:t>中心机房平面</w:t>
      </w:r>
      <w:r>
        <w:rPr>
          <w:rFonts w:hint="eastAsia" w:ascii="仿宋" w:hAnsi="仿宋" w:eastAsia="仿宋" w:cs="仿宋"/>
          <w:kern w:val="0"/>
          <w:szCs w:val="21"/>
        </w:rPr>
        <w:t>图。</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5.</w:t>
      </w:r>
      <w:r>
        <w:rPr>
          <w:rFonts w:hint="eastAsia" w:ascii="仿宋" w:hAnsi="仿宋" w:eastAsia="仿宋" w:cs="仿宋"/>
          <w:kern w:val="0"/>
          <w:szCs w:val="21"/>
        </w:rPr>
        <w:tab/>
      </w:r>
      <w:r>
        <w:rPr>
          <w:rFonts w:hint="eastAsia" w:ascii="仿宋" w:hAnsi="仿宋" w:eastAsia="仿宋" w:cs="仿宋"/>
          <w:kern w:val="0"/>
          <w:szCs w:val="21"/>
        </w:rPr>
        <w:t>设备改造清单。</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7.</w:t>
      </w:r>
      <w:r>
        <w:rPr>
          <w:rFonts w:hint="eastAsia" w:ascii="仿宋" w:hAnsi="仿宋" w:eastAsia="仿宋" w:cs="仿宋"/>
          <w:kern w:val="0"/>
          <w:szCs w:val="21"/>
        </w:rPr>
        <w:tab/>
      </w:r>
      <w:r>
        <w:rPr>
          <w:rFonts w:hint="eastAsia" w:ascii="仿宋" w:hAnsi="仿宋" w:eastAsia="仿宋" w:cs="仿宋"/>
          <w:kern w:val="0"/>
          <w:szCs w:val="21"/>
          <w:lang w:val="en-US" w:eastAsia="zh-CN"/>
        </w:rPr>
        <w:t>机房</w:t>
      </w:r>
      <w:r>
        <w:rPr>
          <w:rFonts w:hint="eastAsia" w:ascii="仿宋" w:hAnsi="仿宋" w:eastAsia="仿宋" w:cs="仿宋"/>
          <w:kern w:val="0"/>
          <w:szCs w:val="21"/>
        </w:rPr>
        <w:t>运维等内容。</w:t>
      </w:r>
    </w:p>
    <w:p>
      <w:pPr>
        <w:widowControl/>
        <w:spacing w:line="400" w:lineRule="exact"/>
        <w:jc w:val="left"/>
        <w:rPr>
          <w:rFonts w:hint="eastAsia" w:ascii="仿宋" w:hAnsi="仿宋" w:eastAsia="仿宋" w:cs="仿宋"/>
          <w:b w:val="0"/>
          <w:bCs w:val="0"/>
          <w:kern w:val="0"/>
          <w:szCs w:val="21"/>
        </w:rPr>
      </w:pPr>
      <w:r>
        <w:rPr>
          <w:rFonts w:hint="eastAsia" w:ascii="仿宋" w:hAnsi="仿宋" w:eastAsia="仿宋" w:cs="仿宋"/>
          <w:b w:val="0"/>
          <w:bCs w:val="0"/>
          <w:kern w:val="0"/>
          <w:szCs w:val="21"/>
        </w:rPr>
        <w:t>此外还有：</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 w:val="18"/>
          <w:szCs w:val="18"/>
        </w:rPr>
        <w:t>1）</w:t>
      </w:r>
      <w:r>
        <w:rPr>
          <w:rFonts w:hint="eastAsia" w:ascii="仿宋" w:hAnsi="仿宋" w:eastAsia="仿宋" w:cs="仿宋"/>
          <w:kern w:val="0"/>
          <w:szCs w:val="21"/>
        </w:rPr>
        <w:t>内部的配合协调：主要是不能影响</w:t>
      </w:r>
      <w:r>
        <w:rPr>
          <w:rFonts w:hint="eastAsia" w:cs="仿宋"/>
          <w:kern w:val="0"/>
          <w:szCs w:val="21"/>
          <w:lang w:val="en-US" w:eastAsia="zh-CN"/>
        </w:rPr>
        <w:t>采购人</w:t>
      </w:r>
      <w:r>
        <w:rPr>
          <w:rFonts w:hint="eastAsia" w:ascii="仿宋" w:hAnsi="仿宋" w:eastAsia="仿宋" w:cs="仿宋"/>
          <w:kern w:val="0"/>
          <w:szCs w:val="21"/>
        </w:rPr>
        <w:t>内部各科室的正常业务。</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2）机房设备改造过程中的应急预案。</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在系统设备改造过程中，可能会发生对设备的损坏，导致在断电上电后，系统不能正常启动运行，在时间紧张的情况下会影响到甲方对业务正常使用的需求。因此我们要在改造前考虑到应急预案的问题，如：备份数据、关键设备备品备件以及相关的技术人员、厂家的响应等。</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lang w:val="en-US" w:eastAsia="zh-CN"/>
        </w:rPr>
        <w:t>3</w:t>
      </w:r>
      <w:r>
        <w:rPr>
          <w:rFonts w:hint="eastAsia" w:ascii="仿宋" w:hAnsi="仿宋" w:eastAsia="仿宋" w:cs="仿宋"/>
          <w:kern w:val="0"/>
          <w:szCs w:val="21"/>
        </w:rPr>
        <w:t>）机房设备改造实施时间、人员组织及配合。</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4. 机房设备改造的准备工作之一：</w:t>
      </w:r>
      <w:r>
        <w:rPr>
          <w:rFonts w:hint="eastAsia" w:ascii="仿宋" w:hAnsi="仿宋" w:eastAsia="仿宋" w:cs="仿宋"/>
          <w:kern w:val="0"/>
          <w:szCs w:val="21"/>
          <w:lang w:val="en-US" w:eastAsia="zh-CN"/>
        </w:rPr>
        <w:t>需要投标人提供</w:t>
      </w:r>
      <w:r>
        <w:rPr>
          <w:rFonts w:hint="eastAsia" w:ascii="仿宋" w:hAnsi="仿宋" w:eastAsia="仿宋" w:cs="仿宋"/>
          <w:kern w:val="0"/>
          <w:szCs w:val="21"/>
        </w:rPr>
        <w:t>测绘和深化设计机房施工图、临时配电施工图、临时UPS施工图、临时设备布置图。</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这一工作需要设计绘制：</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lang w:val="en-US" w:eastAsia="zh-CN"/>
        </w:rPr>
        <w:t>中心</w:t>
      </w:r>
      <w:r>
        <w:rPr>
          <w:rFonts w:hint="eastAsia" w:ascii="仿宋" w:hAnsi="仿宋" w:eastAsia="仿宋" w:cs="仿宋"/>
          <w:kern w:val="0"/>
          <w:szCs w:val="21"/>
        </w:rPr>
        <w:t>机房</w:t>
      </w:r>
      <w:r>
        <w:rPr>
          <w:rFonts w:hint="eastAsia" w:ascii="仿宋" w:hAnsi="仿宋" w:eastAsia="仿宋" w:cs="仿宋"/>
          <w:kern w:val="0"/>
          <w:szCs w:val="21"/>
          <w:lang w:val="en-US" w:eastAsia="zh-CN"/>
        </w:rPr>
        <w:t>平面布局图；中心</w:t>
      </w:r>
      <w:r>
        <w:rPr>
          <w:rFonts w:hint="eastAsia" w:ascii="仿宋" w:hAnsi="仿宋" w:eastAsia="仿宋" w:cs="仿宋"/>
          <w:kern w:val="0"/>
          <w:szCs w:val="21"/>
        </w:rPr>
        <w:t>机房</w:t>
      </w:r>
      <w:r>
        <w:rPr>
          <w:rFonts w:hint="eastAsia" w:ascii="仿宋" w:hAnsi="仿宋" w:eastAsia="仿宋" w:cs="仿宋"/>
          <w:kern w:val="0"/>
          <w:szCs w:val="21"/>
          <w:lang w:val="en-US" w:eastAsia="zh-CN"/>
        </w:rPr>
        <w:t>服务器机柜</w:t>
      </w:r>
      <w:r>
        <w:rPr>
          <w:rFonts w:hint="eastAsia" w:ascii="仿宋" w:hAnsi="仿宋" w:eastAsia="仿宋" w:cs="仿宋"/>
          <w:kern w:val="0"/>
          <w:szCs w:val="21"/>
        </w:rPr>
        <w:t>布置图</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UPS施工图</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中心机房改造效果图；中心机房</w:t>
      </w:r>
      <w:r>
        <w:rPr>
          <w:rFonts w:hint="eastAsia" w:ascii="仿宋" w:hAnsi="仿宋" w:eastAsia="仿宋" w:cs="仿宋"/>
          <w:kern w:val="0"/>
          <w:szCs w:val="21"/>
        </w:rPr>
        <w:t>综合布线图</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配电线路图</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配电施工图</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5.</w:t>
      </w:r>
      <w:r>
        <w:rPr>
          <w:rFonts w:hint="eastAsia" w:ascii="仿宋" w:hAnsi="仿宋" w:eastAsia="仿宋" w:cs="仿宋"/>
          <w:kern w:val="0"/>
          <w:szCs w:val="21"/>
        </w:rPr>
        <w:tab/>
      </w:r>
      <w:r>
        <w:rPr>
          <w:rFonts w:hint="eastAsia" w:ascii="仿宋" w:hAnsi="仿宋" w:eastAsia="仿宋" w:cs="仿宋"/>
          <w:kern w:val="0"/>
          <w:szCs w:val="21"/>
        </w:rPr>
        <w:t>机房设备改造的准备工作之二：临时配电准备及改造、临时UPS改造、临时综合布线</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6. 机房设备改造的准备工作之三：与机房设备运维部门和技术人员协调，与相关单位协调</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与运维部门沟通，保存交换机配置文件，保存服务器数据。与运维部门沟通，确定停机时间及步骤。</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7. 设备改造实施</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分解的实施步骤如下：</w:t>
      </w:r>
    </w:p>
    <w:p>
      <w:pPr>
        <w:widowControl/>
        <w:spacing w:line="400" w:lineRule="exact"/>
        <w:jc w:val="left"/>
        <w:rPr>
          <w:rFonts w:hint="eastAsia" w:ascii="仿宋" w:hAnsi="仿宋" w:eastAsia="仿宋" w:cs="仿宋"/>
          <w:kern w:val="0"/>
          <w:szCs w:val="21"/>
          <w:lang w:eastAsia="zh-CN"/>
        </w:rPr>
      </w:pPr>
      <w:r>
        <w:rPr>
          <w:rFonts w:hint="eastAsia" w:ascii="仿宋" w:hAnsi="仿宋" w:eastAsia="仿宋" w:cs="仿宋"/>
          <w:kern w:val="0"/>
          <w:szCs w:val="21"/>
        </w:rPr>
        <w:t>1）由</w:t>
      </w:r>
      <w:r>
        <w:rPr>
          <w:rFonts w:hint="eastAsia" w:cs="仿宋"/>
          <w:kern w:val="0"/>
          <w:szCs w:val="21"/>
          <w:lang w:val="en-US" w:eastAsia="zh-CN"/>
        </w:rPr>
        <w:t>采购人</w:t>
      </w:r>
      <w:r>
        <w:rPr>
          <w:rFonts w:hint="eastAsia" w:ascii="仿宋" w:hAnsi="仿宋" w:eastAsia="仿宋" w:cs="仿宋"/>
          <w:kern w:val="0"/>
          <w:szCs w:val="21"/>
        </w:rPr>
        <w:t>负责发“断网”通知</w:t>
      </w:r>
      <w:r>
        <w:rPr>
          <w:rFonts w:hint="eastAsia" w:ascii="仿宋" w:hAnsi="仿宋" w:eastAsia="仿宋" w:cs="仿宋"/>
          <w:kern w:val="0"/>
          <w:szCs w:val="21"/>
          <w:lang w:eastAsia="zh-CN"/>
        </w:rPr>
        <w:t>；</w:t>
      </w:r>
      <w:r>
        <w:rPr>
          <w:rFonts w:hint="eastAsia" w:ascii="仿宋" w:hAnsi="仿宋" w:eastAsia="仿宋" w:cs="仿宋"/>
          <w:kern w:val="0"/>
          <w:szCs w:val="21"/>
        </w:rPr>
        <w:t>2）保存交换机配置文件</w:t>
      </w:r>
      <w:r>
        <w:rPr>
          <w:rFonts w:hint="eastAsia" w:ascii="仿宋" w:hAnsi="仿宋" w:eastAsia="仿宋" w:cs="仿宋"/>
          <w:kern w:val="0"/>
          <w:szCs w:val="21"/>
          <w:lang w:eastAsia="zh-CN"/>
        </w:rPr>
        <w:t>；</w:t>
      </w:r>
      <w:r>
        <w:rPr>
          <w:rFonts w:hint="eastAsia" w:ascii="仿宋" w:hAnsi="仿宋" w:eastAsia="仿宋" w:cs="仿宋"/>
          <w:kern w:val="0"/>
          <w:szCs w:val="21"/>
        </w:rPr>
        <w:t>3）保存服务器数据库数据</w:t>
      </w:r>
      <w:r>
        <w:rPr>
          <w:rFonts w:hint="eastAsia" w:ascii="仿宋" w:hAnsi="仿宋" w:eastAsia="仿宋" w:cs="仿宋"/>
          <w:kern w:val="0"/>
          <w:szCs w:val="21"/>
          <w:lang w:eastAsia="zh-CN"/>
        </w:rPr>
        <w:t>。</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实施工程师和分包实施人员提前进入岗位待命。</w:t>
      </w:r>
    </w:p>
    <w:p>
      <w:pPr>
        <w:widowControl/>
        <w:spacing w:line="400" w:lineRule="exact"/>
        <w:jc w:val="left"/>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断网时间倒计时</w:t>
      </w:r>
      <w:r>
        <w:rPr>
          <w:rFonts w:hint="eastAsia" w:ascii="仿宋" w:hAnsi="仿宋" w:eastAsia="仿宋" w:cs="仿宋"/>
          <w:kern w:val="0"/>
          <w:szCs w:val="21"/>
          <w:lang w:eastAsia="zh-CN"/>
        </w:rPr>
        <w:t>；</w:t>
      </w:r>
      <w:r>
        <w:rPr>
          <w:rFonts w:hint="eastAsia" w:ascii="仿宋" w:hAnsi="仿宋" w:eastAsia="仿宋" w:cs="仿宋"/>
          <w:kern w:val="0"/>
          <w:szCs w:val="21"/>
        </w:rPr>
        <w:t>2）</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关服务器</w:t>
      </w:r>
      <w:r>
        <w:rPr>
          <w:rFonts w:hint="eastAsia" w:ascii="仿宋" w:hAnsi="仿宋" w:eastAsia="仿宋" w:cs="仿宋"/>
          <w:kern w:val="0"/>
          <w:szCs w:val="21"/>
          <w:lang w:eastAsia="zh-CN"/>
        </w:rPr>
        <w:t>；</w:t>
      </w:r>
      <w:r>
        <w:rPr>
          <w:rFonts w:hint="eastAsia" w:ascii="仿宋" w:hAnsi="仿宋" w:eastAsia="仿宋" w:cs="仿宋"/>
          <w:kern w:val="0"/>
          <w:szCs w:val="21"/>
        </w:rPr>
        <w:t>3）</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关服务器电源</w:t>
      </w:r>
      <w:r>
        <w:rPr>
          <w:rFonts w:hint="eastAsia" w:ascii="仿宋" w:hAnsi="仿宋" w:eastAsia="仿宋" w:cs="仿宋"/>
          <w:kern w:val="0"/>
          <w:szCs w:val="21"/>
          <w:lang w:eastAsia="zh-CN"/>
        </w:rPr>
        <w:t>；</w:t>
      </w:r>
      <w:r>
        <w:rPr>
          <w:rFonts w:hint="eastAsia" w:ascii="仿宋" w:hAnsi="仿宋" w:eastAsia="仿宋" w:cs="仿宋"/>
          <w:kern w:val="0"/>
          <w:szCs w:val="21"/>
        </w:rPr>
        <w:t>4）关交换机、路由器电源</w:t>
      </w:r>
      <w:r>
        <w:rPr>
          <w:rFonts w:hint="eastAsia" w:ascii="仿宋" w:hAnsi="仿宋" w:eastAsia="仿宋" w:cs="仿宋"/>
          <w:kern w:val="0"/>
          <w:szCs w:val="21"/>
          <w:lang w:eastAsia="zh-CN"/>
        </w:rPr>
        <w:t>；</w:t>
      </w:r>
      <w:r>
        <w:rPr>
          <w:rFonts w:hint="eastAsia" w:ascii="仿宋" w:hAnsi="仿宋" w:eastAsia="仿宋" w:cs="仿宋"/>
          <w:kern w:val="0"/>
          <w:szCs w:val="21"/>
        </w:rPr>
        <w:t>5）</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拆跳线</w:t>
      </w:r>
      <w:r>
        <w:rPr>
          <w:rFonts w:hint="eastAsia" w:ascii="仿宋" w:hAnsi="仿宋" w:eastAsia="仿宋" w:cs="仿宋"/>
          <w:kern w:val="0"/>
          <w:szCs w:val="21"/>
          <w:lang w:eastAsia="zh-CN"/>
        </w:rPr>
        <w:t>；</w:t>
      </w:r>
      <w:r>
        <w:rPr>
          <w:rFonts w:hint="eastAsia" w:ascii="仿宋" w:hAnsi="仿宋" w:eastAsia="仿宋" w:cs="仿宋"/>
          <w:kern w:val="0"/>
          <w:szCs w:val="21"/>
        </w:rPr>
        <w:t>6）</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设备下架</w:t>
      </w:r>
      <w:r>
        <w:rPr>
          <w:rFonts w:hint="eastAsia" w:ascii="仿宋" w:hAnsi="仿宋" w:eastAsia="仿宋" w:cs="仿宋"/>
          <w:kern w:val="0"/>
          <w:szCs w:val="21"/>
          <w:lang w:eastAsia="zh-CN"/>
        </w:rPr>
        <w:t>；</w:t>
      </w:r>
      <w:r>
        <w:rPr>
          <w:rFonts w:hint="eastAsia" w:ascii="仿宋" w:hAnsi="仿宋" w:eastAsia="仿宋" w:cs="仿宋"/>
          <w:kern w:val="0"/>
          <w:szCs w:val="21"/>
        </w:rPr>
        <w:t>7）</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机柜及设备改造</w:t>
      </w:r>
      <w:r>
        <w:rPr>
          <w:rFonts w:hint="eastAsia" w:ascii="仿宋" w:hAnsi="仿宋" w:eastAsia="仿宋" w:cs="仿宋"/>
          <w:kern w:val="0"/>
          <w:szCs w:val="21"/>
          <w:lang w:eastAsia="zh-CN"/>
        </w:rPr>
        <w:t>；</w:t>
      </w:r>
      <w:r>
        <w:rPr>
          <w:rFonts w:hint="eastAsia" w:ascii="仿宋" w:hAnsi="仿宋" w:eastAsia="仿宋" w:cs="仿宋"/>
          <w:kern w:val="0"/>
          <w:szCs w:val="21"/>
        </w:rPr>
        <w:t>8）</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设备上架</w:t>
      </w:r>
      <w:r>
        <w:rPr>
          <w:rFonts w:hint="eastAsia" w:ascii="仿宋" w:hAnsi="仿宋" w:eastAsia="仿宋" w:cs="仿宋"/>
          <w:kern w:val="0"/>
          <w:szCs w:val="21"/>
          <w:lang w:eastAsia="zh-CN"/>
        </w:rPr>
        <w:t>；</w:t>
      </w:r>
      <w:r>
        <w:rPr>
          <w:rFonts w:hint="eastAsia" w:ascii="仿宋" w:hAnsi="仿宋" w:eastAsia="仿宋" w:cs="仿宋"/>
          <w:kern w:val="0"/>
          <w:szCs w:val="21"/>
        </w:rPr>
        <w:t>9）</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安装跳线</w:t>
      </w:r>
      <w:r>
        <w:rPr>
          <w:rFonts w:hint="eastAsia" w:ascii="仿宋" w:hAnsi="仿宋" w:eastAsia="仿宋" w:cs="仿宋"/>
          <w:kern w:val="0"/>
          <w:szCs w:val="21"/>
          <w:lang w:eastAsia="zh-CN"/>
        </w:rPr>
        <w:t>；</w:t>
      </w:r>
      <w:r>
        <w:rPr>
          <w:rFonts w:hint="eastAsia" w:ascii="仿宋" w:hAnsi="仿宋" w:eastAsia="仿宋" w:cs="仿宋"/>
          <w:kern w:val="0"/>
          <w:szCs w:val="21"/>
        </w:rPr>
        <w:t>10）</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安装电源线</w:t>
      </w:r>
      <w:r>
        <w:rPr>
          <w:rFonts w:hint="eastAsia" w:ascii="仿宋" w:hAnsi="仿宋" w:eastAsia="仿宋" w:cs="仿宋"/>
          <w:kern w:val="0"/>
          <w:szCs w:val="21"/>
          <w:lang w:eastAsia="zh-CN"/>
        </w:rPr>
        <w:t>。</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实施工程师和运维人员进入岗位</w:t>
      </w:r>
    </w:p>
    <w:p>
      <w:pPr>
        <w:widowControl/>
        <w:spacing w:line="400" w:lineRule="exact"/>
        <w:jc w:val="left"/>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设备加电</w:t>
      </w:r>
      <w:r>
        <w:rPr>
          <w:rFonts w:hint="eastAsia" w:ascii="仿宋" w:hAnsi="仿宋" w:eastAsia="仿宋" w:cs="仿宋"/>
          <w:kern w:val="0"/>
          <w:szCs w:val="21"/>
          <w:lang w:eastAsia="zh-CN"/>
        </w:rPr>
        <w:t>；</w:t>
      </w:r>
      <w:r>
        <w:rPr>
          <w:rFonts w:hint="eastAsia" w:ascii="仿宋" w:hAnsi="仿宋" w:eastAsia="仿宋" w:cs="仿宋"/>
          <w:kern w:val="0"/>
          <w:szCs w:val="21"/>
        </w:rPr>
        <w:t>2）</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启动服务器</w:t>
      </w:r>
      <w:r>
        <w:rPr>
          <w:rFonts w:hint="eastAsia" w:ascii="仿宋" w:hAnsi="仿宋" w:eastAsia="仿宋" w:cs="仿宋"/>
          <w:kern w:val="0"/>
          <w:szCs w:val="21"/>
          <w:lang w:eastAsia="zh-CN"/>
        </w:rPr>
        <w:t>；</w:t>
      </w:r>
      <w:r>
        <w:rPr>
          <w:rFonts w:hint="eastAsia" w:ascii="仿宋" w:hAnsi="仿宋" w:eastAsia="仿宋" w:cs="仿宋"/>
          <w:kern w:val="0"/>
          <w:szCs w:val="21"/>
        </w:rPr>
        <w:t>3）</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启动业务</w:t>
      </w:r>
      <w:r>
        <w:rPr>
          <w:rFonts w:hint="eastAsia" w:ascii="仿宋" w:hAnsi="仿宋" w:eastAsia="仿宋" w:cs="仿宋"/>
          <w:kern w:val="0"/>
          <w:szCs w:val="21"/>
          <w:lang w:eastAsia="zh-CN"/>
        </w:rPr>
        <w:t>；</w:t>
      </w:r>
      <w:r>
        <w:rPr>
          <w:rFonts w:hint="eastAsia" w:ascii="仿宋" w:hAnsi="仿宋" w:eastAsia="仿宋" w:cs="仿宋"/>
          <w:kern w:val="0"/>
          <w:szCs w:val="21"/>
        </w:rPr>
        <w:t>4）</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系统测试</w:t>
      </w:r>
      <w:r>
        <w:rPr>
          <w:rFonts w:hint="eastAsia" w:ascii="仿宋" w:hAnsi="仿宋" w:eastAsia="仿宋" w:cs="仿宋"/>
          <w:kern w:val="0"/>
          <w:szCs w:val="21"/>
          <w:lang w:eastAsia="zh-CN"/>
        </w:rPr>
        <w:t>。</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注意事项：</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1）实施技术人员、工人，运维人员全部到岗，实施时间必须倒计时。</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2）实施过程中要连续实施、并延长实施时间。</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8. 设备改造过程中及之后的运维工作</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lang w:val="en-US" w:eastAsia="zh-CN"/>
        </w:rPr>
        <w:t>中心机房</w:t>
      </w:r>
      <w:r>
        <w:rPr>
          <w:rFonts w:hint="eastAsia" w:ascii="仿宋" w:hAnsi="仿宋" w:eastAsia="仿宋" w:cs="仿宋"/>
          <w:kern w:val="0"/>
          <w:szCs w:val="21"/>
        </w:rPr>
        <w:t>设备改造后经常出现的系统故障有：</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网络不通、丢包、通信数据异常；</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服务器启动异常、或不能启动。</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 xml:space="preserve">也有设备老旧引起设备启动运行异常的原因。对于因设备老旧引起的启动及运行异常问题， </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9. 设备回迁的准备工作</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配电线路安装；</w:t>
      </w:r>
      <w:r>
        <w:rPr>
          <w:rFonts w:hint="eastAsia" w:ascii="仿宋" w:hAnsi="仿宋" w:eastAsia="仿宋" w:cs="仿宋"/>
          <w:kern w:val="0"/>
          <w:szCs w:val="21"/>
          <w:lang w:val="en-US" w:eastAsia="zh-CN"/>
        </w:rPr>
        <w:t>中心机房</w:t>
      </w:r>
      <w:r>
        <w:rPr>
          <w:rFonts w:hint="eastAsia" w:ascii="仿宋" w:hAnsi="仿宋" w:eastAsia="仿宋" w:cs="仿宋"/>
          <w:kern w:val="0"/>
          <w:szCs w:val="21"/>
          <w:lang w:eastAsia="zh-CN"/>
        </w:rPr>
        <w:t>配电柜</w:t>
      </w:r>
      <w:r>
        <w:rPr>
          <w:rFonts w:hint="eastAsia" w:ascii="仿宋" w:hAnsi="仿宋" w:eastAsia="仿宋" w:cs="仿宋"/>
          <w:kern w:val="0"/>
          <w:szCs w:val="21"/>
        </w:rPr>
        <w:t>安装；</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UPS安装；</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桥架安装、穿管、布线；</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机房装修；</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空调安装测试。</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10. 机房装修</w:t>
      </w:r>
    </w:p>
    <w:p>
      <w:pPr>
        <w:widowControl/>
        <w:spacing w:line="400" w:lineRule="exact"/>
        <w:jc w:val="left"/>
        <w:rPr>
          <w:rFonts w:hint="eastAsia" w:ascii="仿宋" w:hAnsi="仿宋" w:eastAsia="仿宋" w:cs="仿宋"/>
          <w:kern w:val="0"/>
          <w:szCs w:val="21"/>
          <w:lang w:val="en-US" w:eastAsia="zh-CN"/>
        </w:rPr>
      </w:pPr>
      <w:r>
        <w:rPr>
          <w:rFonts w:hint="eastAsia" w:ascii="仿宋" w:hAnsi="仿宋" w:eastAsia="仿宋" w:cs="仿宋"/>
          <w:kern w:val="0"/>
          <w:szCs w:val="21"/>
        </w:rPr>
        <w:t>实施方法说明：</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安装设备散力架</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中心机房精密空调</w:t>
      </w:r>
      <w:r>
        <w:rPr>
          <w:rFonts w:hint="eastAsia" w:ascii="仿宋" w:hAnsi="仿宋" w:eastAsia="仿宋" w:cs="仿宋"/>
          <w:kern w:val="0"/>
          <w:szCs w:val="21"/>
        </w:rPr>
        <w:t>200米铜管、铜管保温套</w:t>
      </w:r>
      <w:r>
        <w:rPr>
          <w:rFonts w:hint="eastAsia" w:ascii="仿宋" w:hAnsi="仿宋" w:eastAsia="仿宋" w:cs="仿宋"/>
          <w:kern w:val="0"/>
          <w:szCs w:val="21"/>
          <w:lang w:eastAsia="zh-CN"/>
        </w:rPr>
        <w:t>；</w:t>
      </w:r>
      <w:r>
        <w:rPr>
          <w:rFonts w:hint="eastAsia" w:ascii="仿宋" w:hAnsi="仿宋" w:eastAsia="仿宋" w:cs="仿宋"/>
          <w:kern w:val="0"/>
          <w:szCs w:val="21"/>
        </w:rPr>
        <w:t>室内室外机电缆</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机房精密空调</w:t>
      </w:r>
      <w:r>
        <w:rPr>
          <w:rFonts w:hint="eastAsia" w:ascii="仿宋" w:hAnsi="仿宋" w:eastAsia="仿宋" w:cs="仿宋"/>
          <w:kern w:val="0"/>
          <w:szCs w:val="21"/>
        </w:rPr>
        <w:t>上下排水，支持强排水</w:t>
      </w:r>
      <w:r>
        <w:rPr>
          <w:rFonts w:hint="eastAsia" w:ascii="仿宋" w:hAnsi="仿宋" w:eastAsia="仿宋" w:cs="仿宋"/>
          <w:kern w:val="0"/>
          <w:szCs w:val="21"/>
          <w:lang w:eastAsia="zh-CN"/>
        </w:rPr>
        <w:t>；</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11. 设备回迁</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实施方法说明：设备回迁的实施方法同前“设备改造”</w:t>
      </w:r>
    </w:p>
    <w:p>
      <w:pPr>
        <w:widowControl/>
        <w:spacing w:line="400" w:lineRule="exact"/>
        <w:ind w:firstLine="440" w:firstLineChars="200"/>
        <w:jc w:val="left"/>
        <w:rPr>
          <w:rFonts w:hint="eastAsia" w:ascii="仿宋" w:hAnsi="仿宋" w:eastAsia="仿宋" w:cs="仿宋"/>
          <w:kern w:val="0"/>
          <w:szCs w:val="21"/>
        </w:rPr>
      </w:pPr>
      <w:r>
        <w:rPr>
          <w:rFonts w:hint="eastAsia" w:ascii="仿宋" w:hAnsi="仿宋" w:eastAsia="仿宋" w:cs="仿宋"/>
          <w:kern w:val="0"/>
          <w:szCs w:val="21"/>
        </w:rPr>
        <w:t>要求</w:t>
      </w:r>
      <w:r>
        <w:rPr>
          <w:rFonts w:hint="eastAsia" w:ascii="仿宋" w:hAnsi="仿宋" w:eastAsia="仿宋" w:cs="仿宋"/>
          <w:kern w:val="0"/>
          <w:szCs w:val="21"/>
          <w:lang w:val="en-US" w:eastAsia="zh-CN"/>
        </w:rPr>
        <w:t>投标人</w:t>
      </w:r>
      <w:r>
        <w:rPr>
          <w:rFonts w:hint="eastAsia" w:ascii="仿宋" w:hAnsi="仿宋" w:eastAsia="仿宋" w:cs="仿宋"/>
          <w:kern w:val="0"/>
          <w:szCs w:val="21"/>
        </w:rPr>
        <w:t>重新绘制</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网络拓扑图、</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机柜设备设备布置图、设备跳线表，特别是要重新制作粘贴设备和线缆标签。整理交换机IP、VLAN、配置资料，整理服务器账户、密码、服务器的运行业务、IP等资料。</w:t>
      </w:r>
    </w:p>
    <w:p>
      <w:pPr>
        <w:widowControl/>
        <w:spacing w:line="400" w:lineRule="exact"/>
        <w:ind w:firstLine="440" w:firstLineChars="200"/>
        <w:jc w:val="left"/>
        <w:rPr>
          <w:rFonts w:hint="eastAsia" w:ascii="仿宋" w:hAnsi="仿宋" w:eastAsia="仿宋" w:cs="仿宋"/>
          <w:kern w:val="0"/>
          <w:szCs w:val="21"/>
        </w:rPr>
      </w:pPr>
      <w:r>
        <w:rPr>
          <w:rFonts w:hint="eastAsia" w:ascii="仿宋" w:hAnsi="仿宋" w:eastAsia="仿宋" w:cs="仿宋"/>
          <w:kern w:val="0"/>
          <w:szCs w:val="21"/>
          <w:lang w:eastAsia="zh-CN"/>
        </w:rPr>
        <w:t>伊犁哈萨克自治州友谊医院</w:t>
      </w:r>
      <w:r>
        <w:rPr>
          <w:rFonts w:hint="eastAsia" w:ascii="仿宋" w:hAnsi="仿宋" w:eastAsia="仿宋" w:cs="仿宋"/>
          <w:kern w:val="0"/>
          <w:szCs w:val="21"/>
        </w:rPr>
        <w:t>机房</w:t>
      </w:r>
      <w:r>
        <w:rPr>
          <w:rFonts w:hint="eastAsia" w:ascii="仿宋" w:hAnsi="仿宋" w:eastAsia="仿宋" w:cs="仿宋"/>
          <w:kern w:val="0"/>
          <w:szCs w:val="21"/>
          <w:lang w:eastAsia="zh-CN"/>
        </w:rPr>
        <w:t>智能配电</w:t>
      </w:r>
      <w:r>
        <w:rPr>
          <w:rFonts w:hint="eastAsia" w:ascii="仿宋" w:hAnsi="仿宋" w:eastAsia="仿宋" w:cs="仿宋"/>
          <w:kern w:val="0"/>
          <w:szCs w:val="21"/>
        </w:rPr>
        <w:t>改造及设备迁移部署需要实施工程师规划、配置、安装、调试。</w:t>
      </w:r>
    </w:p>
    <w:p>
      <w:pPr>
        <w:widowControl/>
        <w:spacing w:line="400" w:lineRule="exact"/>
        <w:jc w:val="left"/>
        <w:rPr>
          <w:rFonts w:hint="eastAsia" w:ascii="仿宋" w:hAnsi="仿宋" w:eastAsia="仿宋" w:cs="仿宋"/>
          <w:kern w:val="0"/>
          <w:szCs w:val="21"/>
        </w:rPr>
      </w:pPr>
      <w:r>
        <w:rPr>
          <w:rFonts w:hint="eastAsia" w:ascii="仿宋" w:hAnsi="仿宋" w:eastAsia="仿宋" w:cs="仿宋"/>
          <w:kern w:val="0"/>
          <w:szCs w:val="21"/>
        </w:rPr>
        <w:t>12. 设备回迁后的运维</w:t>
      </w:r>
    </w:p>
    <w:p>
      <w:pPr>
        <w:widowControl/>
        <w:spacing w:line="400" w:lineRule="exact"/>
        <w:ind w:firstLine="440" w:firstLineChars="200"/>
        <w:jc w:val="left"/>
        <w:rPr>
          <w:rFonts w:hint="eastAsia" w:ascii="仿宋" w:hAnsi="仿宋" w:eastAsia="仿宋" w:cs="仿宋"/>
          <w:kern w:val="0"/>
          <w:szCs w:val="21"/>
        </w:rPr>
      </w:pPr>
      <w:r>
        <w:rPr>
          <w:rFonts w:hint="eastAsia" w:ascii="仿宋" w:hAnsi="仿宋" w:eastAsia="仿宋" w:cs="仿宋"/>
          <w:kern w:val="0"/>
          <w:szCs w:val="21"/>
        </w:rPr>
        <w:t>由于这一步骤关系到整个项目能否顺利验收，所以实施工程师应该随时向项目经理汇报实施工作的进展情况，特别是发现系统故障和风险，要及时向项目经理汇报并配合项目经理处理解决。</w:t>
      </w:r>
    </w:p>
    <w:p>
      <w:pPr>
        <w:pStyle w:val="2"/>
        <w:rPr>
          <w:rFonts w:hint="eastAsia" w:ascii="仿宋" w:hAnsi="仿宋" w:eastAsia="仿宋" w:cs="仿宋"/>
          <w:kern w:val="0"/>
          <w:szCs w:val="21"/>
        </w:rPr>
      </w:pPr>
    </w:p>
    <w:p>
      <w:pPr>
        <w:widowControl/>
        <w:spacing w:line="400" w:lineRule="exact"/>
        <w:jc w:val="center"/>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伊犁哈萨克自治州友谊医院中心机房UPS、精密空调</w:t>
      </w:r>
    </w:p>
    <w:p>
      <w:pPr>
        <w:widowControl/>
        <w:spacing w:line="40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lang w:val="en-US" w:eastAsia="zh-CN"/>
        </w:rPr>
        <w:t>及机柜电源电路改造</w:t>
      </w:r>
      <w:r>
        <w:rPr>
          <w:rFonts w:hint="eastAsia" w:ascii="仿宋" w:hAnsi="仿宋" w:eastAsia="仿宋" w:cs="仿宋"/>
          <w:b/>
          <w:bCs/>
          <w:kern w:val="0"/>
          <w:sz w:val="28"/>
          <w:szCs w:val="28"/>
        </w:rPr>
        <w:t>项目清单</w:t>
      </w:r>
    </w:p>
    <w:tbl>
      <w:tblPr>
        <w:tblStyle w:val="16"/>
        <w:tblpPr w:leftFromText="180" w:rightFromText="180" w:vertAnchor="text" w:horzAnchor="page" w:tblpX="1909" w:tblpY="914"/>
        <w:tblOverlap w:val="never"/>
        <w:tblW w:w="0" w:type="auto"/>
        <w:tblInd w:w="0" w:type="dxa"/>
        <w:tblLayout w:type="fixed"/>
        <w:tblCellMar>
          <w:top w:w="0" w:type="dxa"/>
          <w:left w:w="0" w:type="dxa"/>
          <w:bottom w:w="0" w:type="dxa"/>
          <w:right w:w="0" w:type="dxa"/>
        </w:tblCellMar>
      </w:tblPr>
      <w:tblGrid>
        <w:gridCol w:w="567"/>
        <w:gridCol w:w="4745"/>
        <w:gridCol w:w="1065"/>
        <w:gridCol w:w="1020"/>
        <w:gridCol w:w="1425"/>
      </w:tblGrid>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序号</w:t>
            </w:r>
          </w:p>
        </w:tc>
        <w:tc>
          <w:tcPr>
            <w:tcW w:w="47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名称</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数量</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单位</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b/>
                <w:kern w:val="0"/>
                <w:szCs w:val="21"/>
                <w:lang w:bidi="ar"/>
              </w:rPr>
            </w:pPr>
            <w:r>
              <w:rPr>
                <w:rFonts w:hint="eastAsia" w:ascii="仿宋" w:hAnsi="仿宋" w:eastAsia="仿宋" w:cs="仿宋"/>
                <w:b/>
                <w:kern w:val="0"/>
                <w:szCs w:val="21"/>
                <w:lang w:bidi="ar"/>
              </w:rPr>
              <w:t>质保年限</w:t>
            </w:r>
          </w:p>
        </w:tc>
      </w:tr>
      <w:tr>
        <w:tblPrEx>
          <w:tblCellMar>
            <w:top w:w="0" w:type="dxa"/>
            <w:left w:w="0" w:type="dxa"/>
            <w:bottom w:w="0" w:type="dxa"/>
            <w:right w:w="0"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1</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before="120" w:line="240" w:lineRule="atLeast"/>
              <w:rPr>
                <w:rFonts w:hint="eastAsia" w:ascii="仿宋" w:hAnsi="仿宋" w:eastAsia="仿宋" w:cs="仿宋"/>
                <w:kern w:val="0"/>
                <w:sz w:val="18"/>
                <w:szCs w:val="18"/>
              </w:rPr>
            </w:pPr>
            <w:r>
              <w:rPr>
                <w:rFonts w:hint="eastAsia" w:ascii="仿宋" w:hAnsi="仿宋" w:eastAsia="仿宋" w:cs="仿宋"/>
                <w:kern w:val="0"/>
                <w:sz w:val="18"/>
                <w:szCs w:val="18"/>
              </w:rPr>
              <w:t>P2040FARMS1R，41KW，下送风风机从本院搬迁重新部署至开发区分院</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firstLine="200" w:firstLineChars="100"/>
              <w:textAlignment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88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2</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before="120" w:line="240" w:lineRule="atLeast"/>
              <w:rPr>
                <w:rFonts w:hint="eastAsia" w:ascii="仿宋" w:hAnsi="仿宋" w:eastAsia="仿宋" w:cs="仿宋"/>
                <w:kern w:val="0"/>
                <w:sz w:val="18"/>
                <w:szCs w:val="18"/>
              </w:rPr>
            </w:pPr>
            <w:r>
              <w:rPr>
                <w:rFonts w:hint="eastAsia" w:ascii="仿宋" w:hAnsi="仿宋" w:eastAsia="仿宋" w:cs="仿宋"/>
                <w:kern w:val="0"/>
                <w:sz w:val="18"/>
                <w:szCs w:val="18"/>
              </w:rPr>
              <w:t>PEX2040机房精密空调室外机LSF24下送风风机下沉式从本院搬迁重新部署至开发区分院</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1043"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3</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ascii="仿宋" w:hAnsi="仿宋" w:eastAsia="仿宋" w:cs="仿宋"/>
                <w:kern w:val="0"/>
                <w:sz w:val="18"/>
                <w:szCs w:val="18"/>
              </w:rPr>
            </w:pPr>
            <w:r>
              <w:rPr>
                <w:rFonts w:hint="eastAsia" w:ascii="仿宋" w:hAnsi="仿宋" w:eastAsia="仿宋" w:cs="仿宋"/>
                <w:kern w:val="0"/>
                <w:sz w:val="18"/>
                <w:szCs w:val="18"/>
              </w:rPr>
              <w:t>UPS不间断电源NXR20K两台并机从本院搬迁重新部署至开发区分院；原厂工程师制定实施方案，保证正确的、安全的改造，并对原UPS  主机重新设置冗余并机。</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4</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对原有的输入配电柜和输出配电柜改造；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eastAsia="zh-CN"/>
              </w:rPr>
            </w:pPr>
            <w:r>
              <w:rPr>
                <w:rFonts w:hint="eastAsia" w:ascii="仿宋" w:hAnsi="仿宋" w:eastAsia="仿宋" w:cs="仿宋"/>
                <w:kern w:val="0"/>
                <w:sz w:val="20"/>
                <w:lang w:val="en-US" w:eastAsia="zh-CN"/>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5</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机柜PDU及供电线路进行改造敷设</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15</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套</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454" w:hRule="exac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6</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 w:hAnsi="仿宋" w:eastAsia="仿宋" w:cs="仿宋"/>
                <w:kern w:val="0"/>
                <w:sz w:val="18"/>
                <w:szCs w:val="18"/>
              </w:rPr>
            </w:pPr>
            <w:r>
              <w:rPr>
                <w:rFonts w:hint="eastAsia" w:ascii="仿宋" w:hAnsi="仿宋" w:eastAsia="仿宋" w:cs="仿宋"/>
                <w:kern w:val="0"/>
                <w:sz w:val="18"/>
                <w:szCs w:val="18"/>
              </w:rPr>
              <w:t>模块化</w:t>
            </w:r>
            <w:r>
              <w:rPr>
                <w:rFonts w:hint="eastAsia" w:ascii="仿宋" w:hAnsi="仿宋" w:eastAsia="仿宋" w:cs="仿宋"/>
                <w:kern w:val="0"/>
                <w:sz w:val="18"/>
                <w:szCs w:val="18"/>
                <w:lang w:val="en-US" w:eastAsia="zh-CN"/>
              </w:rPr>
              <w:t>120</w:t>
            </w:r>
            <w:r>
              <w:rPr>
                <w:rFonts w:hint="eastAsia" w:ascii="仿宋" w:hAnsi="仿宋" w:eastAsia="仿宋" w:cs="仿宋"/>
                <w:kern w:val="0"/>
                <w:sz w:val="18"/>
                <w:szCs w:val="18"/>
              </w:rPr>
              <w:t>KUPS不间断电源</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454"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7</w:t>
            </w:r>
          </w:p>
        </w:tc>
        <w:tc>
          <w:tcPr>
            <w:tcW w:w="4745" w:type="dxa"/>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spacing w:before="120"/>
              <w:textAlignment w:val="center"/>
              <w:rPr>
                <w:rFonts w:hint="eastAsia" w:ascii="仿宋" w:hAnsi="仿宋" w:eastAsia="仿宋" w:cs="仿宋"/>
                <w:kern w:val="0"/>
                <w:sz w:val="18"/>
                <w:szCs w:val="18"/>
              </w:rPr>
            </w:pPr>
            <w:r>
              <w:rPr>
                <w:rFonts w:hint="eastAsia" w:ascii="仿宋" w:hAnsi="仿宋" w:eastAsia="仿宋" w:cs="仿宋"/>
                <w:kern w:val="0"/>
                <w:sz w:val="18"/>
                <w:szCs w:val="18"/>
              </w:rPr>
              <w:t>UPS不间断电源2KVA</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6</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454"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8</w:t>
            </w:r>
          </w:p>
        </w:tc>
        <w:tc>
          <w:tcPr>
            <w:tcW w:w="4745" w:type="dxa"/>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spacing w:before="120"/>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机房精密空调</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9</w:t>
            </w:r>
          </w:p>
        </w:tc>
        <w:tc>
          <w:tcPr>
            <w:tcW w:w="4745" w:type="dxa"/>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rPr>
                <w:rFonts w:hint="eastAsia" w:ascii="仿宋" w:hAnsi="仿宋" w:eastAsia="仿宋" w:cs="仿宋"/>
                <w:kern w:val="0"/>
                <w:sz w:val="18"/>
                <w:szCs w:val="18"/>
              </w:rPr>
            </w:pPr>
            <w:r>
              <w:rPr>
                <w:rFonts w:hint="eastAsia" w:ascii="仿宋" w:hAnsi="仿宋" w:eastAsia="仿宋" w:cs="仿宋"/>
                <w:kern w:val="0"/>
                <w:sz w:val="18"/>
                <w:szCs w:val="18"/>
              </w:rPr>
              <w:t>机房精密空调室外机</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10</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200米铜管、铜管保温套、室内室外机电缆</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机房精密空调</w:t>
            </w:r>
            <w:r>
              <w:rPr>
                <w:rFonts w:hint="eastAsia" w:ascii="仿宋" w:hAnsi="仿宋" w:eastAsia="仿宋" w:cs="仿宋"/>
                <w:kern w:val="0"/>
                <w:sz w:val="18"/>
                <w:szCs w:val="18"/>
              </w:rPr>
              <w:t>上下排水，支持强排水</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5罐冷媒及搬运费</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bidi="ar"/>
              </w:rPr>
              <w:t>11</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仿宋" w:hAnsi="仿宋" w:eastAsia="仿宋" w:cs="仿宋"/>
                <w:color w:val="000000"/>
                <w:kern w:val="0"/>
                <w:sz w:val="20"/>
                <w:szCs w:val="22"/>
                <w:lang w:val="en-US" w:eastAsia="zh-CN" w:bidi="ar-SA"/>
              </w:rPr>
            </w:pPr>
            <w:r>
              <w:rPr>
                <w:rFonts w:hint="eastAsia" w:ascii="仿宋" w:hAnsi="仿宋" w:eastAsia="仿宋" w:cs="仿宋"/>
                <w:color w:val="000000"/>
                <w:kern w:val="0"/>
                <w:sz w:val="20"/>
              </w:rPr>
              <w:t>机房精密空调改水路</w:t>
            </w:r>
            <w:r>
              <w:rPr>
                <w:rFonts w:hint="eastAsia" w:ascii="仿宋" w:hAnsi="仿宋" w:eastAsia="仿宋" w:cs="仿宋"/>
                <w:color w:val="000000"/>
                <w:kern w:val="0"/>
                <w:sz w:val="20"/>
                <w:lang w:eastAsia="zh-CN"/>
              </w:rPr>
              <w:t>：</w:t>
            </w:r>
            <w:r>
              <w:rPr>
                <w:rFonts w:hint="eastAsia" w:ascii="仿宋" w:hAnsi="仿宋" w:eastAsia="仿宋" w:cs="仿宋"/>
                <w:color w:val="000000"/>
                <w:kern w:val="0"/>
                <w:sz w:val="20"/>
              </w:rPr>
              <w:t>中心机房内</w:t>
            </w:r>
            <w:r>
              <w:rPr>
                <w:rFonts w:hint="eastAsia" w:ascii="仿宋" w:hAnsi="仿宋" w:eastAsia="仿宋" w:cs="仿宋"/>
                <w:color w:val="000000"/>
                <w:kern w:val="0"/>
                <w:sz w:val="20"/>
                <w:lang w:val="en-US" w:eastAsia="zh-CN"/>
              </w:rPr>
              <w:t>2</w:t>
            </w:r>
            <w:r>
              <w:rPr>
                <w:rFonts w:hint="eastAsia" w:ascii="仿宋" w:hAnsi="仿宋" w:eastAsia="仿宋" w:cs="仿宋"/>
                <w:color w:val="000000"/>
                <w:kern w:val="0"/>
                <w:sz w:val="20"/>
              </w:rPr>
              <w:t>台精密空调水路统一供水</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12</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w:t>
            </w:r>
            <w:r>
              <w:rPr>
                <w:rFonts w:hint="eastAsia" w:ascii="仿宋" w:hAnsi="仿宋" w:eastAsia="仿宋" w:cs="仿宋"/>
                <w:kern w:val="0"/>
                <w:sz w:val="18"/>
                <w:szCs w:val="18"/>
                <w:lang w:val="en-US" w:eastAsia="zh-CN"/>
              </w:rPr>
              <w:t>精密空调、UPS设备</w:t>
            </w:r>
            <w:r>
              <w:rPr>
                <w:rFonts w:hint="eastAsia" w:ascii="仿宋" w:hAnsi="仿宋" w:eastAsia="仿宋" w:cs="仿宋"/>
                <w:kern w:val="0"/>
                <w:sz w:val="18"/>
                <w:szCs w:val="18"/>
              </w:rPr>
              <w:t>承重加固</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套</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13</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仿宋" w:hAnsi="仿宋" w:eastAsia="仿宋" w:cs="仿宋"/>
                <w:kern w:val="0"/>
                <w:sz w:val="18"/>
                <w:szCs w:val="18"/>
                <w:lang w:val="en-US" w:eastAsia="zh-CN" w:bidi="ar-SA"/>
              </w:rPr>
            </w:pPr>
            <w:r>
              <w:rPr>
                <w:rFonts w:hint="eastAsia" w:ascii="仿宋" w:hAnsi="仿宋" w:eastAsia="仿宋" w:cs="仿宋"/>
                <w:color w:val="000000"/>
                <w:kern w:val="0"/>
                <w:sz w:val="20"/>
              </w:rPr>
              <w:t>中心机房内所有照明市电改UPS电</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szCs w:val="22"/>
                <w:lang w:val="en-US" w:eastAsia="zh-CN" w:bidi="ar-SA"/>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szCs w:val="22"/>
                <w:lang w:val="en-US" w:eastAsia="zh-CN" w:bidi="ar-SA"/>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szCs w:val="22"/>
                <w:lang w:val="en-US" w:eastAsia="zh-CN" w:bidi="ar-SA"/>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14</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吊顶式新风净化机（送风）</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15</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吊顶式排风机（排风）</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16</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新风换气机制作管道</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bidi="ar"/>
              </w:rPr>
              <w:t>17</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right="220" w:rightChars="100"/>
              <w:jc w:val="both"/>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新风施工项目墙体破碎修复；墙体窗户上玻璃</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18</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机房输入配电柜改造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19</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机房输出配电柜改造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20</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机房弱电布线改造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21</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机房强电布线改造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bidi="ar"/>
              </w:rPr>
            </w:pPr>
            <w:r>
              <w:rPr>
                <w:rFonts w:hint="eastAsia" w:ascii="仿宋" w:hAnsi="仿宋" w:eastAsia="仿宋" w:cs="仿宋"/>
                <w:bCs/>
                <w:kern w:val="0"/>
                <w:sz w:val="20"/>
                <w:szCs w:val="20"/>
                <w:lang w:bidi="ar"/>
              </w:rPr>
              <w:t>22</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机房接地布线改造</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23</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机房网络改造及设备搬迁重新部署</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24</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rPr>
                <w:rFonts w:hint="eastAsia" w:ascii="仿宋" w:hAnsi="仿宋" w:eastAsia="仿宋" w:cs="仿宋"/>
                <w:kern w:val="0"/>
                <w:sz w:val="18"/>
                <w:szCs w:val="18"/>
              </w:rPr>
            </w:pPr>
            <w:r>
              <w:rPr>
                <w:rFonts w:hint="eastAsia" w:ascii="仿宋" w:hAnsi="仿宋" w:eastAsia="仿宋" w:cs="仿宋"/>
                <w:kern w:val="0"/>
                <w:sz w:val="18"/>
                <w:szCs w:val="18"/>
              </w:rPr>
              <w:t>机房供配电系统改造项目（含开发区分院项目）</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25</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20"/>
              </w:rPr>
            </w:pPr>
            <w:r>
              <w:rPr>
                <w:rFonts w:hint="eastAsia" w:ascii="仿宋" w:hAnsi="仿宋" w:eastAsia="仿宋" w:cs="仿宋"/>
                <w:kern w:val="0"/>
                <w:sz w:val="18"/>
                <w:szCs w:val="18"/>
              </w:rPr>
              <w:t>P2040FARMS1R空调压缩机及原厂维保服务</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eastAsia="zh-CN"/>
              </w:rPr>
            </w:pPr>
            <w:r>
              <w:rPr>
                <w:rFonts w:hint="eastAsia" w:ascii="仿宋" w:hAnsi="仿宋" w:eastAsia="仿宋" w:cs="仿宋"/>
                <w:kern w:val="0"/>
                <w:sz w:val="20"/>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26</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容灾机房DC基础设施一体柜</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val="en-US" w:eastAsia="zh-CN"/>
              </w:rPr>
            </w:pPr>
            <w:r>
              <w:rPr>
                <w:rFonts w:hint="eastAsia" w:ascii="仿宋" w:hAnsi="仿宋" w:eastAsia="仿宋" w:cs="仿宋"/>
                <w:kern w:val="0"/>
                <w:sz w:val="20"/>
                <w:lang w:val="en-US" w:eastAsia="zh-CN"/>
              </w:rPr>
              <w:t>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27</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容灾机房专用</w:t>
            </w:r>
            <w:r>
              <w:rPr>
                <w:rFonts w:hint="eastAsia" w:ascii="仿宋" w:hAnsi="仿宋" w:eastAsia="仿宋" w:cs="仿宋"/>
                <w:kern w:val="0"/>
                <w:sz w:val="18"/>
                <w:szCs w:val="18"/>
                <w:lang w:val="en-US" w:eastAsia="zh-CN"/>
              </w:rPr>
              <w:t>精密</w:t>
            </w:r>
            <w:r>
              <w:rPr>
                <w:rFonts w:hint="eastAsia" w:ascii="仿宋" w:hAnsi="仿宋" w:eastAsia="仿宋" w:cs="仿宋"/>
                <w:kern w:val="0"/>
                <w:sz w:val="18"/>
                <w:szCs w:val="18"/>
              </w:rPr>
              <w:t>空调</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eastAsia="zh-CN"/>
              </w:rPr>
            </w:pPr>
            <w:r>
              <w:rPr>
                <w:rFonts w:hint="eastAsia" w:ascii="仿宋" w:hAnsi="仿宋" w:eastAsia="仿宋" w:cs="仿宋"/>
                <w:kern w:val="0"/>
                <w:sz w:val="20"/>
                <w:lang w:val="en-US" w:eastAsia="zh-CN"/>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28</w:t>
            </w:r>
          </w:p>
        </w:tc>
        <w:tc>
          <w:tcPr>
            <w:tcW w:w="47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容灾机房专用</w:t>
            </w:r>
            <w:r>
              <w:rPr>
                <w:rFonts w:hint="eastAsia" w:ascii="仿宋" w:hAnsi="仿宋" w:eastAsia="仿宋" w:cs="仿宋"/>
                <w:kern w:val="0"/>
                <w:sz w:val="18"/>
                <w:szCs w:val="18"/>
                <w:lang w:val="en-US" w:eastAsia="zh-CN"/>
              </w:rPr>
              <w:t>精密</w:t>
            </w:r>
            <w:r>
              <w:rPr>
                <w:rFonts w:hint="eastAsia" w:ascii="仿宋" w:hAnsi="仿宋" w:eastAsia="仿宋" w:cs="仿宋"/>
                <w:kern w:val="0"/>
                <w:sz w:val="18"/>
                <w:szCs w:val="18"/>
              </w:rPr>
              <w:t>空调室外机</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eastAsia="zh-CN"/>
              </w:rPr>
            </w:pPr>
            <w:r>
              <w:rPr>
                <w:rFonts w:hint="eastAsia" w:ascii="仿宋" w:hAnsi="仿宋" w:eastAsia="仿宋" w:cs="仿宋"/>
                <w:kern w:val="0"/>
                <w:sz w:val="20"/>
                <w:lang w:val="en-US" w:eastAsia="zh-CN"/>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rPr>
            </w:pPr>
            <w:r>
              <w:rPr>
                <w:rFonts w:hint="eastAsia" w:ascii="仿宋" w:hAnsi="仿宋" w:eastAsia="仿宋" w:cs="仿宋"/>
                <w:kern w:val="0"/>
                <w:sz w:val="20"/>
              </w:rPr>
              <w:t>台</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kern w:val="0"/>
                <w:sz w:val="20"/>
              </w:rPr>
            </w:pPr>
            <w:r>
              <w:rPr>
                <w:rFonts w:hint="eastAsia" w:ascii="仿宋" w:hAnsi="仿宋" w:eastAsia="仿宋" w:cs="仿宋"/>
                <w:kern w:val="0"/>
                <w:sz w:val="20"/>
              </w:rPr>
              <w:t>3年</w:t>
            </w:r>
          </w:p>
        </w:tc>
      </w:tr>
      <w:tr>
        <w:tblPrEx>
          <w:tblCellMar>
            <w:top w:w="0" w:type="dxa"/>
            <w:left w:w="0" w:type="dxa"/>
            <w:bottom w:w="0" w:type="dxa"/>
            <w:right w:w="0" w:type="dxa"/>
          </w:tblCellMar>
        </w:tblPrEx>
        <w:trPr>
          <w:trHeight w:val="397"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220" w:rightChars="100"/>
              <w:jc w:val="right"/>
              <w:textAlignment w:val="center"/>
              <w:rPr>
                <w:rFonts w:hint="eastAsia" w:ascii="仿宋" w:hAnsi="仿宋" w:eastAsia="仿宋" w:cs="仿宋"/>
                <w:bCs/>
                <w:kern w:val="0"/>
                <w:sz w:val="20"/>
                <w:szCs w:val="20"/>
                <w:lang w:val="en-US" w:eastAsia="zh-CN" w:bidi="ar"/>
              </w:rPr>
            </w:pPr>
            <w:r>
              <w:rPr>
                <w:rFonts w:hint="eastAsia" w:ascii="仿宋" w:hAnsi="仿宋" w:eastAsia="仿宋" w:cs="仿宋"/>
                <w:bCs/>
                <w:kern w:val="0"/>
                <w:sz w:val="20"/>
                <w:szCs w:val="20"/>
                <w:lang w:val="en-US" w:eastAsia="zh-CN" w:bidi="ar"/>
              </w:rPr>
              <w:t>29</w:t>
            </w:r>
          </w:p>
        </w:tc>
        <w:tc>
          <w:tcPr>
            <w:tcW w:w="4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仿宋" w:hAnsi="仿宋" w:eastAsia="仿宋" w:cs="仿宋"/>
                <w:kern w:val="0"/>
                <w:sz w:val="20"/>
              </w:rPr>
            </w:pPr>
            <w:r>
              <w:rPr>
                <w:rFonts w:hint="eastAsia" w:ascii="仿宋" w:hAnsi="仿宋" w:eastAsia="仿宋" w:cs="仿宋"/>
                <w:kern w:val="0"/>
                <w:sz w:val="18"/>
                <w:szCs w:val="18"/>
                <w:lang w:val="en-US" w:eastAsia="zh-CN"/>
              </w:rPr>
              <w:t>机房集中</w:t>
            </w:r>
            <w:r>
              <w:rPr>
                <w:rFonts w:hint="eastAsia" w:ascii="仿宋" w:hAnsi="仿宋" w:eastAsia="仿宋" w:cs="仿宋"/>
                <w:kern w:val="0"/>
                <w:sz w:val="18"/>
                <w:szCs w:val="18"/>
              </w:rPr>
              <w:t>监控及</w:t>
            </w:r>
            <w:r>
              <w:rPr>
                <w:rFonts w:hint="eastAsia" w:ascii="仿宋" w:hAnsi="仿宋" w:eastAsia="仿宋" w:cs="仿宋"/>
                <w:kern w:val="0"/>
                <w:sz w:val="18"/>
                <w:szCs w:val="18"/>
                <w:lang w:val="en-US" w:eastAsia="zh-CN"/>
              </w:rPr>
              <w:t>环境</w:t>
            </w:r>
            <w:r>
              <w:rPr>
                <w:rFonts w:hint="eastAsia" w:ascii="仿宋" w:hAnsi="仿宋" w:eastAsia="仿宋" w:cs="仿宋"/>
                <w:kern w:val="0"/>
                <w:sz w:val="18"/>
                <w:szCs w:val="18"/>
              </w:rPr>
              <w:t>管理系统：</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eastAsia="zh-CN"/>
              </w:rPr>
            </w:pPr>
            <w:r>
              <w:rPr>
                <w:rFonts w:hint="eastAsia" w:ascii="仿宋" w:hAnsi="仿宋" w:eastAsia="仿宋" w:cs="仿宋"/>
                <w:kern w:val="0"/>
                <w:sz w:val="20"/>
                <w:lang w:val="en-US" w:eastAsia="zh-CN"/>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left="220" w:leftChars="100"/>
              <w:jc w:val="center"/>
              <w:textAlignment w:val="center"/>
              <w:rPr>
                <w:rFonts w:hint="eastAsia" w:ascii="仿宋" w:hAnsi="仿宋" w:eastAsia="仿宋" w:cs="仿宋"/>
                <w:kern w:val="0"/>
                <w:sz w:val="20"/>
                <w:lang w:eastAsia="zh-CN"/>
              </w:rPr>
            </w:pPr>
            <w:r>
              <w:rPr>
                <w:rFonts w:hint="eastAsia" w:ascii="仿宋" w:hAnsi="仿宋" w:eastAsia="仿宋" w:cs="仿宋"/>
                <w:kern w:val="0"/>
                <w:sz w:val="20"/>
                <w:lang w:val="en-US" w:eastAsia="zh-CN"/>
              </w:rPr>
              <w:t>项</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kern w:val="0"/>
                <w:sz w:val="20"/>
              </w:rPr>
              <w:t>3年</w:t>
            </w:r>
          </w:p>
        </w:tc>
      </w:tr>
    </w:tbl>
    <w:p>
      <w:pPr>
        <w:widowControl/>
        <w:spacing w:line="400" w:lineRule="exact"/>
        <w:jc w:val="center"/>
        <w:rPr>
          <w:rFonts w:hint="eastAsia" w:ascii="仿宋" w:hAnsi="仿宋" w:eastAsia="仿宋" w:cs="仿宋"/>
          <w:b/>
          <w:bCs/>
          <w:kern w:val="0"/>
          <w:sz w:val="28"/>
          <w:szCs w:val="28"/>
        </w:rPr>
      </w:pPr>
    </w:p>
    <w:p>
      <w:pPr>
        <w:pStyle w:val="2"/>
        <w:rPr>
          <w:rFonts w:hint="eastAsia" w:ascii="仿宋" w:hAnsi="仿宋" w:eastAsia="仿宋" w:cs="仿宋"/>
          <w:b/>
          <w:bCs/>
          <w:kern w:val="0"/>
          <w:sz w:val="28"/>
          <w:szCs w:val="28"/>
        </w:rPr>
      </w:pPr>
    </w:p>
    <w:p>
      <w:pPr>
        <w:pStyle w:val="2"/>
        <w:rPr>
          <w:rFonts w:hint="eastAsia" w:ascii="仿宋" w:hAnsi="仿宋" w:eastAsia="仿宋" w:cs="仿宋"/>
          <w:b/>
          <w:bCs/>
          <w:kern w:val="0"/>
          <w:sz w:val="28"/>
          <w:szCs w:val="28"/>
        </w:rPr>
      </w:pPr>
    </w:p>
    <w:p>
      <w:pPr>
        <w:pStyle w:val="2"/>
        <w:rPr>
          <w:rFonts w:hint="eastAsia" w:ascii="仿宋" w:hAnsi="仿宋" w:eastAsia="仿宋" w:cs="仿宋"/>
          <w:b/>
          <w:bCs/>
          <w:kern w:val="0"/>
          <w:sz w:val="28"/>
          <w:szCs w:val="28"/>
        </w:rPr>
      </w:pPr>
    </w:p>
    <w:p>
      <w:pPr>
        <w:pStyle w:val="2"/>
        <w:rPr>
          <w:rFonts w:hint="eastAsia" w:ascii="仿宋" w:hAnsi="仿宋" w:eastAsia="仿宋" w:cs="仿宋"/>
          <w:b/>
          <w:bCs/>
          <w:kern w:val="0"/>
          <w:sz w:val="28"/>
          <w:szCs w:val="28"/>
        </w:rPr>
      </w:pPr>
    </w:p>
    <w:p>
      <w:pPr>
        <w:widowControl/>
        <w:spacing w:line="400" w:lineRule="exact"/>
        <w:jc w:val="center"/>
        <w:rPr>
          <w:rFonts w:hint="eastAsia" w:ascii="仿宋" w:hAnsi="仿宋" w:eastAsia="仿宋" w:cs="仿宋"/>
          <w:b/>
          <w:bCs/>
          <w:kern w:val="0"/>
          <w:sz w:val="28"/>
          <w:szCs w:val="28"/>
          <w:lang w:val="en-US" w:eastAsia="zh-CN"/>
        </w:rPr>
      </w:pPr>
    </w:p>
    <w:p>
      <w:pPr>
        <w:widowControl/>
        <w:spacing w:line="400" w:lineRule="exact"/>
        <w:jc w:val="center"/>
        <w:rPr>
          <w:rFonts w:hint="eastAsia" w:ascii="仿宋" w:hAnsi="仿宋" w:eastAsia="仿宋" w:cs="仿宋"/>
          <w:b/>
          <w:bCs/>
          <w:kern w:val="0"/>
          <w:sz w:val="28"/>
          <w:szCs w:val="28"/>
          <w:lang w:val="en-US" w:eastAsia="zh-CN"/>
        </w:rPr>
      </w:pPr>
    </w:p>
    <w:p>
      <w:pPr>
        <w:widowControl/>
        <w:spacing w:line="400" w:lineRule="exact"/>
        <w:jc w:val="center"/>
        <w:rPr>
          <w:rFonts w:hint="eastAsia" w:ascii="仿宋" w:hAnsi="仿宋" w:eastAsia="仿宋" w:cs="仿宋"/>
          <w:b/>
          <w:bCs/>
          <w:kern w:val="0"/>
          <w:sz w:val="28"/>
          <w:szCs w:val="28"/>
          <w:lang w:val="en-US" w:eastAsia="zh-CN"/>
        </w:rPr>
      </w:pPr>
    </w:p>
    <w:p>
      <w:pPr>
        <w:widowControl/>
        <w:spacing w:line="400" w:lineRule="exact"/>
        <w:jc w:val="center"/>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伊犁哈萨克自治州友谊医院中心机房UPS、精密空调</w:t>
      </w:r>
    </w:p>
    <w:p>
      <w:pPr>
        <w:widowControl/>
        <w:autoSpaceDE w:val="0"/>
        <w:autoSpaceDN w:val="0"/>
        <w:ind w:firstLine="843" w:firstLineChars="300"/>
        <w:jc w:val="center"/>
        <w:rPr>
          <w:rFonts w:hint="eastAsia" w:ascii="仿宋" w:hAnsi="仿宋" w:eastAsia="仿宋" w:cs="仿宋"/>
          <w:b/>
          <w:bCs/>
          <w:kern w:val="0"/>
          <w:sz w:val="28"/>
          <w:szCs w:val="28"/>
        </w:rPr>
      </w:pPr>
      <w:r>
        <w:rPr>
          <w:rFonts w:hint="eastAsia" w:ascii="仿宋" w:hAnsi="仿宋" w:eastAsia="仿宋" w:cs="仿宋"/>
          <w:b/>
          <w:bCs/>
          <w:kern w:val="0"/>
          <w:sz w:val="28"/>
          <w:szCs w:val="28"/>
          <w:lang w:val="en-US" w:eastAsia="zh-CN"/>
        </w:rPr>
        <w:t>及机柜电源电路改造</w:t>
      </w:r>
      <w:r>
        <w:rPr>
          <w:rFonts w:hint="eastAsia" w:ascii="仿宋" w:hAnsi="仿宋" w:eastAsia="仿宋" w:cs="仿宋"/>
          <w:b/>
          <w:bCs/>
          <w:kern w:val="0"/>
          <w:sz w:val="28"/>
          <w:szCs w:val="28"/>
        </w:rPr>
        <w:t>项目详细参数</w:t>
      </w:r>
    </w:p>
    <w:tbl>
      <w:tblPr>
        <w:tblStyle w:val="16"/>
        <w:tblW w:w="0" w:type="auto"/>
        <w:jc w:val="center"/>
        <w:tblLayout w:type="fixed"/>
        <w:tblCellMar>
          <w:top w:w="15" w:type="dxa"/>
          <w:left w:w="15" w:type="dxa"/>
          <w:bottom w:w="15" w:type="dxa"/>
          <w:right w:w="15" w:type="dxa"/>
        </w:tblCellMar>
      </w:tblPr>
      <w:tblGrid>
        <w:gridCol w:w="578"/>
        <w:gridCol w:w="930"/>
        <w:gridCol w:w="7761"/>
      </w:tblGrid>
      <w:tr>
        <w:tblPrEx>
          <w:tblCellMar>
            <w:top w:w="15" w:type="dxa"/>
            <w:left w:w="15" w:type="dxa"/>
            <w:bottom w:w="15" w:type="dxa"/>
            <w:right w:w="15" w:type="dxa"/>
          </w:tblCellMar>
        </w:tblPrEx>
        <w:trPr>
          <w:trHeight w:val="418" w:hRule="exac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kern w:val="0"/>
                <w:sz w:val="18"/>
                <w:szCs w:val="18"/>
                <w:lang w:bidi="ar"/>
              </w:rPr>
            </w:pPr>
            <w:r>
              <w:rPr>
                <w:rFonts w:hint="eastAsia" w:ascii="仿宋" w:hAnsi="仿宋" w:eastAsia="仿宋" w:cs="仿宋"/>
                <w:b/>
                <w:kern w:val="0"/>
                <w:sz w:val="18"/>
                <w:szCs w:val="18"/>
                <w:lang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kern w:val="0"/>
                <w:sz w:val="18"/>
                <w:szCs w:val="18"/>
                <w:lang w:bidi="ar"/>
              </w:rPr>
            </w:pPr>
            <w:r>
              <w:rPr>
                <w:rFonts w:hint="eastAsia" w:ascii="仿宋" w:hAnsi="仿宋" w:eastAsia="仿宋" w:cs="仿宋"/>
                <w:b/>
                <w:kern w:val="0"/>
                <w:sz w:val="18"/>
                <w:szCs w:val="18"/>
                <w:lang w:bidi="ar"/>
              </w:rPr>
              <w:t>名称</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kern w:val="0"/>
                <w:sz w:val="18"/>
                <w:szCs w:val="18"/>
                <w:lang w:bidi="ar"/>
              </w:rPr>
            </w:pPr>
            <w:r>
              <w:rPr>
                <w:rFonts w:hint="eastAsia" w:ascii="仿宋" w:hAnsi="仿宋" w:eastAsia="仿宋" w:cs="仿宋"/>
                <w:b/>
                <w:kern w:val="0"/>
                <w:sz w:val="18"/>
                <w:szCs w:val="18"/>
                <w:lang w:bidi="ar"/>
              </w:rPr>
              <w:t>技术参数清单</w:t>
            </w:r>
          </w:p>
        </w:tc>
      </w:tr>
      <w:tr>
        <w:tblPrEx>
          <w:tblCellMar>
            <w:top w:w="15" w:type="dxa"/>
            <w:left w:w="15" w:type="dxa"/>
            <w:bottom w:w="15" w:type="dxa"/>
            <w:right w:w="15" w:type="dxa"/>
          </w:tblCellMar>
        </w:tblPrEx>
        <w:trPr>
          <w:trHeight w:val="52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spacing w:before="120" w:line="240" w:lineRule="atLeast"/>
              <w:rPr>
                <w:rFonts w:hint="eastAsia" w:ascii="仿宋" w:hAnsi="仿宋" w:eastAsia="仿宋" w:cs="仿宋"/>
                <w:kern w:val="0"/>
                <w:sz w:val="18"/>
                <w:szCs w:val="18"/>
              </w:rPr>
            </w:pPr>
            <w:r>
              <w:rPr>
                <w:rFonts w:hint="eastAsia" w:ascii="仿宋" w:hAnsi="仿宋" w:eastAsia="仿宋" w:cs="仿宋"/>
                <w:kern w:val="0"/>
                <w:sz w:val="18"/>
                <w:szCs w:val="18"/>
              </w:rPr>
              <w:t>P2040FARMS1R，41KW，下送风风机从本院搬迁重新部署至开发区分院</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P2040FARMS1R，41KW，下送风风机从本院改造至开发区分院：精密空调参数P2040FARMS1R，41KW，下送风风机下沉式设计Liebert.PEX机组除传统的Copeland柔性涡旋式高效涡旋压缩机外，还有采用数码涡旋压缩机的空调机组。数码涡旋压缩机可在 0%－ 00%范围内调节制冷量输出，具有良好的适应性和可扩展性，可以针对每年增长的热负荷可自动调节。在iCOM控制系统的管理下，数码涡旋技术在湿度控制上更有独特的优势，可以大大减少加湿量，节省湿度控制费用。与标准数码涡旋压缩机相比，降低 0%的能源消耗。iCOM控制器现场联控多达 台空调机组，多种联控模式可根据机房现场情况进行选择，以实现节能和降低制冷系统的全寿命成本■ 谷轮(Copeland)涡旋式压缩机，高能效比■ EC风机，比普通风机节能 0%■ 远红外加湿器，加湿响应快，加湿量恒定，水温低■ “V”型蒸发器，在有限的空间内增大换热面积可选微通道室外机快速除湿设计大面积V型蒸发盘管室外全调速风机机组内部气流采用CFD进行最优化轮巡模式(Rotation)和自动备份模式(Standby)■ 冷量动态分配(Cascading)跟据实际制冷需求开启或关闭相应的空调机组■ 避免竞争运行模式。避免出现同时制冷和加热、或除湿和加湿的情况经过严格认证的高品质部件■ 先进的控制器自动平衡部件的运行和磨损，延长系统寿命■ 具有专家自诊断和故障预警功能的控制系统■ 碳钢铆钉铆接的骨架机身，既稳定坚固又容易拆分■ 内外双层面板，内置防火隔热材料上送风、下送风机组的多种配置含;  机房网络布线系统(安普6类网线)</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丰富的双冷源方案</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冷冻水双盘管设计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环保设计，兼容R 和R 0 C的制冷系统</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可根据特殊需要进行定制化设计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压缩机高低压、排气高温、风量丢失、风机过载等多重保护措施</w:t>
            </w:r>
          </w:p>
        </w:tc>
      </w:tr>
      <w:tr>
        <w:tblPrEx>
          <w:tblCellMar>
            <w:top w:w="15" w:type="dxa"/>
            <w:left w:w="15" w:type="dxa"/>
            <w:bottom w:w="15" w:type="dxa"/>
            <w:right w:w="15" w:type="dxa"/>
          </w:tblCellMar>
        </w:tblPrEx>
        <w:trPr>
          <w:trHeight w:val="1674"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spacing w:before="120" w:line="240" w:lineRule="atLeast"/>
              <w:rPr>
                <w:rFonts w:hint="eastAsia" w:ascii="仿宋" w:hAnsi="仿宋" w:eastAsia="仿宋" w:cs="仿宋"/>
                <w:kern w:val="0"/>
                <w:sz w:val="18"/>
                <w:szCs w:val="18"/>
              </w:rPr>
            </w:pPr>
            <w:r>
              <w:rPr>
                <w:rFonts w:hint="eastAsia" w:ascii="仿宋" w:hAnsi="仿宋" w:eastAsia="仿宋" w:cs="仿宋"/>
                <w:kern w:val="0"/>
                <w:sz w:val="18"/>
                <w:szCs w:val="18"/>
              </w:rPr>
              <w:t>PEX2040机房精密空调室外机LSF24下送风风机下沉式从本院搬迁重新部署至开发区分院</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ind w:left="360" w:hanging="360" w:hangingChars="200"/>
              <w:jc w:val="left"/>
              <w:rPr>
                <w:rFonts w:hint="eastAsia" w:ascii="仿宋" w:hAnsi="仿宋" w:eastAsia="仿宋" w:cs="仿宋"/>
                <w:kern w:val="0"/>
                <w:sz w:val="18"/>
                <w:szCs w:val="18"/>
              </w:rPr>
            </w:pPr>
            <w:r>
              <w:rPr>
                <w:rFonts w:hint="eastAsia" w:ascii="仿宋" w:hAnsi="仿宋" w:eastAsia="仿宋" w:cs="仿宋"/>
                <w:kern w:val="0"/>
                <w:sz w:val="18"/>
                <w:szCs w:val="18"/>
              </w:rPr>
              <w:t>PEX2040机房精密空调室外机LSF24下送风风机下沉式从本院改造至开发区分院：            LSF24下送风风机下沉式设计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可选微通道室外机</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快速除湿设计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大面积V型蒸发盘管</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室外全调速风机</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机组内部气流采用CFD进行最优化</w:t>
            </w:r>
          </w:p>
        </w:tc>
      </w:tr>
      <w:tr>
        <w:tblPrEx>
          <w:tblCellMar>
            <w:top w:w="15" w:type="dxa"/>
            <w:left w:w="15" w:type="dxa"/>
            <w:bottom w:w="15" w:type="dxa"/>
            <w:right w:w="15" w:type="dxa"/>
          </w:tblCellMar>
        </w:tblPrEx>
        <w:trPr>
          <w:trHeight w:val="54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00" w:lineRule="exact"/>
              <w:rPr>
                <w:rFonts w:hint="eastAsia" w:ascii="仿宋" w:hAnsi="仿宋" w:eastAsia="仿宋" w:cs="仿宋"/>
                <w:kern w:val="0"/>
                <w:sz w:val="18"/>
                <w:szCs w:val="18"/>
              </w:rPr>
            </w:pPr>
            <w:r>
              <w:rPr>
                <w:rFonts w:hint="eastAsia" w:ascii="仿宋" w:hAnsi="仿宋" w:eastAsia="仿宋" w:cs="仿宋"/>
                <w:kern w:val="0"/>
                <w:sz w:val="18"/>
                <w:szCs w:val="18"/>
              </w:rPr>
              <w:t>UPS不间断电源NXR20K两台并机从本院搬迁重新部署至开发区分院；原厂工程师制定实施方案，保证正确的、安全的改造，并对原UPS  主机重新设置冗余并机。</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UPS不间断电源NXR20K两台并机从本院改造至开发区分院；原厂工程师制定实施方案，保证正确的、安全的改造，并对原UPS  主机重新设置冗余并机。UPS不间断电源：20KVA   NXR20K范围：小型数据中心、通信机房、计费中心、精密控制室、过程控制中心，输入/输出/并机环流/</w:t>
            </w:r>
            <w:r>
              <w:rPr>
                <w:rFonts w:hint="eastAsia" w:ascii="仿宋" w:hAnsi="仿宋" w:eastAsia="仿宋" w:cs="仿宋"/>
                <w:kern w:val="0"/>
                <w:sz w:val="18"/>
                <w:szCs w:val="18"/>
                <w:lang w:eastAsia="zh-CN"/>
              </w:rPr>
              <w:t>智能配电</w:t>
            </w:r>
            <w:r>
              <w:rPr>
                <w:rFonts w:hint="eastAsia" w:ascii="仿宋" w:hAnsi="仿宋" w:eastAsia="仿宋" w:cs="仿宋"/>
                <w:kern w:val="0"/>
                <w:sz w:val="18"/>
                <w:szCs w:val="18"/>
              </w:rPr>
              <w:t>控制等指标均达到业界最优水平；支持从单机/串联备份，到并联冗余(多达6台)/双母线等全方位方案配置；电压范围宽，标配防雷，电池充电功率大，省空间，全正面维护；双DSP全数字控制，最新IGBT电能转换技术，双变换在线式；支持多种监控模式，具备“黑匣子”功能，精确故障定位；界面友好－超大LCD12种语言可选，运行数据/系统状态/历史情况一目了然.：输入高功率因数高达0.99，实现高电能利用率；满足欧盟ROHS环保指令 </w:t>
            </w:r>
            <w:r>
              <w:rPr>
                <w:rFonts w:hint="eastAsia" w:ascii="仿宋" w:hAnsi="仿宋" w:eastAsia="仿宋" w:cs="仿宋"/>
                <w:b/>
                <w:bCs/>
                <w:kern w:val="0"/>
                <w:sz w:val="18"/>
                <w:szCs w:val="18"/>
              </w:rPr>
              <w:t>主路输入：</w:t>
            </w:r>
            <w:r>
              <w:rPr>
                <w:rFonts w:hint="eastAsia" w:ascii="仿宋" w:hAnsi="仿宋" w:eastAsia="仿宋" w:cs="仿宋"/>
                <w:kern w:val="0"/>
                <w:sz w:val="18"/>
                <w:szCs w:val="18"/>
              </w:rPr>
              <w:t xml:space="preserve">输入电压380/400/415V(线电压)，输入方式：3相4线，功率因数：&gt;0.99，谐波电流&lt;3%，电压范围305～477V(线电压)，频率范围：50～60Hz±10%。旁路输入：输入电压380/400/415V(线电压)，输入电压范围：上限: +10/+15/+20%;下限:-10/-20/-30/-40%，输入方式：3相4线，频率范围50Hz±10%。 </w:t>
            </w:r>
            <w:r>
              <w:rPr>
                <w:rFonts w:hint="eastAsia" w:ascii="仿宋" w:hAnsi="仿宋" w:eastAsia="仿宋" w:cs="仿宋"/>
                <w:b/>
                <w:bCs/>
                <w:kern w:val="0"/>
                <w:sz w:val="18"/>
                <w:szCs w:val="18"/>
              </w:rPr>
              <w:t>输出：</w:t>
            </w:r>
            <w:r>
              <w:rPr>
                <w:rFonts w:hint="eastAsia" w:ascii="仿宋" w:hAnsi="仿宋" w:eastAsia="仿宋" w:cs="仿宋"/>
                <w:kern w:val="0"/>
                <w:sz w:val="18"/>
                <w:szCs w:val="18"/>
              </w:rPr>
              <w:t xml:space="preserve">输出电压380V/220V±0.5%，动态瞬变恢复时间：&lt;5mS，电压畸变(线性负载)：THD&lt;1%，电压畸变 (非线性负载)：THD&lt;3%，功率因数：0.8(滞后)，频率跟踪范围：50Hz±3Hz(±1Hz, ±2Hz可调)，频率精度(电池逆变)：±0.05%，三相相位差：120±1°(平衡或不平衡负载)，100%不平衡负载电压时稳压精度：±0.5%频率跟踪速率：≤1Hz/S，逆变器过载能力：110% 60分钟; 125% 10分钟; 150% 60秒，输出电流峰值比：3:1，切换时间：0系统整机工作效率：最高可达94%(逆变效率大于97%)显示：大屏幕中文LCD+LEDEMC/EMI：IEC 62040/EN50091-2 CLASS-A;IEC1000-3-400-4-2.3.4..6.8.9.11 Level; IEC 61000-4-2,4,5 Level Ⅳ 要求：CCEE 噪音(1m)：&lt;53dB 空载环流：&lt;1A 电流不平衡度：&lt;1% 绝缘电阻：&gt;2M(500Vdc)绝缘强度：(输入、输出对地)2820Vdc，1min无飞弧 防护等级：IP20  </w:t>
            </w:r>
          </w:p>
        </w:tc>
      </w:tr>
      <w:tr>
        <w:tblPrEx>
          <w:tblCellMar>
            <w:top w:w="15" w:type="dxa"/>
            <w:left w:w="15" w:type="dxa"/>
            <w:bottom w:w="15" w:type="dxa"/>
            <w:right w:w="15" w:type="dxa"/>
          </w:tblCellMar>
        </w:tblPrEx>
        <w:trPr>
          <w:trHeight w:val="183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对</w:t>
            </w:r>
            <w:r>
              <w:rPr>
                <w:rFonts w:hint="eastAsia" w:cs="仿宋"/>
                <w:kern w:val="0"/>
                <w:sz w:val="18"/>
                <w:szCs w:val="18"/>
                <w:lang w:val="en-US" w:eastAsia="zh-CN"/>
              </w:rPr>
              <w:t>采购</w:t>
            </w:r>
            <w:r>
              <w:rPr>
                <w:rFonts w:hint="eastAsia" w:ascii="仿宋" w:hAnsi="仿宋" w:eastAsia="仿宋" w:cs="仿宋"/>
                <w:kern w:val="0"/>
                <w:sz w:val="18"/>
                <w:szCs w:val="18"/>
              </w:rPr>
              <w:t>单位原有的输入配电柜和 输出配电柜 改造；</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配电系统的改造。原有负载线路由于配线方式和线径的问题已经不能够满足新增负载的需求，需重新铺设。设计思路是输出配电柜向负载供电，即在每个负载点前后分别铺设金属桥架100mm*50mm（桥架保证就近取机房地线）。每个区域的电源点分别包括来输出UPS的A、B、C三相电源。。此次电源改造全部电源点都采用单独控制，要求服务器和交换机机的电源都是双路供电的，此布线方式提高了UPS的利用率和安全性可靠和可用性大幅提高。</w:t>
            </w:r>
          </w:p>
        </w:tc>
      </w:tr>
      <w:tr>
        <w:tblPrEx>
          <w:tblCellMar>
            <w:top w:w="15" w:type="dxa"/>
            <w:left w:w="15" w:type="dxa"/>
            <w:bottom w:w="15" w:type="dxa"/>
            <w:right w:w="15" w:type="dxa"/>
          </w:tblCellMar>
        </w:tblPrEx>
        <w:trPr>
          <w:trHeight w:val="1388"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机柜PDU及供电线路进行改造敷设</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机柜PDU 32A\230V\C13*20\C19*4,共24个插孔;机柜后侧竖向安装机柜，下进线方式， 每套配置32A工业插头连接器；每套配置30米 3*2.5平方国标（特变电工）电缆线；</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机房原有UPS输出柜改造，对机房的供电线路进行改造敷设；原有供电线路由于配线方式和线径的问题已经不能够满足新增负载的需求，需重新铺设。</w:t>
            </w:r>
          </w:p>
        </w:tc>
      </w:tr>
      <w:tr>
        <w:tblPrEx>
          <w:tblCellMar>
            <w:top w:w="15" w:type="dxa"/>
            <w:left w:w="15" w:type="dxa"/>
            <w:bottom w:w="15" w:type="dxa"/>
            <w:right w:w="15" w:type="dxa"/>
          </w:tblCellMar>
        </w:tblPrEx>
        <w:trPr>
          <w:trHeight w:val="1676" w:hRule="atLeast"/>
          <w:jc w:val="center"/>
        </w:trPr>
        <w:tc>
          <w:tcPr>
            <w:tcW w:w="578" w:type="dxa"/>
            <w:tcBorders>
              <w:top w:val="single" w:color="000000" w:sz="4" w:space="0"/>
              <w:left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rPr>
            </w:pPr>
          </w:p>
          <w:p>
            <w:pPr>
              <w:widowControl/>
              <w:spacing w:before="120"/>
              <w:jc w:val="center"/>
              <w:textAlignment w:val="center"/>
              <w:rPr>
                <w:rFonts w:hint="eastAsia" w:ascii="仿宋" w:hAnsi="仿宋" w:eastAsia="仿宋" w:cs="仿宋"/>
                <w:kern w:val="0"/>
                <w:sz w:val="18"/>
                <w:szCs w:val="18"/>
              </w:rPr>
            </w:pPr>
          </w:p>
          <w:p>
            <w:pPr>
              <w:widowControl/>
              <w:spacing w:before="120"/>
              <w:jc w:val="center"/>
              <w:textAlignment w:val="center"/>
              <w:rPr>
                <w:rFonts w:hint="eastAsia" w:ascii="仿宋" w:hAnsi="仿宋" w:eastAsia="仿宋" w:cs="仿宋"/>
                <w:kern w:val="0"/>
                <w:sz w:val="18"/>
                <w:szCs w:val="18"/>
              </w:rPr>
            </w:pPr>
          </w:p>
          <w:p>
            <w:pPr>
              <w:widowControl/>
              <w:spacing w:before="120"/>
              <w:jc w:val="center"/>
              <w:textAlignment w:val="center"/>
              <w:rPr>
                <w:rFonts w:hint="eastAsia" w:ascii="仿宋" w:hAnsi="仿宋" w:eastAsia="仿宋" w:cs="仿宋"/>
                <w:kern w:val="0"/>
                <w:sz w:val="18"/>
                <w:szCs w:val="18"/>
              </w:rPr>
            </w:pPr>
          </w:p>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6</w:t>
            </w:r>
          </w:p>
          <w:p>
            <w:pPr>
              <w:widowControl/>
              <w:spacing w:before="120"/>
              <w:jc w:val="center"/>
              <w:textAlignment w:val="center"/>
              <w:rPr>
                <w:rFonts w:hint="eastAsia" w:ascii="仿宋" w:hAnsi="仿宋" w:eastAsia="仿宋" w:cs="仿宋"/>
                <w:kern w:val="0"/>
                <w:sz w:val="18"/>
                <w:szCs w:val="18"/>
              </w:rPr>
            </w:pPr>
          </w:p>
          <w:p>
            <w:pPr>
              <w:widowControl/>
              <w:spacing w:before="120"/>
              <w:jc w:val="center"/>
              <w:textAlignment w:val="center"/>
              <w:rPr>
                <w:rFonts w:hint="eastAsia" w:ascii="仿宋" w:hAnsi="仿宋" w:eastAsia="仿宋" w:cs="仿宋"/>
                <w:kern w:val="0"/>
                <w:sz w:val="18"/>
                <w:szCs w:val="18"/>
              </w:rPr>
            </w:pPr>
          </w:p>
          <w:p>
            <w:pPr>
              <w:widowControl/>
              <w:spacing w:before="120"/>
              <w:jc w:val="center"/>
              <w:textAlignment w:val="center"/>
              <w:rPr>
                <w:rFonts w:hint="eastAsia" w:ascii="仿宋" w:hAnsi="仿宋" w:eastAsia="仿宋" w:cs="仿宋"/>
                <w:kern w:val="0"/>
                <w:sz w:val="18"/>
                <w:szCs w:val="18"/>
              </w:rPr>
            </w:pPr>
          </w:p>
        </w:tc>
        <w:tc>
          <w:tcPr>
            <w:tcW w:w="930" w:type="dxa"/>
            <w:tcBorders>
              <w:top w:val="single" w:color="000000" w:sz="4" w:space="0"/>
              <w:left w:val="single" w:color="000000" w:sz="4" w:space="0"/>
              <w:right w:val="single" w:color="000000" w:sz="4" w:space="0"/>
            </w:tcBorders>
            <w:shd w:val="clear" w:color="auto" w:fill="FFFFFF"/>
            <w:noWrap w:val="0"/>
            <w:vAlign w:val="center"/>
          </w:tcPr>
          <w:p>
            <w:pPr>
              <w:widowControl/>
              <w:spacing w:before="120"/>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模块化UPS</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12</w:t>
            </w:r>
            <w:r>
              <w:rPr>
                <w:rFonts w:hint="eastAsia" w:ascii="仿宋" w:hAnsi="仿宋" w:eastAsia="仿宋" w:cs="仿宋"/>
                <w:kern w:val="0"/>
                <w:sz w:val="18"/>
                <w:szCs w:val="18"/>
                <w:lang w:val="en-US" w:eastAsia="zh-CN"/>
              </w:rPr>
              <w:t>0KVA</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模块化UPS</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12</w:t>
            </w:r>
            <w:r>
              <w:rPr>
                <w:rFonts w:hint="eastAsia" w:ascii="仿宋" w:hAnsi="仿宋" w:eastAsia="仿宋" w:cs="仿宋"/>
                <w:kern w:val="0"/>
                <w:sz w:val="18"/>
                <w:szCs w:val="18"/>
                <w:lang w:val="en-US" w:eastAsia="zh-CN"/>
              </w:rPr>
              <w:t>0KVA</w:t>
            </w:r>
            <w:r>
              <w:rPr>
                <w:rFonts w:hint="eastAsia" w:ascii="仿宋" w:hAnsi="仿宋" w:eastAsia="仿宋" w:cs="仿宋"/>
                <w:kern w:val="0"/>
                <w:sz w:val="18"/>
                <w:szCs w:val="18"/>
              </w:rPr>
              <w:t>性能指标：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★1、模块化UPS主机可用容量1</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0kVA，单模块功率</w:t>
            </w:r>
            <w:r>
              <w:rPr>
                <w:rFonts w:hint="eastAsia" w:ascii="仿宋" w:hAnsi="仿宋" w:eastAsia="仿宋" w:cs="仿宋"/>
                <w:kern w:val="0"/>
                <w:sz w:val="18"/>
                <w:szCs w:val="18"/>
                <w:lang w:val="en-US" w:eastAsia="zh-CN"/>
              </w:rPr>
              <w:t>40</w:t>
            </w:r>
            <w:r>
              <w:rPr>
                <w:rFonts w:hint="eastAsia" w:ascii="仿宋" w:hAnsi="仿宋" w:eastAsia="仿宋" w:cs="仿宋"/>
                <w:kern w:val="0"/>
                <w:sz w:val="18"/>
                <w:szCs w:val="18"/>
              </w:rPr>
              <w:t>kVA，机柜最大容量12</w:t>
            </w:r>
            <w:r>
              <w:rPr>
                <w:rFonts w:hint="eastAsia" w:ascii="仿宋" w:hAnsi="仿宋" w:eastAsia="仿宋" w:cs="仿宋"/>
                <w:kern w:val="0"/>
                <w:sz w:val="18"/>
                <w:szCs w:val="18"/>
                <w:lang w:val="en-US" w:eastAsia="zh-CN"/>
              </w:rPr>
              <w:t>0</w:t>
            </w:r>
            <w:r>
              <w:rPr>
                <w:rFonts w:hint="eastAsia" w:ascii="仿宋" w:hAnsi="仿宋" w:eastAsia="仿宋" w:cs="仿宋"/>
                <w:kern w:val="0"/>
                <w:sz w:val="18"/>
                <w:szCs w:val="18"/>
              </w:rPr>
              <w:t>kVA，高频在线双变换式UPS，采用IGBT整流逆变，功率变换器和系统元件均由DSP控制。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2、输入输出制式为三相输入三相输出。输入电压范围应不小于138V-485VAC；输入频率范围不小于：40Hz~70Hz。输入功率因数不小于0.99；输入支持主旁同源和不同源。交流输入端满足5kA防雷和6kV防浪涌。输出功率因数为1，对于超前0.5和滞后0.5的负载不降额。输出电压稳压精度应小于380V±1％。输出频率范围应不超出50±0.5%Hz(电池逆变工作方式)。线性负载输入谐波电流总含量THDi＜3%，输出电压谐波失真度（THDu）≤1%。</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★3、模块热插拔特性：功率模块、旁路模块、控制模块均可带电热插拔。</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★4、功率模块：单个功率模块的高度不大于2U。具备</w:t>
            </w:r>
            <w:r>
              <w:rPr>
                <w:rFonts w:hint="eastAsia" w:ascii="仿宋" w:hAnsi="仿宋" w:eastAsia="仿宋" w:cs="仿宋"/>
                <w:kern w:val="0"/>
                <w:sz w:val="18"/>
                <w:szCs w:val="18"/>
                <w:lang w:eastAsia="zh-CN"/>
              </w:rPr>
              <w:t>智能配电</w:t>
            </w:r>
            <w:r>
              <w:rPr>
                <w:rFonts w:hint="eastAsia" w:ascii="仿宋" w:hAnsi="仿宋" w:eastAsia="仿宋" w:cs="仿宋"/>
                <w:kern w:val="0"/>
                <w:sz w:val="18"/>
                <w:szCs w:val="18"/>
              </w:rPr>
              <w:t>循环休眠功能，当负载较轻时，UPS可以使部分模块自动休眠，负载增大时自动唤醒休眠模块。UPS模块并联采用分散控制技术，确保整机可靠性；每个UPS模块均要求内置完整的整流、逆变及控制系统，具有独立工作能力，系统中任何其他组件故障不影响UPS模块的工作； 功率模块的风扇支持</w:t>
            </w:r>
            <w:r>
              <w:rPr>
                <w:rFonts w:hint="eastAsia" w:ascii="仿宋" w:hAnsi="仿宋" w:eastAsia="仿宋" w:cs="仿宋"/>
                <w:kern w:val="0"/>
                <w:sz w:val="18"/>
                <w:szCs w:val="18"/>
                <w:lang w:eastAsia="zh-CN"/>
              </w:rPr>
              <w:t>智能配电</w:t>
            </w:r>
            <w:r>
              <w:rPr>
                <w:rFonts w:hint="eastAsia" w:ascii="仿宋" w:hAnsi="仿宋" w:eastAsia="仿宋" w:cs="仿宋"/>
                <w:kern w:val="0"/>
                <w:sz w:val="18"/>
                <w:szCs w:val="18"/>
              </w:rPr>
              <w:t>调速并有冗错设计，风扇故障时模块仍应具有一定的输出能力且发出声光告警。</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★5、旁路模块：为保证旁路抗冲击能力及扩容要求，要求采用统一的集中旁路模块，旁路模块应可插拔维护，其故障不影响UPS系统输出；旁路模块的高度不大于3U。</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★6、控制模块：双控制器1+1冗余备份。</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7、显示与操作功能：采用LCD触摸大屏液晶显示操作面板，支持多种语言并自选语言，便于使用者查看数据和进行操作控制。界面显示输出，市电模式，负载容量，电池模式，电池容量，市电，逆变，旁路，故障状态。系统具备密码分级保护功能，可存储不少于1000条历史信息。</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★8、整机效率：效率可达96.5％。</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9、过载能力：逆变过载能力，60分钟（110%额度电流），10分钟（125%额度电流），1分钟（150%额定电流）。旁路过载能力，长期（135%额度电流）。</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10、UPS在市电和电池两种状态间切换的时间应为0ms，静态旁路与逆变状态切换时间应为0ms。</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11、保护功能：具有输出短路保护、过载保护、输入频率异常保护功能，电池过压告警和过放电保护功能，高温自动切换旁路保护功能。</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★12、支持风扇故障预警、电容器故障预警、电池故障预警。</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★13、支持电池节数30-44节可调，便于旧系统改造时利用原有电池系统，也可在单节电池故障时及时撤除，消除对UPS系统运行的影响。蓄电池</w:t>
            </w:r>
            <w:r>
              <w:rPr>
                <w:rFonts w:hint="eastAsia" w:ascii="仿宋" w:hAnsi="仿宋" w:eastAsia="仿宋" w:cs="仿宋"/>
                <w:kern w:val="0"/>
                <w:sz w:val="18"/>
                <w:szCs w:val="18"/>
                <w:lang w:eastAsia="zh-CN"/>
              </w:rPr>
              <w:t>智能配电</w:t>
            </w:r>
            <w:r>
              <w:rPr>
                <w:rFonts w:hint="eastAsia" w:ascii="仿宋" w:hAnsi="仿宋" w:eastAsia="仿宋" w:cs="仿宋"/>
                <w:kern w:val="0"/>
                <w:sz w:val="18"/>
                <w:szCs w:val="18"/>
              </w:rPr>
              <w:t>管理特性：具有电池均充、浮充自动控制功能；具有电池定期自动维护和测试功能。支持系统冷启动。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★14、0℃～40℃长期满载正常工作。</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15、UPS主机内置维修旁路开关，便于检修维护。支持自测试功能，不需使用假负载，即可进行UPS运行测试。支持多台并机。</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16、外形尺寸：UPS主机应为19英寸标准机柜式结构，前后为可开启的网孔式带锁的机柜门。整个UPS机柜外观为黑色，高度2000mm，宽度600mm，单柜集成电气柜、功率模块、旁路模块、控制模块、LCD显示模块。</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17、一体化集成主路输入开关、旁路输入开关、输出开关、维修旁路开关。</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18、标配RS485、干接点、SNMP通信接口，标配网管软件，可通过网络对多台UPS运行状态同时监控。</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服务及资质要求：</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kern w:val="0"/>
                <w:sz w:val="18"/>
                <w:szCs w:val="18"/>
              </w:rPr>
            </w:pPr>
            <w:r>
              <w:rPr>
                <w:rFonts w:hint="eastAsia" w:ascii="仿宋" w:hAnsi="仿宋" w:eastAsia="仿宋" w:cs="仿宋"/>
                <w:kern w:val="0"/>
                <w:sz w:val="18"/>
                <w:szCs w:val="18"/>
              </w:rPr>
              <w:t>★UPS主机原厂质保一年。提供产品EMC报告、泰尔认证证书、CQC报告、官方网站产品链接、彩页、RoHS,REACH and WEEE报告，同时提供厂家ISO9001、ISO14001、ISO27001、OHSAS18001、CNAS证书；提供厂家针对此项目的授权函、售后服务承诺函。</w:t>
            </w:r>
          </w:p>
        </w:tc>
      </w:tr>
      <w:tr>
        <w:tblPrEx>
          <w:tblCellMar>
            <w:top w:w="15" w:type="dxa"/>
            <w:left w:w="15" w:type="dxa"/>
            <w:bottom w:w="15" w:type="dxa"/>
            <w:right w:w="15" w:type="dxa"/>
          </w:tblCellMar>
        </w:tblPrEx>
        <w:trPr>
          <w:trHeight w:val="1109" w:hRule="atLeast"/>
          <w:jc w:val="center"/>
        </w:trPr>
        <w:tc>
          <w:tcPr>
            <w:tcW w:w="578" w:type="dxa"/>
            <w:tcBorders>
              <w:top w:val="single" w:color="000000" w:sz="4" w:space="0"/>
              <w:left w:val="single" w:color="000000" w:sz="4" w:space="0"/>
              <w:right w:val="single" w:color="000000" w:sz="4" w:space="0"/>
            </w:tcBorders>
            <w:shd w:val="clear" w:color="auto" w:fill="auto"/>
            <w:noWrap w:val="0"/>
            <w:vAlign w:val="center"/>
          </w:tcPr>
          <w:p>
            <w:pPr>
              <w:widowControl/>
              <w:spacing w:before="120"/>
              <w:ind w:firstLine="180" w:firstLineChars="10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7</w:t>
            </w:r>
          </w:p>
        </w:tc>
        <w:tc>
          <w:tcPr>
            <w:tcW w:w="930" w:type="dxa"/>
            <w:tcBorders>
              <w:top w:val="single" w:color="000000" w:sz="4" w:space="0"/>
              <w:left w:val="single" w:color="000000" w:sz="4" w:space="0"/>
              <w:right w:val="single" w:color="000000" w:sz="4" w:space="0"/>
            </w:tcBorders>
            <w:shd w:val="clear" w:color="auto" w:fill="FFFFFF"/>
            <w:noWrap w:val="0"/>
            <w:vAlign w:val="center"/>
          </w:tcPr>
          <w:p>
            <w:pPr>
              <w:widowControl/>
              <w:numPr>
                <w:ilvl w:val="1"/>
                <w:numId w:val="0"/>
              </w:numPr>
              <w:spacing w:before="156" w:beforeLines="50" w:after="156" w:afterLines="50"/>
              <w:jc w:val="center"/>
              <w:outlineLvl w:val="1"/>
              <w:rPr>
                <w:rFonts w:hint="eastAsia" w:ascii="仿宋" w:hAnsi="仿宋" w:eastAsia="仿宋" w:cs="仿宋"/>
                <w:kern w:val="0"/>
                <w:sz w:val="18"/>
                <w:szCs w:val="18"/>
              </w:rPr>
            </w:pPr>
            <w:r>
              <w:rPr>
                <w:rFonts w:hint="eastAsia" w:ascii="仿宋" w:hAnsi="仿宋" w:eastAsia="仿宋" w:cs="仿宋"/>
                <w:kern w:val="0"/>
                <w:sz w:val="18"/>
                <w:szCs w:val="18"/>
              </w:rPr>
              <w:t>UPS不间断电源2KVA</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snapToGrid w:val="0"/>
              <w:jc w:val="left"/>
              <w:rPr>
                <w:rFonts w:hint="eastAsia" w:ascii="仿宋" w:hAnsi="仿宋" w:eastAsia="仿宋" w:cs="仿宋"/>
                <w:b/>
                <w:bCs/>
                <w:kern w:val="0"/>
                <w:sz w:val="18"/>
                <w:szCs w:val="18"/>
              </w:rPr>
            </w:pPr>
            <w:r>
              <w:rPr>
                <w:rFonts w:hint="eastAsia" w:ascii="仿宋" w:hAnsi="仿宋" w:eastAsia="仿宋" w:cs="仿宋"/>
                <w:kern w:val="0"/>
                <w:sz w:val="18"/>
                <w:szCs w:val="18"/>
              </w:rPr>
              <w:t>2KVA UPS不间断电源机架安装，在线双转换式高频UPS，单进单出容量2KVA长效主机，超宽电压输入范围，0切换时间。 无内置电池，需配置电池使用。标配机头和安装附件，USB和RS232接口，可选SNMP卡（以太网监控）或Modbus卡（RS485协议监控）或干接点卡（干接点监控） 电压输入范围：110VAC~300VAC 输入功率因素：0.99 输入频率范围：40Hz~70Hz 额定电压输出：220/230/240Vac±1% 系统效率：90%</w:t>
            </w:r>
          </w:p>
        </w:tc>
      </w:tr>
      <w:tr>
        <w:tblPrEx>
          <w:tblCellMar>
            <w:top w:w="15" w:type="dxa"/>
            <w:left w:w="15" w:type="dxa"/>
            <w:bottom w:w="15" w:type="dxa"/>
            <w:right w:w="15" w:type="dxa"/>
          </w:tblCellMar>
        </w:tblPrEx>
        <w:trPr>
          <w:trHeight w:val="542" w:hRule="atLeast"/>
          <w:jc w:val="center"/>
        </w:trPr>
        <w:tc>
          <w:tcPr>
            <w:tcW w:w="578" w:type="dxa"/>
            <w:tcBorders>
              <w:top w:val="single" w:color="000000" w:sz="4" w:space="0"/>
              <w:left w:val="single" w:color="000000" w:sz="4" w:space="0"/>
              <w:right w:val="single" w:color="000000" w:sz="4" w:space="0"/>
            </w:tcBorders>
            <w:shd w:val="clear" w:color="auto" w:fill="auto"/>
            <w:noWrap w:val="0"/>
            <w:vAlign w:val="center"/>
          </w:tcPr>
          <w:p>
            <w:pPr>
              <w:widowControl/>
              <w:spacing w:before="120"/>
              <w:ind w:firstLine="180" w:firstLineChars="10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8</w:t>
            </w:r>
          </w:p>
        </w:tc>
        <w:tc>
          <w:tcPr>
            <w:tcW w:w="930" w:type="dxa"/>
            <w:tcBorders>
              <w:top w:val="single" w:color="000000" w:sz="4" w:space="0"/>
              <w:left w:val="single" w:color="000000" w:sz="4" w:space="0"/>
              <w:right w:val="single" w:color="000000" w:sz="4" w:space="0"/>
            </w:tcBorders>
            <w:shd w:val="clear" w:color="auto" w:fill="FFFFFF"/>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机房精密</w:t>
            </w:r>
          </w:p>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空调</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jc w:val="left"/>
              <w:rPr>
                <w:rFonts w:hint="eastAsia" w:ascii="仿宋" w:hAnsi="仿宋" w:eastAsia="仿宋" w:cs="仿宋"/>
                <w:kern w:val="0"/>
                <w:sz w:val="18"/>
                <w:szCs w:val="18"/>
              </w:rPr>
            </w:pPr>
            <w:r>
              <w:rPr>
                <w:rFonts w:hint="eastAsia" w:ascii="仿宋" w:hAnsi="仿宋" w:eastAsia="仿宋" w:cs="仿宋"/>
                <w:kern w:val="0"/>
                <w:sz w:val="18"/>
                <w:szCs w:val="18"/>
              </w:rPr>
              <w:t>风冷机组技术参数：</w:t>
            </w:r>
          </w:p>
          <w:p>
            <w:pPr>
              <w:widowControl/>
              <w:snapToGrid w:val="0"/>
              <w:jc w:val="left"/>
              <w:rPr>
                <w:rFonts w:hint="eastAsia" w:ascii="仿宋" w:hAnsi="仿宋" w:eastAsia="仿宋" w:cs="仿宋"/>
                <w:kern w:val="0"/>
                <w:sz w:val="18"/>
                <w:szCs w:val="18"/>
              </w:rPr>
            </w:pPr>
            <w:r>
              <w:rPr>
                <w:rFonts w:hint="eastAsia" w:ascii="仿宋" w:hAnsi="仿宋" w:eastAsia="仿宋" w:cs="仿宋"/>
                <w:kern w:val="0"/>
                <w:sz w:val="18"/>
                <w:szCs w:val="18"/>
              </w:rPr>
              <w:t>下送风机组技术参数</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室内机</w:t>
            </w:r>
            <w:r>
              <w:rPr>
                <w:rFonts w:hint="eastAsia" w:ascii="仿宋" w:hAnsi="仿宋" w:eastAsia="仿宋" w:cs="仿宋"/>
                <w:kern w:val="0"/>
                <w:sz w:val="18"/>
                <w:szCs w:val="18"/>
              </w:rPr>
              <w:tab/>
            </w:r>
          </w:p>
          <w:p>
            <w:pPr>
              <w:widowControl/>
              <w:snapToGrid w:val="0"/>
              <w:jc w:val="left"/>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rPr>
              <w:t>总冷量  KW</w:t>
            </w:r>
            <w:r>
              <w:rPr>
                <w:rFonts w:hint="eastAsia" w:ascii="仿宋" w:hAnsi="仿宋" w:eastAsia="仿宋" w:cs="仿宋"/>
                <w:b/>
                <w:bCs/>
                <w:kern w:val="0"/>
                <w:sz w:val="18"/>
                <w:szCs w:val="18"/>
              </w:rPr>
              <w:tab/>
            </w:r>
            <w:r>
              <w:rPr>
                <w:rFonts w:hint="eastAsia" w:ascii="仿宋" w:hAnsi="仿宋" w:eastAsia="仿宋" w:cs="仿宋"/>
                <w:b/>
                <w:bCs/>
                <w:kern w:val="0"/>
                <w:sz w:val="18"/>
                <w:szCs w:val="18"/>
                <w:lang w:val="en-US" w:eastAsia="zh-CN"/>
              </w:rPr>
              <w:t>大于</w:t>
            </w:r>
            <w:r>
              <w:rPr>
                <w:rFonts w:hint="eastAsia" w:ascii="仿宋" w:hAnsi="仿宋" w:eastAsia="仿宋" w:cs="仿宋"/>
                <w:b/>
                <w:bCs/>
                <w:kern w:val="0"/>
                <w:sz w:val="18"/>
                <w:szCs w:val="18"/>
              </w:rPr>
              <w:t>60.6KW</w:t>
            </w:r>
            <w:r>
              <w:rPr>
                <w:rFonts w:hint="eastAsia" w:ascii="仿宋" w:hAnsi="仿宋" w:eastAsia="仿宋" w:cs="仿宋"/>
                <w:b/>
                <w:bCs/>
                <w:kern w:val="0"/>
                <w:sz w:val="18"/>
                <w:szCs w:val="18"/>
                <w:lang w:eastAsia="zh-CN"/>
              </w:rPr>
              <w:t>；</w:t>
            </w:r>
            <w:r>
              <w:rPr>
                <w:rFonts w:hint="eastAsia" w:ascii="仿宋" w:hAnsi="仿宋" w:eastAsia="仿宋" w:cs="仿宋"/>
                <w:b/>
                <w:bCs/>
                <w:kern w:val="0"/>
                <w:sz w:val="18"/>
                <w:szCs w:val="18"/>
              </w:rPr>
              <w:t>显冷量  KW</w:t>
            </w:r>
            <w:r>
              <w:rPr>
                <w:rFonts w:hint="eastAsia" w:ascii="仿宋" w:hAnsi="仿宋" w:eastAsia="仿宋" w:cs="仿宋"/>
                <w:b/>
                <w:bCs/>
                <w:kern w:val="0"/>
                <w:sz w:val="18"/>
                <w:szCs w:val="18"/>
              </w:rPr>
              <w:tab/>
            </w:r>
            <w:r>
              <w:rPr>
                <w:rFonts w:hint="eastAsia" w:ascii="仿宋" w:hAnsi="仿宋" w:eastAsia="仿宋" w:cs="仿宋"/>
                <w:b/>
                <w:bCs/>
                <w:kern w:val="0"/>
                <w:sz w:val="18"/>
                <w:szCs w:val="18"/>
                <w:lang w:val="en-US" w:eastAsia="zh-CN"/>
              </w:rPr>
              <w:t>大于</w:t>
            </w:r>
            <w:r>
              <w:rPr>
                <w:rFonts w:hint="eastAsia" w:ascii="仿宋" w:hAnsi="仿宋" w:eastAsia="仿宋" w:cs="仿宋"/>
                <w:b/>
                <w:bCs/>
                <w:kern w:val="0"/>
                <w:sz w:val="18"/>
                <w:szCs w:val="18"/>
              </w:rPr>
              <w:t>53.5KW</w:t>
            </w:r>
            <w:r>
              <w:rPr>
                <w:rFonts w:hint="eastAsia" w:ascii="仿宋" w:hAnsi="仿宋" w:eastAsia="仿宋" w:cs="仿宋"/>
                <w:b/>
                <w:bCs/>
                <w:kern w:val="0"/>
                <w:sz w:val="18"/>
                <w:szCs w:val="18"/>
                <w:lang w:eastAsia="zh-CN"/>
              </w:rPr>
              <w:t>；</w:t>
            </w:r>
            <w:r>
              <w:rPr>
                <w:rFonts w:hint="eastAsia" w:ascii="仿宋" w:hAnsi="仿宋" w:eastAsia="仿宋" w:cs="仿宋"/>
                <w:b/>
                <w:bCs/>
                <w:kern w:val="0"/>
                <w:sz w:val="18"/>
                <w:szCs w:val="18"/>
              </w:rPr>
              <w:t>风量  m3/h</w:t>
            </w:r>
            <w:r>
              <w:rPr>
                <w:rFonts w:hint="eastAsia" w:ascii="仿宋" w:hAnsi="仿宋" w:eastAsia="仿宋" w:cs="仿宋"/>
                <w:b/>
                <w:bCs/>
                <w:kern w:val="0"/>
                <w:sz w:val="18"/>
                <w:szCs w:val="18"/>
              </w:rPr>
              <w:tab/>
            </w:r>
            <w:r>
              <w:rPr>
                <w:rFonts w:hint="eastAsia" w:ascii="仿宋" w:hAnsi="仿宋" w:eastAsia="仿宋" w:cs="仿宋"/>
                <w:b/>
                <w:bCs/>
                <w:kern w:val="0"/>
                <w:sz w:val="18"/>
                <w:szCs w:val="18"/>
                <w:lang w:val="en-US" w:eastAsia="zh-CN"/>
              </w:rPr>
              <w:t>大于</w:t>
            </w:r>
            <w:r>
              <w:rPr>
                <w:rFonts w:hint="eastAsia" w:ascii="仿宋" w:hAnsi="仿宋" w:eastAsia="仿宋" w:cs="仿宋"/>
                <w:b/>
                <w:bCs/>
                <w:kern w:val="0"/>
                <w:sz w:val="18"/>
                <w:szCs w:val="18"/>
              </w:rPr>
              <w:t>16200 m3/h</w:t>
            </w:r>
            <w:r>
              <w:rPr>
                <w:rFonts w:hint="eastAsia" w:ascii="仿宋" w:hAnsi="仿宋" w:eastAsia="仿宋" w:cs="仿宋"/>
                <w:b/>
                <w:bCs/>
                <w:kern w:val="0"/>
                <w:sz w:val="18"/>
                <w:szCs w:val="18"/>
                <w:lang w:eastAsia="zh-CN"/>
              </w:rPr>
              <w:t>；</w:t>
            </w:r>
          </w:p>
          <w:p>
            <w:pPr>
              <w:widowControl/>
              <w:snapToGrid w:val="0"/>
              <w:jc w:val="left"/>
              <w:rPr>
                <w:rFonts w:hint="eastAsia" w:ascii="仿宋" w:hAnsi="仿宋" w:eastAsia="仿宋" w:cs="仿宋"/>
                <w:kern w:val="0"/>
                <w:sz w:val="18"/>
                <w:szCs w:val="18"/>
              </w:rPr>
            </w:pPr>
            <w:r>
              <w:rPr>
                <w:rFonts w:hint="eastAsia" w:ascii="仿宋" w:hAnsi="仿宋" w:eastAsia="仿宋" w:cs="仿宋"/>
                <w:kern w:val="0"/>
                <w:sz w:val="18"/>
                <w:szCs w:val="18"/>
              </w:rPr>
              <w:t>FC风机，风冷/水冷/乙二醇双冷源，涡旋压缩机，R-407C &amp; R22，CW 进水温度7℃, 回水温度12℃,24℃(DB) / 50%RH</w:t>
            </w:r>
          </w:p>
          <w:p>
            <w:pPr>
              <w:widowControl/>
              <w:snapToGrid w:val="0"/>
              <w:jc w:val="left"/>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rPr>
              <w:t>风机2（台）</w:t>
            </w:r>
            <w:r>
              <w:rPr>
                <w:rFonts w:hint="eastAsia" w:ascii="仿宋" w:hAnsi="仿宋" w:eastAsia="仿宋" w:cs="仿宋"/>
                <w:b/>
                <w:bCs/>
                <w:kern w:val="0"/>
                <w:sz w:val="18"/>
                <w:szCs w:val="18"/>
                <w:lang w:eastAsia="zh-CN"/>
              </w:rPr>
              <w:t>；</w:t>
            </w:r>
            <w:r>
              <w:rPr>
                <w:rFonts w:hint="eastAsia" w:ascii="仿宋" w:hAnsi="仿宋" w:eastAsia="仿宋" w:cs="仿宋"/>
                <w:b/>
                <w:bCs/>
                <w:kern w:val="0"/>
                <w:sz w:val="18"/>
                <w:szCs w:val="18"/>
              </w:rPr>
              <w:t>压缩机2（台）</w:t>
            </w:r>
            <w:r>
              <w:rPr>
                <w:rFonts w:hint="eastAsia" w:ascii="仿宋" w:hAnsi="仿宋" w:eastAsia="仿宋" w:cs="仿宋"/>
                <w:b/>
                <w:bCs/>
                <w:kern w:val="0"/>
                <w:sz w:val="18"/>
                <w:szCs w:val="18"/>
                <w:lang w:eastAsia="zh-CN"/>
              </w:rPr>
              <w:t>；</w:t>
            </w:r>
            <w:r>
              <w:rPr>
                <w:rFonts w:hint="eastAsia" w:ascii="仿宋" w:hAnsi="仿宋" w:eastAsia="仿宋" w:cs="仿宋"/>
                <w:b/>
                <w:bCs/>
                <w:kern w:val="0"/>
                <w:sz w:val="18"/>
                <w:szCs w:val="18"/>
              </w:rPr>
              <w:t>电加热9KW</w:t>
            </w:r>
            <w:r>
              <w:rPr>
                <w:rFonts w:hint="eastAsia" w:ascii="仿宋" w:hAnsi="仿宋" w:eastAsia="仿宋" w:cs="仿宋"/>
                <w:b/>
                <w:bCs/>
                <w:kern w:val="0"/>
                <w:sz w:val="18"/>
                <w:szCs w:val="18"/>
                <w:lang w:eastAsia="zh-CN"/>
              </w:rPr>
              <w:t>；</w:t>
            </w:r>
            <w:r>
              <w:rPr>
                <w:rFonts w:hint="eastAsia" w:ascii="仿宋" w:hAnsi="仿宋" w:eastAsia="仿宋" w:cs="仿宋"/>
                <w:b/>
                <w:bCs/>
                <w:kern w:val="0"/>
                <w:sz w:val="18"/>
                <w:szCs w:val="18"/>
              </w:rPr>
              <w:t>加湿器加热量10Kg/h</w:t>
            </w:r>
            <w:r>
              <w:rPr>
                <w:rFonts w:hint="eastAsia" w:ascii="仿宋" w:hAnsi="仿宋" w:eastAsia="仿宋" w:cs="仿宋"/>
                <w:b/>
                <w:bCs/>
                <w:kern w:val="0"/>
                <w:sz w:val="18"/>
                <w:szCs w:val="18"/>
              </w:rPr>
              <w:tab/>
            </w:r>
            <w:r>
              <w:rPr>
                <w:rFonts w:hint="eastAsia" w:ascii="仿宋" w:hAnsi="仿宋" w:eastAsia="仿宋" w:cs="仿宋"/>
                <w:b/>
                <w:bCs/>
                <w:kern w:val="0"/>
                <w:sz w:val="18"/>
                <w:szCs w:val="18"/>
                <w:lang w:eastAsia="zh-CN"/>
              </w:rPr>
              <w:t>；</w:t>
            </w:r>
            <w:r>
              <w:rPr>
                <w:rFonts w:hint="eastAsia" w:ascii="仿宋" w:hAnsi="仿宋" w:eastAsia="仿宋" w:cs="仿宋"/>
                <w:b/>
                <w:bCs/>
                <w:kern w:val="0"/>
                <w:sz w:val="18"/>
                <w:szCs w:val="18"/>
              </w:rPr>
              <w:t>配电参数60.2A</w:t>
            </w:r>
            <w:r>
              <w:rPr>
                <w:rFonts w:hint="eastAsia" w:ascii="仿宋" w:hAnsi="仿宋" w:eastAsia="仿宋" w:cs="仿宋"/>
                <w:b/>
                <w:bCs/>
                <w:kern w:val="0"/>
                <w:sz w:val="18"/>
                <w:szCs w:val="18"/>
                <w:lang w:eastAsia="zh-CN"/>
              </w:rPr>
              <w:t>。</w:t>
            </w:r>
          </w:p>
          <w:p>
            <w:pPr>
              <w:widowControl/>
              <w:snapToGrid w:val="0"/>
              <w:jc w:val="left"/>
              <w:rPr>
                <w:rFonts w:hint="eastAsia" w:ascii="仿宋" w:hAnsi="仿宋" w:eastAsia="仿宋" w:cs="仿宋"/>
                <w:kern w:val="0"/>
                <w:sz w:val="18"/>
                <w:szCs w:val="18"/>
                <w:lang w:eastAsia="zh-CN"/>
              </w:rPr>
            </w:pPr>
            <w:r>
              <w:rPr>
                <w:rFonts w:hint="eastAsia" w:ascii="仿宋" w:hAnsi="仿宋" w:eastAsia="仿宋" w:cs="仿宋"/>
                <w:kern w:val="0"/>
                <w:sz w:val="18"/>
                <w:szCs w:val="18"/>
              </w:rPr>
              <w:tab/>
            </w:r>
            <w:r>
              <w:rPr>
                <w:rFonts w:hint="eastAsia" w:ascii="仿宋" w:hAnsi="仿宋" w:eastAsia="仿宋" w:cs="仿宋"/>
                <w:kern w:val="0"/>
                <w:sz w:val="18"/>
                <w:szCs w:val="18"/>
              </w:rPr>
              <w:t>PEX机组除传统的Copeland柔性涡旋式高效涡旋压缩机外，还有采用数码涡旋压缩机的空调机组。数码涡旋压缩机可在 0%－ 00%范围内调节制冷量输出，具有良好的适应性和可扩展性，可以针对每年增长的热负荷可自动调节。在iCOM控制系统的管理下，数码涡旋技术在湿度控制上更有独特的优势，可以大大减少加湿量，节省湿度控制费用。与标准数码涡旋压缩机相比，降低 0%的能源消耗。iCOM控制器现场联控多达 台空调机组，多种联控模式可根据机房现场情况进行选择，以实现节能和降低制冷系统的全寿命成本■ 谷轮(Copeland)涡旋式压缩机，高能效比■ EC风机，比普通风机节能 0%■ 远红外加湿器，加湿响应快，加湿量恒定，水温低■ “V”型蒸发器，在有限的空间内增大换热面积可选微通道室外机快速除湿设计大面积V型蒸发盘管室外全调速风机机组内部气流采用CFD进行最优化轮巡模式(Rotation)和自动备份模式(Standby)■ 冷量动态分配(Cascading)跟据实际制冷需求开启或关闭相应的空调机组■ 避免竞争运行模式。避免出现同时制冷和加热、或除湿和加湿的情况经过严格认证的高品质部件■ 先进的控制器自动平衡部件的运行和磨损，延长系统寿命■ 具有专家自诊断和故障预警功能的控制系统■ 碳钢铆钉铆接的骨架机身，既稳定坚固又容易拆分■ 内外双层面板，内置防火隔热材料上送风、下送风机组的多种配置含;  丰富的双冷源方案</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冷冻水双盘管设计</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环保设计，兼容R 和R 0 C的制冷系统</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可根据特殊需要进行定制化设计</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压缩机高低压、排气高温、风量丢失、风机过载等多重保护措施</w:t>
            </w:r>
            <w:r>
              <w:rPr>
                <w:rFonts w:hint="eastAsia" w:ascii="仿宋" w:hAnsi="仿宋" w:eastAsia="仿宋" w:cs="仿宋"/>
                <w:kern w:val="0"/>
                <w:sz w:val="18"/>
                <w:szCs w:val="18"/>
                <w:lang w:eastAsia="zh-CN"/>
              </w:rPr>
              <w:t>。</w:t>
            </w:r>
          </w:p>
        </w:tc>
      </w:tr>
      <w:tr>
        <w:tblPrEx>
          <w:tblCellMar>
            <w:top w:w="15" w:type="dxa"/>
            <w:left w:w="15" w:type="dxa"/>
            <w:bottom w:w="15" w:type="dxa"/>
            <w:right w:w="15" w:type="dxa"/>
          </w:tblCellMar>
        </w:tblPrEx>
        <w:trPr>
          <w:trHeight w:val="1090" w:hRule="atLeast"/>
          <w:jc w:val="center"/>
        </w:trPr>
        <w:tc>
          <w:tcPr>
            <w:tcW w:w="578" w:type="dxa"/>
            <w:tcBorders>
              <w:top w:val="single" w:color="000000" w:sz="4" w:space="0"/>
              <w:left w:val="single" w:color="000000" w:sz="4" w:space="0"/>
              <w:right w:val="single" w:color="000000" w:sz="4" w:space="0"/>
            </w:tcBorders>
            <w:shd w:val="clear" w:color="auto" w:fill="auto"/>
            <w:noWrap w:val="0"/>
            <w:vAlign w:val="center"/>
          </w:tcPr>
          <w:p>
            <w:pPr>
              <w:widowControl/>
              <w:snapToGrid w:val="0"/>
              <w:jc w:val="center"/>
              <w:rPr>
                <w:rFonts w:hint="eastAsia" w:ascii="仿宋" w:hAnsi="仿宋" w:eastAsia="仿宋" w:cs="仿宋"/>
                <w:kern w:val="0"/>
                <w:sz w:val="18"/>
                <w:szCs w:val="18"/>
              </w:rPr>
            </w:pPr>
            <w:r>
              <w:rPr>
                <w:rFonts w:hint="eastAsia" w:ascii="仿宋" w:hAnsi="仿宋" w:eastAsia="仿宋" w:cs="仿宋"/>
                <w:kern w:val="0"/>
                <w:sz w:val="18"/>
                <w:szCs w:val="18"/>
              </w:rPr>
              <w:t>9</w:t>
            </w:r>
          </w:p>
        </w:tc>
        <w:tc>
          <w:tcPr>
            <w:tcW w:w="930" w:type="dxa"/>
            <w:tcBorders>
              <w:top w:val="single" w:color="000000" w:sz="4" w:space="0"/>
              <w:left w:val="single" w:color="000000" w:sz="4" w:space="0"/>
              <w:right w:val="single" w:color="000000" w:sz="4" w:space="0"/>
            </w:tcBorders>
            <w:shd w:val="clear" w:color="auto" w:fill="FFFFFF"/>
            <w:noWrap w:val="0"/>
            <w:vAlign w:val="center"/>
          </w:tcPr>
          <w:p>
            <w:pPr>
              <w:widowControl/>
              <w:snapToGrid w:val="0"/>
              <w:jc w:val="center"/>
              <w:rPr>
                <w:rFonts w:hint="eastAsia" w:ascii="仿宋" w:hAnsi="仿宋" w:eastAsia="仿宋" w:cs="仿宋"/>
                <w:kern w:val="0"/>
                <w:sz w:val="18"/>
                <w:szCs w:val="18"/>
              </w:rPr>
            </w:pPr>
            <w:r>
              <w:rPr>
                <w:rFonts w:hint="eastAsia" w:ascii="仿宋" w:hAnsi="仿宋" w:eastAsia="仿宋" w:cs="仿宋"/>
                <w:kern w:val="0"/>
                <w:sz w:val="18"/>
                <w:szCs w:val="18"/>
              </w:rPr>
              <w:t>机房精密空调室外机</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 w:hAnsi="仿宋" w:eastAsia="仿宋" w:cs="仿宋"/>
                <w:kern w:val="0"/>
                <w:sz w:val="18"/>
                <w:szCs w:val="18"/>
                <w:lang w:eastAsia="zh-CN"/>
              </w:rPr>
            </w:pPr>
            <w:r>
              <w:rPr>
                <w:rFonts w:hint="eastAsia" w:ascii="仿宋" w:hAnsi="仿宋" w:eastAsia="仿宋" w:cs="仿宋"/>
                <w:kern w:val="0"/>
                <w:sz w:val="18"/>
                <w:szCs w:val="18"/>
              </w:rPr>
              <w:t>下送风风机下沉式设计</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可选微通道室外机</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快速除湿设计</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大面积V型蒸发盘管</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室外全调速风机</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机组内部气流采用CFD进行最优化</w:t>
            </w:r>
            <w:r>
              <w:rPr>
                <w:rFonts w:hint="eastAsia" w:ascii="仿宋" w:hAnsi="仿宋" w:eastAsia="仿宋" w:cs="仿宋"/>
                <w:kern w:val="0"/>
                <w:sz w:val="18"/>
                <w:szCs w:val="18"/>
                <w:lang w:eastAsia="zh-CN"/>
              </w:rPr>
              <w:t>；</w:t>
            </w:r>
          </w:p>
        </w:tc>
      </w:tr>
      <w:tr>
        <w:tblPrEx>
          <w:tblCellMar>
            <w:top w:w="15" w:type="dxa"/>
            <w:left w:w="15" w:type="dxa"/>
            <w:bottom w:w="15" w:type="dxa"/>
            <w:right w:w="15" w:type="dxa"/>
          </w:tblCellMar>
        </w:tblPrEx>
        <w:trPr>
          <w:trHeight w:val="1480" w:hRule="atLeast"/>
          <w:jc w:val="center"/>
        </w:trPr>
        <w:tc>
          <w:tcPr>
            <w:tcW w:w="578" w:type="dxa"/>
            <w:tcBorders>
              <w:top w:val="single" w:color="000000" w:sz="4" w:space="0"/>
              <w:left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930" w:type="dxa"/>
            <w:tcBorders>
              <w:top w:val="single" w:color="000000" w:sz="4" w:space="0"/>
              <w:left w:val="single" w:color="000000" w:sz="4" w:space="0"/>
              <w:right w:val="single" w:color="000000" w:sz="4" w:space="0"/>
            </w:tcBorders>
            <w:shd w:val="clear" w:color="auto" w:fill="FFFFFF"/>
            <w:noWrap w:val="0"/>
            <w:vAlign w:val="center"/>
          </w:tcPr>
          <w:p>
            <w:pPr>
              <w:widowControl/>
              <w:snapToGrid w:val="0"/>
              <w:jc w:val="center"/>
              <w:rPr>
                <w:rFonts w:hint="eastAsia" w:ascii="仿宋" w:hAnsi="仿宋" w:eastAsia="仿宋" w:cs="仿宋"/>
                <w:kern w:val="0"/>
                <w:sz w:val="18"/>
                <w:szCs w:val="18"/>
              </w:rPr>
            </w:pPr>
            <w:r>
              <w:rPr>
                <w:rFonts w:hint="eastAsia" w:ascii="仿宋" w:hAnsi="仿宋" w:eastAsia="仿宋" w:cs="仿宋"/>
                <w:kern w:val="0"/>
                <w:sz w:val="18"/>
                <w:szCs w:val="18"/>
              </w:rPr>
              <w:t>200米铜管、铜管保温套、室内室外机电缆、5罐冷媒及搬运费</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机房精密空调200米铜管、铜管保温套、室内室外机电缆、5罐冷媒及搬运费</w:t>
            </w:r>
          </w:p>
        </w:tc>
      </w:tr>
      <w:tr>
        <w:tblPrEx>
          <w:tblCellMar>
            <w:top w:w="15" w:type="dxa"/>
            <w:left w:w="15" w:type="dxa"/>
            <w:bottom w:w="15" w:type="dxa"/>
            <w:right w:w="15" w:type="dxa"/>
          </w:tblCellMar>
        </w:tblPrEx>
        <w:trPr>
          <w:trHeight w:val="1030" w:hRule="atLeast"/>
          <w:jc w:val="center"/>
        </w:trPr>
        <w:tc>
          <w:tcPr>
            <w:tcW w:w="578" w:type="dxa"/>
            <w:tcBorders>
              <w:top w:val="single" w:color="000000" w:sz="4" w:space="0"/>
              <w:left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11</w:t>
            </w:r>
          </w:p>
        </w:tc>
        <w:tc>
          <w:tcPr>
            <w:tcW w:w="930" w:type="dxa"/>
            <w:tcBorders>
              <w:top w:val="single" w:color="000000" w:sz="4" w:space="0"/>
              <w:left w:val="single" w:color="000000" w:sz="4" w:space="0"/>
              <w:right w:val="single" w:color="000000" w:sz="4" w:space="0"/>
            </w:tcBorders>
            <w:shd w:val="clear" w:color="auto" w:fill="FFFFFF"/>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机房精密空调改水路</w:t>
            </w:r>
            <w:r>
              <w:rPr>
                <w:rFonts w:hint="eastAsia" w:ascii="仿宋" w:hAnsi="仿宋" w:eastAsia="仿宋" w:cs="仿宋"/>
                <w:color w:val="000000"/>
                <w:kern w:val="0"/>
                <w:sz w:val="20"/>
                <w:lang w:eastAsia="zh-CN"/>
              </w:rPr>
              <w:t>：</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 w:hAnsi="仿宋" w:eastAsia="仿宋" w:cs="仿宋"/>
                <w:kern w:val="0"/>
                <w:sz w:val="18"/>
                <w:szCs w:val="18"/>
                <w:lang w:eastAsia="zh-CN"/>
              </w:rPr>
            </w:pPr>
            <w:r>
              <w:rPr>
                <w:rFonts w:hint="eastAsia" w:ascii="仿宋" w:hAnsi="仿宋" w:eastAsia="仿宋" w:cs="仿宋"/>
                <w:color w:val="000000"/>
                <w:kern w:val="0"/>
                <w:sz w:val="20"/>
              </w:rPr>
              <w:t>中心机房内</w:t>
            </w:r>
            <w:r>
              <w:rPr>
                <w:rFonts w:hint="eastAsia" w:ascii="仿宋" w:hAnsi="仿宋" w:eastAsia="仿宋" w:cs="仿宋"/>
                <w:color w:val="000000"/>
                <w:kern w:val="0"/>
                <w:sz w:val="20"/>
                <w:lang w:val="en-US" w:eastAsia="zh-CN"/>
              </w:rPr>
              <w:t>2</w:t>
            </w:r>
            <w:r>
              <w:rPr>
                <w:rFonts w:hint="eastAsia" w:ascii="仿宋" w:hAnsi="仿宋" w:eastAsia="仿宋" w:cs="仿宋"/>
                <w:color w:val="000000"/>
                <w:kern w:val="0"/>
                <w:sz w:val="20"/>
              </w:rPr>
              <w:t>台精密空调水路统一供水机房精密空调改水路</w:t>
            </w:r>
            <w:r>
              <w:rPr>
                <w:rFonts w:hint="eastAsia" w:ascii="仿宋" w:hAnsi="仿宋" w:eastAsia="仿宋" w:cs="仿宋"/>
                <w:color w:val="000000"/>
                <w:kern w:val="0"/>
                <w:sz w:val="20"/>
                <w:lang w:eastAsia="zh-CN"/>
              </w:rPr>
              <w:t>：</w:t>
            </w:r>
            <w:r>
              <w:rPr>
                <w:rFonts w:hint="eastAsia" w:ascii="仿宋" w:hAnsi="仿宋" w:eastAsia="仿宋" w:cs="仿宋"/>
                <w:color w:val="000000"/>
                <w:kern w:val="0"/>
                <w:sz w:val="20"/>
              </w:rPr>
              <w:t>中心机房内</w:t>
            </w:r>
            <w:r>
              <w:rPr>
                <w:rFonts w:hint="eastAsia" w:ascii="仿宋" w:hAnsi="仿宋" w:eastAsia="仿宋" w:cs="仿宋"/>
                <w:color w:val="000000"/>
                <w:kern w:val="0"/>
                <w:sz w:val="20"/>
                <w:lang w:val="en-US" w:eastAsia="zh-CN"/>
              </w:rPr>
              <w:t>2</w:t>
            </w:r>
            <w:r>
              <w:rPr>
                <w:rFonts w:hint="eastAsia" w:ascii="仿宋" w:hAnsi="仿宋" w:eastAsia="仿宋" w:cs="仿宋"/>
                <w:color w:val="000000"/>
                <w:kern w:val="0"/>
                <w:sz w:val="20"/>
              </w:rPr>
              <w:t>台精密空调水路统一供水</w:t>
            </w:r>
            <w:r>
              <w:rPr>
                <w:rFonts w:hint="eastAsia" w:ascii="仿宋" w:hAnsi="仿宋" w:eastAsia="仿宋" w:cs="仿宋"/>
                <w:color w:val="000000"/>
                <w:kern w:val="0"/>
                <w:sz w:val="20"/>
                <w:lang w:eastAsia="zh-CN"/>
              </w:rPr>
              <w:t>；</w:t>
            </w:r>
          </w:p>
        </w:tc>
      </w:tr>
      <w:tr>
        <w:tblPrEx>
          <w:tblCellMar>
            <w:top w:w="15" w:type="dxa"/>
            <w:left w:w="15" w:type="dxa"/>
            <w:bottom w:w="15" w:type="dxa"/>
            <w:right w:w="15" w:type="dxa"/>
          </w:tblCellMar>
        </w:tblPrEx>
        <w:trPr>
          <w:trHeight w:val="390"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1</w:t>
            </w:r>
            <w:r>
              <w:rPr>
                <w:rFonts w:hint="eastAsia" w:ascii="仿宋" w:hAnsi="仿宋" w:eastAsia="仿宋" w:cs="仿宋"/>
                <w:kern w:val="0"/>
                <w:sz w:val="18"/>
                <w:szCs w:val="18"/>
                <w:lang w:val="en-US" w:eastAsia="zh-CN"/>
              </w:rPr>
              <w:t>2</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w:t>
            </w:r>
            <w:r>
              <w:rPr>
                <w:rFonts w:hint="eastAsia" w:ascii="仿宋" w:hAnsi="仿宋" w:eastAsia="仿宋" w:cs="仿宋"/>
                <w:kern w:val="0"/>
                <w:sz w:val="18"/>
                <w:szCs w:val="18"/>
                <w:lang w:val="en-US" w:eastAsia="zh-CN"/>
              </w:rPr>
              <w:t>精密空调、UPS设备</w:t>
            </w:r>
            <w:r>
              <w:rPr>
                <w:rFonts w:hint="eastAsia" w:ascii="仿宋" w:hAnsi="仿宋" w:eastAsia="仿宋" w:cs="仿宋"/>
                <w:kern w:val="0"/>
                <w:sz w:val="18"/>
                <w:szCs w:val="18"/>
              </w:rPr>
              <w:t>承重加固</w:t>
            </w:r>
          </w:p>
        </w:tc>
        <w:tc>
          <w:tcPr>
            <w:tcW w:w="77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机房</w:t>
            </w:r>
            <w:r>
              <w:rPr>
                <w:rFonts w:hint="eastAsia" w:ascii="仿宋" w:hAnsi="仿宋" w:eastAsia="仿宋" w:cs="仿宋"/>
                <w:kern w:val="0"/>
                <w:sz w:val="18"/>
                <w:szCs w:val="18"/>
                <w:lang w:val="en-US" w:eastAsia="zh-CN"/>
              </w:rPr>
              <w:t>精密空调、UPS设备</w:t>
            </w:r>
            <w:r>
              <w:rPr>
                <w:rFonts w:hint="eastAsia" w:ascii="仿宋" w:hAnsi="仿宋" w:eastAsia="仿宋" w:cs="仿宋"/>
                <w:kern w:val="0"/>
                <w:sz w:val="18"/>
                <w:szCs w:val="18"/>
              </w:rPr>
              <w:t>承重加固</w:t>
            </w:r>
            <w:r>
              <w:rPr>
                <w:rFonts w:hint="eastAsia" w:ascii="仿宋" w:hAnsi="仿宋" w:eastAsia="仿宋" w:cs="仿宋"/>
                <w:kern w:val="0"/>
                <w:sz w:val="18"/>
                <w:szCs w:val="18"/>
                <w:lang w:eastAsia="zh-CN"/>
              </w:rPr>
              <w:t>；</w:t>
            </w:r>
          </w:p>
        </w:tc>
      </w:tr>
      <w:tr>
        <w:tblPrEx>
          <w:tblCellMar>
            <w:top w:w="15" w:type="dxa"/>
            <w:left w:w="15" w:type="dxa"/>
            <w:bottom w:w="15" w:type="dxa"/>
            <w:right w:w="15" w:type="dxa"/>
          </w:tblCellMar>
        </w:tblPrEx>
        <w:trPr>
          <w:trHeight w:val="390"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中心机房内所有照明市电改UPS电</w:t>
            </w:r>
          </w:p>
        </w:tc>
        <w:tc>
          <w:tcPr>
            <w:tcW w:w="77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 w:hAnsi="仿宋" w:eastAsia="仿宋" w:cs="仿宋"/>
                <w:kern w:val="0"/>
                <w:sz w:val="18"/>
                <w:szCs w:val="18"/>
                <w:lang w:val="en-US" w:eastAsia="zh-CN"/>
              </w:rPr>
            </w:pPr>
            <w:r>
              <w:rPr>
                <w:rFonts w:hint="eastAsia" w:ascii="仿宋" w:hAnsi="仿宋" w:eastAsia="仿宋" w:cs="仿宋"/>
                <w:color w:val="000000"/>
                <w:kern w:val="0"/>
                <w:sz w:val="20"/>
              </w:rPr>
              <w:t>中心机房内所有照明市电改UPS电</w:t>
            </w:r>
            <w:r>
              <w:rPr>
                <w:rFonts w:hint="eastAsia" w:ascii="仿宋" w:hAnsi="仿宋" w:eastAsia="仿宋" w:cs="仿宋"/>
                <w:color w:val="000000"/>
                <w:kern w:val="0"/>
                <w:sz w:val="20"/>
                <w:lang w:eastAsia="zh-CN"/>
              </w:rPr>
              <w:t>；</w:t>
            </w:r>
            <w:r>
              <w:rPr>
                <w:rFonts w:hint="eastAsia" w:ascii="仿宋" w:hAnsi="仿宋" w:eastAsia="仿宋" w:cs="仿宋"/>
                <w:color w:val="000000"/>
                <w:kern w:val="0"/>
                <w:sz w:val="20"/>
                <w:lang w:val="en-US" w:eastAsia="zh-CN"/>
              </w:rPr>
              <w:t>UPS输出配电柜增加一路UPS供电模块；</w:t>
            </w:r>
          </w:p>
        </w:tc>
      </w:tr>
      <w:tr>
        <w:tblPrEx>
          <w:tblCellMar>
            <w:top w:w="15" w:type="dxa"/>
            <w:left w:w="15" w:type="dxa"/>
            <w:bottom w:w="15" w:type="dxa"/>
            <w:right w:w="15" w:type="dxa"/>
          </w:tblCellMar>
        </w:tblPrEx>
        <w:trPr>
          <w:trHeight w:val="390"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14</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吊顶式新风净化机（送风）</w:t>
            </w:r>
          </w:p>
        </w:tc>
        <w:tc>
          <w:tcPr>
            <w:tcW w:w="7761"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kern w:val="0"/>
                <w:sz w:val="18"/>
                <w:szCs w:val="18"/>
              </w:rPr>
            </w:pPr>
            <w:r>
              <w:rPr>
                <w:rFonts w:hint="eastAsia" w:ascii="仿宋" w:hAnsi="仿宋" w:eastAsia="仿宋" w:cs="仿宋"/>
                <w:color w:val="000000"/>
                <w:kern w:val="0"/>
                <w:sz w:val="20"/>
              </w:rPr>
              <w:t>风量=2500m3/h；电压=380V；功率=0.65KW；风压=320Pa</w:t>
            </w:r>
          </w:p>
        </w:tc>
      </w:tr>
      <w:tr>
        <w:tblPrEx>
          <w:tblCellMar>
            <w:top w:w="15" w:type="dxa"/>
            <w:left w:w="15" w:type="dxa"/>
            <w:bottom w:w="15" w:type="dxa"/>
            <w:right w:w="15" w:type="dxa"/>
          </w:tblCellMar>
        </w:tblPrEx>
        <w:trPr>
          <w:trHeight w:val="390"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吊顶式排风机（排风）</w:t>
            </w:r>
          </w:p>
        </w:tc>
        <w:tc>
          <w:tcPr>
            <w:tcW w:w="7761"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kern w:val="0"/>
                <w:sz w:val="18"/>
                <w:szCs w:val="18"/>
              </w:rPr>
            </w:pPr>
            <w:r>
              <w:rPr>
                <w:rFonts w:hint="eastAsia" w:ascii="仿宋" w:hAnsi="仿宋" w:eastAsia="仿宋" w:cs="仿宋"/>
                <w:color w:val="000000"/>
                <w:kern w:val="0"/>
                <w:sz w:val="20"/>
              </w:rPr>
              <w:t>风量=2500m3/h；电压=380V；功率=0.65KW；风压=320Pa</w:t>
            </w:r>
          </w:p>
        </w:tc>
      </w:tr>
      <w:tr>
        <w:tblPrEx>
          <w:tblCellMar>
            <w:top w:w="15" w:type="dxa"/>
            <w:left w:w="15" w:type="dxa"/>
            <w:bottom w:w="15" w:type="dxa"/>
            <w:right w:w="15" w:type="dxa"/>
          </w:tblCellMar>
        </w:tblPrEx>
        <w:trPr>
          <w:trHeight w:val="390"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20"/>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16</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rPr>
              <w:t>新风换气机制作管道</w:t>
            </w:r>
          </w:p>
        </w:tc>
        <w:tc>
          <w:tcPr>
            <w:tcW w:w="7761"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kern w:val="0"/>
                <w:sz w:val="18"/>
                <w:szCs w:val="18"/>
              </w:rPr>
            </w:pPr>
            <w:r>
              <w:rPr>
                <w:rFonts w:hint="eastAsia" w:ascii="仿宋" w:hAnsi="仿宋" w:eastAsia="仿宋" w:cs="仿宋"/>
                <w:color w:val="000000"/>
                <w:kern w:val="0"/>
                <w:sz w:val="20"/>
              </w:rPr>
              <w:t>镀锌铁皮定制管道，0.5-1.0mm</w:t>
            </w:r>
          </w:p>
        </w:tc>
      </w:tr>
      <w:tr>
        <w:tblPrEx>
          <w:tblCellMar>
            <w:top w:w="15" w:type="dxa"/>
            <w:left w:w="15" w:type="dxa"/>
            <w:bottom w:w="15" w:type="dxa"/>
            <w:right w:w="15" w:type="dxa"/>
          </w:tblCellMar>
        </w:tblPrEx>
        <w:trPr>
          <w:trHeight w:val="390"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ind w:right="220" w:rightChars="100"/>
              <w:jc w:val="right"/>
              <w:textAlignment w:val="center"/>
              <w:rPr>
                <w:rFonts w:hint="eastAsia" w:ascii="仿宋" w:hAnsi="仿宋" w:eastAsia="仿宋" w:cs="仿宋"/>
                <w:kern w:val="0"/>
                <w:sz w:val="18"/>
                <w:szCs w:val="18"/>
                <w:lang w:val="en-US" w:eastAsia="zh-CN"/>
              </w:rPr>
            </w:pPr>
            <w:r>
              <w:rPr>
                <w:rFonts w:hint="eastAsia" w:ascii="仿宋" w:hAnsi="仿宋" w:eastAsia="仿宋" w:cs="仿宋"/>
                <w:bCs/>
                <w:kern w:val="0"/>
                <w:sz w:val="20"/>
                <w:szCs w:val="20"/>
                <w:lang w:bidi="ar"/>
              </w:rPr>
              <w:t>17</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color w:val="000000"/>
                <w:kern w:val="0"/>
                <w:sz w:val="20"/>
                <w:lang w:val="en-US" w:eastAsia="zh-CN"/>
              </w:rPr>
              <w:t>机房</w:t>
            </w:r>
            <w:r>
              <w:rPr>
                <w:rFonts w:hint="eastAsia" w:ascii="仿宋" w:hAnsi="仿宋" w:eastAsia="仿宋" w:cs="仿宋"/>
                <w:color w:val="000000"/>
                <w:kern w:val="0"/>
                <w:sz w:val="20"/>
              </w:rPr>
              <w:t>墙体破碎、修复</w:t>
            </w:r>
          </w:p>
        </w:tc>
        <w:tc>
          <w:tcPr>
            <w:tcW w:w="7761"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ascii="仿宋" w:hAnsi="仿宋" w:eastAsia="仿宋" w:cs="仿宋"/>
                <w:kern w:val="0"/>
                <w:sz w:val="18"/>
                <w:szCs w:val="18"/>
                <w:lang w:val="en-US" w:eastAsia="zh-CN"/>
              </w:rPr>
            </w:pPr>
            <w:r>
              <w:rPr>
                <w:rFonts w:hint="eastAsia" w:ascii="仿宋" w:hAnsi="仿宋" w:eastAsia="仿宋" w:cs="仿宋"/>
                <w:bCs/>
                <w:kern w:val="0"/>
                <w:sz w:val="20"/>
                <w:szCs w:val="20"/>
                <w:lang w:val="en-US" w:eastAsia="zh-CN" w:bidi="ar"/>
              </w:rPr>
              <w:t>新风施工项目墙体破碎修复；墙体窗户上玻璃；</w:t>
            </w:r>
            <w:r>
              <w:rPr>
                <w:rFonts w:hint="eastAsia" w:ascii="仿宋" w:hAnsi="仿宋" w:eastAsia="仿宋" w:cs="仿宋"/>
                <w:color w:val="000000"/>
                <w:kern w:val="0"/>
                <w:sz w:val="20"/>
              </w:rPr>
              <w:t>中心机房外墙体</w:t>
            </w:r>
            <w:r>
              <w:rPr>
                <w:rFonts w:hint="eastAsia" w:ascii="仿宋" w:hAnsi="仿宋" w:eastAsia="仿宋" w:cs="仿宋"/>
                <w:color w:val="000000"/>
                <w:kern w:val="0"/>
                <w:sz w:val="20"/>
                <w:lang w:val="en-US" w:eastAsia="zh-CN"/>
              </w:rPr>
              <w:t>打孔安装新风</w:t>
            </w:r>
          </w:p>
        </w:tc>
      </w:tr>
      <w:tr>
        <w:tblPrEx>
          <w:tblCellMar>
            <w:top w:w="15" w:type="dxa"/>
            <w:left w:w="15" w:type="dxa"/>
            <w:bottom w:w="15" w:type="dxa"/>
            <w:right w:w="15" w:type="dxa"/>
          </w:tblCellMar>
        </w:tblPrEx>
        <w:trPr>
          <w:trHeight w:val="1359"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bidi="ar"/>
              </w:rPr>
              <w:t>18</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机房输入配电柜改造</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abs>
                <w:tab w:val="left" w:pos="420"/>
              </w:tabs>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xml:space="preserve">输入配电柜改造。共2个输入配电柜。（1）输入配电柜：市电首先进入输入配电柜，可以根据用户的要求做调整。（2）考虑到用户实际情况，将机房分为五个供电区域，UPS配电柜分别为五个区域提供电源，同时为方便设备检修， UPS输出端预留两路电源备用。2台精密空调供电（电缆采用五芯电缆），保证了空调零地与机房插座的零地分开。从可靠性和耐用性角度考虑，本方案中的空气开关均采用ABB产品。对于电池柜根据场地环境， </w:t>
            </w:r>
          </w:p>
        </w:tc>
      </w:tr>
      <w:tr>
        <w:tblPrEx>
          <w:tblCellMar>
            <w:top w:w="15" w:type="dxa"/>
            <w:left w:w="15" w:type="dxa"/>
            <w:bottom w:w="15" w:type="dxa"/>
            <w:right w:w="15" w:type="dxa"/>
          </w:tblCellMar>
        </w:tblPrEx>
        <w:trPr>
          <w:trHeight w:val="419"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bidi="ar"/>
              </w:rPr>
              <w:t>19</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机房输出配电柜改造</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abs>
                <w:tab w:val="left" w:pos="420"/>
              </w:tabs>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输出配电柜改造。共2个输出配电柜。（1）输出配电柜：UPS供电首先进入输出配电柜，可以根据用户的要求做调整。（2）考虑到用户实际情况，将机房分为五个供电区域，UPS配电柜分别为五个区域提供电源，同时为方便设备检修，在UPS1及UPS2配电柜中都分别增加了15个空开，可以同时对某一区域断电，五个区域十五个点位单独控制十五个突破PDU。UPS输出端预留两路电源备用。15个电源点连接电缆采用3×2.5mm护套线。从可靠性和耐用性角度考虑，本方案中的空气开关均采用ABB产品。对于电池柜根据场地环境，本方案中设计每个电池柜放置24块电池，总重量为512KG，电池柜的外形尺寸为：1800高*600宽*480深，为了机房整体协调美观，颜色均采用灰白色。</w:t>
            </w:r>
          </w:p>
        </w:tc>
      </w:tr>
      <w:tr>
        <w:tblPrEx>
          <w:tblCellMar>
            <w:top w:w="15" w:type="dxa"/>
            <w:left w:w="15" w:type="dxa"/>
            <w:bottom w:w="15" w:type="dxa"/>
            <w:right w:w="15" w:type="dxa"/>
          </w:tblCellMar>
        </w:tblPrEx>
        <w:trPr>
          <w:trHeight w:val="90"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bidi="ar"/>
              </w:rPr>
              <w:t>20</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机房弱电布线改造</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abs>
                <w:tab w:val="left" w:pos="420"/>
              </w:tabs>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弱电布线：弱电布线中主要采用6类康普（安普）原装正品跳线等，布线时应注意每个机柜、设备后面都有相应的线缆，并应考虑以后的发展需要，各种线缆应分门别类用扎带扎好。在弱电布线的时候，为了保证传输的速率和网络的稳定，还应该注意以下几点：</w:t>
            </w:r>
          </w:p>
          <w:p>
            <w:pPr>
              <w:widowControl/>
              <w:tabs>
                <w:tab w:val="left" w:pos="420"/>
              </w:tabs>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采用上走线需要有设备布局的配合，这种布局主要适用于标准机架式布局的场合，而且机柜的尺寸特别是高度应基本一致，才能保证美观。上走线采用线槽。线槽有两种安装模式:支架吊装在顶上、支架支撑在地面上。支撑在地面上容易发生支架和机柜的打架，在设计时应注意。</w:t>
            </w:r>
          </w:p>
        </w:tc>
      </w:tr>
      <w:tr>
        <w:tblPrEx>
          <w:tblCellMar>
            <w:top w:w="15" w:type="dxa"/>
            <w:left w:w="15" w:type="dxa"/>
            <w:bottom w:w="15" w:type="dxa"/>
            <w:right w:w="15" w:type="dxa"/>
          </w:tblCellMar>
        </w:tblPrEx>
        <w:trPr>
          <w:trHeight w:val="1730"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bidi="ar"/>
              </w:rPr>
              <w:t>21</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机房强电布线改造</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强电布线：其中强电布线金属布线槽内，具体的金属布线槽尺寸可根据线量的多少并考虑留有一定的余量（一般为100*50或50*50）。强电线槽和弱电线槽之间的距离应保持至少5cm以上，互相之间不能穿越，以防止相互之间的电磁干扰。</w:t>
            </w:r>
          </w:p>
          <w:p>
            <w:pPr>
              <w:widowControl/>
              <w:tabs>
                <w:tab w:val="left" w:pos="420"/>
              </w:tabs>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强电布线：在新机房装修进行强电布线时，应根据整个机房的布局和UPS的容量来安排，在规划中的每个机柜安装3个电源PDU，PDU的容量应根据接入设备的功率来定，并留有一定的冗余，一般为16A或32A。电源的线缆直径应根据电源插座的容量并留有一定的余量来选购。其中包括各种设备摆放整齐，将各种电缆整齐、有序地分类扎好，并做好标识。</w:t>
            </w:r>
          </w:p>
          <w:p>
            <w:pPr>
              <w:widowControl/>
              <w:tabs>
                <w:tab w:val="left" w:pos="420"/>
              </w:tabs>
              <w:spacing w:line="240" w:lineRule="exact"/>
              <w:jc w:val="left"/>
              <w:textAlignment w:val="center"/>
              <w:rPr>
                <w:rFonts w:hint="eastAsia" w:ascii="仿宋" w:hAnsi="仿宋" w:eastAsia="仿宋" w:cs="仿宋"/>
                <w:kern w:val="0"/>
                <w:sz w:val="18"/>
                <w:szCs w:val="18"/>
              </w:rPr>
            </w:pPr>
          </w:p>
        </w:tc>
      </w:tr>
      <w:tr>
        <w:tblPrEx>
          <w:tblCellMar>
            <w:top w:w="15" w:type="dxa"/>
            <w:left w:w="15" w:type="dxa"/>
            <w:bottom w:w="15" w:type="dxa"/>
            <w:right w:w="15" w:type="dxa"/>
          </w:tblCellMar>
        </w:tblPrEx>
        <w:trPr>
          <w:trHeight w:val="1199"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bidi="ar"/>
              </w:rPr>
              <w:t>22</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机房接地布线改造</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abs>
                <w:tab w:val="left" w:pos="420"/>
              </w:tabs>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接地布线：由于新机房内都是高性能的计算机和网络通讯设备，故对接地有着严格的要求，接地也是消除公共阻抗，防止电容耦合干扰，保护设备和人员的安全，保证计算机系统稳定可靠运行的重要措施。在机房地板下应布置信号接地用的铜排，以供机房内各种接地需要，铜排再以专线方式接入该处的弱电信号接地系统。</w:t>
            </w:r>
          </w:p>
        </w:tc>
      </w:tr>
      <w:tr>
        <w:tblPrEx>
          <w:tblCellMar>
            <w:top w:w="15" w:type="dxa"/>
            <w:left w:w="15" w:type="dxa"/>
            <w:bottom w:w="15" w:type="dxa"/>
            <w:right w:w="15" w:type="dxa"/>
          </w:tblCellMar>
        </w:tblPrEx>
        <w:trPr>
          <w:trHeight w:val="231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val="en-US" w:eastAsia="zh-CN" w:bidi="ar"/>
              </w:rPr>
              <w:t>23</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机房网络改造及设备搬迁重新部署</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机房网络改造及设备搬迁重新部署</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 xml:space="preserve">：             </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 xml:space="preserve">                    （1）完成网络结构图 （2）完成机柜设计图 （3）完成标签设计和准备 （4）制定操作系统密码编码规则 ；2、执行步骤</w:t>
            </w:r>
          </w:p>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（1）进行系统备份、数据备份和配置备份；  </w:t>
            </w:r>
            <w:r>
              <w:rPr>
                <w:rFonts w:hint="eastAsia" w:ascii="仿宋" w:hAnsi="仿宋" w:eastAsia="仿宋" w:cs="仿宋"/>
                <w:kern w:val="0"/>
                <w:sz w:val="18"/>
                <w:szCs w:val="18"/>
              </w:rPr>
              <w:br w:type="textWrapping"/>
            </w:r>
            <w:r>
              <w:rPr>
                <w:rFonts w:hint="eastAsia" w:ascii="仿宋" w:hAnsi="仿宋" w:eastAsia="仿宋" w:cs="仿宋"/>
                <w:kern w:val="0"/>
                <w:sz w:val="18"/>
                <w:szCs w:val="18"/>
              </w:rPr>
              <w:t>（2）操作系统密码按照密码编码规则重新设置；</w:t>
            </w:r>
          </w:p>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（3）配置操作系统安全策略配置、漏洞修复，关闭不必要的服务和端口；</w:t>
            </w:r>
          </w:p>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（4）清理机房内多余的服务器和网络设备； </w:t>
            </w:r>
          </w:p>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（5）所有设备关机断电移出机房，整理机房内的所有线缆，并做好临时标签工作。</w:t>
            </w:r>
          </w:p>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（6）全面清理和打扫机房卫生； </w:t>
            </w:r>
          </w:p>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（7）按照机柜设计图放置服务器和网络设备；</w:t>
            </w:r>
          </w:p>
          <w:p>
            <w:pPr>
              <w:widowControl/>
              <w:spacing w:line="240" w:lineRule="exact"/>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（8）重新部署所有线缆，并严格布于走线槽道按网络结构图连接后分别用不同扎线带做好扎线；（9）对所有线缆和设备打标签；（10）测试所有设备能正常使用。</w:t>
            </w:r>
          </w:p>
        </w:tc>
      </w:tr>
      <w:tr>
        <w:tblPrEx>
          <w:tblCellMar>
            <w:top w:w="15" w:type="dxa"/>
            <w:left w:w="15" w:type="dxa"/>
            <w:bottom w:w="15" w:type="dxa"/>
            <w:right w:w="15" w:type="dxa"/>
          </w:tblCellMar>
        </w:tblPrEx>
        <w:trPr>
          <w:trHeight w:val="90"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val="en-US" w:eastAsia="zh-CN" w:bidi="ar"/>
              </w:rPr>
              <w:t>24</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机房供配电系统改造项目</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机房供配电系统改造项目：合理分配机房动力及负载用电。（2）UPS系统：为所有计算机设备提供可靠的用电保证。检查机房环境条件和可用性：检查机房空调、供电、消防、综合布线等设备正常运行的条件具备，同时进行网络联通性测试，保证网络的可用性。</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在进行详细的规划时，我们需要提供如下的材料：</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w:t>
            </w:r>
            <w:r>
              <w:rPr>
                <w:rFonts w:hint="eastAsia" w:ascii="仿宋" w:hAnsi="仿宋" w:eastAsia="仿宋" w:cs="仿宋"/>
                <w:kern w:val="0"/>
                <w:sz w:val="18"/>
                <w:szCs w:val="18"/>
                <w:lang w:val="en-US" w:eastAsia="zh-CN"/>
              </w:rPr>
              <w:t>中心</w:t>
            </w:r>
            <w:r>
              <w:rPr>
                <w:rFonts w:hint="eastAsia" w:ascii="仿宋" w:hAnsi="仿宋" w:eastAsia="仿宋" w:cs="仿宋"/>
                <w:kern w:val="0"/>
                <w:sz w:val="18"/>
                <w:szCs w:val="18"/>
              </w:rPr>
              <w:t>机房的</w:t>
            </w:r>
            <w:r>
              <w:rPr>
                <w:rFonts w:hint="eastAsia" w:ascii="仿宋" w:hAnsi="仿宋" w:eastAsia="仿宋" w:cs="仿宋"/>
                <w:kern w:val="0"/>
                <w:sz w:val="18"/>
                <w:szCs w:val="18"/>
                <w:lang w:val="en-US" w:eastAsia="zh-CN"/>
              </w:rPr>
              <w:t>平面布局图</w:t>
            </w:r>
            <w:r>
              <w:rPr>
                <w:rFonts w:hint="eastAsia" w:ascii="仿宋" w:hAnsi="仿宋" w:eastAsia="仿宋" w:cs="仿宋"/>
                <w:kern w:val="0"/>
                <w:sz w:val="18"/>
                <w:szCs w:val="18"/>
              </w:rPr>
              <w:t>　　机房的设备连接图和线路分布图(细到每个设备的每条线路的连接)</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中心机房实施效果图；</w:t>
            </w:r>
            <w:r>
              <w:rPr>
                <w:rFonts w:hint="eastAsia" w:ascii="仿宋" w:hAnsi="仿宋" w:eastAsia="仿宋" w:cs="仿宋"/>
                <w:kern w:val="0"/>
                <w:sz w:val="18"/>
                <w:szCs w:val="18"/>
              </w:rPr>
              <w:t>　　</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应用描述</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应用的描述也是一个重要的方面。每台服务器都是在运行不同的应用，我们收集这方面的资料以后，会根据不同的应用来考虑，如果机器在搬迁过程中出现由于系统问题导致应用无法启动，将会准备一系列的方案，来协调其他的服务器来处理这部分的应用或者使用我们的备机来使机器恢复正常的运行。这部分的工作我们将在用户的配合下来实施完成。</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服务时间</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服务时间的确定也是搬迁工作中不可缺少的部分，我们会根据每台服务器的不同性质来安排每台机器的菪机时间，根据每台机器的不同的菪机时间来确定我们整个搬迁过程的安排，从而使搬迁过程能够顺利进行。避免计划外的菪机时间。</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此处需要注意的问题：</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（1）如果新旧机房的网络配置有所改变的话，要提前作新网络的规划，并给出新旧网络的信息对应表；</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（2）网络配置需要考虑考虑VPN、VLAN的划分，DHCP DNS的配置等；</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（3）根据网络拓扑，合理分配新IP对应相应的域名和服务器；</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（4）做好IP更换脚本。即执行该脚本，改造前关机，再开机设备得到的就是新的IP。目前我们的中央机房设在四层，其中的设备包括UPS、配线架、核心交换机、服务器、防火墙、存储设备等， 我们对于机房目前涉及的设备统计表如下：</w:t>
            </w:r>
          </w:p>
          <w:p>
            <w:pPr>
              <w:widowControl/>
              <w:spacing w:line="240" w:lineRule="exact"/>
              <w:ind w:left="90" w:hanging="90" w:hangingChars="50"/>
              <w:jc w:val="left"/>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　　网络</w:t>
            </w:r>
            <w:r>
              <w:rPr>
                <w:rFonts w:hint="eastAsia" w:ascii="仿宋" w:hAnsi="仿宋" w:eastAsia="仿宋" w:cs="仿宋"/>
                <w:kern w:val="0"/>
                <w:sz w:val="18"/>
                <w:szCs w:val="18"/>
                <w:lang w:val="en-US" w:eastAsia="zh-CN"/>
              </w:rPr>
              <w:t>改造</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保证搬迁后系统的正常工作，出具一份现有网络设备的设备列表、网络设备连接表、原有的IP地址分配表以及模块线缆型号统计表。给出进一步详细的设备统计信息，包括设备型号、配置、所在的网络、电源接口及功率等，在搬迁之前给出相应的表格记录文档;</w:t>
            </w:r>
          </w:p>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　　确定相关的辅助设备配件等，同样需要有详细的记录文档。</w:t>
            </w:r>
          </w:p>
        </w:tc>
      </w:tr>
      <w:tr>
        <w:tblPrEx>
          <w:tblCellMar>
            <w:top w:w="15" w:type="dxa"/>
            <w:left w:w="15" w:type="dxa"/>
            <w:bottom w:w="15" w:type="dxa"/>
            <w:right w:w="15" w:type="dxa"/>
          </w:tblCellMar>
        </w:tblPrEx>
        <w:trPr>
          <w:trHeight w:val="1359"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rPr>
            </w:pPr>
            <w:r>
              <w:rPr>
                <w:rFonts w:hint="eastAsia" w:ascii="仿宋" w:hAnsi="仿宋" w:eastAsia="仿宋" w:cs="仿宋"/>
                <w:bCs/>
                <w:kern w:val="0"/>
                <w:sz w:val="20"/>
                <w:szCs w:val="20"/>
                <w:lang w:val="en-US" w:eastAsia="zh-CN" w:bidi="ar"/>
              </w:rPr>
              <w:t>25</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P2040FARMS1R空调压缩机及原厂维保服务</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ind w:left="90" w:hanging="90" w:hangingChars="50"/>
              <w:jc w:val="left"/>
              <w:textAlignment w:val="center"/>
              <w:rPr>
                <w:rFonts w:hint="eastAsia" w:ascii="仿宋" w:hAnsi="仿宋" w:eastAsia="仿宋" w:cs="仿宋"/>
                <w:kern w:val="0"/>
                <w:sz w:val="18"/>
                <w:szCs w:val="18"/>
              </w:rPr>
            </w:pPr>
            <w:r>
              <w:rPr>
                <w:rFonts w:hint="eastAsia" w:ascii="仿宋" w:hAnsi="仿宋" w:eastAsia="仿宋" w:cs="仿宋"/>
                <w:kern w:val="0"/>
                <w:sz w:val="18"/>
                <w:szCs w:val="18"/>
              </w:rPr>
              <w:t>中心机房原有PEXP2040FARMS1R机组压缩机使用8年以上，需要更换全新Copeland柔性涡旋式高效涡旋压缩机；原厂更换压缩机并提供整机1年原厂维保服务；提供厂家针对此项目的授权函、售后服务承诺函。</w:t>
            </w:r>
          </w:p>
        </w:tc>
      </w:tr>
      <w:tr>
        <w:tblPrEx>
          <w:tblCellMar>
            <w:top w:w="15" w:type="dxa"/>
            <w:left w:w="15" w:type="dxa"/>
            <w:bottom w:w="15" w:type="dxa"/>
            <w:right w:w="15" w:type="dxa"/>
          </w:tblCellMar>
        </w:tblPrEx>
        <w:trPr>
          <w:trHeight w:val="1694"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ind w:right="220" w:rightChars="100"/>
              <w:jc w:val="right"/>
              <w:textAlignment w:val="center"/>
              <w:rPr>
                <w:rFonts w:hint="eastAsia" w:ascii="仿宋" w:hAnsi="仿宋" w:eastAsia="仿宋" w:cs="仿宋"/>
                <w:kern w:val="0"/>
                <w:sz w:val="18"/>
                <w:szCs w:val="18"/>
                <w:lang w:val="en-US" w:eastAsia="zh-CN"/>
              </w:rPr>
            </w:pPr>
            <w:r>
              <w:rPr>
                <w:rFonts w:hint="eastAsia" w:ascii="仿宋" w:hAnsi="仿宋" w:eastAsia="仿宋" w:cs="仿宋"/>
                <w:bCs/>
                <w:kern w:val="0"/>
                <w:sz w:val="20"/>
                <w:szCs w:val="20"/>
                <w:lang w:val="en-US" w:eastAsia="zh-CN" w:bidi="ar"/>
              </w:rPr>
              <w:t>26</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容灾机房DC基础设施一体柜</w:t>
            </w: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numPr>
                <w:ilvl w:val="0"/>
                <w:numId w:val="0"/>
              </w:numPr>
              <w:rPr>
                <w:rFonts w:hint="eastAsia" w:ascii="仿宋" w:hAnsi="仿宋" w:eastAsia="仿宋" w:cs="仿宋"/>
                <w:sz w:val="18"/>
                <w:szCs w:val="18"/>
                <w:lang w:eastAsia="zh-CN"/>
              </w:rPr>
            </w:pPr>
            <w:r>
              <w:rPr>
                <w:rFonts w:hint="eastAsia" w:ascii="仿宋" w:hAnsi="仿宋" w:eastAsia="仿宋" w:cs="仿宋"/>
                <w:sz w:val="18"/>
                <w:szCs w:val="18"/>
                <w:lang w:val="en-US" w:eastAsia="zh-CN"/>
              </w:rPr>
              <w:t>容灾机房DC基础设施一体柜(DC基础设施一体柜</w:t>
            </w:r>
            <w:r>
              <w:rPr>
                <w:rFonts w:hint="eastAsia" w:ascii="仿宋" w:hAnsi="仿宋" w:eastAsia="仿宋" w:cs="仿宋"/>
                <w:sz w:val="18"/>
                <w:szCs w:val="18"/>
                <w:lang w:eastAsia="zh-CN"/>
              </w:rPr>
              <w:t>基本配置包</w:t>
            </w:r>
            <w:r>
              <w:rPr>
                <w:rFonts w:hint="eastAsia" w:ascii="仿宋" w:hAnsi="仿宋" w:eastAsia="仿宋" w:cs="仿宋"/>
                <w:sz w:val="18"/>
                <w:szCs w:val="18"/>
                <w:lang w:val="en-US" w:eastAsia="zh-CN"/>
              </w:rPr>
              <w:t>含</w:t>
            </w:r>
            <w:r>
              <w:rPr>
                <w:rFonts w:hint="eastAsia" w:ascii="仿宋" w:hAnsi="仿宋" w:eastAsia="仿宋" w:cs="仿宋"/>
                <w:sz w:val="18"/>
                <w:szCs w:val="18"/>
                <w:lang w:eastAsia="zh-CN"/>
              </w:rPr>
              <w:t>市电输入配电、IT配电、空调配电、照明配电、UPS集成在一个</w:t>
            </w:r>
            <w:r>
              <w:rPr>
                <w:rFonts w:hint="eastAsia" w:ascii="仿宋" w:hAnsi="仿宋" w:eastAsia="仿宋" w:cs="仿宋"/>
                <w:sz w:val="18"/>
                <w:szCs w:val="18"/>
                <w:lang w:val="en-US" w:eastAsia="zh-CN"/>
              </w:rPr>
              <w:t>DC基础设施一体</w:t>
            </w:r>
            <w:r>
              <w:rPr>
                <w:rFonts w:hint="eastAsia" w:ascii="仿宋" w:hAnsi="仿宋" w:eastAsia="仿宋" w:cs="仿宋"/>
                <w:sz w:val="18"/>
                <w:szCs w:val="18"/>
                <w:lang w:eastAsia="zh-CN"/>
              </w:rPr>
              <w:t>柜内</w:t>
            </w:r>
            <w:r>
              <w:rPr>
                <w:rFonts w:hint="eastAsia" w:ascii="仿宋" w:hAnsi="仿宋" w:eastAsia="仿宋" w:cs="仿宋"/>
                <w:sz w:val="18"/>
                <w:szCs w:val="18"/>
                <w:lang w:val="en-US" w:eastAsia="zh-CN"/>
              </w:rPr>
              <w:t>)</w:t>
            </w:r>
            <w:r>
              <w:rPr>
                <w:rFonts w:hint="eastAsia" w:ascii="仿宋" w:hAnsi="仿宋" w:eastAsia="仿宋" w:cs="仿宋"/>
                <w:sz w:val="18"/>
                <w:szCs w:val="18"/>
                <w:lang w:eastAsia="zh-CN"/>
              </w:rPr>
              <w:t>。</w:t>
            </w:r>
          </w:p>
          <w:p>
            <w:pPr>
              <w:pStyle w:val="2"/>
              <w:numPr>
                <w:ilvl w:val="0"/>
                <w:numId w:val="18"/>
              </w:numPr>
              <w:rPr>
                <w:rFonts w:hint="eastAsia" w:ascii="仿宋" w:hAnsi="仿宋" w:eastAsia="仿宋" w:cs="仿宋"/>
                <w:sz w:val="18"/>
                <w:szCs w:val="18"/>
                <w:lang w:eastAsia="zh-CN"/>
              </w:rPr>
            </w:pPr>
            <w:r>
              <w:rPr>
                <w:rFonts w:hint="eastAsia" w:ascii="仿宋" w:hAnsi="仿宋" w:eastAsia="仿宋" w:cs="仿宋"/>
                <w:sz w:val="18"/>
                <w:szCs w:val="18"/>
              </w:rPr>
              <w:t>总装机柜600mm*1350mm*2000mm电池基础柜-前玻璃门</w:t>
            </w:r>
            <w:r>
              <w:rPr>
                <w:rFonts w:hint="eastAsia" w:ascii="仿宋" w:hAnsi="仿宋" w:eastAsia="仿宋" w:cs="仿宋"/>
                <w:sz w:val="18"/>
                <w:szCs w:val="18"/>
                <w:lang w:eastAsia="zh-CN"/>
              </w:rPr>
              <w:t>；★机柜采用2.0mm厚高强度A级优质碳素冷轧钢板和镀锌板，机柜静态承载能力需通过不小于1800kg测试，并提供测试报告；</w:t>
            </w:r>
          </w:p>
          <w:p>
            <w:pPr>
              <w:pStyle w:val="2"/>
              <w:numPr>
                <w:ilvl w:val="0"/>
                <w:numId w:val="18"/>
              </w:numPr>
              <w:rPr>
                <w:rFonts w:hint="eastAsia" w:ascii="仿宋" w:hAnsi="仿宋" w:eastAsia="仿宋" w:cs="仿宋"/>
                <w:sz w:val="18"/>
                <w:szCs w:val="18"/>
                <w:lang w:eastAsia="zh-CN"/>
              </w:rPr>
            </w:pPr>
            <w:r>
              <w:rPr>
                <w:rFonts w:hint="eastAsia" w:ascii="仿宋" w:hAnsi="仿宋" w:eastAsia="仿宋" w:cs="仿宋"/>
                <w:sz w:val="18"/>
                <w:szCs w:val="18"/>
                <w:lang w:eastAsia="zh-CN"/>
              </w:rPr>
              <w:t>基本配置包</w:t>
            </w:r>
            <w:r>
              <w:rPr>
                <w:rFonts w:hint="eastAsia" w:ascii="仿宋" w:hAnsi="仿宋" w:eastAsia="仿宋" w:cs="仿宋"/>
                <w:sz w:val="18"/>
                <w:szCs w:val="18"/>
                <w:lang w:val="en-US" w:eastAsia="zh-CN"/>
              </w:rPr>
              <w:t>含2台</w:t>
            </w:r>
            <w:r>
              <w:rPr>
                <w:rFonts w:hint="eastAsia" w:ascii="仿宋" w:hAnsi="仿宋" w:eastAsia="仿宋" w:cs="仿宋"/>
                <w:sz w:val="18"/>
                <w:szCs w:val="18"/>
                <w:lang w:eastAsia="zh-CN"/>
              </w:rPr>
              <w:t>UPS2000G-</w:t>
            </w:r>
            <w:r>
              <w:rPr>
                <w:rFonts w:hint="eastAsia" w:ascii="仿宋" w:hAnsi="仿宋" w:eastAsia="仿宋" w:cs="仿宋"/>
                <w:sz w:val="18"/>
                <w:szCs w:val="18"/>
              </w:rPr>
              <w:t>10kVA</w:t>
            </w:r>
            <w:r>
              <w:rPr>
                <w:rFonts w:hint="eastAsia" w:ascii="仿宋" w:hAnsi="仿宋" w:eastAsia="仿宋" w:cs="仿宋"/>
                <w:sz w:val="18"/>
                <w:szCs w:val="18"/>
                <w:lang w:val="en-US" w:eastAsia="zh-CN"/>
              </w:rPr>
              <w:t xml:space="preserve"> UPS,</w:t>
            </w:r>
            <w:r>
              <w:rPr>
                <w:rFonts w:hint="eastAsia" w:ascii="仿宋" w:hAnsi="仿宋" w:eastAsia="仿宋" w:cs="仿宋"/>
                <w:sz w:val="18"/>
                <w:szCs w:val="18"/>
                <w:lang w:eastAsia="zh-CN"/>
              </w:rPr>
              <w:t xml:space="preserve"> </w:t>
            </w:r>
            <w:r>
              <w:rPr>
                <w:rFonts w:hint="eastAsia" w:ascii="仿宋" w:hAnsi="仿宋" w:eastAsia="仿宋" w:cs="仿宋"/>
                <w:sz w:val="18"/>
                <w:szCs w:val="18"/>
                <w:lang w:val="en-US" w:eastAsia="zh-CN"/>
              </w:rPr>
              <w:t>UPS</w:t>
            </w:r>
            <w:r>
              <w:rPr>
                <w:rFonts w:hint="eastAsia" w:ascii="仿宋" w:hAnsi="仿宋" w:eastAsia="仿宋" w:cs="仿宋"/>
                <w:sz w:val="18"/>
                <w:szCs w:val="18"/>
                <w:lang w:eastAsia="zh-CN"/>
              </w:rPr>
              <w:t>显示与操作功能：采用LCD触摸大屏液晶显示操作面板，支持多种语言并自选语言，便于使用者查看数据和进行操作控制。界面显示输出，市电模式，负载容量，电池模式，电池容量，市电，逆变，旁路，故障状态。系统具备密码分级保护功能，可存储不少于1000条历史信息；</w:t>
            </w:r>
          </w:p>
          <w:p>
            <w:pPr>
              <w:pStyle w:val="2"/>
              <w:numPr>
                <w:ilvl w:val="0"/>
                <w:numId w:val="0"/>
              </w:numPr>
              <w:rPr>
                <w:rFonts w:hint="eastAsia" w:ascii="仿宋" w:hAnsi="仿宋" w:eastAsia="仿宋" w:cs="仿宋"/>
                <w:sz w:val="18"/>
                <w:szCs w:val="18"/>
                <w:lang w:eastAsia="zh-CN"/>
              </w:rPr>
            </w:pPr>
            <w:r>
              <w:rPr>
                <w:rFonts w:hint="eastAsia" w:ascii="仿宋" w:hAnsi="仿宋" w:eastAsia="仿宋" w:cs="仿宋"/>
                <w:sz w:val="18"/>
                <w:szCs w:val="18"/>
                <w:lang w:val="en-US" w:eastAsia="zh-CN"/>
              </w:rPr>
              <w:t>3、  DC基础设施一体柜组成N+1模块冗余供电系统。</w:t>
            </w:r>
            <w:r>
              <w:rPr>
                <w:rFonts w:hint="eastAsia" w:ascii="仿宋" w:hAnsi="仿宋" w:eastAsia="仿宋" w:cs="仿宋"/>
                <w:sz w:val="18"/>
                <w:szCs w:val="18"/>
                <w:lang w:eastAsia="zh-CN"/>
              </w:rPr>
              <w:t>DC基础设施一体柜集成机架式UPS、配电模块、空调室内机模块和ECC800采集器等，双路供电配置ATS配电单元。</w:t>
            </w:r>
          </w:p>
          <w:p>
            <w:pPr>
              <w:pStyle w:val="2"/>
              <w:numPr>
                <w:ilvl w:val="0"/>
                <w:numId w:val="0"/>
              </w:numPr>
              <w:rPr>
                <w:rFonts w:hint="eastAsia" w:ascii="仿宋" w:hAnsi="仿宋" w:eastAsia="仿宋" w:cs="仿宋"/>
                <w:lang w:eastAsia="zh-CN"/>
              </w:rPr>
            </w:pPr>
            <w:r>
              <w:rPr>
                <w:rFonts w:hint="eastAsia" w:ascii="仿宋" w:hAnsi="仿宋" w:eastAsia="仿宋" w:cs="仿宋"/>
                <w:sz w:val="18"/>
                <w:szCs w:val="18"/>
                <w:lang w:val="en-US" w:eastAsia="zh-CN"/>
              </w:rPr>
              <w:t>4、DC基础设施一体柜动环监控系统Ecc800，含模块内精密空调、配电系统、照明、门禁、视频、温湿度、漏水等监控，可近端wifi连接，配置PAD+手机APP功能；</w:t>
            </w:r>
          </w:p>
        </w:tc>
      </w:tr>
      <w:tr>
        <w:tblPrEx>
          <w:tblCellMar>
            <w:top w:w="15" w:type="dxa"/>
            <w:left w:w="15" w:type="dxa"/>
            <w:bottom w:w="15" w:type="dxa"/>
            <w:right w:w="15" w:type="dxa"/>
          </w:tblCellMar>
        </w:tblPrEx>
        <w:trPr>
          <w:trHeight w:val="2447"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ind w:right="220" w:rightChars="100"/>
              <w:jc w:val="right"/>
              <w:textAlignment w:val="center"/>
              <w:rPr>
                <w:rFonts w:hint="eastAsia" w:ascii="仿宋" w:hAnsi="仿宋" w:eastAsia="仿宋" w:cs="仿宋"/>
                <w:kern w:val="0"/>
                <w:sz w:val="18"/>
                <w:szCs w:val="18"/>
                <w:lang w:eastAsia="zh-CN"/>
              </w:rPr>
            </w:pPr>
            <w:r>
              <w:rPr>
                <w:rFonts w:hint="eastAsia" w:ascii="仿宋" w:hAnsi="仿宋" w:eastAsia="仿宋" w:cs="仿宋"/>
                <w:bCs/>
                <w:kern w:val="0"/>
                <w:sz w:val="20"/>
                <w:szCs w:val="20"/>
                <w:lang w:val="en-US" w:eastAsia="zh-CN" w:bidi="ar"/>
              </w:rPr>
              <w:t>27</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容灾机房专用</w:t>
            </w:r>
            <w:r>
              <w:rPr>
                <w:rFonts w:hint="eastAsia" w:ascii="仿宋" w:hAnsi="仿宋" w:eastAsia="仿宋" w:cs="仿宋"/>
                <w:kern w:val="0"/>
                <w:sz w:val="18"/>
                <w:szCs w:val="18"/>
                <w:lang w:val="en-US" w:eastAsia="zh-CN"/>
              </w:rPr>
              <w:t>精密</w:t>
            </w:r>
            <w:r>
              <w:rPr>
                <w:rFonts w:hint="eastAsia" w:ascii="仿宋" w:hAnsi="仿宋" w:eastAsia="仿宋" w:cs="仿宋"/>
                <w:kern w:val="0"/>
                <w:sz w:val="18"/>
                <w:szCs w:val="18"/>
              </w:rPr>
              <w:t>空调</w:t>
            </w:r>
          </w:p>
        </w:tc>
        <w:tc>
          <w:tcPr>
            <w:tcW w:w="776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机房专用空调（制冷量12.5KW，恒温恒湿）大风量，小焓差设计，适合机房主设备散热特点，为主设备提供连续稳定的温湿度环境</w:t>
            </w:r>
            <w:r>
              <w:rPr>
                <w:rFonts w:hint="eastAsia" w:ascii="仿宋" w:hAnsi="仿宋" w:eastAsia="仿宋" w:cs="仿宋"/>
                <w:kern w:val="0"/>
                <w:sz w:val="18"/>
                <w:szCs w:val="18"/>
                <w:lang w:eastAsia="zh-CN"/>
              </w:rPr>
              <w:t>智能配电</w:t>
            </w:r>
            <w:r>
              <w:rPr>
                <w:rFonts w:hint="eastAsia" w:ascii="仿宋" w:hAnsi="仿宋" w:eastAsia="仿宋" w:cs="仿宋"/>
                <w:kern w:val="0"/>
                <w:sz w:val="18"/>
                <w:szCs w:val="18"/>
              </w:rPr>
              <w:t>稳定的恒温恒湿功能</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高显热比，高能效的制冷系统设计，按照每年365天，每天24小时连续运行长寿命设计，高稳定性,低维护量</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全中文大屏幕显示，具有多级密码保护，专家故障诊断功能</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可设置的、独特的经济运行模式，可选择经济模式运行</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xml:space="preserve">具备来电自启动功能，并可设置延时启动时间 </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配备标准RS485监控接口，灵活的主备机切换功能，实现机组自动切换及轮值功能</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超宽输入电压范围，多种电源保护功能</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超宽室外环境温度范围，多种冷凝器配置</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占地面积小，100%全正面维护</w:t>
            </w:r>
          </w:p>
        </w:tc>
      </w:tr>
      <w:tr>
        <w:tblPrEx>
          <w:tblCellMar>
            <w:top w:w="15" w:type="dxa"/>
            <w:left w:w="15" w:type="dxa"/>
            <w:bottom w:w="15" w:type="dxa"/>
            <w:right w:w="15" w:type="dxa"/>
          </w:tblCellMar>
        </w:tblPrEx>
        <w:trPr>
          <w:trHeight w:val="1359" w:hRule="atLeast"/>
          <w:jc w:val="center"/>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ind w:right="220" w:rightChars="100"/>
              <w:jc w:val="right"/>
              <w:textAlignment w:val="center"/>
              <w:rPr>
                <w:rFonts w:hint="eastAsia" w:ascii="仿宋" w:hAnsi="仿宋" w:eastAsia="仿宋" w:cs="仿宋"/>
                <w:kern w:val="0"/>
                <w:sz w:val="18"/>
                <w:szCs w:val="18"/>
                <w:lang w:eastAsia="zh-CN"/>
              </w:rPr>
            </w:pPr>
            <w:r>
              <w:rPr>
                <w:rFonts w:hint="eastAsia" w:ascii="仿宋" w:hAnsi="仿宋" w:eastAsia="仿宋" w:cs="仿宋"/>
                <w:bCs/>
                <w:kern w:val="0"/>
                <w:sz w:val="20"/>
                <w:szCs w:val="20"/>
                <w:lang w:val="en-US" w:eastAsia="zh-CN" w:bidi="ar"/>
              </w:rPr>
              <w:t>28</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容灾机房专用</w:t>
            </w:r>
            <w:r>
              <w:rPr>
                <w:rFonts w:hint="eastAsia" w:ascii="仿宋" w:hAnsi="仿宋" w:eastAsia="仿宋" w:cs="仿宋"/>
                <w:kern w:val="0"/>
                <w:sz w:val="18"/>
                <w:szCs w:val="18"/>
                <w:lang w:val="en-US" w:eastAsia="zh-CN"/>
              </w:rPr>
              <w:t>精密</w:t>
            </w:r>
            <w:r>
              <w:rPr>
                <w:rFonts w:hint="eastAsia" w:ascii="仿宋" w:hAnsi="仿宋" w:eastAsia="仿宋" w:cs="仿宋"/>
                <w:kern w:val="0"/>
                <w:sz w:val="18"/>
                <w:szCs w:val="18"/>
              </w:rPr>
              <w:t>空调室外机</w:t>
            </w:r>
          </w:p>
        </w:tc>
        <w:tc>
          <w:tcPr>
            <w:tcW w:w="776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机房精密空调低温启动带储液罐空调室外机极强的环境适应能力：冷凝器标准配置满足-15℃～+45℃的室外温度环境，在此范围内机组保障连续制冷工作，加热状态不受室外温度限制。可以提供满足更高室外温度环境的冷凝器配置，LEE-TEMP低温启动冷凝器配置，满足-34℃～+45℃的室外温度环境，确保北方地区冬季机房制冷需求</w:t>
            </w:r>
          </w:p>
        </w:tc>
      </w:tr>
      <w:tr>
        <w:tblPrEx>
          <w:tblCellMar>
            <w:top w:w="15" w:type="dxa"/>
            <w:left w:w="15" w:type="dxa"/>
            <w:bottom w:w="15" w:type="dxa"/>
            <w:right w:w="15" w:type="dxa"/>
          </w:tblCellMar>
        </w:tblPrEx>
        <w:trPr>
          <w:trHeight w:val="94"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before="120"/>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29</w:t>
            </w:r>
          </w:p>
        </w:tc>
        <w:tc>
          <w:tcPr>
            <w:tcW w:w="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机房集中</w:t>
            </w:r>
            <w:r>
              <w:rPr>
                <w:rFonts w:hint="eastAsia" w:ascii="仿宋" w:hAnsi="仿宋" w:eastAsia="仿宋" w:cs="仿宋"/>
                <w:kern w:val="0"/>
                <w:sz w:val="18"/>
                <w:szCs w:val="18"/>
              </w:rPr>
              <w:t>监控及</w:t>
            </w:r>
            <w:r>
              <w:rPr>
                <w:rFonts w:hint="eastAsia" w:ascii="仿宋" w:hAnsi="仿宋" w:eastAsia="仿宋" w:cs="仿宋"/>
                <w:kern w:val="0"/>
                <w:sz w:val="18"/>
                <w:szCs w:val="18"/>
                <w:lang w:val="en-US" w:eastAsia="zh-CN"/>
              </w:rPr>
              <w:t>环境</w:t>
            </w:r>
            <w:r>
              <w:rPr>
                <w:rFonts w:hint="eastAsia" w:ascii="仿宋" w:hAnsi="仿宋" w:eastAsia="仿宋" w:cs="仿宋"/>
                <w:kern w:val="0"/>
                <w:sz w:val="18"/>
                <w:szCs w:val="18"/>
              </w:rPr>
              <w:t>管理系统</w:t>
            </w:r>
          </w:p>
          <w:p>
            <w:pPr>
              <w:widowControl/>
              <w:jc w:val="center"/>
              <w:rPr>
                <w:rFonts w:hint="eastAsia" w:ascii="仿宋" w:hAnsi="仿宋" w:eastAsia="仿宋" w:cs="仿宋"/>
                <w:kern w:val="0"/>
                <w:sz w:val="18"/>
                <w:szCs w:val="18"/>
              </w:rPr>
            </w:pPr>
          </w:p>
        </w:tc>
        <w:tc>
          <w:tcPr>
            <w:tcW w:w="7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机房集中</w:t>
            </w:r>
            <w:r>
              <w:rPr>
                <w:rFonts w:hint="eastAsia" w:ascii="仿宋" w:hAnsi="仿宋" w:eastAsia="仿宋" w:cs="仿宋"/>
                <w:kern w:val="0"/>
                <w:sz w:val="18"/>
                <w:szCs w:val="18"/>
              </w:rPr>
              <w:t>监控及</w:t>
            </w:r>
            <w:r>
              <w:rPr>
                <w:rFonts w:hint="eastAsia" w:ascii="仿宋" w:hAnsi="仿宋" w:eastAsia="仿宋" w:cs="仿宋"/>
                <w:kern w:val="0"/>
                <w:sz w:val="18"/>
                <w:szCs w:val="18"/>
                <w:lang w:val="en-US" w:eastAsia="zh-CN"/>
              </w:rPr>
              <w:t>环境</w:t>
            </w:r>
            <w:r>
              <w:rPr>
                <w:rFonts w:hint="eastAsia" w:ascii="仿宋" w:hAnsi="仿宋" w:eastAsia="仿宋" w:cs="仿宋"/>
                <w:kern w:val="0"/>
                <w:sz w:val="18"/>
                <w:szCs w:val="18"/>
              </w:rPr>
              <w:t>管理系统：</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1、每套动环监控系统含监控服务器主机及监控平台软件。</w:t>
            </w:r>
          </w:p>
          <w:p>
            <w:pPr>
              <w:rPr>
                <w:rFonts w:hint="eastAsia" w:ascii="仿宋" w:hAnsi="仿宋" w:eastAsia="仿宋" w:cs="仿宋"/>
                <w:kern w:val="0"/>
                <w:sz w:val="18"/>
                <w:szCs w:val="18"/>
              </w:rPr>
            </w:pPr>
            <w:r>
              <w:rPr>
                <w:rFonts w:hint="eastAsia" w:ascii="仿宋" w:hAnsi="仿宋" w:eastAsia="仿宋" w:cs="仿宋"/>
                <w:kern w:val="0"/>
                <w:sz w:val="18"/>
                <w:szCs w:val="18"/>
              </w:rPr>
              <w:t>2、单套动环监控系统包括如下：1）UPS系统接入；2）精密配电柜接入；3）</w:t>
            </w:r>
            <w:r>
              <w:rPr>
                <w:rFonts w:hint="eastAsia" w:ascii="仿宋" w:hAnsi="仿宋" w:eastAsia="仿宋" w:cs="仿宋"/>
                <w:kern w:val="0"/>
                <w:sz w:val="18"/>
                <w:szCs w:val="18"/>
                <w:lang w:val="en-US" w:eastAsia="zh-CN"/>
              </w:rPr>
              <w:t>精密</w:t>
            </w:r>
            <w:r>
              <w:rPr>
                <w:rFonts w:hint="eastAsia" w:ascii="仿宋" w:hAnsi="仿宋" w:eastAsia="仿宋" w:cs="仿宋"/>
                <w:kern w:val="0"/>
                <w:sz w:val="18"/>
                <w:szCs w:val="18"/>
              </w:rPr>
              <w:t>空调监控接入；4）门禁系统*</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rPr>
              <w:t>1套；5）漏水告警（每台空调配1套）；声光告警灯；视频监控系统（摄像头*2个）*1 套，烟感，联网型烟感</w:t>
            </w:r>
            <w:r>
              <w:rPr>
                <w:rFonts w:hint="eastAsia" w:ascii="仿宋" w:hAnsi="仿宋" w:eastAsia="仿宋" w:cs="仿宋"/>
                <w:kern w:val="0"/>
                <w:sz w:val="18"/>
                <w:szCs w:val="18"/>
                <w:lang w:val="en-US" w:eastAsia="zh-CN"/>
              </w:rPr>
              <w:t xml:space="preserve">  2个</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温湿度传感器，带LCD，显示，485协议</w:t>
            </w:r>
            <w:r>
              <w:rPr>
                <w:rFonts w:hint="eastAsia" w:ascii="仿宋" w:hAnsi="仿宋" w:eastAsia="仿宋" w:cs="仿宋"/>
                <w:kern w:val="0"/>
                <w:sz w:val="18"/>
                <w:szCs w:val="18"/>
                <w:lang w:val="en-US" w:eastAsia="zh-CN"/>
              </w:rPr>
              <w:t xml:space="preserve">   2个</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不定位漏液控制器-24VDC--20℃～50℃-常开干接点输出</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不定位漏水感应线-5米</w:t>
            </w:r>
            <w:r>
              <w:rPr>
                <w:rFonts w:hint="eastAsia" w:ascii="仿宋" w:hAnsi="仿宋" w:eastAsia="仿宋" w:cs="仿宋"/>
                <w:kern w:val="0"/>
                <w:sz w:val="18"/>
                <w:szCs w:val="18"/>
                <w:lang w:val="en-US" w:eastAsia="zh-CN"/>
              </w:rPr>
              <w:t xml:space="preserve"> 2个</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短信告警模块，实现短信告警功能（不含SIM卡）</w:t>
            </w:r>
            <w:r>
              <w:rPr>
                <w:rFonts w:hint="eastAsia" w:ascii="仿宋" w:hAnsi="仿宋" w:eastAsia="仿宋" w:cs="仿宋"/>
                <w:kern w:val="0"/>
                <w:sz w:val="18"/>
                <w:szCs w:val="18"/>
                <w:lang w:val="en-US" w:eastAsia="zh-CN"/>
              </w:rPr>
              <w:t xml:space="preserve"> 1套；</w:t>
            </w:r>
            <w:r>
              <w:rPr>
                <w:rFonts w:hint="eastAsia" w:ascii="仿宋" w:hAnsi="仿宋" w:eastAsia="仿宋" w:cs="仿宋"/>
                <w:kern w:val="0"/>
                <w:sz w:val="18"/>
                <w:szCs w:val="18"/>
              </w:rPr>
              <w:t>动环监控包一套，含监控服务器主机一台，监控平台软件一套，可监控UPS、空调、</w:t>
            </w:r>
            <w:r>
              <w:rPr>
                <w:rFonts w:hint="eastAsia" w:ascii="仿宋" w:hAnsi="仿宋" w:eastAsia="仿宋" w:cs="仿宋"/>
                <w:kern w:val="0"/>
                <w:sz w:val="18"/>
                <w:szCs w:val="18"/>
                <w:lang w:eastAsia="zh-CN"/>
              </w:rPr>
              <w:t>智能配电</w:t>
            </w:r>
            <w:r>
              <w:rPr>
                <w:rFonts w:hint="eastAsia" w:ascii="仿宋" w:hAnsi="仿宋" w:eastAsia="仿宋" w:cs="仿宋"/>
                <w:kern w:val="0"/>
                <w:sz w:val="18"/>
                <w:szCs w:val="18"/>
              </w:rPr>
              <w:t>精密配电柜等设备及环境检测传感器</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视频需在动环界面里呈现。</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3、单套动环监控系统含监控HMI：21"彩色触摸显示屏及结构安装件，含端门门盒设计结构，</w:t>
            </w:r>
            <w:r>
              <w:rPr>
                <w:rFonts w:hint="eastAsia" w:ascii="仿宋" w:hAnsi="仿宋" w:eastAsia="仿宋" w:cs="仿宋"/>
                <w:kern w:val="0"/>
                <w:sz w:val="18"/>
                <w:szCs w:val="18"/>
                <w:lang w:eastAsia="zh-CN"/>
              </w:rPr>
              <w:t>智能配电</w:t>
            </w:r>
            <w:r>
              <w:rPr>
                <w:rFonts w:hint="eastAsia" w:ascii="仿宋" w:hAnsi="仿宋" w:eastAsia="仿宋" w:cs="仿宋"/>
                <w:kern w:val="0"/>
                <w:sz w:val="18"/>
                <w:szCs w:val="18"/>
              </w:rPr>
              <w:t>终端嵌入式安装。</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集中监控管理平台（监控多个模块化动环监控系统）</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1、管理系统应提供全面的机房基础设施管理功能。具有良好的可视化界面，根据实际需求 可提供全面的管理功能。主要可以监控以下范围的设备：</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1.1动力设备：精密空调、不间断电源（UPS）、配电柜、自动切换开关（ATS）等。</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1.2环境设备：感烟探测器、温湿度传感器、水浸传感器、天窗控制器等。</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1.3视频设备：摄像机、网络视频录像机（NVR）。</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1.4标准的网管接口：可以向第三方网管系统提供北向接口，以满足与第三方系统的信息交互。系统提供多协议扩展机制，满足不同设备的接入。</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1.5软件基础平台和公共应用，提供的功能包括设备接入、系统监控、告警管理、拓扑管理、性能管理、数据库备份管理、License管理、安全日志管理。</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1.6设备管理，提供对模块化数据中心基础设备的配置、连接能力，完成设备属性、运行指标的采集、展示。对于所有的设备，提供公共的告警、性能、访问的安全管理，同时通过设备面板的方式提供Web维护终端。</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1.7应用管理，提供报表管理、用户自定义设备信息管理和简单的分级功能。</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2、传输协议</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系统必须支持目前业界标准的Modbus、SNMP和电总协议，实现对底层设备的接入。同时可对外提供各种通讯协议和接口，实现与第三方系统的对接。</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3、性能管理</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对设备的关键性指标进行监控，并对采集到的监控数据进行统计。通过可视化的操作界面，方便用户对设备运行进行管理。 监控管理功能说明如下表：</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性能管理支持以下功能：</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1、支持设备根据监视模板自动产生采集任务、提供监控数据的采集并上报产生的告警。</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2、支持用户创建设备监视实例，通过启/停设备监视实例实现对设备指标数据的采集。</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3、支持对已监控对象的监控指标、属性进行修改，实现对所有设备监视实例当前采集状态与告警状态的集中监控。</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4、支持用户查询最近一周内监视到的设备指标数据，并图形化展示指标数据的变化情况。</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4、报表管理</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1、提供丰富的预定义报表，同时提供强大易用的报表设计功能，用户可根据行业特点和自身运维要求进行客户报表定制。</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2、报表系统提供了基于设计文件的报表开发和基于Web的报表生成、转发、管理等一整套灵活、方便的报表应用服务。通过强大的报表系统来支持对设备监控、存量、告警的监控、分析、优化和决策。</w:t>
            </w:r>
          </w:p>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3、支持维护报表任务，包含修改报表任务、配置报表存储区域、导出报表和管理报表任务状态。</w:t>
            </w:r>
          </w:p>
          <w:p>
            <w:pPr>
              <w:widowControl/>
              <w:spacing w:line="240" w:lineRule="exact"/>
              <w:ind w:left="90" w:hanging="90" w:hangingChars="50"/>
              <w:jc w:val="left"/>
              <w:textAlignment w:val="center"/>
              <w:rPr>
                <w:rFonts w:hint="eastAsia" w:ascii="仿宋" w:hAnsi="仿宋" w:eastAsia="仿宋" w:cs="仿宋"/>
                <w:kern w:val="0"/>
                <w:sz w:val="18"/>
                <w:szCs w:val="18"/>
              </w:rPr>
            </w:pPr>
          </w:p>
        </w:tc>
      </w:tr>
    </w:tbl>
    <w:p>
      <w:pPr>
        <w:widowControl/>
        <w:autoSpaceDE w:val="0"/>
        <w:autoSpaceDN w:val="0"/>
        <w:ind w:firstLine="442" w:firstLineChars="200"/>
        <w:rPr>
          <w:rFonts w:hint="eastAsia" w:ascii="仿宋" w:hAnsi="仿宋" w:eastAsia="仿宋" w:cs="仿宋"/>
          <w:b/>
          <w:bCs/>
          <w:kern w:val="0"/>
          <w:szCs w:val="21"/>
        </w:rPr>
      </w:pPr>
    </w:p>
    <w:p>
      <w:pPr>
        <w:widowControl/>
        <w:snapToGrid w:val="0"/>
        <w:spacing w:line="240" w:lineRule="auto"/>
        <w:ind w:firstLine="0" w:firstLineChars="0"/>
        <w:jc w:val="left"/>
        <w:rPr>
          <w:rFonts w:hint="eastAsia" w:ascii="仿宋" w:hAnsi="仿宋" w:eastAsia="仿宋" w:cs="仿宋"/>
          <w:b/>
          <w:kern w:val="0"/>
          <w:sz w:val="28"/>
          <w:szCs w:val="28"/>
        </w:rPr>
      </w:pPr>
      <w:r>
        <w:rPr>
          <w:rFonts w:hint="eastAsia" w:ascii="仿宋" w:hAnsi="仿宋" w:eastAsia="仿宋" w:cs="仿宋"/>
          <w:b/>
          <w:kern w:val="0"/>
          <w:sz w:val="28"/>
          <w:szCs w:val="28"/>
        </w:rPr>
        <w:t>备 注：</w:t>
      </w:r>
    </w:p>
    <w:p>
      <w:pPr>
        <w:spacing w:before="156" w:beforeLines="50" w:after="156" w:afterLines="50" w:line="276" w:lineRule="auto"/>
        <w:ind w:right="-37" w:rightChars="-17"/>
        <w:rPr>
          <w:rFonts w:hint="eastAsia" w:ascii="仿宋" w:hAnsi="仿宋" w:eastAsia="仿宋" w:cs="仿宋"/>
          <w:color w:val="auto"/>
          <w:kern w:val="0"/>
          <w:sz w:val="21"/>
          <w:szCs w:val="21"/>
        </w:rPr>
      </w:pPr>
      <w:r>
        <w:rPr>
          <w:rFonts w:hint="eastAsia" w:ascii="仿宋" w:hAnsi="仿宋" w:eastAsia="仿宋" w:cs="仿宋"/>
          <w:kern w:val="0"/>
          <w:szCs w:val="21"/>
        </w:rPr>
        <w:t>★  1、为保证投标人对我院此次机房改造项目有全面深入的理解，明确我方实际建设需求，合格投标人应在项目开标前</w:t>
      </w:r>
      <w:r>
        <w:rPr>
          <w:rFonts w:hint="eastAsia" w:ascii="仿宋" w:hAnsi="仿宋" w:eastAsia="仿宋" w:cs="仿宋"/>
          <w:kern w:val="0"/>
          <w:szCs w:val="21"/>
          <w:lang w:val="en-US" w:eastAsia="zh-CN"/>
        </w:rPr>
        <w:t>对中心机房</w:t>
      </w:r>
      <w:r>
        <w:rPr>
          <w:rFonts w:hint="eastAsia" w:ascii="仿宋" w:hAnsi="仿宋" w:eastAsia="仿宋" w:cs="仿宋"/>
          <w:kern w:val="0"/>
          <w:szCs w:val="21"/>
        </w:rPr>
        <w:t>施工现场与周边环境进行踏勘现场调研工作，以便获取有关编制投标文件和签署合同所涉及现场的资料</w:t>
      </w:r>
      <w:r>
        <w:rPr>
          <w:rFonts w:hint="eastAsia" w:ascii="仿宋" w:hAnsi="仿宋" w:eastAsia="仿宋" w:cs="仿宋"/>
          <w:kern w:val="0"/>
          <w:szCs w:val="21"/>
          <w:lang w:eastAsia="zh-CN"/>
        </w:rPr>
        <w:t>，</w:t>
      </w:r>
      <w:r>
        <w:rPr>
          <w:rFonts w:hint="eastAsia" w:ascii="仿宋" w:hAnsi="仿宋" w:eastAsia="仿宋" w:cs="仿宋"/>
          <w:kern w:val="0"/>
          <w:szCs w:val="21"/>
        </w:rPr>
        <w:t>并获得用户签字的现场勘察表；</w:t>
      </w:r>
      <w:r>
        <w:rPr>
          <w:rFonts w:hint="eastAsia" w:ascii="仿宋" w:hAnsi="仿宋" w:eastAsia="仿宋" w:cs="仿宋"/>
          <w:color w:val="auto"/>
          <w:sz w:val="21"/>
          <w:szCs w:val="21"/>
          <w:lang w:val="en-US" w:eastAsia="zh-CN"/>
        </w:rPr>
        <w:t>2、本项目属于交钥匙工程，项目施工过程中所涉及的所有材料、设备、以及本标书中未提及的费用，均由中标方负责，项目实施工程中由于卖方原因造成买方经济损失的，卖方须赔付买方所有损失金额，情节严重的买方有权终止合同，并追究卖方的一切法律责任。</w:t>
      </w:r>
      <w:r>
        <w:rPr>
          <w:rFonts w:hint="eastAsia" w:ascii="仿宋" w:hAnsi="仿宋" w:eastAsia="仿宋" w:cs="仿宋"/>
          <w:color w:val="auto"/>
          <w:kern w:val="0"/>
          <w:sz w:val="21"/>
          <w:szCs w:val="21"/>
        </w:rPr>
        <w:br w:type="textWrapping"/>
      </w:r>
      <w:r>
        <w:rPr>
          <w:rFonts w:hint="eastAsia" w:ascii="仿宋" w:hAnsi="仿宋" w:eastAsia="仿宋" w:cs="仿宋"/>
          <w:color w:val="auto"/>
          <w:sz w:val="21"/>
          <w:szCs w:val="21"/>
          <w:lang w:val="en-US" w:eastAsia="zh-CN"/>
        </w:rPr>
        <w:t>3、 验收人员由我院相关人员及聘请第三方专家共同组成，验收按工程项目规范标准验收。系统验收前，由投标人按本项目设计文档和系统实施文档提供平台功能测试，测试结果双方主管人员签字认可，存档留作验收时参考。4、验收时投标人须提供本项目所投产品相关要求证明文件（硬件提供产品合格证书、软件提供软件制造商授权书或证明文件、服务提供产品厂家授权书或相关证明），报价包含项目实施、安装调试、系统集成、系统测试技术服务费；含所投硬件设备3年质保费。</w:t>
      </w:r>
    </w:p>
    <w:p>
      <w:pPr>
        <w:widowControl/>
        <w:spacing w:before="156" w:beforeLines="50" w:after="156" w:afterLines="50" w:line="276" w:lineRule="auto"/>
        <w:ind w:right="-37" w:rightChars="-17"/>
        <w:jc w:val="left"/>
        <w:rPr>
          <w:rFonts w:hint="eastAsia" w:ascii="仿宋" w:hAnsi="仿宋" w:eastAsia="仿宋" w:cs="仿宋"/>
          <w:kern w:val="0"/>
          <w:szCs w:val="21"/>
        </w:rPr>
      </w:pPr>
      <w:r>
        <w:rPr>
          <w:rFonts w:hint="eastAsia" w:ascii="仿宋" w:hAnsi="仿宋" w:eastAsia="仿宋" w:cs="仿宋"/>
          <w:b/>
          <w:bCs/>
          <w:szCs w:val="21"/>
        </w:rPr>
        <w:t>验收要求</w:t>
      </w:r>
      <w:r>
        <w:rPr>
          <w:rFonts w:hint="eastAsia" w:ascii="仿宋" w:hAnsi="仿宋" w:eastAsia="仿宋" w:cs="仿宋"/>
          <w:kern w:val="0"/>
          <w:szCs w:val="21"/>
          <w:lang w:eastAsia="zh-CN"/>
        </w:rPr>
        <w:t>：</w:t>
      </w:r>
    </w:p>
    <w:p>
      <w:pPr>
        <w:widowControl/>
        <w:numPr>
          <w:ilvl w:val="0"/>
          <w:numId w:val="19"/>
        </w:numPr>
        <w:spacing w:before="156" w:beforeLines="50" w:after="156" w:afterLines="50" w:line="276" w:lineRule="auto"/>
        <w:ind w:right="-37" w:rightChars="-17"/>
        <w:jc w:val="left"/>
        <w:rPr>
          <w:rFonts w:hint="eastAsia" w:ascii="仿宋" w:hAnsi="仿宋" w:eastAsia="仿宋" w:cs="仿宋"/>
          <w:kern w:val="0"/>
          <w:szCs w:val="21"/>
        </w:rPr>
      </w:pPr>
      <w:r>
        <w:rPr>
          <w:rFonts w:hint="eastAsia" w:ascii="仿宋" w:hAnsi="仿宋" w:eastAsia="仿宋" w:cs="仿宋"/>
          <w:kern w:val="0"/>
          <w:szCs w:val="21"/>
        </w:rPr>
        <w:t>整个机房设备改造工作中要随时与客户沟通，让客户确认，同时按照客户要求准备好有关验收的资料。</w:t>
      </w:r>
    </w:p>
    <w:p>
      <w:pPr>
        <w:widowControl/>
        <w:numPr>
          <w:ilvl w:val="0"/>
          <w:numId w:val="19"/>
        </w:numPr>
        <w:spacing w:before="156" w:beforeLines="50" w:after="156" w:afterLines="50" w:line="276" w:lineRule="auto"/>
        <w:ind w:right="-37" w:rightChars="-17"/>
        <w:jc w:val="left"/>
        <w:rPr>
          <w:rFonts w:hint="eastAsia" w:ascii="仿宋" w:hAnsi="仿宋" w:eastAsia="仿宋" w:cs="仿宋"/>
          <w:kern w:val="0"/>
          <w:szCs w:val="21"/>
        </w:rPr>
      </w:pPr>
      <w:r>
        <w:rPr>
          <w:rFonts w:hint="eastAsia" w:ascii="仿宋" w:hAnsi="仿宋" w:eastAsia="仿宋" w:cs="仿宋"/>
          <w:kern w:val="0"/>
          <w:szCs w:val="21"/>
        </w:rPr>
        <w:t>在机房设备改造完成后，实施工程师应该及时向项目经理汇报进度情况，并建议项目经理在系统和业务正常运行一段时间后，及时向客户提出验收申请，并办理相关验收文档的签字盖章手续，并及时向项目经理移交有关项目的移交文档、移交参数表等资料。</w:t>
      </w:r>
    </w:p>
    <w:p>
      <w:pPr>
        <w:widowControl/>
        <w:numPr>
          <w:ilvl w:val="0"/>
          <w:numId w:val="19"/>
        </w:numPr>
        <w:spacing w:before="156" w:beforeLines="50" w:after="156" w:afterLines="50" w:line="276" w:lineRule="auto"/>
        <w:ind w:right="-37" w:rightChars="-17"/>
        <w:jc w:val="left"/>
        <w:rPr>
          <w:rFonts w:hint="eastAsia" w:ascii="仿宋" w:hAnsi="仿宋" w:eastAsia="仿宋" w:cs="仿宋"/>
          <w:kern w:val="0"/>
          <w:szCs w:val="21"/>
        </w:rPr>
      </w:pPr>
      <w:r>
        <w:rPr>
          <w:rFonts w:hint="eastAsia" w:ascii="仿宋" w:hAnsi="仿宋" w:eastAsia="仿宋" w:cs="仿宋"/>
          <w:kern w:val="0"/>
          <w:szCs w:val="21"/>
        </w:rPr>
        <w:t>项目验收资料清单一般如下：</w:t>
      </w:r>
    </w:p>
    <w:p>
      <w:pPr>
        <w:widowControl/>
        <w:numPr>
          <w:ilvl w:val="0"/>
          <w:numId w:val="0"/>
        </w:numPr>
        <w:spacing w:before="156" w:beforeLines="50" w:after="156" w:afterLines="50" w:line="276" w:lineRule="auto"/>
        <w:ind w:leftChars="0" w:right="-37" w:rightChars="-17"/>
        <w:jc w:val="left"/>
        <w:rPr>
          <w:rFonts w:hint="eastAsia" w:ascii="仿宋" w:hAnsi="仿宋" w:eastAsia="仿宋" w:cs="仿宋"/>
          <w:kern w:val="0"/>
          <w:szCs w:val="21"/>
        </w:rPr>
      </w:pPr>
      <w:r>
        <w:rPr>
          <w:rFonts w:hint="eastAsia" w:ascii="仿宋" w:hAnsi="仿宋" w:eastAsia="仿宋" w:cs="仿宋"/>
          <w:kern w:val="0"/>
          <w:szCs w:val="21"/>
        </w:rPr>
        <w:t>1）货物接收单；2）进场材料及报验清单；3）验收报告；</w:t>
      </w:r>
    </w:p>
    <w:p>
      <w:pPr>
        <w:widowControl/>
        <w:numPr>
          <w:ilvl w:val="0"/>
          <w:numId w:val="19"/>
        </w:numPr>
        <w:spacing w:before="156" w:beforeLines="50" w:after="156" w:afterLines="50" w:line="276" w:lineRule="auto"/>
        <w:ind w:right="-37" w:rightChars="-17"/>
        <w:jc w:val="left"/>
        <w:rPr>
          <w:rFonts w:hint="eastAsia" w:ascii="仿宋" w:hAnsi="仿宋" w:eastAsia="仿宋" w:cs="仿宋"/>
          <w:kern w:val="0"/>
          <w:szCs w:val="21"/>
        </w:rPr>
      </w:pPr>
      <w:r>
        <w:rPr>
          <w:rFonts w:hint="eastAsia" w:ascii="仿宋" w:hAnsi="仿宋" w:eastAsia="仿宋" w:cs="仿宋"/>
          <w:kern w:val="0"/>
          <w:szCs w:val="21"/>
        </w:rPr>
        <w:t>项目移交文档清单一般如下：</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中心机房</w:t>
      </w:r>
      <w:r>
        <w:rPr>
          <w:rFonts w:hint="eastAsia" w:ascii="仿宋" w:hAnsi="仿宋" w:eastAsia="仿宋" w:cs="仿宋"/>
          <w:kern w:val="0"/>
          <w:szCs w:val="21"/>
        </w:rPr>
        <w:t>项目总体设计方案；</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机柜</w:t>
      </w:r>
      <w:r>
        <w:rPr>
          <w:rFonts w:hint="eastAsia" w:ascii="仿宋" w:hAnsi="仿宋" w:eastAsia="仿宋" w:cs="仿宋"/>
          <w:kern w:val="0"/>
          <w:szCs w:val="21"/>
          <w:lang w:val="en-US" w:eastAsia="zh-CN"/>
        </w:rPr>
        <w:t>平面</w:t>
      </w:r>
      <w:r>
        <w:rPr>
          <w:rFonts w:hint="eastAsia" w:ascii="仿宋" w:hAnsi="仿宋" w:eastAsia="仿宋" w:cs="仿宋"/>
          <w:kern w:val="0"/>
          <w:szCs w:val="21"/>
        </w:rPr>
        <w:t>布置图；</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网络拓扑图；</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设备跳线表；</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机房设备布置图；</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机房布线图；</w:t>
      </w:r>
      <w:r>
        <w:rPr>
          <w:rFonts w:hint="eastAsia" w:ascii="仿宋" w:hAnsi="仿宋" w:eastAsia="仿宋" w:cs="仿宋"/>
          <w:kern w:val="0"/>
          <w:szCs w:val="21"/>
          <w:lang w:val="en-US" w:eastAsia="zh-CN"/>
        </w:rPr>
        <w:t>中心机房</w:t>
      </w:r>
      <w:r>
        <w:rPr>
          <w:rFonts w:hint="eastAsia" w:ascii="仿宋" w:hAnsi="仿宋" w:eastAsia="仿宋" w:cs="仿宋"/>
          <w:kern w:val="0"/>
          <w:szCs w:val="21"/>
        </w:rPr>
        <w:t>机房装修设计图；</w:t>
      </w:r>
    </w:p>
    <w:p>
      <w:pPr>
        <w:widowControl/>
        <w:tabs>
          <w:tab w:val="left" w:pos="1440"/>
        </w:tabs>
        <w:spacing w:before="156" w:after="156"/>
        <w:ind w:right="451"/>
        <w:jc w:val="left"/>
        <w:outlineLvl w:val="2"/>
        <w:rPr>
          <w:rFonts w:hint="eastAsia" w:ascii="仿宋" w:hAnsi="仿宋" w:eastAsia="仿宋" w:cs="仿宋"/>
          <w:b/>
          <w:bCs/>
          <w:szCs w:val="21"/>
          <w:lang w:eastAsia="zh-CN"/>
        </w:rPr>
      </w:pPr>
      <w:r>
        <w:rPr>
          <w:rFonts w:hint="eastAsia" w:ascii="仿宋" w:hAnsi="仿宋" w:eastAsia="仿宋" w:cs="仿宋"/>
          <w:b/>
          <w:bCs/>
          <w:szCs w:val="21"/>
        </w:rPr>
        <w:t>售后服务要求</w:t>
      </w:r>
      <w:r>
        <w:rPr>
          <w:rFonts w:hint="eastAsia" w:ascii="仿宋" w:hAnsi="仿宋" w:eastAsia="仿宋" w:cs="仿宋"/>
          <w:b/>
          <w:bCs/>
          <w:szCs w:val="21"/>
          <w:lang w:eastAsia="zh-CN"/>
        </w:rPr>
        <w:t>：</w:t>
      </w:r>
    </w:p>
    <w:p>
      <w:pPr>
        <w:keepNext w:val="0"/>
        <w:keepLines w:val="0"/>
        <w:pageBreakBefore w:val="0"/>
        <w:widowControl/>
        <w:kinsoku/>
        <w:wordWrap/>
        <w:overflowPunct/>
        <w:topLinePunct w:val="0"/>
        <w:autoSpaceDE/>
        <w:autoSpaceDN/>
        <w:bidi w:val="0"/>
        <w:adjustRightInd/>
        <w:snapToGrid/>
        <w:spacing w:after="5" w:line="400" w:lineRule="exact"/>
        <w:ind w:left="10" w:hanging="1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在交付使用后，</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应对保修期及其以后的服务做出承诺，并具有切实可行的服务措施；不能及时兑现服务承诺内容而影响买方使用时，卖方应给予补偿的承诺，在投标书中均应明确说明；</w:t>
      </w:r>
    </w:p>
    <w:p>
      <w:pPr>
        <w:keepNext w:val="0"/>
        <w:keepLines w:val="0"/>
        <w:pageBreakBefore w:val="0"/>
        <w:widowControl/>
        <w:kinsoku/>
        <w:wordWrap/>
        <w:overflowPunct/>
        <w:topLinePunct w:val="0"/>
        <w:autoSpaceDE/>
        <w:autoSpaceDN/>
        <w:bidi w:val="0"/>
        <w:adjustRightInd/>
        <w:snapToGrid/>
        <w:spacing w:after="5" w:line="400" w:lineRule="exact"/>
        <w:ind w:left="10" w:hanging="1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lang w:eastAsia="zh-CN"/>
        </w:rPr>
        <w:t>投标人</w:t>
      </w:r>
      <w:r>
        <w:rPr>
          <w:rFonts w:hint="eastAsia" w:ascii="仿宋" w:hAnsi="仿宋" w:eastAsia="仿宋" w:cs="仿宋"/>
          <w:color w:val="auto"/>
          <w:sz w:val="21"/>
          <w:szCs w:val="21"/>
        </w:rPr>
        <w:t>在伊犁本地拥有固定能够保障项目实施和技术服务人员，投标人必须派驻1名以上（含1名）专职具有系统建设系统工程师负责驻守医院运维服务,</w:t>
      </w:r>
      <w:r>
        <w:rPr>
          <w:rFonts w:hint="eastAsia" w:ascii="仿宋" w:hAnsi="仿宋" w:eastAsia="仿宋" w:cs="仿宋"/>
          <w:color w:val="auto"/>
          <w:sz w:val="21"/>
          <w:szCs w:val="21"/>
          <w:lang w:val="en-US" w:eastAsia="zh-CN"/>
        </w:rPr>
        <w:t>保证</w:t>
      </w:r>
      <w:r>
        <w:rPr>
          <w:rFonts w:hint="eastAsia" w:ascii="仿宋" w:hAnsi="仿宋" w:eastAsia="仿宋" w:cs="仿宋"/>
          <w:color w:val="auto"/>
          <w:sz w:val="21"/>
          <w:szCs w:val="21"/>
        </w:rPr>
        <w:t>采购设备及技术服务项目在最优化的状态下稳定运行。专职系统工程师向甲方提供及时、快捷、有效的服务，乙方提供系统工程师资料在医院信息科备案，人员变动要经甲方书面认可，为系统正常运行提供坚实的保证。</w:t>
      </w:r>
    </w:p>
    <w:p>
      <w:pPr>
        <w:keepNext w:val="0"/>
        <w:keepLines w:val="0"/>
        <w:pageBreakBefore w:val="0"/>
        <w:widowControl/>
        <w:kinsoku/>
        <w:wordWrap/>
        <w:overflowPunct/>
        <w:topLinePunct w:val="0"/>
        <w:autoSpaceDE/>
        <w:autoSpaceDN/>
        <w:bidi w:val="0"/>
        <w:adjustRightInd/>
        <w:snapToGrid/>
        <w:spacing w:after="5" w:line="400" w:lineRule="exact"/>
        <w:ind w:left="10" w:hanging="1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服务响应时间要求如下：提供365天 全天候（7*24小时）的现场运维和故障解决，收到采购人故障通报后30分钟内到达现场，2小时内排除。关键性故障或影响业务正常生产的故障设备及软件修复时间： 4 小时以内；</w:t>
      </w:r>
    </w:p>
    <w:p>
      <w:pPr>
        <w:keepNext w:val="0"/>
        <w:keepLines w:val="0"/>
        <w:pageBreakBefore w:val="0"/>
        <w:widowControl/>
        <w:kinsoku/>
        <w:wordWrap/>
        <w:overflowPunct/>
        <w:topLinePunct w:val="0"/>
        <w:autoSpaceDE/>
        <w:autoSpaceDN/>
        <w:bidi w:val="0"/>
        <w:adjustRightInd/>
        <w:snapToGrid/>
        <w:spacing w:after="5" w:line="400" w:lineRule="exact"/>
        <w:ind w:left="10" w:hanging="1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设备安装调试过程中，对操作人员进行现场操作技术培训。本次设备安装作业需由设备、软件的原厂工程师提供安装、调试服务，并由原厂工程师提供技术培训。提供用户后期对安全设备的优化等技术支持。</w:t>
      </w:r>
    </w:p>
    <w:p>
      <w:pPr>
        <w:keepNext w:val="0"/>
        <w:keepLines w:val="0"/>
        <w:pageBreakBefore w:val="0"/>
        <w:widowControl/>
        <w:kinsoku/>
        <w:wordWrap/>
        <w:overflowPunct/>
        <w:topLinePunct w:val="0"/>
        <w:autoSpaceDE/>
        <w:autoSpaceDN/>
        <w:bidi w:val="0"/>
        <w:adjustRightInd/>
        <w:snapToGrid/>
        <w:spacing w:after="5" w:line="400" w:lineRule="exact"/>
        <w:ind w:firstLine="120"/>
        <w:textAlignment w:val="auto"/>
        <w:rPr>
          <w:rFonts w:hint="eastAsia" w:eastAsia="仿宋"/>
          <w:color w:val="auto"/>
          <w:highlight w:val="none"/>
          <w:lang w:eastAsia="zh-CN"/>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投标人需按招标人的要求和国家及行业规范负责设备安装和调试及试运行，本次设备采购为交钥匙工程。卖方如果拒绝、拖延、敷衍或提供质量差的服务，有损失金额，买方有权终止合同，并追究卖方的一切法律责任</w:t>
      </w:r>
      <w:r>
        <w:rPr>
          <w:rFonts w:hint="eastAsia" w:cs="仿宋"/>
          <w:color w:val="auto"/>
          <w:sz w:val="21"/>
          <w:szCs w:val="21"/>
          <w:lang w:eastAsia="zh-CN"/>
        </w:rPr>
        <w:t>。</w:t>
      </w:r>
    </w:p>
    <w:p>
      <w:pPr>
        <w:pStyle w:val="14"/>
        <w:rPr>
          <w:color w:val="auto"/>
          <w:highlight w:val="none"/>
        </w:rPr>
      </w:pPr>
    </w:p>
    <w:p>
      <w:pPr>
        <w:rPr>
          <w:color w:val="auto"/>
          <w:highlight w:val="none"/>
        </w:rPr>
      </w:pPr>
      <w:bookmarkStart w:id="26" w:name="_GoBack"/>
      <w:bookmarkEnd w:id="26"/>
      <w:r>
        <w:rPr>
          <w:color w:val="auto"/>
          <w:highlight w:val="none"/>
        </w:rPr>
        <w:br w:type="page"/>
      </w:r>
    </w:p>
    <w:p>
      <w:pPr>
        <w:pStyle w:val="3"/>
        <w:tabs>
          <w:tab w:val="left" w:pos="2870"/>
        </w:tabs>
        <w:spacing w:line="773" w:lineRule="exact"/>
        <w:outlineLvl w:val="0"/>
        <w:rPr>
          <w:color w:val="auto"/>
          <w:highlight w:val="none"/>
        </w:rPr>
      </w:pPr>
      <w:r>
        <w:rPr>
          <w:color w:val="auto"/>
          <w:highlight w:val="none"/>
        </w:rPr>
        <w:t>第五部分</w:t>
      </w:r>
      <w:r>
        <w:rPr>
          <w:color w:val="auto"/>
          <w:highlight w:val="none"/>
        </w:rPr>
        <w:tab/>
      </w:r>
      <w:r>
        <w:rPr>
          <w:color w:val="auto"/>
          <w:highlight w:val="none"/>
        </w:rPr>
        <w:t>商务部分</w:t>
      </w:r>
      <w:bookmarkEnd w:id="19"/>
    </w:p>
    <w:p>
      <w:pPr>
        <w:pStyle w:val="4"/>
        <w:spacing w:before="61"/>
        <w:ind w:left="4"/>
        <w:rPr>
          <w:color w:val="auto"/>
          <w:highlight w:val="none"/>
        </w:rPr>
      </w:pPr>
      <w:bookmarkStart w:id="20" w:name="_Toc26762"/>
      <w:r>
        <w:rPr>
          <w:color w:val="auto"/>
          <w:highlight w:val="none"/>
        </w:rPr>
        <w:t>第一章</w:t>
      </w:r>
      <w:r>
        <w:rPr>
          <w:rFonts w:hint="eastAsia" w:eastAsia="宋体"/>
          <w:color w:val="auto"/>
          <w:highlight w:val="none"/>
          <w:lang w:eastAsia="zh-CN"/>
        </w:rPr>
        <w:t>、</w:t>
      </w:r>
      <w:r>
        <w:rPr>
          <w:color w:val="auto"/>
          <w:highlight w:val="none"/>
        </w:rPr>
        <w:t xml:space="preserve"> 合同一般条款</w:t>
      </w:r>
      <w:bookmarkEnd w:id="20"/>
    </w:p>
    <w:p>
      <w:pPr>
        <w:pStyle w:val="9"/>
        <w:spacing w:before="14"/>
        <w:rPr>
          <w:rFonts w:ascii="Microsoft JhengHei"/>
          <w:b/>
          <w:color w:val="auto"/>
          <w:sz w:val="20"/>
          <w:highlight w:val="none"/>
        </w:rPr>
      </w:pPr>
    </w:p>
    <w:p>
      <w:pPr>
        <w:tabs>
          <w:tab w:val="left" w:pos="1584"/>
        </w:tabs>
        <w:spacing w:before="0"/>
        <w:ind w:left="298" w:right="0" w:firstLine="0"/>
        <w:jc w:val="left"/>
        <w:rPr>
          <w:rFonts w:hint="eastAsia" w:ascii="Meiryo" w:eastAsia="宋体"/>
          <w:b/>
          <w:color w:val="auto"/>
          <w:sz w:val="32"/>
          <w:highlight w:val="none"/>
          <w:lang w:eastAsia="zh-CN"/>
        </w:rPr>
      </w:pPr>
      <w:r>
        <w:rPr>
          <w:rFonts w:hint="eastAsia" w:ascii="Meiryo" w:eastAsia="Meiryo"/>
          <w:b/>
          <w:color w:val="auto"/>
          <w:sz w:val="32"/>
          <w:highlight w:val="none"/>
        </w:rPr>
        <w:t>第一章</w:t>
      </w:r>
      <w:r>
        <w:rPr>
          <w:rFonts w:hint="eastAsia" w:ascii="Meiryo" w:eastAsia="Meiryo"/>
          <w:b/>
          <w:color w:val="auto"/>
          <w:sz w:val="32"/>
          <w:highlight w:val="none"/>
        </w:rPr>
        <w:tab/>
      </w:r>
      <w:r>
        <w:rPr>
          <w:rFonts w:hint="eastAsia" w:ascii="Meiryo" w:eastAsia="Meiryo"/>
          <w:b/>
          <w:color w:val="auto"/>
          <w:sz w:val="32"/>
          <w:highlight w:val="none"/>
        </w:rPr>
        <w:t>合同一般</w:t>
      </w:r>
      <w:r>
        <w:rPr>
          <w:rFonts w:hint="eastAsia" w:ascii="Meiryo" w:eastAsia="宋体"/>
          <w:b/>
          <w:color w:val="auto"/>
          <w:sz w:val="32"/>
          <w:highlight w:val="none"/>
          <w:lang w:val="en-US" w:eastAsia="zh-CN"/>
        </w:rPr>
        <w:t>条款</w:t>
      </w:r>
    </w:p>
    <w:p>
      <w:pPr>
        <w:pStyle w:val="8"/>
        <w:spacing w:before="173" w:line="426" w:lineRule="exact"/>
        <w:rPr>
          <w:color w:val="auto"/>
          <w:highlight w:val="none"/>
        </w:rPr>
      </w:pPr>
      <w:r>
        <w:rPr>
          <w:color w:val="auto"/>
          <w:highlight w:val="none"/>
        </w:rPr>
        <w:t>1、定义</w:t>
      </w:r>
    </w:p>
    <w:p>
      <w:pPr>
        <w:pStyle w:val="21"/>
        <w:numPr>
          <w:ilvl w:val="1"/>
          <w:numId w:val="20"/>
        </w:numPr>
        <w:tabs>
          <w:tab w:val="left" w:pos="1481"/>
          <w:tab w:val="left" w:pos="1482"/>
        </w:tabs>
        <w:spacing w:before="0" w:after="0" w:line="292" w:lineRule="exact"/>
        <w:ind w:left="1481" w:right="0" w:hanging="704"/>
        <w:jc w:val="left"/>
        <w:rPr>
          <w:color w:val="auto"/>
          <w:sz w:val="24"/>
          <w:highlight w:val="none"/>
        </w:rPr>
      </w:pPr>
      <w:r>
        <w:rPr>
          <w:color w:val="auto"/>
          <w:spacing w:val="-5"/>
          <w:sz w:val="24"/>
          <w:highlight w:val="none"/>
        </w:rPr>
        <w:t>“合同”系指买方和卖方(以下简称合同双方)已达成的协议，即由双方签订</w:t>
      </w:r>
    </w:p>
    <w:p>
      <w:pPr>
        <w:pStyle w:val="9"/>
        <w:spacing w:before="27" w:line="259" w:lineRule="auto"/>
        <w:ind w:left="298" w:right="945"/>
        <w:rPr>
          <w:color w:val="auto"/>
          <w:highlight w:val="none"/>
        </w:rPr>
      </w:pPr>
      <w:r>
        <w:rPr>
          <w:color w:val="auto"/>
          <w:spacing w:val="-7"/>
          <w:highlight w:val="none"/>
        </w:rPr>
        <w:t>的合同格式文件，包括报价文件、响应文件、招标答疑纪录、澄清说明、附件、附录和</w:t>
      </w:r>
      <w:r>
        <w:rPr>
          <w:color w:val="auto"/>
          <w:highlight w:val="none"/>
        </w:rPr>
        <w:t>组成合同的所有其他文件。</w:t>
      </w:r>
    </w:p>
    <w:p>
      <w:pPr>
        <w:pStyle w:val="21"/>
        <w:numPr>
          <w:ilvl w:val="1"/>
          <w:numId w:val="20"/>
        </w:numPr>
        <w:tabs>
          <w:tab w:val="left" w:pos="1486"/>
          <w:tab w:val="left" w:pos="1487"/>
        </w:tabs>
        <w:spacing w:before="3" w:after="0" w:line="240" w:lineRule="auto"/>
        <w:ind w:left="1486" w:right="0" w:hanging="709"/>
        <w:jc w:val="left"/>
        <w:rPr>
          <w:color w:val="auto"/>
          <w:sz w:val="24"/>
          <w:highlight w:val="none"/>
        </w:rPr>
      </w:pPr>
      <w:r>
        <w:rPr>
          <w:color w:val="auto"/>
          <w:spacing w:val="-4"/>
          <w:sz w:val="24"/>
          <w:highlight w:val="none"/>
        </w:rPr>
        <w:t>“合同价格”系指根据合同规定，在卖方全面正确地履行合同义务时，买方</w:t>
      </w:r>
    </w:p>
    <w:p>
      <w:pPr>
        <w:pStyle w:val="9"/>
        <w:spacing w:before="23"/>
        <w:ind w:left="298"/>
        <w:rPr>
          <w:color w:val="auto"/>
          <w:highlight w:val="none"/>
        </w:rPr>
      </w:pPr>
      <w:r>
        <w:rPr>
          <w:color w:val="auto"/>
          <w:highlight w:val="none"/>
        </w:rPr>
        <w:t>应支付给卖方的款项。</w:t>
      </w:r>
    </w:p>
    <w:p>
      <w:pPr>
        <w:pStyle w:val="21"/>
        <w:numPr>
          <w:ilvl w:val="1"/>
          <w:numId w:val="20"/>
        </w:numPr>
        <w:tabs>
          <w:tab w:val="left" w:pos="1464"/>
          <w:tab w:val="left" w:pos="1465"/>
        </w:tabs>
        <w:spacing w:before="26" w:after="0" w:line="259" w:lineRule="auto"/>
        <w:ind w:left="298" w:right="827" w:firstLine="480"/>
        <w:jc w:val="left"/>
        <w:rPr>
          <w:color w:val="auto"/>
          <w:sz w:val="24"/>
          <w:highlight w:val="none"/>
        </w:rPr>
      </w:pPr>
      <w:r>
        <w:rPr>
          <w:color w:val="auto"/>
          <w:spacing w:val="-11"/>
          <w:sz w:val="24"/>
          <w:highlight w:val="none"/>
        </w:rPr>
        <w:t>“货物”系指卖方按合同要求，须向买方提供的一切设备、机械、仪器仪表、</w:t>
      </w:r>
      <w:r>
        <w:rPr>
          <w:color w:val="auto"/>
          <w:sz w:val="24"/>
          <w:highlight w:val="none"/>
        </w:rPr>
        <w:t>备品备件、工具、手册、其它技术资料和其它材料。</w:t>
      </w:r>
    </w:p>
    <w:p>
      <w:pPr>
        <w:pStyle w:val="21"/>
        <w:numPr>
          <w:ilvl w:val="1"/>
          <w:numId w:val="20"/>
        </w:numPr>
        <w:tabs>
          <w:tab w:val="left" w:pos="1491"/>
          <w:tab w:val="left" w:pos="1492"/>
        </w:tabs>
        <w:spacing w:before="3" w:after="0" w:line="259" w:lineRule="auto"/>
        <w:ind w:left="298" w:right="947" w:firstLine="480"/>
        <w:jc w:val="left"/>
        <w:rPr>
          <w:color w:val="auto"/>
          <w:sz w:val="24"/>
          <w:highlight w:val="none"/>
        </w:rPr>
      </w:pPr>
      <w:r>
        <w:rPr>
          <w:color w:val="auto"/>
          <w:spacing w:val="-8"/>
          <w:sz w:val="24"/>
          <w:highlight w:val="none"/>
        </w:rPr>
        <w:t>“服务”系指合同规定卖方必须承担的安装、调试、技术协助、校准、培训</w:t>
      </w:r>
      <w:r>
        <w:rPr>
          <w:color w:val="auto"/>
          <w:sz w:val="24"/>
          <w:highlight w:val="none"/>
        </w:rPr>
        <w:t>以及其他类似义务。</w:t>
      </w:r>
    </w:p>
    <w:p>
      <w:pPr>
        <w:pStyle w:val="21"/>
        <w:numPr>
          <w:ilvl w:val="1"/>
          <w:numId w:val="20"/>
        </w:numPr>
        <w:tabs>
          <w:tab w:val="left" w:pos="1486"/>
          <w:tab w:val="left" w:pos="1487"/>
        </w:tabs>
        <w:spacing w:before="1" w:after="0" w:line="259" w:lineRule="auto"/>
        <w:ind w:left="298" w:right="947" w:firstLine="480"/>
        <w:jc w:val="left"/>
        <w:rPr>
          <w:color w:val="auto"/>
          <w:sz w:val="24"/>
          <w:highlight w:val="none"/>
        </w:rPr>
      </w:pPr>
      <w:r>
        <w:rPr>
          <w:color w:val="auto"/>
          <w:spacing w:val="-18"/>
          <w:sz w:val="24"/>
          <w:highlight w:val="none"/>
        </w:rPr>
        <w:t>“甲方”、“买方”系指通过招标采购，接受合同货物及服务的自治区本级各</w:t>
      </w:r>
      <w:r>
        <w:rPr>
          <w:color w:val="auto"/>
          <w:sz w:val="24"/>
          <w:highlight w:val="none"/>
        </w:rPr>
        <w:t>行政事业单位、社会团体（采购人</w:t>
      </w:r>
      <w:r>
        <w:rPr>
          <w:color w:val="auto"/>
          <w:spacing w:val="-120"/>
          <w:sz w:val="24"/>
          <w:highlight w:val="none"/>
        </w:rPr>
        <w:t>）</w:t>
      </w:r>
      <w:r>
        <w:rPr>
          <w:color w:val="auto"/>
          <w:sz w:val="24"/>
          <w:highlight w:val="none"/>
        </w:rPr>
        <w:t>。</w:t>
      </w:r>
    </w:p>
    <w:p>
      <w:pPr>
        <w:pStyle w:val="21"/>
        <w:numPr>
          <w:ilvl w:val="1"/>
          <w:numId w:val="20"/>
        </w:numPr>
        <w:tabs>
          <w:tab w:val="left" w:pos="1498"/>
          <w:tab w:val="left" w:pos="1499"/>
        </w:tabs>
        <w:spacing w:before="3" w:after="0" w:line="240" w:lineRule="auto"/>
        <w:ind w:left="1498" w:right="0" w:hanging="721"/>
        <w:jc w:val="left"/>
        <w:rPr>
          <w:color w:val="auto"/>
          <w:sz w:val="24"/>
          <w:highlight w:val="none"/>
        </w:rPr>
      </w:pPr>
      <w:r>
        <w:rPr>
          <w:color w:val="auto"/>
          <w:spacing w:val="-17"/>
          <w:sz w:val="24"/>
          <w:highlight w:val="none"/>
        </w:rPr>
        <w:t>“乙方”、“卖方”系指成交后提供合同货物和服务的供应商。</w:t>
      </w:r>
    </w:p>
    <w:p>
      <w:pPr>
        <w:pStyle w:val="21"/>
        <w:numPr>
          <w:ilvl w:val="1"/>
          <w:numId w:val="20"/>
        </w:numPr>
        <w:tabs>
          <w:tab w:val="left" w:pos="1498"/>
          <w:tab w:val="left" w:pos="1499"/>
        </w:tabs>
        <w:spacing w:before="24" w:after="0" w:line="240" w:lineRule="auto"/>
        <w:ind w:left="1498" w:right="0" w:hanging="721"/>
        <w:jc w:val="left"/>
        <w:rPr>
          <w:color w:val="auto"/>
          <w:sz w:val="24"/>
          <w:highlight w:val="none"/>
        </w:rPr>
      </w:pPr>
      <w:r>
        <w:rPr>
          <w:color w:val="auto"/>
          <w:sz w:val="24"/>
          <w:highlight w:val="none"/>
        </w:rPr>
        <w:t>“现场”系指将要进行货物安装的场所。</w:t>
      </w:r>
    </w:p>
    <w:p>
      <w:pPr>
        <w:pStyle w:val="21"/>
        <w:numPr>
          <w:ilvl w:val="1"/>
          <w:numId w:val="20"/>
        </w:numPr>
        <w:tabs>
          <w:tab w:val="left" w:pos="1481"/>
          <w:tab w:val="left" w:pos="1482"/>
        </w:tabs>
        <w:spacing w:before="26" w:after="0" w:line="259" w:lineRule="auto"/>
        <w:ind w:left="298" w:right="951" w:firstLine="480"/>
        <w:jc w:val="left"/>
        <w:rPr>
          <w:color w:val="auto"/>
          <w:sz w:val="24"/>
          <w:highlight w:val="none"/>
        </w:rPr>
      </w:pPr>
      <w:r>
        <w:rPr>
          <w:color w:val="auto"/>
          <w:spacing w:val="-6"/>
          <w:sz w:val="24"/>
          <w:highlight w:val="none"/>
        </w:rPr>
        <w:t>“验收”系指合同双方依据强制性的国家技术质量规范和合同约定，确认合</w:t>
      </w:r>
      <w:r>
        <w:rPr>
          <w:color w:val="auto"/>
          <w:sz w:val="24"/>
          <w:highlight w:val="none"/>
        </w:rPr>
        <w:t>同项下的货物符合合同规定的活动。</w:t>
      </w:r>
    </w:p>
    <w:p>
      <w:pPr>
        <w:pStyle w:val="8"/>
        <w:spacing w:line="350" w:lineRule="exact"/>
        <w:rPr>
          <w:color w:val="auto"/>
          <w:highlight w:val="none"/>
        </w:rPr>
      </w:pPr>
      <w:r>
        <w:rPr>
          <w:color w:val="auto"/>
          <w:highlight w:val="none"/>
        </w:rPr>
        <w:t>2、适用范围</w:t>
      </w:r>
    </w:p>
    <w:p>
      <w:pPr>
        <w:pStyle w:val="9"/>
        <w:tabs>
          <w:tab w:val="left" w:pos="1498"/>
        </w:tabs>
        <w:spacing w:line="265" w:lineRule="exact"/>
        <w:ind w:left="778"/>
        <w:rPr>
          <w:color w:val="auto"/>
          <w:highlight w:val="none"/>
        </w:rPr>
      </w:pPr>
      <w:r>
        <w:rPr>
          <w:color w:val="auto"/>
          <w:highlight w:val="none"/>
        </w:rPr>
        <w:t>2.1</w:t>
      </w:r>
      <w:r>
        <w:rPr>
          <w:color w:val="auto"/>
          <w:highlight w:val="none"/>
        </w:rPr>
        <w:tab/>
      </w:r>
      <w:r>
        <w:rPr>
          <w:color w:val="auto"/>
          <w:highlight w:val="none"/>
        </w:rPr>
        <w:t>本合同条款仅适用于本项目招标活动。</w:t>
      </w:r>
    </w:p>
    <w:p>
      <w:pPr>
        <w:pStyle w:val="8"/>
        <w:rPr>
          <w:color w:val="auto"/>
          <w:highlight w:val="none"/>
        </w:rPr>
      </w:pPr>
      <w:r>
        <w:rPr>
          <w:color w:val="auto"/>
          <w:highlight w:val="none"/>
        </w:rPr>
        <w:t>3、原产地</w:t>
      </w:r>
    </w:p>
    <w:p>
      <w:pPr>
        <w:pStyle w:val="9"/>
        <w:tabs>
          <w:tab w:val="left" w:pos="1498"/>
        </w:tabs>
        <w:spacing w:line="267" w:lineRule="exact"/>
        <w:ind w:left="778"/>
        <w:rPr>
          <w:color w:val="auto"/>
          <w:highlight w:val="none"/>
        </w:rPr>
      </w:pPr>
      <w:r>
        <w:rPr>
          <w:color w:val="auto"/>
          <w:highlight w:val="none"/>
        </w:rPr>
        <w:t>3.1</w:t>
      </w:r>
      <w:r>
        <w:rPr>
          <w:color w:val="auto"/>
          <w:highlight w:val="none"/>
        </w:rPr>
        <w:tab/>
      </w:r>
      <w:r>
        <w:rPr>
          <w:color w:val="auto"/>
          <w:highlight w:val="none"/>
        </w:rPr>
        <w:t>原产地系指货物的生产地，或提供辅助服务的来源地。</w:t>
      </w:r>
    </w:p>
    <w:p>
      <w:pPr>
        <w:pStyle w:val="8"/>
        <w:spacing w:line="399" w:lineRule="exact"/>
        <w:rPr>
          <w:color w:val="auto"/>
          <w:highlight w:val="none"/>
        </w:rPr>
      </w:pPr>
      <w:r>
        <w:rPr>
          <w:color w:val="auto"/>
          <w:highlight w:val="none"/>
        </w:rPr>
        <w:t>4、技术规格和标准</w:t>
      </w:r>
    </w:p>
    <w:p>
      <w:pPr>
        <w:pStyle w:val="9"/>
        <w:tabs>
          <w:tab w:val="left" w:pos="1397"/>
        </w:tabs>
        <w:spacing w:line="292" w:lineRule="exact"/>
        <w:ind w:left="778"/>
        <w:rPr>
          <w:color w:val="auto"/>
          <w:highlight w:val="none"/>
        </w:rPr>
      </w:pPr>
      <w:r>
        <w:rPr>
          <w:color w:val="auto"/>
          <w:highlight w:val="none"/>
        </w:rPr>
        <w:t>4.1</w:t>
      </w:r>
      <w:r>
        <w:rPr>
          <w:color w:val="auto"/>
          <w:highlight w:val="none"/>
        </w:rPr>
        <w:tab/>
      </w:r>
      <w:r>
        <w:rPr>
          <w:color w:val="auto"/>
          <w:spacing w:val="6"/>
          <w:highlight w:val="none"/>
        </w:rPr>
        <w:t>本合同项下所供货物的技术规格应与本报价文件技术规格规定的标准相一</w:t>
      </w:r>
    </w:p>
    <w:p>
      <w:pPr>
        <w:pStyle w:val="9"/>
        <w:spacing w:before="26"/>
        <w:ind w:left="298"/>
        <w:rPr>
          <w:color w:val="auto"/>
          <w:highlight w:val="none"/>
        </w:rPr>
      </w:pPr>
      <w:r>
        <w:rPr>
          <w:color w:val="auto"/>
          <w:spacing w:val="-7"/>
          <w:highlight w:val="none"/>
        </w:rPr>
        <w:t>致。若技术规格中无相应规定，货物则应符合相应的国家标准或</w:t>
      </w:r>
      <w:r>
        <w:rPr>
          <w:rFonts w:hint="eastAsia"/>
          <w:color w:val="auto"/>
          <w:spacing w:val="-7"/>
          <w:highlight w:val="none"/>
          <w:lang w:eastAsia="zh-CN"/>
        </w:rPr>
        <w:t>有关</w:t>
      </w:r>
      <w:r>
        <w:rPr>
          <w:color w:val="auto"/>
          <w:spacing w:val="-7"/>
          <w:highlight w:val="none"/>
        </w:rPr>
        <w:t>权威部门最新颁布</w:t>
      </w:r>
    </w:p>
    <w:p>
      <w:pPr>
        <w:pStyle w:val="9"/>
        <w:spacing w:before="26" w:line="281" w:lineRule="exact"/>
        <w:ind w:left="298"/>
        <w:rPr>
          <w:color w:val="auto"/>
          <w:highlight w:val="none"/>
        </w:rPr>
      </w:pPr>
      <w:r>
        <w:rPr>
          <w:color w:val="auto"/>
          <w:highlight w:val="none"/>
        </w:rPr>
        <w:t>的相应的正式标准。</w:t>
      </w:r>
    </w:p>
    <w:p>
      <w:pPr>
        <w:pStyle w:val="8"/>
        <w:spacing w:line="399" w:lineRule="exact"/>
        <w:rPr>
          <w:color w:val="auto"/>
          <w:highlight w:val="none"/>
        </w:rPr>
      </w:pPr>
      <w:r>
        <w:rPr>
          <w:color w:val="auto"/>
          <w:highlight w:val="none"/>
        </w:rPr>
        <w:t>5、专利权</w:t>
      </w:r>
    </w:p>
    <w:p>
      <w:pPr>
        <w:pStyle w:val="9"/>
        <w:tabs>
          <w:tab w:val="left" w:pos="1498"/>
        </w:tabs>
        <w:spacing w:line="292" w:lineRule="exact"/>
        <w:ind w:left="778"/>
        <w:rPr>
          <w:color w:val="auto"/>
          <w:highlight w:val="none"/>
        </w:rPr>
      </w:pPr>
      <w:r>
        <w:rPr>
          <w:color w:val="auto"/>
          <w:highlight w:val="none"/>
        </w:rPr>
        <w:t>5.1</w:t>
      </w:r>
      <w:r>
        <w:rPr>
          <w:color w:val="auto"/>
          <w:highlight w:val="none"/>
        </w:rPr>
        <w:tab/>
      </w:r>
      <w:r>
        <w:rPr>
          <w:color w:val="auto"/>
          <w:spacing w:val="-3"/>
          <w:highlight w:val="none"/>
        </w:rPr>
        <w:t>卖方须保障买方在使用其提供的货物、服务及其任何部分时不受到第三方关</w:t>
      </w:r>
    </w:p>
    <w:p>
      <w:pPr>
        <w:pStyle w:val="9"/>
        <w:spacing w:before="26" w:line="259" w:lineRule="auto"/>
        <w:ind w:left="298" w:right="896"/>
        <w:rPr>
          <w:color w:val="auto"/>
          <w:highlight w:val="none"/>
        </w:rPr>
      </w:pPr>
      <w:r>
        <w:rPr>
          <w:color w:val="auto"/>
          <w:highlight w:val="none"/>
        </w:rPr>
        <w:t>于侵犯专利权、商标权或工业设计权的指控。任何第三方如果提出侵权指控，卖方须与第三方交涉并承担由此而引起的一切法律责任和费用。</w:t>
      </w:r>
    </w:p>
    <w:p>
      <w:pPr>
        <w:pStyle w:val="8"/>
        <w:spacing w:line="350" w:lineRule="exact"/>
        <w:rPr>
          <w:color w:val="auto"/>
          <w:highlight w:val="none"/>
        </w:rPr>
      </w:pPr>
      <w:r>
        <w:rPr>
          <w:color w:val="auto"/>
          <w:highlight w:val="none"/>
        </w:rPr>
        <w:t>6、包装</w:t>
      </w:r>
    </w:p>
    <w:p>
      <w:pPr>
        <w:pStyle w:val="9"/>
        <w:spacing w:line="292" w:lineRule="exact"/>
        <w:ind w:left="898"/>
        <w:rPr>
          <w:color w:val="auto"/>
          <w:highlight w:val="none"/>
        </w:rPr>
      </w:pPr>
      <w:r>
        <w:rPr>
          <w:color w:val="auto"/>
          <w:highlight w:val="none"/>
        </w:rPr>
        <w:t>除本合同另有规定之外，提供的全部货物须采用相应标准的保护措施进行包装。</w:t>
      </w:r>
    </w:p>
    <w:p>
      <w:pPr>
        <w:pStyle w:val="9"/>
        <w:spacing w:before="26" w:line="259" w:lineRule="auto"/>
        <w:ind w:left="298" w:right="947"/>
        <w:jc w:val="both"/>
        <w:rPr>
          <w:color w:val="auto"/>
          <w:highlight w:val="none"/>
        </w:rPr>
      </w:pPr>
      <w:r>
        <w:rPr>
          <w:color w:val="auto"/>
          <w:spacing w:val="-5"/>
          <w:highlight w:val="none"/>
        </w:rPr>
        <w:t>这种包装应适于空运和内陆运输，并有良好的防潮、防震、防锈和防野蛮装卸等保护措</w:t>
      </w:r>
      <w:r>
        <w:rPr>
          <w:color w:val="auto"/>
          <w:spacing w:val="-8"/>
          <w:highlight w:val="none"/>
        </w:rPr>
        <w:t>施，以确保货物安全运抵现场。卖方应承担由于其包装或其防护措施不妥而引起货物锈</w:t>
      </w:r>
      <w:r>
        <w:rPr>
          <w:color w:val="auto"/>
          <w:highlight w:val="none"/>
        </w:rPr>
        <w:t>蚀、损坏和丢失造成的任何损失或费用。</w:t>
      </w:r>
    </w:p>
    <w:p>
      <w:pPr>
        <w:pStyle w:val="8"/>
        <w:spacing w:line="350" w:lineRule="exact"/>
        <w:ind w:left="778"/>
        <w:rPr>
          <w:color w:val="auto"/>
          <w:highlight w:val="none"/>
        </w:rPr>
      </w:pPr>
      <w:r>
        <w:rPr>
          <w:color w:val="auto"/>
          <w:highlight w:val="none"/>
        </w:rPr>
        <w:t>7、运输标记</w:t>
      </w:r>
    </w:p>
    <w:p>
      <w:pPr>
        <w:pStyle w:val="9"/>
        <w:tabs>
          <w:tab w:val="left" w:pos="1383"/>
        </w:tabs>
        <w:spacing w:line="293" w:lineRule="exact"/>
        <w:ind w:left="778"/>
        <w:rPr>
          <w:color w:val="auto"/>
          <w:highlight w:val="none"/>
        </w:rPr>
      </w:pPr>
      <w:r>
        <w:rPr>
          <w:color w:val="auto"/>
          <w:highlight w:val="none"/>
        </w:rPr>
        <w:t>7.1</w:t>
      </w:r>
      <w:r>
        <w:rPr>
          <w:color w:val="auto"/>
          <w:highlight w:val="none"/>
        </w:rPr>
        <w:tab/>
      </w:r>
      <w:r>
        <w:rPr>
          <w:color w:val="auto"/>
          <w:highlight w:val="none"/>
        </w:rPr>
        <w:t>卖方应在每一包装箱邻接的四个侧面用不易褪色的油漆以醒目的中文印刷字</w:t>
      </w:r>
    </w:p>
    <w:p>
      <w:pPr>
        <w:pStyle w:val="9"/>
        <w:spacing w:before="160"/>
        <w:ind w:left="298"/>
        <w:rPr>
          <w:color w:val="auto"/>
          <w:highlight w:val="none"/>
        </w:rPr>
      </w:pPr>
      <w:r>
        <w:rPr>
          <w:color w:val="auto"/>
          <w:highlight w:val="none"/>
        </w:rPr>
        <w:t>体标明以下各项：</w:t>
      </w:r>
    </w:p>
    <w:p>
      <w:pPr>
        <w:pStyle w:val="21"/>
        <w:numPr>
          <w:ilvl w:val="0"/>
          <w:numId w:val="21"/>
        </w:numPr>
        <w:tabs>
          <w:tab w:val="left" w:pos="1140"/>
        </w:tabs>
        <w:spacing w:before="24" w:after="0" w:line="240" w:lineRule="auto"/>
        <w:ind w:left="1139" w:right="0" w:hanging="362"/>
        <w:jc w:val="left"/>
        <w:rPr>
          <w:color w:val="auto"/>
          <w:sz w:val="24"/>
          <w:highlight w:val="none"/>
        </w:rPr>
      </w:pPr>
      <w:r>
        <w:rPr>
          <w:color w:val="auto"/>
          <w:sz w:val="24"/>
          <w:highlight w:val="none"/>
        </w:rPr>
        <w:t>收货人</w:t>
      </w:r>
    </w:p>
    <w:p>
      <w:pPr>
        <w:pStyle w:val="21"/>
        <w:numPr>
          <w:ilvl w:val="0"/>
          <w:numId w:val="21"/>
        </w:numPr>
        <w:tabs>
          <w:tab w:val="left" w:pos="1140"/>
        </w:tabs>
        <w:spacing w:before="26" w:after="0" w:line="240" w:lineRule="auto"/>
        <w:ind w:left="1139" w:right="0" w:hanging="362"/>
        <w:jc w:val="left"/>
        <w:rPr>
          <w:color w:val="auto"/>
          <w:sz w:val="24"/>
          <w:highlight w:val="none"/>
        </w:rPr>
      </w:pPr>
      <w:r>
        <w:rPr>
          <w:color w:val="auto"/>
          <w:sz w:val="24"/>
          <w:highlight w:val="none"/>
        </w:rPr>
        <w:t>目的地</w:t>
      </w:r>
    </w:p>
    <w:p>
      <w:pPr>
        <w:pStyle w:val="21"/>
        <w:numPr>
          <w:ilvl w:val="0"/>
          <w:numId w:val="21"/>
        </w:numPr>
        <w:tabs>
          <w:tab w:val="left" w:pos="1140"/>
        </w:tabs>
        <w:spacing w:before="26" w:after="0" w:line="259" w:lineRule="auto"/>
        <w:ind w:left="778" w:right="6299" w:firstLine="0"/>
        <w:jc w:val="left"/>
        <w:rPr>
          <w:color w:val="auto"/>
          <w:sz w:val="24"/>
          <w:highlight w:val="none"/>
        </w:rPr>
      </w:pPr>
      <w:r>
        <w:rPr>
          <w:color w:val="auto"/>
          <w:spacing w:val="-2"/>
          <w:sz w:val="24"/>
          <w:highlight w:val="none"/>
        </w:rPr>
        <w:t>货物的名称、品目号、箱号</w:t>
      </w:r>
      <w:r>
        <w:rPr>
          <w:color w:val="auto"/>
          <w:sz w:val="24"/>
          <w:highlight w:val="none"/>
        </w:rPr>
        <w:t>(4)毛重／净重(公斤)</w:t>
      </w:r>
    </w:p>
    <w:p>
      <w:pPr>
        <w:pStyle w:val="9"/>
        <w:spacing w:line="281" w:lineRule="exact"/>
        <w:ind w:left="778"/>
        <w:rPr>
          <w:color w:val="auto"/>
          <w:highlight w:val="none"/>
        </w:rPr>
      </w:pPr>
      <w:r>
        <w:rPr>
          <w:color w:val="auto"/>
          <w:highlight w:val="none"/>
        </w:rPr>
        <w:t>(5)尺寸(长 x 宽 x 高，以厘米计)</w:t>
      </w:r>
    </w:p>
    <w:p>
      <w:pPr>
        <w:pStyle w:val="8"/>
        <w:ind w:left="778"/>
        <w:rPr>
          <w:color w:val="auto"/>
          <w:highlight w:val="none"/>
        </w:rPr>
      </w:pPr>
      <w:r>
        <w:rPr>
          <w:color w:val="auto"/>
          <w:highlight w:val="none"/>
        </w:rPr>
        <w:t>8、卖方的交运通知及相</w:t>
      </w:r>
      <w:r>
        <w:rPr>
          <w:rFonts w:hint="eastAsia" w:eastAsia="宋体"/>
          <w:color w:val="auto"/>
          <w:highlight w:val="none"/>
          <w:lang w:val="en-US" w:eastAsia="zh-CN"/>
        </w:rPr>
        <w:t>关</w:t>
      </w:r>
      <w:r>
        <w:rPr>
          <w:color w:val="auto"/>
          <w:highlight w:val="none"/>
        </w:rPr>
        <w:t>事项</w:t>
      </w:r>
    </w:p>
    <w:p>
      <w:pPr>
        <w:pStyle w:val="21"/>
        <w:numPr>
          <w:ilvl w:val="1"/>
          <w:numId w:val="22"/>
        </w:numPr>
        <w:tabs>
          <w:tab w:val="left" w:pos="1498"/>
          <w:tab w:val="left" w:pos="1499"/>
        </w:tabs>
        <w:spacing w:before="0" w:after="0" w:line="259" w:lineRule="auto"/>
        <w:ind w:left="298" w:right="951" w:firstLine="480"/>
        <w:jc w:val="left"/>
        <w:rPr>
          <w:color w:val="auto"/>
          <w:sz w:val="24"/>
          <w:highlight w:val="none"/>
        </w:rPr>
      </w:pPr>
      <w:r>
        <w:rPr>
          <w:color w:val="auto"/>
          <w:spacing w:val="-2"/>
          <w:sz w:val="24"/>
          <w:highlight w:val="none"/>
        </w:rPr>
        <w:t xml:space="preserve">卖方应在合同规定的交货期 </w:t>
      </w:r>
      <w:r>
        <w:rPr>
          <w:color w:val="auto"/>
          <w:sz w:val="24"/>
          <w:highlight w:val="none"/>
        </w:rPr>
        <w:t>10</w:t>
      </w:r>
      <w:r>
        <w:rPr>
          <w:color w:val="auto"/>
          <w:spacing w:val="-6"/>
          <w:sz w:val="24"/>
          <w:highlight w:val="none"/>
        </w:rPr>
        <w:t xml:space="preserve"> 天前以电报、传真或电传等方式通知买方合</w:t>
      </w:r>
      <w:r>
        <w:rPr>
          <w:color w:val="auto"/>
          <w:sz w:val="24"/>
          <w:highlight w:val="none"/>
        </w:rPr>
        <w:t>同号、货物名称、数量、包装件数、总毛重、总体积(立方米)和备妥待运日期。</w:t>
      </w:r>
    </w:p>
    <w:p>
      <w:pPr>
        <w:pStyle w:val="21"/>
        <w:numPr>
          <w:ilvl w:val="1"/>
          <w:numId w:val="22"/>
        </w:numPr>
        <w:tabs>
          <w:tab w:val="left" w:pos="1498"/>
          <w:tab w:val="left" w:pos="1499"/>
        </w:tabs>
        <w:spacing w:before="0" w:after="0" w:line="240" w:lineRule="auto"/>
        <w:ind w:left="1498" w:right="0" w:hanging="721"/>
        <w:jc w:val="left"/>
        <w:rPr>
          <w:color w:val="auto"/>
          <w:sz w:val="24"/>
          <w:highlight w:val="none"/>
        </w:rPr>
      </w:pPr>
      <w:r>
        <w:rPr>
          <w:color w:val="auto"/>
          <w:sz w:val="24"/>
          <w:highlight w:val="none"/>
        </w:rPr>
        <w:t>卖方负责安排自发运地至买方现场的运输，费用包含在合同总价中。</w:t>
      </w:r>
    </w:p>
    <w:p>
      <w:pPr>
        <w:pStyle w:val="21"/>
        <w:numPr>
          <w:ilvl w:val="1"/>
          <w:numId w:val="22"/>
        </w:numPr>
        <w:tabs>
          <w:tab w:val="left" w:pos="1498"/>
          <w:tab w:val="left" w:pos="1499"/>
        </w:tabs>
        <w:spacing w:before="13" w:after="0" w:line="240" w:lineRule="auto"/>
        <w:ind w:left="1498" w:right="0" w:hanging="721"/>
        <w:jc w:val="left"/>
        <w:rPr>
          <w:color w:val="auto"/>
          <w:sz w:val="24"/>
          <w:highlight w:val="none"/>
        </w:rPr>
      </w:pPr>
      <w:r>
        <w:rPr>
          <w:color w:val="auto"/>
          <w:sz w:val="24"/>
          <w:highlight w:val="none"/>
        </w:rPr>
        <w:t>交货日期以货物到达买方现场为准。</w:t>
      </w:r>
    </w:p>
    <w:p>
      <w:pPr>
        <w:pStyle w:val="21"/>
        <w:numPr>
          <w:ilvl w:val="1"/>
          <w:numId w:val="22"/>
        </w:numPr>
        <w:tabs>
          <w:tab w:val="left" w:pos="1498"/>
          <w:tab w:val="left" w:pos="1499"/>
        </w:tabs>
        <w:spacing w:before="26" w:after="0" w:line="259" w:lineRule="auto"/>
        <w:ind w:left="298" w:right="947" w:firstLine="480"/>
        <w:jc w:val="left"/>
        <w:rPr>
          <w:color w:val="auto"/>
          <w:sz w:val="24"/>
          <w:highlight w:val="none"/>
        </w:rPr>
      </w:pPr>
      <w:r>
        <w:rPr>
          <w:color w:val="auto"/>
          <w:spacing w:val="-9"/>
          <w:sz w:val="24"/>
          <w:highlight w:val="none"/>
        </w:rPr>
        <w:t>卖方装运的货物必须符合合同规定的货物名称、型号规格、数量或重量， 否</w:t>
      </w:r>
      <w:r>
        <w:rPr>
          <w:color w:val="auto"/>
          <w:sz w:val="24"/>
          <w:highlight w:val="none"/>
        </w:rPr>
        <w:t>则，一切后果均由卖方承担。</w:t>
      </w:r>
    </w:p>
    <w:p>
      <w:pPr>
        <w:pStyle w:val="8"/>
        <w:spacing w:line="348" w:lineRule="exact"/>
        <w:ind w:left="778"/>
        <w:rPr>
          <w:color w:val="auto"/>
          <w:highlight w:val="none"/>
        </w:rPr>
      </w:pPr>
      <w:r>
        <w:rPr>
          <w:color w:val="auto"/>
          <w:highlight w:val="none"/>
        </w:rPr>
        <w:t>9、保险</w:t>
      </w:r>
    </w:p>
    <w:p>
      <w:pPr>
        <w:pStyle w:val="9"/>
        <w:spacing w:line="267" w:lineRule="exact"/>
        <w:ind w:left="778"/>
        <w:rPr>
          <w:color w:val="auto"/>
          <w:highlight w:val="none"/>
        </w:rPr>
      </w:pPr>
      <w:r>
        <w:rPr>
          <w:color w:val="auto"/>
          <w:highlight w:val="none"/>
        </w:rPr>
        <w:t>在合同价条件下，由卖方负责办理保险。</w:t>
      </w:r>
    </w:p>
    <w:p>
      <w:pPr>
        <w:pStyle w:val="8"/>
        <w:ind w:left="778"/>
        <w:rPr>
          <w:color w:val="auto"/>
          <w:highlight w:val="none"/>
        </w:rPr>
      </w:pPr>
      <w:r>
        <w:rPr>
          <w:color w:val="auto"/>
          <w:highlight w:val="none"/>
        </w:rPr>
        <w:t>10、合同价款的支付方式</w:t>
      </w:r>
    </w:p>
    <w:p>
      <w:pPr>
        <w:pStyle w:val="9"/>
        <w:tabs>
          <w:tab w:val="left" w:pos="1498"/>
        </w:tabs>
        <w:spacing w:line="265" w:lineRule="exact"/>
        <w:ind w:left="778"/>
        <w:rPr>
          <w:color w:val="auto"/>
          <w:highlight w:val="none"/>
        </w:rPr>
      </w:pPr>
      <w:r>
        <w:rPr>
          <w:color w:val="auto"/>
          <w:highlight w:val="none"/>
        </w:rPr>
        <w:t>10.1</w:t>
      </w:r>
      <w:r>
        <w:rPr>
          <w:color w:val="auto"/>
          <w:highlight w:val="none"/>
        </w:rPr>
        <w:tab/>
      </w:r>
      <w:r>
        <w:rPr>
          <w:color w:val="auto"/>
          <w:highlight w:val="none"/>
        </w:rPr>
        <w:t>除另有规定者外，本合同价款将由财政部门直接向卖方支付。</w:t>
      </w:r>
    </w:p>
    <w:p>
      <w:pPr>
        <w:pStyle w:val="8"/>
        <w:spacing w:line="399" w:lineRule="exact"/>
        <w:rPr>
          <w:color w:val="auto"/>
          <w:highlight w:val="none"/>
        </w:rPr>
      </w:pPr>
      <w:r>
        <w:rPr>
          <w:color w:val="auto"/>
          <w:highlight w:val="none"/>
        </w:rPr>
        <w:t>11、技术资料</w:t>
      </w:r>
    </w:p>
    <w:p>
      <w:pPr>
        <w:pStyle w:val="9"/>
        <w:tabs>
          <w:tab w:val="left" w:pos="1498"/>
        </w:tabs>
        <w:spacing w:line="259" w:lineRule="auto"/>
        <w:ind w:left="298" w:right="951" w:firstLine="480"/>
        <w:rPr>
          <w:color w:val="auto"/>
          <w:highlight w:val="none"/>
        </w:rPr>
      </w:pPr>
      <w:r>
        <w:rPr>
          <w:color w:val="auto"/>
          <w:highlight w:val="none"/>
        </w:rPr>
        <w:t>11.1</w:t>
      </w:r>
      <w:r>
        <w:rPr>
          <w:color w:val="auto"/>
          <w:highlight w:val="none"/>
        </w:rPr>
        <w:tab/>
      </w:r>
      <w:r>
        <w:rPr>
          <w:color w:val="auto"/>
          <w:spacing w:val="-4"/>
          <w:highlight w:val="none"/>
        </w:rPr>
        <w:t>除报价文件的技术规范书中另有规定的外，卖方应准备与合同设备或仪器相</w:t>
      </w:r>
      <w:r>
        <w:rPr>
          <w:color w:val="auto"/>
          <w:highlight w:val="none"/>
        </w:rPr>
        <w:t>符的中文技术资料。</w:t>
      </w:r>
    </w:p>
    <w:p>
      <w:pPr>
        <w:pStyle w:val="8"/>
        <w:spacing w:line="350" w:lineRule="exact"/>
        <w:rPr>
          <w:color w:val="auto"/>
          <w:highlight w:val="none"/>
        </w:rPr>
      </w:pPr>
      <w:r>
        <w:rPr>
          <w:color w:val="auto"/>
          <w:highlight w:val="none"/>
        </w:rPr>
        <w:t>12、价格</w:t>
      </w:r>
    </w:p>
    <w:p>
      <w:pPr>
        <w:pStyle w:val="9"/>
        <w:tabs>
          <w:tab w:val="left" w:pos="1498"/>
        </w:tabs>
        <w:spacing w:line="292" w:lineRule="exact"/>
        <w:ind w:left="778"/>
        <w:rPr>
          <w:color w:val="auto"/>
          <w:highlight w:val="none"/>
        </w:rPr>
      </w:pPr>
      <w:r>
        <w:rPr>
          <w:color w:val="auto"/>
          <w:highlight w:val="none"/>
        </w:rPr>
        <w:t>12.1</w:t>
      </w:r>
      <w:r>
        <w:rPr>
          <w:color w:val="auto"/>
          <w:highlight w:val="none"/>
        </w:rPr>
        <w:tab/>
      </w:r>
      <w:r>
        <w:rPr>
          <w:color w:val="auto"/>
          <w:spacing w:val="-5"/>
          <w:highlight w:val="none"/>
        </w:rPr>
        <w:t>除合同中另有规定者外，卖方为其所供货物和服务而要求买方支付的金额应</w:t>
      </w:r>
    </w:p>
    <w:p>
      <w:pPr>
        <w:pStyle w:val="9"/>
        <w:spacing w:before="12" w:line="281" w:lineRule="exact"/>
        <w:ind w:left="298"/>
        <w:rPr>
          <w:color w:val="auto"/>
          <w:highlight w:val="none"/>
        </w:rPr>
      </w:pPr>
      <w:r>
        <w:rPr>
          <w:color w:val="auto"/>
          <w:highlight w:val="none"/>
        </w:rPr>
        <w:t>与其报价一致。</w:t>
      </w:r>
    </w:p>
    <w:p>
      <w:pPr>
        <w:pStyle w:val="8"/>
        <w:rPr>
          <w:color w:val="auto"/>
          <w:highlight w:val="none"/>
        </w:rPr>
      </w:pPr>
      <w:r>
        <w:rPr>
          <w:color w:val="auto"/>
          <w:highlight w:val="none"/>
        </w:rPr>
        <w:t>13、质量保证</w:t>
      </w:r>
    </w:p>
    <w:p>
      <w:pPr>
        <w:pStyle w:val="21"/>
        <w:numPr>
          <w:ilvl w:val="1"/>
          <w:numId w:val="23"/>
        </w:numPr>
        <w:tabs>
          <w:tab w:val="left" w:pos="1499"/>
        </w:tabs>
        <w:spacing w:before="0" w:after="0" w:line="259" w:lineRule="auto"/>
        <w:ind w:left="298" w:right="899" w:firstLine="480"/>
        <w:jc w:val="both"/>
        <w:rPr>
          <w:color w:val="auto"/>
          <w:sz w:val="24"/>
          <w:highlight w:val="none"/>
        </w:rPr>
      </w:pPr>
      <w:r>
        <w:rPr>
          <w:color w:val="auto"/>
          <w:spacing w:val="-3"/>
          <w:sz w:val="24"/>
          <w:highlight w:val="none"/>
        </w:rPr>
        <w:t>卖方应保证其提供的货物是全新的、未使用过的，并在各个方面符合合同规</w:t>
      </w:r>
      <w:r>
        <w:rPr>
          <w:color w:val="auto"/>
          <w:spacing w:val="-4"/>
          <w:sz w:val="24"/>
          <w:highlight w:val="none"/>
        </w:rPr>
        <w:t>定的质量、规格和性能要求。卖方应保证其货物经过正确安装、合理操作和维护保养， 在货物寿命期内运转良好。在规定的质量保证期内，卖方应对由于设计、工艺或材料的</w:t>
      </w:r>
      <w:r>
        <w:rPr>
          <w:color w:val="auto"/>
          <w:spacing w:val="-7"/>
          <w:sz w:val="24"/>
          <w:highlight w:val="none"/>
        </w:rPr>
        <w:t>缺陷而造成的任何缺陷或故障负责。除合同中另有规定者外，出现上述情况，卖方应在</w:t>
      </w:r>
      <w:r>
        <w:rPr>
          <w:color w:val="auto"/>
          <w:spacing w:val="-10"/>
          <w:sz w:val="24"/>
          <w:highlight w:val="none"/>
        </w:rPr>
        <w:t>收到买方通知后，免费负责修理或更换有缺陷的零部件或整机。对造成的损失买方保留索赔的权利。</w:t>
      </w:r>
    </w:p>
    <w:p>
      <w:pPr>
        <w:pStyle w:val="21"/>
        <w:numPr>
          <w:ilvl w:val="1"/>
          <w:numId w:val="23"/>
        </w:numPr>
        <w:tabs>
          <w:tab w:val="left" w:pos="1626"/>
        </w:tabs>
        <w:spacing w:before="0" w:after="0" w:line="240" w:lineRule="auto"/>
        <w:ind w:left="1625" w:right="0" w:hanging="848"/>
        <w:jc w:val="both"/>
        <w:rPr>
          <w:color w:val="auto"/>
          <w:sz w:val="24"/>
          <w:highlight w:val="none"/>
        </w:rPr>
      </w:pPr>
      <w:r>
        <w:rPr>
          <w:color w:val="auto"/>
          <w:sz w:val="24"/>
          <w:highlight w:val="none"/>
        </w:rPr>
        <w:t>除合同中另有规定者外，合同项下货物的质量保证期为货物正式验收合格</w:t>
      </w:r>
    </w:p>
    <w:p>
      <w:pPr>
        <w:pStyle w:val="9"/>
        <w:spacing w:before="16"/>
        <w:ind w:left="298"/>
        <w:jc w:val="both"/>
        <w:rPr>
          <w:color w:val="auto"/>
          <w:highlight w:val="none"/>
        </w:rPr>
      </w:pPr>
      <w:r>
        <w:rPr>
          <w:color w:val="auto"/>
          <w:highlight w:val="none"/>
        </w:rPr>
        <w:t>后 12 个月。</w:t>
      </w:r>
    </w:p>
    <w:p>
      <w:pPr>
        <w:pStyle w:val="9"/>
        <w:spacing w:before="26"/>
        <w:ind w:left="778"/>
        <w:rPr>
          <w:color w:val="auto"/>
          <w:highlight w:val="none"/>
        </w:rPr>
      </w:pPr>
      <w:r>
        <w:rPr>
          <w:color w:val="auto"/>
          <w:highlight w:val="none"/>
        </w:rPr>
        <w:t>14、履约保证金</w:t>
      </w:r>
    </w:p>
    <w:p>
      <w:pPr>
        <w:pStyle w:val="21"/>
        <w:numPr>
          <w:ilvl w:val="0"/>
          <w:numId w:val="0"/>
        </w:numPr>
        <w:tabs>
          <w:tab w:val="left" w:pos="1498"/>
          <w:tab w:val="left" w:pos="1499"/>
        </w:tabs>
        <w:spacing w:before="24" w:after="0" w:line="259" w:lineRule="auto"/>
        <w:ind w:left="778" w:leftChars="0" w:right="951" w:rightChars="0"/>
        <w:jc w:val="left"/>
        <w:rPr>
          <w:color w:val="auto"/>
          <w:sz w:val="24"/>
          <w:highlight w:val="none"/>
        </w:rPr>
      </w:pPr>
      <w:r>
        <w:rPr>
          <w:rFonts w:hint="eastAsia"/>
          <w:color w:val="auto"/>
          <w:spacing w:val="-12"/>
          <w:sz w:val="24"/>
          <w:highlight w:val="none"/>
          <w:lang w:val="en-US" w:eastAsia="zh-CN"/>
        </w:rPr>
        <w:t xml:space="preserve">14.1  </w:t>
      </w:r>
      <w:r>
        <w:rPr>
          <w:color w:val="auto"/>
          <w:spacing w:val="-12"/>
          <w:sz w:val="24"/>
          <w:highlight w:val="none"/>
        </w:rPr>
        <w:t xml:space="preserve">评标结束 </w:t>
      </w:r>
      <w:r>
        <w:rPr>
          <w:color w:val="auto"/>
          <w:sz w:val="24"/>
          <w:highlight w:val="none"/>
        </w:rPr>
        <w:t>7</w:t>
      </w:r>
      <w:r>
        <w:rPr>
          <w:color w:val="auto"/>
          <w:spacing w:val="-16"/>
          <w:sz w:val="24"/>
          <w:highlight w:val="none"/>
        </w:rPr>
        <w:t xml:space="preserve"> 个工作日后，成交人须向政府采购中心提交不低于 </w:t>
      </w:r>
      <w:r>
        <w:rPr>
          <w:color w:val="auto"/>
          <w:sz w:val="24"/>
          <w:highlight w:val="none"/>
        </w:rPr>
        <w:t>2%</w:t>
      </w:r>
      <w:r>
        <w:rPr>
          <w:color w:val="auto"/>
          <w:spacing w:val="-4"/>
          <w:sz w:val="24"/>
          <w:highlight w:val="none"/>
        </w:rPr>
        <w:t>的履约保证</w:t>
      </w:r>
      <w:r>
        <w:rPr>
          <w:color w:val="auto"/>
          <w:sz w:val="24"/>
          <w:highlight w:val="none"/>
        </w:rPr>
        <w:t>金。</w:t>
      </w:r>
    </w:p>
    <w:p>
      <w:pPr>
        <w:pStyle w:val="21"/>
        <w:numPr>
          <w:ilvl w:val="0"/>
          <w:numId w:val="0"/>
        </w:numPr>
        <w:tabs>
          <w:tab w:val="left" w:pos="1498"/>
          <w:tab w:val="left" w:pos="1499"/>
        </w:tabs>
        <w:spacing w:before="3" w:after="0" w:line="240" w:lineRule="auto"/>
        <w:ind w:left="777" w:leftChars="0" w:right="0" w:rightChars="0"/>
        <w:jc w:val="left"/>
        <w:rPr>
          <w:color w:val="auto"/>
          <w:sz w:val="24"/>
          <w:highlight w:val="none"/>
        </w:rPr>
      </w:pPr>
      <w:r>
        <w:rPr>
          <w:rFonts w:hint="eastAsia"/>
          <w:color w:val="auto"/>
          <w:spacing w:val="-3"/>
          <w:sz w:val="24"/>
          <w:highlight w:val="none"/>
          <w:lang w:val="en-US" w:eastAsia="zh-CN"/>
        </w:rPr>
        <w:t xml:space="preserve">14.2  </w:t>
      </w:r>
      <w:r>
        <w:rPr>
          <w:color w:val="auto"/>
          <w:spacing w:val="-3"/>
          <w:sz w:val="24"/>
          <w:highlight w:val="none"/>
        </w:rPr>
        <w:t>政府采购中心在收到买方的货物验收合格的报告后，在七个工作日无息退还</w:t>
      </w:r>
    </w:p>
    <w:p>
      <w:pPr>
        <w:pStyle w:val="9"/>
        <w:spacing w:before="26"/>
        <w:ind w:left="298"/>
        <w:rPr>
          <w:color w:val="auto"/>
          <w:highlight w:val="none"/>
        </w:rPr>
      </w:pPr>
      <w:r>
        <w:rPr>
          <w:color w:val="auto"/>
          <w:highlight w:val="none"/>
        </w:rPr>
        <w:t>履约保证金。</w:t>
      </w:r>
    </w:p>
    <w:p>
      <w:pPr>
        <w:pStyle w:val="21"/>
        <w:numPr>
          <w:ilvl w:val="0"/>
          <w:numId w:val="0"/>
        </w:numPr>
        <w:tabs>
          <w:tab w:val="left" w:pos="1498"/>
          <w:tab w:val="left" w:pos="1499"/>
        </w:tabs>
        <w:spacing w:before="23" w:after="0" w:line="240" w:lineRule="auto"/>
        <w:ind w:left="777" w:leftChars="0" w:right="0" w:rightChars="0"/>
        <w:jc w:val="left"/>
        <w:rPr>
          <w:color w:val="auto"/>
          <w:sz w:val="24"/>
          <w:highlight w:val="none"/>
        </w:rPr>
      </w:pPr>
      <w:r>
        <w:rPr>
          <w:rFonts w:hint="eastAsia"/>
          <w:color w:val="auto"/>
          <w:spacing w:val="-3"/>
          <w:sz w:val="24"/>
          <w:highlight w:val="none"/>
          <w:lang w:val="en-US" w:eastAsia="zh-CN"/>
        </w:rPr>
        <w:t xml:space="preserve">14.3  </w:t>
      </w:r>
      <w:r>
        <w:rPr>
          <w:color w:val="auto"/>
          <w:spacing w:val="-3"/>
          <w:sz w:val="24"/>
          <w:highlight w:val="none"/>
        </w:rPr>
        <w:t>成交人按采购人的要求提交履约保证金的，其收取和退还的比例及办法按双</w:t>
      </w:r>
    </w:p>
    <w:p>
      <w:pPr>
        <w:pStyle w:val="9"/>
        <w:spacing w:before="27"/>
        <w:ind w:left="298"/>
        <w:rPr>
          <w:color w:val="auto"/>
          <w:highlight w:val="none"/>
        </w:rPr>
      </w:pPr>
      <w:r>
        <w:rPr>
          <w:color w:val="auto"/>
          <w:highlight w:val="none"/>
        </w:rPr>
        <w:t>方的约定办理。</w:t>
      </w:r>
    </w:p>
    <w:p>
      <w:pPr>
        <w:pStyle w:val="9"/>
        <w:spacing w:before="26" w:line="281" w:lineRule="exact"/>
        <w:ind w:left="778"/>
        <w:rPr>
          <w:color w:val="auto"/>
          <w:highlight w:val="none"/>
        </w:rPr>
      </w:pPr>
      <w:r>
        <w:rPr>
          <w:color w:val="auto"/>
          <w:highlight w:val="none"/>
        </w:rPr>
        <w:t>但收取履约保证金的比例不得高于 10%。</w:t>
      </w:r>
    </w:p>
    <w:p>
      <w:pPr>
        <w:pStyle w:val="8"/>
        <w:spacing w:line="399" w:lineRule="exact"/>
        <w:rPr>
          <w:color w:val="auto"/>
          <w:highlight w:val="none"/>
        </w:rPr>
      </w:pPr>
      <w:r>
        <w:rPr>
          <w:color w:val="auto"/>
          <w:highlight w:val="none"/>
        </w:rPr>
        <w:t>15、检验</w:t>
      </w:r>
    </w:p>
    <w:p>
      <w:pPr>
        <w:pStyle w:val="21"/>
        <w:numPr>
          <w:ilvl w:val="1"/>
          <w:numId w:val="24"/>
        </w:numPr>
        <w:tabs>
          <w:tab w:val="left" w:pos="1623"/>
          <w:tab w:val="left" w:pos="1624"/>
        </w:tabs>
        <w:spacing w:before="0" w:after="0" w:line="292" w:lineRule="exact"/>
        <w:ind w:left="1623" w:right="0" w:hanging="846"/>
        <w:jc w:val="left"/>
        <w:rPr>
          <w:color w:val="auto"/>
          <w:sz w:val="24"/>
          <w:highlight w:val="none"/>
        </w:rPr>
      </w:pPr>
      <w:r>
        <w:rPr>
          <w:color w:val="auto"/>
          <w:sz w:val="24"/>
          <w:highlight w:val="none"/>
        </w:rPr>
        <w:t>卖方应在发货之前，对货物的</w:t>
      </w:r>
      <w:r>
        <w:rPr>
          <w:rFonts w:hint="eastAsia"/>
          <w:color w:val="auto"/>
          <w:sz w:val="24"/>
          <w:highlight w:val="none"/>
          <w:lang w:eastAsia="zh-CN"/>
        </w:rPr>
        <w:t>有关</w:t>
      </w:r>
      <w:r>
        <w:rPr>
          <w:color w:val="auto"/>
          <w:sz w:val="24"/>
          <w:highlight w:val="none"/>
        </w:rPr>
        <w:t>内在和外观质量、规格、性能、数量和</w:t>
      </w:r>
    </w:p>
    <w:p>
      <w:pPr>
        <w:pStyle w:val="9"/>
        <w:spacing w:before="160" w:line="259" w:lineRule="auto"/>
        <w:ind w:left="298" w:right="899"/>
        <w:jc w:val="both"/>
        <w:rPr>
          <w:color w:val="auto"/>
          <w:highlight w:val="none"/>
        </w:rPr>
      </w:pPr>
      <w:r>
        <w:rPr>
          <w:color w:val="auto"/>
          <w:highlight w:val="none"/>
        </w:rPr>
        <w:t>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pPr>
        <w:pStyle w:val="21"/>
        <w:numPr>
          <w:ilvl w:val="1"/>
          <w:numId w:val="24"/>
        </w:numPr>
        <w:tabs>
          <w:tab w:val="left" w:pos="1618"/>
          <w:tab w:val="left" w:pos="1619"/>
        </w:tabs>
        <w:spacing w:before="2" w:after="0" w:line="259" w:lineRule="auto"/>
        <w:ind w:left="298" w:right="831" w:firstLine="480"/>
        <w:jc w:val="left"/>
        <w:rPr>
          <w:color w:val="auto"/>
          <w:sz w:val="24"/>
          <w:highlight w:val="none"/>
        </w:rPr>
      </w:pPr>
      <w:r>
        <w:rPr>
          <w:color w:val="auto"/>
          <w:spacing w:val="-5"/>
          <w:sz w:val="24"/>
          <w:highlight w:val="none"/>
        </w:rPr>
        <w:t xml:space="preserve">在合同规定的质量保证期内，如果发现货物的质量或规格与合同规定不符， </w:t>
      </w:r>
      <w:r>
        <w:rPr>
          <w:color w:val="auto"/>
          <w:spacing w:val="-4"/>
          <w:sz w:val="24"/>
          <w:highlight w:val="none"/>
        </w:rPr>
        <w:t>或证明货物有缺陷，包括潜在的缺陷或使用不合适的原材料等，买方应申请质检部门进行检验，并有权根据检验证书及质量保证条款立即向卖方提出索赔。</w:t>
      </w:r>
    </w:p>
    <w:p>
      <w:pPr>
        <w:pStyle w:val="8"/>
        <w:spacing w:line="350" w:lineRule="exact"/>
        <w:rPr>
          <w:color w:val="auto"/>
          <w:highlight w:val="none"/>
        </w:rPr>
      </w:pPr>
      <w:r>
        <w:rPr>
          <w:color w:val="auto"/>
          <w:highlight w:val="none"/>
        </w:rPr>
        <w:t>16、索赔</w:t>
      </w:r>
    </w:p>
    <w:p>
      <w:pPr>
        <w:pStyle w:val="21"/>
        <w:numPr>
          <w:ilvl w:val="1"/>
          <w:numId w:val="25"/>
        </w:numPr>
        <w:tabs>
          <w:tab w:val="left" w:pos="1626"/>
        </w:tabs>
        <w:spacing w:before="0" w:after="0" w:line="259" w:lineRule="auto"/>
        <w:ind w:left="298" w:right="945" w:firstLine="480"/>
        <w:jc w:val="both"/>
        <w:rPr>
          <w:color w:val="auto"/>
          <w:sz w:val="24"/>
          <w:highlight w:val="none"/>
        </w:rPr>
      </w:pPr>
      <w:r>
        <w:rPr>
          <w:color w:val="auto"/>
          <w:sz w:val="24"/>
          <w:highlight w:val="none"/>
        </w:rPr>
        <w:t>卖方对所供货物与合同约定相一致负完全责任。在买方已于规定的检验、</w:t>
      </w:r>
      <w:r>
        <w:rPr>
          <w:color w:val="auto"/>
          <w:spacing w:val="-7"/>
          <w:sz w:val="24"/>
          <w:highlight w:val="none"/>
        </w:rPr>
        <w:t>安装、调试和验收测试期限内和质量保证期内提出索赔时，卖方应按买方同意的下述一</w:t>
      </w:r>
      <w:r>
        <w:rPr>
          <w:color w:val="auto"/>
          <w:sz w:val="24"/>
          <w:highlight w:val="none"/>
        </w:rPr>
        <w:t>种或多种方法解决索赔事宜。</w:t>
      </w:r>
    </w:p>
    <w:p>
      <w:pPr>
        <w:pStyle w:val="21"/>
        <w:numPr>
          <w:ilvl w:val="0"/>
          <w:numId w:val="26"/>
        </w:numPr>
        <w:tabs>
          <w:tab w:val="left" w:pos="1264"/>
        </w:tabs>
        <w:spacing w:before="0" w:after="0" w:line="259" w:lineRule="auto"/>
        <w:ind w:left="298" w:right="827" w:firstLine="480"/>
        <w:jc w:val="left"/>
        <w:rPr>
          <w:color w:val="auto"/>
          <w:sz w:val="24"/>
          <w:highlight w:val="none"/>
        </w:rPr>
      </w:pPr>
      <w:r>
        <w:rPr>
          <w:color w:val="auto"/>
          <w:spacing w:val="3"/>
          <w:sz w:val="24"/>
          <w:highlight w:val="none"/>
        </w:rPr>
        <w:t>卖方同意买方拒收货物并把被拒收货物的金额以合同规定的同类货币还付给</w:t>
      </w:r>
      <w:r>
        <w:rPr>
          <w:color w:val="auto"/>
          <w:spacing w:val="-13"/>
          <w:sz w:val="24"/>
          <w:highlight w:val="none"/>
        </w:rPr>
        <w:t>买方，卖方负担发生的一切损失和费用，包括利息、银行费用、运输和保险费、检验费、</w:t>
      </w:r>
      <w:r>
        <w:rPr>
          <w:color w:val="auto"/>
          <w:sz w:val="24"/>
          <w:highlight w:val="none"/>
        </w:rPr>
        <w:t>仓储和装卸费以及为保管和保护被拒绝货物所需的其它必要费用。</w:t>
      </w:r>
    </w:p>
    <w:p>
      <w:pPr>
        <w:pStyle w:val="21"/>
        <w:numPr>
          <w:ilvl w:val="0"/>
          <w:numId w:val="26"/>
        </w:numPr>
        <w:tabs>
          <w:tab w:val="left" w:pos="1247"/>
        </w:tabs>
        <w:spacing w:before="0" w:after="0" w:line="240" w:lineRule="auto"/>
        <w:ind w:left="1246" w:right="0" w:hanging="469"/>
        <w:jc w:val="left"/>
        <w:rPr>
          <w:color w:val="auto"/>
          <w:sz w:val="24"/>
          <w:highlight w:val="none"/>
        </w:rPr>
      </w:pPr>
      <w:r>
        <w:rPr>
          <w:color w:val="auto"/>
          <w:spacing w:val="-12"/>
          <w:sz w:val="24"/>
          <w:highlight w:val="none"/>
        </w:rPr>
        <w:t>根据货物的疵劣和受损程度以及买方遭受损失的金额，经双方同意降低货价。</w:t>
      </w:r>
    </w:p>
    <w:p>
      <w:pPr>
        <w:pStyle w:val="21"/>
        <w:numPr>
          <w:ilvl w:val="0"/>
          <w:numId w:val="26"/>
        </w:numPr>
        <w:tabs>
          <w:tab w:val="left" w:pos="1259"/>
        </w:tabs>
        <w:spacing w:before="16" w:after="0" w:line="259" w:lineRule="auto"/>
        <w:ind w:left="298" w:right="899" w:firstLine="480"/>
        <w:jc w:val="both"/>
        <w:rPr>
          <w:color w:val="auto"/>
          <w:sz w:val="24"/>
          <w:highlight w:val="none"/>
        </w:rPr>
      </w:pPr>
      <w:r>
        <w:rPr>
          <w:color w:val="auto"/>
          <w:spacing w:val="-1"/>
          <w:sz w:val="24"/>
          <w:highlight w:val="none"/>
        </w:rPr>
        <w:t>更换有缺陷的零件、部件和设备，或修理缺陷部分，以达到合同规定的规格、</w:t>
      </w:r>
      <w:r>
        <w:rPr>
          <w:color w:val="auto"/>
          <w:spacing w:val="-5"/>
          <w:sz w:val="24"/>
          <w:highlight w:val="none"/>
        </w:rPr>
        <w:t>质量和性能，卖方承担一切费用和风险并负担买方遭受的一切直接费用。同时卖方应相应延长被更换货物的质量保证期。</w:t>
      </w:r>
    </w:p>
    <w:p>
      <w:pPr>
        <w:pStyle w:val="21"/>
        <w:numPr>
          <w:ilvl w:val="1"/>
          <w:numId w:val="25"/>
        </w:numPr>
        <w:tabs>
          <w:tab w:val="left" w:pos="1499"/>
        </w:tabs>
        <w:spacing w:before="2" w:after="0" w:line="259" w:lineRule="auto"/>
        <w:ind w:left="298" w:right="947" w:firstLine="480"/>
        <w:jc w:val="both"/>
        <w:rPr>
          <w:color w:val="auto"/>
          <w:sz w:val="24"/>
          <w:highlight w:val="none"/>
        </w:rPr>
      </w:pPr>
      <w:r>
        <w:rPr>
          <w:color w:val="auto"/>
          <w:spacing w:val="-2"/>
          <w:sz w:val="24"/>
          <w:highlight w:val="none"/>
        </w:rPr>
        <w:t xml:space="preserve">如果买方提出索赔通知后 </w:t>
      </w:r>
      <w:r>
        <w:rPr>
          <w:color w:val="auto"/>
          <w:sz w:val="24"/>
          <w:highlight w:val="none"/>
        </w:rPr>
        <w:t>30</w:t>
      </w:r>
      <w:r>
        <w:rPr>
          <w:color w:val="auto"/>
          <w:spacing w:val="-6"/>
          <w:sz w:val="24"/>
          <w:highlight w:val="none"/>
        </w:rPr>
        <w:t xml:space="preserve"> 天内卖方未能予以答复，该索赔应视为已被卖</w:t>
      </w:r>
      <w:r>
        <w:rPr>
          <w:color w:val="auto"/>
          <w:spacing w:val="-2"/>
          <w:sz w:val="24"/>
          <w:highlight w:val="none"/>
        </w:rPr>
        <w:t xml:space="preserve">方接受。若卖方未能在买方提出索赔通知的 </w:t>
      </w:r>
      <w:r>
        <w:rPr>
          <w:color w:val="auto"/>
          <w:sz w:val="24"/>
          <w:highlight w:val="none"/>
        </w:rPr>
        <w:t>30</w:t>
      </w:r>
      <w:r>
        <w:rPr>
          <w:color w:val="auto"/>
          <w:spacing w:val="-6"/>
          <w:sz w:val="24"/>
          <w:highlight w:val="none"/>
        </w:rPr>
        <w:t xml:space="preserve"> 天内或买方同意的更长时间内，按买方</w:t>
      </w:r>
      <w:r>
        <w:rPr>
          <w:color w:val="auto"/>
          <w:spacing w:val="-4"/>
          <w:sz w:val="24"/>
          <w:highlight w:val="none"/>
        </w:rPr>
        <w:t>同意的上述任何一种方式处理索赔事宜，买方将从未付款或卖方提供的履约保证金中扣</w:t>
      </w:r>
      <w:r>
        <w:rPr>
          <w:color w:val="auto"/>
          <w:sz w:val="24"/>
          <w:highlight w:val="none"/>
        </w:rPr>
        <w:t>回索赔金额，同时保留进一步要求赔偿的权利。</w:t>
      </w:r>
    </w:p>
    <w:p>
      <w:pPr>
        <w:pStyle w:val="8"/>
        <w:spacing w:line="351" w:lineRule="exact"/>
        <w:rPr>
          <w:color w:val="auto"/>
          <w:highlight w:val="none"/>
        </w:rPr>
      </w:pPr>
      <w:r>
        <w:rPr>
          <w:color w:val="auto"/>
          <w:w w:val="95"/>
          <w:highlight w:val="none"/>
        </w:rPr>
        <w:t>17、延期交货与核定损失额</w:t>
      </w:r>
    </w:p>
    <w:p>
      <w:pPr>
        <w:pStyle w:val="9"/>
        <w:spacing w:line="259" w:lineRule="auto"/>
        <w:ind w:left="298" w:right="947" w:firstLine="480"/>
        <w:jc w:val="both"/>
        <w:rPr>
          <w:color w:val="auto"/>
          <w:highlight w:val="none"/>
        </w:rPr>
      </w:pPr>
      <w:r>
        <w:rPr>
          <w:color w:val="auto"/>
          <w:highlight w:val="none"/>
        </w:rPr>
        <w:t>17.1</w:t>
      </w:r>
      <w:r>
        <w:rPr>
          <w:color w:val="auto"/>
          <w:spacing w:val="-3"/>
          <w:highlight w:val="none"/>
        </w:rPr>
        <w:t xml:space="preserve"> 如果卖方未能按合同规定的时间按期交货(不可抗力除外)，在卖方同意支付</w:t>
      </w:r>
      <w:r>
        <w:rPr>
          <w:color w:val="auto"/>
          <w:spacing w:val="-5"/>
          <w:highlight w:val="none"/>
        </w:rPr>
        <w:t>核定损失额的条件下，买方将同意延长交货期。核定损失额的支付将从未付款或从履约</w:t>
      </w:r>
      <w:r>
        <w:rPr>
          <w:color w:val="auto"/>
          <w:spacing w:val="-6"/>
          <w:highlight w:val="none"/>
        </w:rPr>
        <w:t xml:space="preserve">保证金中扣除。核定损失额比率为每迟交 </w:t>
      </w:r>
      <w:r>
        <w:rPr>
          <w:color w:val="auto"/>
          <w:highlight w:val="none"/>
        </w:rPr>
        <w:t>7</w:t>
      </w:r>
      <w:r>
        <w:rPr>
          <w:color w:val="auto"/>
          <w:spacing w:val="-14"/>
          <w:highlight w:val="none"/>
        </w:rPr>
        <w:t xml:space="preserve"> 天，按迟交货物金额的 </w:t>
      </w:r>
      <w:r>
        <w:rPr>
          <w:color w:val="auto"/>
          <w:spacing w:val="-4"/>
          <w:highlight w:val="none"/>
        </w:rPr>
        <w:t>0.5%</w:t>
      </w:r>
      <w:r>
        <w:rPr>
          <w:color w:val="auto"/>
          <w:spacing w:val="-17"/>
          <w:highlight w:val="none"/>
        </w:rPr>
        <w:t xml:space="preserve">，不满 </w:t>
      </w:r>
      <w:r>
        <w:rPr>
          <w:color w:val="auto"/>
          <w:highlight w:val="none"/>
        </w:rPr>
        <w:t>7</w:t>
      </w:r>
      <w:r>
        <w:rPr>
          <w:color w:val="auto"/>
          <w:spacing w:val="-30"/>
          <w:highlight w:val="none"/>
        </w:rPr>
        <w:t xml:space="preserve"> 天按 </w:t>
      </w:r>
      <w:r>
        <w:rPr>
          <w:color w:val="auto"/>
          <w:spacing w:val="-14"/>
          <w:highlight w:val="none"/>
        </w:rPr>
        <w:t xml:space="preserve">7 </w:t>
      </w:r>
      <w:r>
        <w:rPr>
          <w:color w:val="auto"/>
          <w:spacing w:val="-11"/>
          <w:highlight w:val="none"/>
        </w:rPr>
        <w:t xml:space="preserve">天计算，但是，核定损失额的支付不得超过迟交货物部分合同金额的 </w:t>
      </w:r>
      <w:r>
        <w:rPr>
          <w:color w:val="auto"/>
          <w:highlight w:val="none"/>
        </w:rPr>
        <w:t>5%</w:t>
      </w:r>
      <w:r>
        <w:rPr>
          <w:color w:val="auto"/>
          <w:spacing w:val="-9"/>
          <w:highlight w:val="none"/>
        </w:rPr>
        <w:t>。如果卖方在达</w:t>
      </w:r>
      <w:r>
        <w:rPr>
          <w:color w:val="auto"/>
          <w:spacing w:val="-4"/>
          <w:highlight w:val="none"/>
        </w:rPr>
        <w:t>到核定损失额的最高限额后仍不能交货，买方有权因卖方违约终止合同，而卖方仍有义</w:t>
      </w:r>
      <w:r>
        <w:rPr>
          <w:color w:val="auto"/>
          <w:highlight w:val="none"/>
        </w:rPr>
        <w:t>务支付上述迟交核定损失金额。</w:t>
      </w:r>
    </w:p>
    <w:p>
      <w:pPr>
        <w:pStyle w:val="8"/>
        <w:spacing w:line="353" w:lineRule="exact"/>
        <w:rPr>
          <w:color w:val="auto"/>
          <w:highlight w:val="none"/>
        </w:rPr>
      </w:pPr>
      <w:r>
        <w:rPr>
          <w:color w:val="auto"/>
          <w:w w:val="95"/>
          <w:highlight w:val="none"/>
        </w:rPr>
        <w:t>18、不可抗力</w:t>
      </w:r>
    </w:p>
    <w:p>
      <w:pPr>
        <w:pStyle w:val="21"/>
        <w:numPr>
          <w:ilvl w:val="1"/>
          <w:numId w:val="27"/>
        </w:numPr>
        <w:tabs>
          <w:tab w:val="left" w:pos="1499"/>
        </w:tabs>
        <w:spacing w:before="0" w:after="0" w:line="292" w:lineRule="exact"/>
        <w:ind w:left="1498" w:right="0" w:hanging="721"/>
        <w:jc w:val="both"/>
        <w:rPr>
          <w:color w:val="auto"/>
          <w:sz w:val="24"/>
          <w:highlight w:val="none"/>
        </w:rPr>
      </w:pPr>
      <w:r>
        <w:rPr>
          <w:color w:val="auto"/>
          <w:spacing w:val="-4"/>
          <w:sz w:val="24"/>
          <w:highlight w:val="none"/>
        </w:rPr>
        <w:t>签约任何一方由于受诸如战争、严重火灾、洪水、台风、地震等不可抗力事</w:t>
      </w:r>
    </w:p>
    <w:p>
      <w:pPr>
        <w:pStyle w:val="9"/>
        <w:spacing w:before="12" w:line="259" w:lineRule="auto"/>
        <w:ind w:left="298" w:right="947"/>
        <w:jc w:val="both"/>
        <w:rPr>
          <w:color w:val="auto"/>
          <w:highlight w:val="none"/>
        </w:rPr>
      </w:pPr>
      <w:r>
        <w:rPr>
          <w:color w:val="auto"/>
          <w:spacing w:val="-4"/>
          <w:highlight w:val="none"/>
        </w:rPr>
        <w:t>故的影响而不能执行合同时，履行合同的期限应予以延长，则延长的期限应相当于事故</w:t>
      </w:r>
      <w:r>
        <w:rPr>
          <w:color w:val="auto"/>
          <w:spacing w:val="-6"/>
          <w:highlight w:val="none"/>
        </w:rPr>
        <w:t>所影响的时间。不可抗力事故系指买卖双方在缔结合同时所不能预见的，并且它的发生</w:t>
      </w:r>
      <w:r>
        <w:rPr>
          <w:color w:val="auto"/>
          <w:highlight w:val="none"/>
        </w:rPr>
        <w:t>及其后果是无法避免和无法克服的事故。</w:t>
      </w:r>
    </w:p>
    <w:p>
      <w:pPr>
        <w:pStyle w:val="21"/>
        <w:numPr>
          <w:ilvl w:val="1"/>
          <w:numId w:val="27"/>
        </w:numPr>
        <w:tabs>
          <w:tab w:val="left" w:pos="1624"/>
        </w:tabs>
        <w:spacing w:before="2" w:after="0" w:line="259" w:lineRule="auto"/>
        <w:ind w:left="298" w:right="947" w:firstLine="480"/>
        <w:jc w:val="both"/>
        <w:rPr>
          <w:color w:val="auto"/>
          <w:sz w:val="24"/>
          <w:highlight w:val="none"/>
        </w:rPr>
      </w:pPr>
      <w:r>
        <w:rPr>
          <w:color w:val="auto"/>
          <w:sz w:val="24"/>
          <w:highlight w:val="none"/>
        </w:rPr>
        <w:t>受阻一方应在不可抗力事故发生后尽快用电报、传真或电传通知对方，并</w:t>
      </w:r>
      <w:r>
        <w:rPr>
          <w:color w:val="auto"/>
          <w:spacing w:val="-4"/>
          <w:sz w:val="24"/>
          <w:highlight w:val="none"/>
        </w:rPr>
        <w:t xml:space="preserve">于事故发生后 </w:t>
      </w:r>
      <w:r>
        <w:rPr>
          <w:color w:val="auto"/>
          <w:sz w:val="24"/>
          <w:highlight w:val="none"/>
        </w:rPr>
        <w:t>15</w:t>
      </w:r>
      <w:r>
        <w:rPr>
          <w:color w:val="auto"/>
          <w:spacing w:val="-6"/>
          <w:sz w:val="24"/>
          <w:highlight w:val="none"/>
        </w:rPr>
        <w:t xml:space="preserve"> 天内将</w:t>
      </w:r>
      <w:r>
        <w:rPr>
          <w:rFonts w:hint="eastAsia"/>
          <w:color w:val="auto"/>
          <w:spacing w:val="-6"/>
          <w:sz w:val="24"/>
          <w:highlight w:val="none"/>
          <w:lang w:eastAsia="zh-CN"/>
        </w:rPr>
        <w:t>有关</w:t>
      </w:r>
      <w:r>
        <w:rPr>
          <w:color w:val="auto"/>
          <w:spacing w:val="-6"/>
          <w:sz w:val="24"/>
          <w:highlight w:val="none"/>
        </w:rPr>
        <w:t>部门出具的证明文件用特快专递或挂号信等形式寄给对方</w:t>
      </w:r>
      <w:r>
        <w:rPr>
          <w:color w:val="auto"/>
          <w:spacing w:val="-8"/>
          <w:sz w:val="24"/>
          <w:highlight w:val="none"/>
        </w:rPr>
        <w:t xml:space="preserve">审阅确认。一旦不可抗力事故的影响持续 </w:t>
      </w:r>
      <w:r>
        <w:rPr>
          <w:color w:val="auto"/>
          <w:sz w:val="24"/>
          <w:highlight w:val="none"/>
        </w:rPr>
        <w:t>120</w:t>
      </w:r>
      <w:r>
        <w:rPr>
          <w:color w:val="auto"/>
          <w:spacing w:val="-11"/>
          <w:sz w:val="24"/>
          <w:highlight w:val="none"/>
        </w:rPr>
        <w:t xml:space="preserve"> 天以上，双方应通过友好协商在合理的时</w:t>
      </w:r>
      <w:r>
        <w:rPr>
          <w:color w:val="auto"/>
          <w:sz w:val="24"/>
          <w:highlight w:val="none"/>
        </w:rPr>
        <w:t>间内达成进一步履行合同的协议。</w:t>
      </w:r>
    </w:p>
    <w:p>
      <w:pPr>
        <w:pStyle w:val="8"/>
        <w:spacing w:line="351" w:lineRule="exact"/>
        <w:rPr>
          <w:color w:val="auto"/>
          <w:highlight w:val="none"/>
        </w:rPr>
      </w:pPr>
      <w:r>
        <w:rPr>
          <w:color w:val="auto"/>
          <w:highlight w:val="none"/>
        </w:rPr>
        <w:t>19、仲裁</w:t>
      </w:r>
    </w:p>
    <w:p>
      <w:pPr>
        <w:pStyle w:val="21"/>
        <w:numPr>
          <w:ilvl w:val="1"/>
          <w:numId w:val="28"/>
        </w:numPr>
        <w:tabs>
          <w:tab w:val="left" w:pos="1498"/>
          <w:tab w:val="left" w:pos="1499"/>
        </w:tabs>
        <w:spacing w:before="0" w:after="0" w:line="293" w:lineRule="exact"/>
        <w:ind w:left="1498" w:right="0" w:hanging="721"/>
        <w:jc w:val="left"/>
        <w:rPr>
          <w:color w:val="auto"/>
          <w:sz w:val="24"/>
          <w:highlight w:val="none"/>
        </w:rPr>
      </w:pPr>
      <w:r>
        <w:rPr>
          <w:color w:val="auto"/>
          <w:sz w:val="24"/>
          <w:highlight w:val="none"/>
        </w:rPr>
        <w:t>在执行本合同中发生的或与本合同</w:t>
      </w:r>
      <w:r>
        <w:rPr>
          <w:rFonts w:hint="eastAsia"/>
          <w:color w:val="auto"/>
          <w:sz w:val="24"/>
          <w:highlight w:val="none"/>
          <w:lang w:eastAsia="zh-CN"/>
        </w:rPr>
        <w:t>有关</w:t>
      </w:r>
      <w:r>
        <w:rPr>
          <w:color w:val="auto"/>
          <w:sz w:val="24"/>
          <w:highlight w:val="none"/>
        </w:rPr>
        <w:t>的争端，双方应通过友好协商解决，</w:t>
      </w:r>
    </w:p>
    <w:p>
      <w:pPr>
        <w:pStyle w:val="9"/>
        <w:spacing w:before="26"/>
        <w:ind w:left="298"/>
        <w:rPr>
          <w:color w:val="auto"/>
          <w:highlight w:val="none"/>
        </w:rPr>
      </w:pPr>
      <w:r>
        <w:rPr>
          <w:color w:val="auto"/>
          <w:highlight w:val="none"/>
        </w:rPr>
        <w:t>经协商在 30 天内不能达成协议时，应提交仲裁。</w:t>
      </w:r>
    </w:p>
    <w:p>
      <w:pPr>
        <w:pStyle w:val="21"/>
        <w:numPr>
          <w:ilvl w:val="1"/>
          <w:numId w:val="28"/>
        </w:numPr>
        <w:tabs>
          <w:tab w:val="left" w:pos="1498"/>
          <w:tab w:val="left" w:pos="1499"/>
        </w:tabs>
        <w:spacing w:before="26" w:after="0" w:line="240" w:lineRule="auto"/>
        <w:ind w:left="1498" w:right="0" w:hanging="721"/>
        <w:jc w:val="left"/>
        <w:rPr>
          <w:color w:val="auto"/>
          <w:sz w:val="24"/>
          <w:highlight w:val="none"/>
        </w:rPr>
      </w:pPr>
      <w:r>
        <w:rPr>
          <w:color w:val="auto"/>
          <w:sz w:val="24"/>
          <w:highlight w:val="none"/>
        </w:rPr>
        <w:t>仲裁应由买方所在地仲裁机构，根据其仲裁程序和规则进行。</w:t>
      </w:r>
    </w:p>
    <w:p>
      <w:pPr>
        <w:pStyle w:val="21"/>
        <w:numPr>
          <w:ilvl w:val="1"/>
          <w:numId w:val="28"/>
        </w:numPr>
        <w:tabs>
          <w:tab w:val="left" w:pos="1498"/>
          <w:tab w:val="left" w:pos="1499"/>
        </w:tabs>
        <w:spacing w:before="24" w:after="0" w:line="240" w:lineRule="auto"/>
        <w:ind w:left="1498" w:right="0" w:hanging="721"/>
        <w:jc w:val="left"/>
        <w:rPr>
          <w:color w:val="auto"/>
          <w:sz w:val="24"/>
          <w:highlight w:val="none"/>
        </w:rPr>
      </w:pPr>
      <w:r>
        <w:rPr>
          <w:color w:val="auto"/>
          <w:sz w:val="24"/>
          <w:highlight w:val="none"/>
        </w:rPr>
        <w:t>仲裁裁决为最终决定，并对双方具有约束力。</w:t>
      </w:r>
    </w:p>
    <w:p>
      <w:pPr>
        <w:spacing w:after="0" w:line="240" w:lineRule="auto"/>
        <w:jc w:val="left"/>
        <w:rPr>
          <w:color w:val="auto"/>
          <w:sz w:val="24"/>
          <w:highlight w:val="none"/>
        </w:rPr>
        <w:sectPr>
          <w:footerReference r:id="rId6" w:type="default"/>
          <w:pgSz w:w="11900" w:h="16840"/>
          <w:pgMar w:top="1100" w:right="460" w:bottom="1400" w:left="1120" w:header="894" w:footer="1204" w:gutter="0"/>
          <w:pgNumType w:start="20"/>
          <w:cols w:equalWidth="0" w:num="1">
            <w:col w:w="10320"/>
          </w:cols>
        </w:sectPr>
      </w:pPr>
    </w:p>
    <w:p>
      <w:pPr>
        <w:pStyle w:val="21"/>
        <w:numPr>
          <w:ilvl w:val="1"/>
          <w:numId w:val="28"/>
        </w:numPr>
        <w:tabs>
          <w:tab w:val="left" w:pos="1498"/>
          <w:tab w:val="left" w:pos="1499"/>
        </w:tabs>
        <w:spacing w:before="160" w:after="0" w:line="240" w:lineRule="auto"/>
        <w:ind w:left="1498" w:right="0" w:hanging="721"/>
        <w:jc w:val="left"/>
        <w:rPr>
          <w:color w:val="auto"/>
          <w:sz w:val="24"/>
          <w:highlight w:val="none"/>
        </w:rPr>
      </w:pPr>
      <w:r>
        <w:rPr>
          <w:color w:val="auto"/>
          <w:sz w:val="24"/>
          <w:highlight w:val="none"/>
        </w:rPr>
        <w:t>除另有裁决外，仲裁费应由败诉方负担。</w:t>
      </w:r>
    </w:p>
    <w:p>
      <w:pPr>
        <w:pStyle w:val="21"/>
        <w:numPr>
          <w:ilvl w:val="1"/>
          <w:numId w:val="28"/>
        </w:numPr>
        <w:tabs>
          <w:tab w:val="left" w:pos="1498"/>
          <w:tab w:val="left" w:pos="1499"/>
        </w:tabs>
        <w:spacing w:before="24" w:after="0" w:line="281" w:lineRule="exact"/>
        <w:ind w:left="1498" w:right="0" w:hanging="721"/>
        <w:jc w:val="left"/>
        <w:rPr>
          <w:color w:val="auto"/>
          <w:sz w:val="24"/>
          <w:highlight w:val="none"/>
        </w:rPr>
      </w:pPr>
      <w:r>
        <w:rPr>
          <w:color w:val="auto"/>
          <w:sz w:val="24"/>
          <w:highlight w:val="none"/>
        </w:rPr>
        <w:t>在仲裁期间，除正在进行的仲裁部分外，合同其它部分继续执行。</w:t>
      </w:r>
    </w:p>
    <w:p>
      <w:pPr>
        <w:pStyle w:val="8"/>
        <w:rPr>
          <w:color w:val="auto"/>
          <w:highlight w:val="none"/>
        </w:rPr>
      </w:pPr>
      <w:r>
        <w:rPr>
          <w:color w:val="auto"/>
          <w:highlight w:val="none"/>
        </w:rPr>
        <w:t>20、违约终止合同</w:t>
      </w:r>
    </w:p>
    <w:p>
      <w:pPr>
        <w:pStyle w:val="21"/>
        <w:numPr>
          <w:ilvl w:val="1"/>
          <w:numId w:val="29"/>
        </w:numPr>
        <w:tabs>
          <w:tab w:val="left" w:pos="1499"/>
        </w:tabs>
        <w:spacing w:before="0" w:after="0" w:line="259" w:lineRule="auto"/>
        <w:ind w:left="298" w:right="951" w:firstLine="480"/>
        <w:jc w:val="both"/>
        <w:rPr>
          <w:color w:val="auto"/>
          <w:sz w:val="24"/>
          <w:highlight w:val="none"/>
        </w:rPr>
      </w:pPr>
      <w:r>
        <w:rPr>
          <w:color w:val="auto"/>
          <w:spacing w:val="-4"/>
          <w:sz w:val="24"/>
          <w:highlight w:val="none"/>
        </w:rPr>
        <w:t>在补救违约而采取的任何其他措施未能实现的情况下，即在卖方收到买方发</w:t>
      </w:r>
      <w:r>
        <w:rPr>
          <w:color w:val="auto"/>
          <w:spacing w:val="-3"/>
          <w:sz w:val="24"/>
          <w:highlight w:val="none"/>
        </w:rPr>
        <w:t xml:space="preserve">出的违约通知后 </w:t>
      </w:r>
      <w:r>
        <w:rPr>
          <w:color w:val="auto"/>
          <w:sz w:val="24"/>
          <w:highlight w:val="none"/>
        </w:rPr>
        <w:t>30</w:t>
      </w:r>
      <w:r>
        <w:rPr>
          <w:color w:val="auto"/>
          <w:spacing w:val="-7"/>
          <w:sz w:val="24"/>
          <w:highlight w:val="none"/>
        </w:rPr>
        <w:t xml:space="preserve"> 天内(或经买方书面确认的更长时间内)仍未纠正其下述任何一种违</w:t>
      </w:r>
      <w:r>
        <w:rPr>
          <w:color w:val="auto"/>
          <w:sz w:val="24"/>
          <w:highlight w:val="none"/>
        </w:rPr>
        <w:t>约行为，买方可向卖方发出书面违约通知，终止全部或部分合同：</w:t>
      </w:r>
    </w:p>
    <w:p>
      <w:pPr>
        <w:pStyle w:val="21"/>
        <w:numPr>
          <w:ilvl w:val="0"/>
          <w:numId w:val="30"/>
        </w:numPr>
        <w:tabs>
          <w:tab w:val="left" w:pos="1141"/>
        </w:tabs>
        <w:spacing w:before="0" w:after="0" w:line="240" w:lineRule="auto"/>
        <w:ind w:left="1140" w:right="0" w:hanging="363"/>
        <w:jc w:val="left"/>
        <w:rPr>
          <w:color w:val="auto"/>
          <w:sz w:val="24"/>
          <w:highlight w:val="none"/>
        </w:rPr>
      </w:pPr>
      <w:r>
        <w:rPr>
          <w:color w:val="auto"/>
          <w:sz w:val="24"/>
          <w:highlight w:val="none"/>
        </w:rPr>
        <w:t>如果卖方未能在合同规定的期限内或买方准许的任何延期内交付部分或全部货</w:t>
      </w:r>
    </w:p>
    <w:p>
      <w:pPr>
        <w:pStyle w:val="9"/>
        <w:spacing w:before="14"/>
        <w:ind w:left="298"/>
        <w:rPr>
          <w:color w:val="auto"/>
          <w:highlight w:val="none"/>
        </w:rPr>
      </w:pPr>
      <w:r>
        <w:rPr>
          <w:color w:val="auto"/>
          <w:highlight w:val="none"/>
        </w:rPr>
        <w:t>物。</w:t>
      </w:r>
    </w:p>
    <w:p>
      <w:pPr>
        <w:pStyle w:val="21"/>
        <w:numPr>
          <w:ilvl w:val="0"/>
          <w:numId w:val="30"/>
        </w:numPr>
        <w:tabs>
          <w:tab w:val="left" w:pos="1140"/>
        </w:tabs>
        <w:spacing w:before="26" w:after="0" w:line="240" w:lineRule="auto"/>
        <w:ind w:left="1139" w:right="0" w:hanging="362"/>
        <w:jc w:val="left"/>
        <w:rPr>
          <w:color w:val="auto"/>
          <w:sz w:val="24"/>
          <w:highlight w:val="none"/>
        </w:rPr>
      </w:pPr>
      <w:r>
        <w:rPr>
          <w:color w:val="auto"/>
          <w:sz w:val="24"/>
          <w:highlight w:val="none"/>
        </w:rPr>
        <w:t>卖方未能履行合同项下的其它义务。</w:t>
      </w:r>
    </w:p>
    <w:p>
      <w:pPr>
        <w:pStyle w:val="21"/>
        <w:numPr>
          <w:ilvl w:val="1"/>
          <w:numId w:val="29"/>
        </w:numPr>
        <w:tabs>
          <w:tab w:val="left" w:pos="1619"/>
        </w:tabs>
        <w:spacing w:before="23" w:after="0" w:line="259" w:lineRule="auto"/>
        <w:ind w:left="298" w:right="951" w:firstLine="480"/>
        <w:jc w:val="both"/>
        <w:rPr>
          <w:color w:val="auto"/>
          <w:sz w:val="24"/>
          <w:highlight w:val="none"/>
        </w:rPr>
      </w:pPr>
      <w:r>
        <w:rPr>
          <w:color w:val="auto"/>
          <w:spacing w:val="-8"/>
          <w:sz w:val="24"/>
          <w:highlight w:val="none"/>
        </w:rPr>
        <w:t xml:space="preserve">一旦买方根据第 </w:t>
      </w:r>
      <w:r>
        <w:rPr>
          <w:color w:val="auto"/>
          <w:sz w:val="24"/>
          <w:highlight w:val="none"/>
        </w:rPr>
        <w:t>21.1</w:t>
      </w:r>
      <w:r>
        <w:rPr>
          <w:color w:val="auto"/>
          <w:spacing w:val="-13"/>
          <w:sz w:val="24"/>
          <w:highlight w:val="none"/>
        </w:rPr>
        <w:t xml:space="preserve"> 款终止部分或全部合同，买方可以按其认为适当的条</w:t>
      </w:r>
      <w:r>
        <w:rPr>
          <w:color w:val="auto"/>
          <w:spacing w:val="-4"/>
          <w:sz w:val="24"/>
          <w:highlight w:val="none"/>
        </w:rPr>
        <w:t>件和方式采购类似未交付部分的货物。卖方应承担买方购买类似货物的价格差及额外费</w:t>
      </w:r>
      <w:r>
        <w:rPr>
          <w:color w:val="auto"/>
          <w:sz w:val="24"/>
          <w:highlight w:val="none"/>
        </w:rPr>
        <w:t>用。但是，卖方应继续履行合同中未终止的部分。</w:t>
      </w:r>
    </w:p>
    <w:p>
      <w:pPr>
        <w:pStyle w:val="8"/>
        <w:spacing w:line="351" w:lineRule="exact"/>
        <w:rPr>
          <w:color w:val="auto"/>
          <w:highlight w:val="none"/>
        </w:rPr>
      </w:pPr>
      <w:r>
        <w:rPr>
          <w:color w:val="auto"/>
          <w:w w:val="95"/>
          <w:highlight w:val="none"/>
        </w:rPr>
        <w:t>21、变更指示</w:t>
      </w:r>
    </w:p>
    <w:p>
      <w:pPr>
        <w:pStyle w:val="21"/>
        <w:numPr>
          <w:ilvl w:val="1"/>
          <w:numId w:val="31"/>
        </w:numPr>
        <w:tabs>
          <w:tab w:val="left" w:pos="1498"/>
          <w:tab w:val="left" w:pos="1499"/>
        </w:tabs>
        <w:spacing w:before="0" w:after="0" w:line="292" w:lineRule="exact"/>
        <w:ind w:left="1498" w:right="0" w:hanging="721"/>
        <w:jc w:val="left"/>
        <w:rPr>
          <w:color w:val="auto"/>
          <w:sz w:val="24"/>
          <w:highlight w:val="none"/>
        </w:rPr>
      </w:pPr>
      <w:r>
        <w:rPr>
          <w:color w:val="auto"/>
          <w:spacing w:val="-4"/>
          <w:sz w:val="24"/>
          <w:highlight w:val="none"/>
        </w:rPr>
        <w:t>买方可以随时向卖方发出书面指示，在合同总体范围内对如下一点或几点提</w:t>
      </w:r>
    </w:p>
    <w:p>
      <w:pPr>
        <w:pStyle w:val="9"/>
        <w:spacing w:before="26"/>
        <w:ind w:left="298"/>
        <w:rPr>
          <w:color w:val="auto"/>
          <w:highlight w:val="none"/>
        </w:rPr>
      </w:pPr>
      <w:r>
        <w:rPr>
          <w:color w:val="auto"/>
          <w:highlight w:val="none"/>
        </w:rPr>
        <w:t>出变更：</w:t>
      </w:r>
    </w:p>
    <w:p>
      <w:pPr>
        <w:pStyle w:val="21"/>
        <w:numPr>
          <w:ilvl w:val="2"/>
          <w:numId w:val="31"/>
        </w:numPr>
        <w:tabs>
          <w:tab w:val="left" w:pos="1260"/>
        </w:tabs>
        <w:spacing w:before="27" w:after="0" w:line="259" w:lineRule="auto"/>
        <w:ind w:left="898" w:right="3299" w:firstLine="0"/>
        <w:jc w:val="left"/>
        <w:rPr>
          <w:color w:val="auto"/>
          <w:sz w:val="24"/>
          <w:highlight w:val="none"/>
        </w:rPr>
      </w:pPr>
      <w:r>
        <w:rPr>
          <w:color w:val="auto"/>
          <w:spacing w:val="-1"/>
          <w:sz w:val="24"/>
          <w:highlight w:val="none"/>
        </w:rPr>
        <w:t xml:space="preserve">合同项下需为买方特殊制造货物的图纸、设计或规格； </w:t>
      </w:r>
      <w:r>
        <w:rPr>
          <w:color w:val="auto"/>
          <w:sz w:val="24"/>
          <w:highlight w:val="none"/>
        </w:rPr>
        <w:t>(2)装运方式和包装方式；</w:t>
      </w:r>
    </w:p>
    <w:p>
      <w:pPr>
        <w:pStyle w:val="21"/>
        <w:numPr>
          <w:ilvl w:val="0"/>
          <w:numId w:val="32"/>
        </w:numPr>
        <w:tabs>
          <w:tab w:val="left" w:pos="1260"/>
        </w:tabs>
        <w:spacing w:before="0" w:after="0" w:line="240" w:lineRule="auto"/>
        <w:ind w:left="1259" w:right="0" w:hanging="362"/>
        <w:jc w:val="left"/>
        <w:rPr>
          <w:color w:val="auto"/>
          <w:sz w:val="24"/>
          <w:highlight w:val="none"/>
        </w:rPr>
      </w:pPr>
      <w:r>
        <w:rPr>
          <w:color w:val="auto"/>
          <w:sz w:val="24"/>
          <w:highlight w:val="none"/>
        </w:rPr>
        <w:t>交货地点；</w:t>
      </w:r>
    </w:p>
    <w:p>
      <w:pPr>
        <w:pStyle w:val="21"/>
        <w:numPr>
          <w:ilvl w:val="0"/>
          <w:numId w:val="32"/>
        </w:numPr>
        <w:tabs>
          <w:tab w:val="left" w:pos="1260"/>
        </w:tabs>
        <w:spacing w:before="26" w:after="0" w:line="240" w:lineRule="auto"/>
        <w:ind w:left="1259" w:right="0" w:hanging="362"/>
        <w:jc w:val="left"/>
        <w:rPr>
          <w:color w:val="auto"/>
          <w:sz w:val="24"/>
          <w:highlight w:val="none"/>
        </w:rPr>
      </w:pPr>
      <w:r>
        <w:rPr>
          <w:color w:val="auto"/>
          <w:sz w:val="24"/>
          <w:highlight w:val="none"/>
        </w:rPr>
        <w:t>卖方须提供的服务。</w:t>
      </w:r>
    </w:p>
    <w:p>
      <w:pPr>
        <w:pStyle w:val="21"/>
        <w:numPr>
          <w:ilvl w:val="1"/>
          <w:numId w:val="31"/>
        </w:numPr>
        <w:tabs>
          <w:tab w:val="left" w:pos="1508"/>
        </w:tabs>
        <w:spacing w:before="26" w:after="0" w:line="259" w:lineRule="auto"/>
        <w:ind w:left="298" w:right="951" w:firstLine="480"/>
        <w:jc w:val="both"/>
        <w:rPr>
          <w:color w:val="auto"/>
          <w:sz w:val="24"/>
          <w:highlight w:val="none"/>
        </w:rPr>
      </w:pPr>
      <w:r>
        <w:rPr>
          <w:color w:val="auto"/>
          <w:spacing w:val="3"/>
          <w:sz w:val="24"/>
          <w:highlight w:val="none"/>
        </w:rPr>
        <w:t>若上述变更导致了卖方履行合同项下任何部分义务的费用或所需时间的增</w:t>
      </w:r>
      <w:r>
        <w:rPr>
          <w:color w:val="auto"/>
          <w:spacing w:val="-7"/>
          <w:sz w:val="24"/>
          <w:highlight w:val="none"/>
        </w:rPr>
        <w:t xml:space="preserve">减，应对合同价格或交货进度进行合理的调整，同时相应地修改合同。卖方必须在接到买方的变更指示后 </w:t>
      </w:r>
      <w:r>
        <w:rPr>
          <w:color w:val="auto"/>
          <w:sz w:val="24"/>
          <w:highlight w:val="none"/>
        </w:rPr>
        <w:t>30</w:t>
      </w:r>
      <w:r>
        <w:rPr>
          <w:color w:val="auto"/>
          <w:spacing w:val="-8"/>
          <w:sz w:val="24"/>
          <w:highlight w:val="none"/>
        </w:rPr>
        <w:t xml:space="preserve"> 天内根据本款提出调整的实施意见。</w:t>
      </w:r>
    </w:p>
    <w:p>
      <w:pPr>
        <w:pStyle w:val="8"/>
        <w:spacing w:line="350" w:lineRule="exact"/>
        <w:rPr>
          <w:color w:val="auto"/>
          <w:highlight w:val="none"/>
        </w:rPr>
      </w:pPr>
      <w:r>
        <w:rPr>
          <w:color w:val="auto"/>
          <w:highlight w:val="none"/>
        </w:rPr>
        <w:t>22、合同修改</w:t>
      </w:r>
    </w:p>
    <w:p>
      <w:pPr>
        <w:pStyle w:val="9"/>
        <w:tabs>
          <w:tab w:val="left" w:pos="1507"/>
        </w:tabs>
        <w:spacing w:line="293" w:lineRule="exact"/>
        <w:ind w:left="778"/>
        <w:rPr>
          <w:color w:val="auto"/>
          <w:highlight w:val="none"/>
        </w:rPr>
      </w:pPr>
      <w:r>
        <w:rPr>
          <w:color w:val="auto"/>
          <w:highlight w:val="none"/>
        </w:rPr>
        <w:t>22.1</w:t>
      </w:r>
      <w:r>
        <w:rPr>
          <w:color w:val="auto"/>
          <w:highlight w:val="none"/>
        </w:rPr>
        <w:tab/>
      </w:r>
      <w:r>
        <w:rPr>
          <w:color w:val="auto"/>
          <w:spacing w:val="4"/>
          <w:highlight w:val="none"/>
        </w:rPr>
        <w:t>欲对合同条款做出任何改动或偏离，均须由买卖双方签署书面的合同修改</w:t>
      </w:r>
    </w:p>
    <w:p>
      <w:pPr>
        <w:pStyle w:val="9"/>
        <w:spacing w:before="26"/>
        <w:ind w:left="298"/>
        <w:rPr>
          <w:color w:val="auto"/>
          <w:highlight w:val="none"/>
        </w:rPr>
      </w:pPr>
      <w:r>
        <w:rPr>
          <w:color w:val="auto"/>
          <w:highlight w:val="none"/>
        </w:rPr>
        <w:t>书。</w:t>
      </w:r>
    </w:p>
    <w:p>
      <w:pPr>
        <w:pStyle w:val="8"/>
        <w:spacing w:line="372" w:lineRule="exact"/>
        <w:rPr>
          <w:color w:val="auto"/>
          <w:highlight w:val="none"/>
        </w:rPr>
      </w:pPr>
      <w:r>
        <w:rPr>
          <w:color w:val="auto"/>
          <w:highlight w:val="none"/>
        </w:rPr>
        <w:t>23、转让与分包</w:t>
      </w:r>
    </w:p>
    <w:p>
      <w:pPr>
        <w:pStyle w:val="21"/>
        <w:numPr>
          <w:ilvl w:val="1"/>
          <w:numId w:val="33"/>
        </w:numPr>
        <w:tabs>
          <w:tab w:val="left" w:pos="1498"/>
          <w:tab w:val="left" w:pos="1499"/>
        </w:tabs>
        <w:spacing w:before="0" w:after="0" w:line="259" w:lineRule="auto"/>
        <w:ind w:left="298" w:right="951" w:firstLine="480"/>
        <w:jc w:val="left"/>
        <w:rPr>
          <w:color w:val="auto"/>
          <w:sz w:val="24"/>
          <w:highlight w:val="none"/>
        </w:rPr>
      </w:pPr>
      <w:r>
        <w:rPr>
          <w:color w:val="auto"/>
          <w:spacing w:val="-7"/>
          <w:sz w:val="24"/>
          <w:highlight w:val="none"/>
        </w:rPr>
        <w:t>除买方事先同意外，卖方不得部分转让或全部转让其应履行的合同项下的义</w:t>
      </w:r>
      <w:r>
        <w:rPr>
          <w:color w:val="auto"/>
          <w:sz w:val="24"/>
          <w:highlight w:val="none"/>
        </w:rPr>
        <w:t>务。</w:t>
      </w:r>
    </w:p>
    <w:p>
      <w:pPr>
        <w:pStyle w:val="21"/>
        <w:numPr>
          <w:ilvl w:val="1"/>
          <w:numId w:val="33"/>
        </w:numPr>
        <w:tabs>
          <w:tab w:val="left" w:pos="1498"/>
          <w:tab w:val="left" w:pos="1499"/>
        </w:tabs>
        <w:spacing w:before="0" w:after="0" w:line="240" w:lineRule="auto"/>
        <w:ind w:left="1498" w:right="0" w:hanging="721"/>
        <w:jc w:val="left"/>
        <w:rPr>
          <w:color w:val="auto"/>
          <w:sz w:val="24"/>
          <w:highlight w:val="none"/>
        </w:rPr>
      </w:pPr>
      <w:r>
        <w:rPr>
          <w:color w:val="auto"/>
          <w:spacing w:val="-3"/>
          <w:sz w:val="24"/>
          <w:highlight w:val="none"/>
        </w:rPr>
        <w:t>卖方应书面通知买方本合同项下所授予的所有分包合同。但该通知不解除卖</w:t>
      </w:r>
    </w:p>
    <w:p>
      <w:pPr>
        <w:pStyle w:val="9"/>
        <w:spacing w:before="12" w:line="281" w:lineRule="exact"/>
        <w:ind w:left="298"/>
        <w:rPr>
          <w:color w:val="auto"/>
          <w:highlight w:val="none"/>
        </w:rPr>
      </w:pPr>
      <w:r>
        <w:rPr>
          <w:color w:val="auto"/>
          <w:highlight w:val="none"/>
        </w:rPr>
        <w:t>方承担的本合同项下的任何责任或义务。</w:t>
      </w:r>
    </w:p>
    <w:p>
      <w:pPr>
        <w:pStyle w:val="8"/>
        <w:rPr>
          <w:color w:val="auto"/>
          <w:highlight w:val="none"/>
        </w:rPr>
      </w:pPr>
      <w:r>
        <w:rPr>
          <w:color w:val="auto"/>
          <w:highlight w:val="none"/>
        </w:rPr>
        <w:t>24、适用法律</w:t>
      </w:r>
    </w:p>
    <w:p>
      <w:pPr>
        <w:pStyle w:val="9"/>
        <w:tabs>
          <w:tab w:val="left" w:pos="1498"/>
        </w:tabs>
        <w:spacing w:line="267" w:lineRule="exact"/>
        <w:ind w:left="778"/>
        <w:rPr>
          <w:color w:val="auto"/>
          <w:highlight w:val="none"/>
        </w:rPr>
      </w:pPr>
      <w:r>
        <w:rPr>
          <w:color w:val="auto"/>
          <w:highlight w:val="none"/>
        </w:rPr>
        <w:t>24.1</w:t>
      </w:r>
      <w:r>
        <w:rPr>
          <w:color w:val="auto"/>
          <w:highlight w:val="none"/>
        </w:rPr>
        <w:tab/>
      </w:r>
      <w:r>
        <w:rPr>
          <w:color w:val="auto"/>
          <w:highlight w:val="none"/>
        </w:rPr>
        <w:t>本合同应按中华人民共和国的相关法律解释。</w:t>
      </w:r>
    </w:p>
    <w:p>
      <w:pPr>
        <w:pStyle w:val="8"/>
        <w:spacing w:line="399" w:lineRule="exact"/>
        <w:rPr>
          <w:color w:val="auto"/>
          <w:highlight w:val="none"/>
        </w:rPr>
      </w:pPr>
      <w:r>
        <w:rPr>
          <w:color w:val="auto"/>
          <w:highlight w:val="none"/>
        </w:rPr>
        <w:t>25、通知</w:t>
      </w:r>
    </w:p>
    <w:p>
      <w:pPr>
        <w:pStyle w:val="9"/>
        <w:tabs>
          <w:tab w:val="left" w:pos="1498"/>
        </w:tabs>
        <w:spacing w:line="292" w:lineRule="exact"/>
        <w:ind w:left="778"/>
        <w:rPr>
          <w:color w:val="auto"/>
          <w:highlight w:val="none"/>
        </w:rPr>
      </w:pPr>
      <w:r>
        <w:rPr>
          <w:color w:val="auto"/>
          <w:highlight w:val="none"/>
        </w:rPr>
        <w:t>25.1</w:t>
      </w:r>
      <w:r>
        <w:rPr>
          <w:color w:val="auto"/>
          <w:highlight w:val="none"/>
        </w:rPr>
        <w:tab/>
      </w:r>
      <w:r>
        <w:rPr>
          <w:color w:val="auto"/>
          <w:spacing w:val="-8"/>
          <w:highlight w:val="none"/>
        </w:rPr>
        <w:t>本合同任何一方给另一方的通知都应以书面或电传、电报、传真的形式发送，</w:t>
      </w:r>
    </w:p>
    <w:p>
      <w:pPr>
        <w:pStyle w:val="9"/>
        <w:spacing w:before="26" w:line="281" w:lineRule="exact"/>
        <w:ind w:left="298"/>
        <w:rPr>
          <w:color w:val="auto"/>
          <w:highlight w:val="none"/>
        </w:rPr>
      </w:pPr>
      <w:r>
        <w:rPr>
          <w:color w:val="auto"/>
          <w:highlight w:val="none"/>
        </w:rPr>
        <w:t>而另一方应以书面形式确认并发送到对方明确的地址。</w:t>
      </w:r>
    </w:p>
    <w:p>
      <w:pPr>
        <w:pStyle w:val="8"/>
        <w:rPr>
          <w:color w:val="auto"/>
          <w:highlight w:val="none"/>
        </w:rPr>
      </w:pPr>
      <w:r>
        <w:rPr>
          <w:color w:val="auto"/>
          <w:highlight w:val="none"/>
        </w:rPr>
        <w:t>26、合同文件及资料的使用</w:t>
      </w:r>
    </w:p>
    <w:p>
      <w:pPr>
        <w:pStyle w:val="21"/>
        <w:numPr>
          <w:ilvl w:val="1"/>
          <w:numId w:val="34"/>
        </w:numPr>
        <w:tabs>
          <w:tab w:val="left" w:pos="1499"/>
        </w:tabs>
        <w:spacing w:before="0" w:after="0" w:line="259" w:lineRule="auto"/>
        <w:ind w:left="298" w:right="947" w:firstLine="480"/>
        <w:jc w:val="both"/>
        <w:rPr>
          <w:color w:val="auto"/>
          <w:sz w:val="24"/>
          <w:highlight w:val="none"/>
        </w:rPr>
      </w:pPr>
      <w:r>
        <w:rPr>
          <w:color w:val="auto"/>
          <w:spacing w:val="-4"/>
          <w:sz w:val="24"/>
          <w:highlight w:val="none"/>
        </w:rPr>
        <w:t>除了卖方为执行合同所雇人员外，在未经买方同意的情况下，卖方不得将合</w:t>
      </w:r>
      <w:r>
        <w:rPr>
          <w:color w:val="auto"/>
          <w:spacing w:val="-9"/>
          <w:sz w:val="24"/>
          <w:highlight w:val="none"/>
        </w:rPr>
        <w:t>同、合同中的规定、</w:t>
      </w:r>
      <w:r>
        <w:rPr>
          <w:rFonts w:hint="eastAsia"/>
          <w:color w:val="auto"/>
          <w:spacing w:val="-9"/>
          <w:sz w:val="24"/>
          <w:highlight w:val="none"/>
          <w:lang w:eastAsia="zh-CN"/>
        </w:rPr>
        <w:t>有关</w:t>
      </w:r>
      <w:r>
        <w:rPr>
          <w:color w:val="auto"/>
          <w:spacing w:val="-9"/>
          <w:sz w:val="24"/>
          <w:highlight w:val="none"/>
        </w:rPr>
        <w:t>规格、计划、图纸、式样、样本或买方为上述内容向卖方提供</w:t>
      </w:r>
      <w:r>
        <w:rPr>
          <w:color w:val="auto"/>
          <w:spacing w:val="-5"/>
          <w:sz w:val="24"/>
          <w:highlight w:val="none"/>
        </w:rPr>
        <w:t>的资料透露给任何人。卖方须在对外保密的前提下，对其雇用人员提供</w:t>
      </w:r>
      <w:r>
        <w:rPr>
          <w:rFonts w:hint="eastAsia"/>
          <w:color w:val="auto"/>
          <w:spacing w:val="-5"/>
          <w:sz w:val="24"/>
          <w:highlight w:val="none"/>
          <w:lang w:eastAsia="zh-CN"/>
        </w:rPr>
        <w:t>有关</w:t>
      </w:r>
      <w:r>
        <w:rPr>
          <w:color w:val="auto"/>
          <w:spacing w:val="-5"/>
          <w:sz w:val="24"/>
          <w:highlight w:val="none"/>
        </w:rPr>
        <w:t>情况，所提</w:t>
      </w:r>
      <w:r>
        <w:rPr>
          <w:color w:val="auto"/>
          <w:sz w:val="24"/>
          <w:highlight w:val="none"/>
        </w:rPr>
        <w:t>供的情况仅限于执行本合同必不可少的范围内。</w:t>
      </w:r>
    </w:p>
    <w:p>
      <w:pPr>
        <w:pStyle w:val="21"/>
        <w:numPr>
          <w:ilvl w:val="1"/>
          <w:numId w:val="34"/>
        </w:numPr>
        <w:tabs>
          <w:tab w:val="left" w:pos="1499"/>
        </w:tabs>
        <w:spacing w:before="0" w:after="0" w:line="240" w:lineRule="auto"/>
        <w:ind w:left="1498" w:right="0" w:hanging="721"/>
        <w:jc w:val="both"/>
        <w:rPr>
          <w:color w:val="auto"/>
          <w:sz w:val="24"/>
          <w:highlight w:val="none"/>
        </w:rPr>
      </w:pPr>
      <w:r>
        <w:rPr>
          <w:color w:val="auto"/>
          <w:spacing w:val="-4"/>
          <w:sz w:val="24"/>
          <w:highlight w:val="none"/>
        </w:rPr>
        <w:t>除非执行合同需要，在事先末得到买方同意的情况下，卖方不得将与本合同</w:t>
      </w:r>
    </w:p>
    <w:p>
      <w:pPr>
        <w:pStyle w:val="9"/>
        <w:spacing w:before="13"/>
        <w:ind w:left="298"/>
        <w:rPr>
          <w:color w:val="auto"/>
          <w:highlight w:val="none"/>
        </w:rPr>
      </w:pPr>
      <w:r>
        <w:rPr>
          <w:rFonts w:hint="eastAsia"/>
          <w:color w:val="auto"/>
          <w:highlight w:val="none"/>
          <w:lang w:eastAsia="zh-CN"/>
        </w:rPr>
        <w:t>有关</w:t>
      </w:r>
      <w:r>
        <w:rPr>
          <w:color w:val="auto"/>
          <w:highlight w:val="none"/>
        </w:rPr>
        <w:t>的任何文件和资料给第三方使用。</w:t>
      </w:r>
    </w:p>
    <w:p>
      <w:pPr>
        <w:spacing w:after="0"/>
        <w:rPr>
          <w:color w:val="auto"/>
          <w:highlight w:val="none"/>
        </w:rPr>
        <w:sectPr>
          <w:pgSz w:w="11900" w:h="16840"/>
          <w:pgMar w:top="1100" w:right="460" w:bottom="1400" w:left="1120" w:header="894" w:footer="1204" w:gutter="0"/>
          <w:cols w:equalWidth="0" w:num="1">
            <w:col w:w="10320"/>
          </w:cols>
        </w:sectPr>
      </w:pPr>
    </w:p>
    <w:p>
      <w:pPr>
        <w:pStyle w:val="21"/>
        <w:numPr>
          <w:ilvl w:val="1"/>
          <w:numId w:val="34"/>
        </w:numPr>
        <w:tabs>
          <w:tab w:val="left" w:pos="1498"/>
          <w:tab w:val="left" w:pos="1499"/>
        </w:tabs>
        <w:spacing w:before="160" w:after="0" w:line="259" w:lineRule="auto"/>
        <w:ind w:left="298" w:right="951" w:firstLine="480"/>
        <w:jc w:val="left"/>
        <w:rPr>
          <w:color w:val="auto"/>
          <w:sz w:val="24"/>
          <w:highlight w:val="none"/>
        </w:rPr>
      </w:pPr>
      <w:r>
        <w:rPr>
          <w:color w:val="auto"/>
          <w:spacing w:val="-6"/>
          <w:sz w:val="24"/>
          <w:highlight w:val="none"/>
        </w:rPr>
        <w:t>除合同本身以外，若买方要求，卖方应于其合同义务履行完毕以后将这些资</w:t>
      </w:r>
      <w:r>
        <w:rPr>
          <w:color w:val="auto"/>
          <w:sz w:val="24"/>
          <w:highlight w:val="none"/>
        </w:rPr>
        <w:t>料(包括所有副本)退还买方。</w:t>
      </w:r>
    </w:p>
    <w:p>
      <w:pPr>
        <w:pStyle w:val="8"/>
        <w:spacing w:line="348" w:lineRule="exact"/>
        <w:rPr>
          <w:color w:val="auto"/>
          <w:highlight w:val="none"/>
        </w:rPr>
      </w:pPr>
      <w:r>
        <w:rPr>
          <w:color w:val="auto"/>
          <w:highlight w:val="none"/>
        </w:rPr>
        <w:t>27</w:t>
      </w:r>
      <w:r>
        <w:rPr>
          <w:rFonts w:hint="eastAsia" w:eastAsia="宋体"/>
          <w:color w:val="auto"/>
          <w:highlight w:val="none"/>
          <w:lang w:eastAsia="zh-CN"/>
        </w:rPr>
        <w:t>、</w:t>
      </w:r>
      <w:r>
        <w:rPr>
          <w:color w:val="auto"/>
          <w:highlight w:val="none"/>
        </w:rPr>
        <w:t>其他</w:t>
      </w:r>
    </w:p>
    <w:p>
      <w:pPr>
        <w:pStyle w:val="21"/>
        <w:numPr>
          <w:ilvl w:val="1"/>
          <w:numId w:val="35"/>
        </w:numPr>
        <w:tabs>
          <w:tab w:val="left" w:pos="1498"/>
          <w:tab w:val="left" w:pos="1499"/>
        </w:tabs>
        <w:spacing w:before="0" w:after="0" w:line="259" w:lineRule="auto"/>
        <w:ind w:left="298" w:right="951" w:firstLine="480"/>
        <w:jc w:val="left"/>
        <w:rPr>
          <w:color w:val="auto"/>
          <w:sz w:val="24"/>
          <w:highlight w:val="none"/>
        </w:rPr>
      </w:pPr>
      <w:r>
        <w:rPr>
          <w:color w:val="auto"/>
          <w:spacing w:val="-5"/>
          <w:sz w:val="24"/>
          <w:highlight w:val="none"/>
        </w:rPr>
        <w:t>卖方须按技术规格中的规定，向买方提供与合同项下货物</w:t>
      </w:r>
      <w:r>
        <w:rPr>
          <w:rFonts w:hint="eastAsia"/>
          <w:color w:val="auto"/>
          <w:spacing w:val="-5"/>
          <w:sz w:val="24"/>
          <w:highlight w:val="none"/>
          <w:lang w:eastAsia="zh-CN"/>
        </w:rPr>
        <w:t>有关</w:t>
      </w:r>
      <w:r>
        <w:rPr>
          <w:color w:val="auto"/>
          <w:spacing w:val="-5"/>
          <w:sz w:val="24"/>
          <w:highlight w:val="none"/>
        </w:rPr>
        <w:t>的现场安装调</w:t>
      </w:r>
      <w:r>
        <w:rPr>
          <w:color w:val="auto"/>
          <w:sz w:val="24"/>
          <w:highlight w:val="none"/>
        </w:rPr>
        <w:t>试、技术服务、培训等其他相关服务。</w:t>
      </w:r>
    </w:p>
    <w:p>
      <w:pPr>
        <w:pStyle w:val="21"/>
        <w:numPr>
          <w:ilvl w:val="1"/>
          <w:numId w:val="35"/>
        </w:numPr>
        <w:tabs>
          <w:tab w:val="left" w:pos="1618"/>
          <w:tab w:val="left" w:pos="1619"/>
        </w:tabs>
        <w:spacing w:before="0" w:after="0" w:line="240" w:lineRule="auto"/>
        <w:ind w:left="1618" w:right="0" w:hanging="841"/>
        <w:jc w:val="left"/>
        <w:rPr>
          <w:color w:val="auto"/>
          <w:sz w:val="24"/>
          <w:highlight w:val="none"/>
        </w:rPr>
      </w:pPr>
      <w:r>
        <w:rPr>
          <w:color w:val="auto"/>
          <w:sz w:val="24"/>
          <w:highlight w:val="none"/>
        </w:rPr>
        <w:t>商务合同应包括买方最后确认的价格条款和付款方式。</w:t>
      </w:r>
    </w:p>
    <w:p>
      <w:pPr>
        <w:pStyle w:val="21"/>
        <w:numPr>
          <w:ilvl w:val="1"/>
          <w:numId w:val="35"/>
        </w:numPr>
        <w:tabs>
          <w:tab w:val="left" w:pos="1498"/>
          <w:tab w:val="left" w:pos="1499"/>
        </w:tabs>
        <w:spacing w:before="12" w:after="0" w:line="240" w:lineRule="auto"/>
        <w:ind w:left="1498" w:right="0" w:hanging="721"/>
        <w:jc w:val="left"/>
        <w:rPr>
          <w:color w:val="auto"/>
          <w:sz w:val="24"/>
          <w:highlight w:val="none"/>
        </w:rPr>
      </w:pPr>
      <w:r>
        <w:rPr>
          <w:color w:val="auto"/>
          <w:spacing w:val="-19"/>
          <w:sz w:val="24"/>
          <w:highlight w:val="none"/>
        </w:rPr>
        <w:t>下述文件将作为合同附件，为本合同不可分割的组成部分，并与本合具有同等效</w:t>
      </w:r>
    </w:p>
    <w:p>
      <w:pPr>
        <w:pStyle w:val="9"/>
        <w:spacing w:before="26"/>
        <w:ind w:left="298"/>
        <w:rPr>
          <w:color w:val="auto"/>
          <w:highlight w:val="none"/>
        </w:rPr>
      </w:pPr>
      <w:r>
        <w:rPr>
          <w:color w:val="auto"/>
          <w:highlight w:val="none"/>
        </w:rPr>
        <w:t>力；</w:t>
      </w:r>
    </w:p>
    <w:p>
      <w:pPr>
        <w:pStyle w:val="21"/>
        <w:numPr>
          <w:ilvl w:val="0"/>
          <w:numId w:val="36"/>
        </w:numPr>
        <w:tabs>
          <w:tab w:val="left" w:pos="1380"/>
        </w:tabs>
        <w:spacing w:before="27" w:after="0" w:line="240" w:lineRule="auto"/>
        <w:ind w:left="1379" w:right="0" w:hanging="602"/>
        <w:jc w:val="left"/>
        <w:rPr>
          <w:color w:val="auto"/>
          <w:sz w:val="24"/>
          <w:highlight w:val="none"/>
        </w:rPr>
      </w:pPr>
      <w:r>
        <w:rPr>
          <w:color w:val="auto"/>
          <w:sz w:val="24"/>
          <w:highlight w:val="none"/>
        </w:rPr>
        <w:t>报价文件</w:t>
      </w:r>
    </w:p>
    <w:p>
      <w:pPr>
        <w:pStyle w:val="21"/>
        <w:numPr>
          <w:ilvl w:val="0"/>
          <w:numId w:val="36"/>
        </w:numPr>
        <w:tabs>
          <w:tab w:val="left" w:pos="1380"/>
        </w:tabs>
        <w:spacing w:before="23" w:after="0" w:line="240" w:lineRule="auto"/>
        <w:ind w:left="1379" w:right="0" w:hanging="602"/>
        <w:jc w:val="left"/>
        <w:rPr>
          <w:color w:val="auto"/>
          <w:sz w:val="24"/>
          <w:highlight w:val="none"/>
        </w:rPr>
      </w:pPr>
      <w:r>
        <w:rPr>
          <w:color w:val="auto"/>
          <w:sz w:val="24"/>
          <w:highlight w:val="none"/>
        </w:rPr>
        <w:t>成交通知书</w:t>
      </w:r>
    </w:p>
    <w:p>
      <w:pPr>
        <w:pStyle w:val="21"/>
        <w:numPr>
          <w:ilvl w:val="0"/>
          <w:numId w:val="36"/>
        </w:numPr>
        <w:tabs>
          <w:tab w:val="left" w:pos="1380"/>
        </w:tabs>
        <w:spacing w:before="26" w:after="0" w:line="240" w:lineRule="auto"/>
        <w:ind w:left="1379" w:right="0" w:hanging="602"/>
        <w:jc w:val="left"/>
        <w:rPr>
          <w:color w:val="auto"/>
          <w:sz w:val="24"/>
          <w:highlight w:val="none"/>
        </w:rPr>
      </w:pPr>
      <w:r>
        <w:rPr>
          <w:color w:val="auto"/>
          <w:sz w:val="24"/>
          <w:highlight w:val="none"/>
        </w:rPr>
        <w:t>成交人的响应文件及询标过程中的书面答疑记录</w:t>
      </w:r>
    </w:p>
    <w:p>
      <w:pPr>
        <w:pStyle w:val="9"/>
        <w:rPr>
          <w:color w:val="auto"/>
          <w:sz w:val="26"/>
          <w:highlight w:val="none"/>
        </w:rPr>
      </w:pPr>
    </w:p>
    <w:p>
      <w:pPr>
        <w:pStyle w:val="4"/>
        <w:spacing w:before="201"/>
        <w:ind w:left="3226" w:right="0"/>
        <w:jc w:val="left"/>
        <w:rPr>
          <w:color w:val="auto"/>
          <w:highlight w:val="none"/>
        </w:rPr>
      </w:pPr>
      <w:bookmarkStart w:id="21" w:name="_Toc12394"/>
      <w:r>
        <w:rPr>
          <w:color w:val="auto"/>
          <w:highlight w:val="none"/>
        </w:rPr>
        <w:t>第二章</w:t>
      </w:r>
      <w:r>
        <w:rPr>
          <w:rFonts w:hint="eastAsia" w:eastAsia="宋体"/>
          <w:color w:val="auto"/>
          <w:highlight w:val="none"/>
          <w:lang w:eastAsia="zh-CN"/>
        </w:rPr>
        <w:t>、</w:t>
      </w:r>
      <w:r>
        <w:rPr>
          <w:color w:val="auto"/>
          <w:highlight w:val="none"/>
        </w:rPr>
        <w:t>合同特殊条款</w:t>
      </w:r>
      <w:bookmarkEnd w:id="21"/>
    </w:p>
    <w:p>
      <w:pPr>
        <w:pStyle w:val="9"/>
        <w:rPr>
          <w:rFonts w:ascii="Microsoft JhengHei"/>
          <w:b/>
          <w:color w:val="auto"/>
          <w:sz w:val="20"/>
          <w:highlight w:val="none"/>
        </w:rPr>
      </w:pPr>
    </w:p>
    <w:p>
      <w:pPr>
        <w:pStyle w:val="9"/>
        <w:spacing w:before="15"/>
        <w:rPr>
          <w:rFonts w:ascii="Microsoft JhengHei"/>
          <w:b/>
          <w:color w:val="auto"/>
          <w:sz w:val="11"/>
          <w:highlight w:val="none"/>
        </w:rPr>
      </w:pPr>
    </w:p>
    <w:p>
      <w:pPr>
        <w:pStyle w:val="9"/>
        <w:spacing w:before="66"/>
        <w:ind w:left="778"/>
        <w:rPr>
          <w:color w:val="auto"/>
          <w:highlight w:val="none"/>
        </w:rPr>
      </w:pPr>
      <w:r>
        <w:rPr>
          <w:color w:val="auto"/>
          <w:highlight w:val="none"/>
        </w:rPr>
        <w:t>合同特殊条款是对合同一般条款的补充和修改，如果两者之间有不一致之处时，应</w:t>
      </w:r>
    </w:p>
    <w:p>
      <w:pPr>
        <w:pStyle w:val="9"/>
        <w:spacing w:before="113"/>
        <w:ind w:left="298"/>
        <w:rPr>
          <w:color w:val="auto"/>
          <w:highlight w:val="none"/>
        </w:rPr>
      </w:pPr>
      <w:r>
        <w:rPr>
          <w:color w:val="auto"/>
          <w:highlight w:val="none"/>
        </w:rPr>
        <w:t>以特殊条款为准。</w:t>
      </w:r>
    </w:p>
    <w:p>
      <w:pPr>
        <w:pStyle w:val="8"/>
        <w:spacing w:before="33" w:line="240" w:lineRule="auto"/>
        <w:rPr>
          <w:color w:val="auto"/>
          <w:highlight w:val="none"/>
        </w:rPr>
      </w:pPr>
      <w:r>
        <w:rPr>
          <w:color w:val="auto"/>
          <w:highlight w:val="none"/>
        </w:rPr>
        <w:t>1</w:t>
      </w:r>
      <w:r>
        <w:rPr>
          <w:rFonts w:hint="eastAsia" w:eastAsia="宋体"/>
          <w:color w:val="auto"/>
          <w:highlight w:val="none"/>
          <w:lang w:eastAsia="zh-CN"/>
        </w:rPr>
        <w:t>、</w:t>
      </w:r>
      <w:r>
        <w:rPr>
          <w:color w:val="auto"/>
          <w:highlight w:val="none"/>
        </w:rPr>
        <w:t>培训：</w:t>
      </w:r>
    </w:p>
    <w:p>
      <w:pPr>
        <w:pStyle w:val="9"/>
        <w:spacing w:before="58" w:line="328" w:lineRule="auto"/>
        <w:ind w:left="298" w:right="951" w:firstLine="480"/>
        <w:jc w:val="both"/>
        <w:rPr>
          <w:color w:val="auto"/>
          <w:highlight w:val="none"/>
        </w:rPr>
      </w:pPr>
      <w:r>
        <w:rPr>
          <w:color w:val="auto"/>
          <w:highlight w:val="none"/>
        </w:rPr>
        <w:t>1.1</w:t>
      </w:r>
      <w:r>
        <w:rPr>
          <w:color w:val="auto"/>
          <w:spacing w:val="-3"/>
          <w:highlight w:val="none"/>
        </w:rPr>
        <w:t xml:space="preserve">  卖方的安装调试人员有义务对买方的设备维修人员及使用人员进行培训，使维修人员能对设备进行日常维护和一般性故障的查找及故障的排除，使用人员能够熟练</w:t>
      </w:r>
      <w:r>
        <w:rPr>
          <w:color w:val="auto"/>
          <w:highlight w:val="none"/>
        </w:rPr>
        <w:t>掌握设备的各项功能和操作；</w:t>
      </w:r>
    </w:p>
    <w:p>
      <w:pPr>
        <w:pStyle w:val="8"/>
        <w:spacing w:line="358" w:lineRule="exact"/>
        <w:rPr>
          <w:color w:val="auto"/>
          <w:highlight w:val="none"/>
        </w:rPr>
      </w:pPr>
      <w:r>
        <w:rPr>
          <w:color w:val="auto"/>
          <w:highlight w:val="none"/>
        </w:rPr>
        <w:t>2</w:t>
      </w:r>
      <w:r>
        <w:rPr>
          <w:rFonts w:hint="eastAsia" w:eastAsia="宋体"/>
          <w:color w:val="auto"/>
          <w:highlight w:val="none"/>
          <w:lang w:eastAsia="zh-CN"/>
        </w:rPr>
        <w:t>、</w:t>
      </w:r>
      <w:r>
        <w:rPr>
          <w:color w:val="auto"/>
          <w:highlight w:val="none"/>
        </w:rPr>
        <w:t xml:space="preserve"> 检验</w:t>
      </w:r>
    </w:p>
    <w:p>
      <w:pPr>
        <w:pStyle w:val="21"/>
        <w:numPr>
          <w:ilvl w:val="1"/>
          <w:numId w:val="37"/>
        </w:numPr>
        <w:tabs>
          <w:tab w:val="left" w:pos="1498"/>
          <w:tab w:val="left" w:pos="1499"/>
        </w:tabs>
        <w:spacing w:before="58" w:after="0" w:line="240" w:lineRule="auto"/>
        <w:ind w:left="1498" w:right="0" w:hanging="721"/>
        <w:jc w:val="left"/>
        <w:rPr>
          <w:color w:val="auto"/>
          <w:sz w:val="24"/>
          <w:highlight w:val="none"/>
        </w:rPr>
      </w:pPr>
      <w:r>
        <w:rPr>
          <w:color w:val="auto"/>
          <w:spacing w:val="-3"/>
          <w:sz w:val="24"/>
          <w:highlight w:val="none"/>
        </w:rPr>
        <w:t>卖方提供的所有货物应符合国际及国内通行的标准，并应附有相应的测试报</w:t>
      </w:r>
    </w:p>
    <w:p>
      <w:pPr>
        <w:pStyle w:val="9"/>
        <w:spacing w:before="112"/>
        <w:ind w:left="298"/>
        <w:rPr>
          <w:color w:val="auto"/>
          <w:highlight w:val="none"/>
        </w:rPr>
      </w:pPr>
      <w:r>
        <w:rPr>
          <w:color w:val="auto"/>
          <w:highlight w:val="none"/>
        </w:rPr>
        <w:t>告和合同证书；</w:t>
      </w:r>
    </w:p>
    <w:p>
      <w:pPr>
        <w:pStyle w:val="21"/>
        <w:numPr>
          <w:ilvl w:val="1"/>
          <w:numId w:val="37"/>
        </w:numPr>
        <w:tabs>
          <w:tab w:val="left" w:pos="1508"/>
        </w:tabs>
        <w:spacing w:before="113" w:after="0" w:line="328" w:lineRule="auto"/>
        <w:ind w:left="298" w:right="947" w:firstLine="480"/>
        <w:jc w:val="both"/>
        <w:rPr>
          <w:color w:val="auto"/>
          <w:sz w:val="24"/>
          <w:highlight w:val="none"/>
        </w:rPr>
      </w:pPr>
      <w:r>
        <w:rPr>
          <w:color w:val="auto"/>
          <w:spacing w:val="2"/>
          <w:sz w:val="24"/>
          <w:highlight w:val="none"/>
        </w:rPr>
        <w:t>对于卖方提供的所有货物, 买方可按货物的一定比例委托自治区质量监督</w:t>
      </w:r>
      <w:r>
        <w:rPr>
          <w:color w:val="auto"/>
          <w:spacing w:val="-4"/>
          <w:sz w:val="24"/>
          <w:highlight w:val="none"/>
        </w:rPr>
        <w:t>部门进行抽检，验收会格后，所产生的费用由买方承担，经检验不合格时，所产生的费</w:t>
      </w:r>
      <w:r>
        <w:rPr>
          <w:color w:val="auto"/>
          <w:sz w:val="24"/>
          <w:highlight w:val="none"/>
        </w:rPr>
        <w:t>用由卖方承担。</w:t>
      </w:r>
    </w:p>
    <w:p>
      <w:pPr>
        <w:pStyle w:val="21"/>
        <w:numPr>
          <w:ilvl w:val="1"/>
          <w:numId w:val="37"/>
        </w:numPr>
        <w:tabs>
          <w:tab w:val="left" w:pos="1508"/>
        </w:tabs>
        <w:spacing w:before="0" w:after="0" w:line="328" w:lineRule="auto"/>
        <w:ind w:left="298" w:right="951" w:firstLine="480"/>
        <w:jc w:val="both"/>
        <w:rPr>
          <w:color w:val="auto"/>
          <w:sz w:val="24"/>
          <w:highlight w:val="none"/>
        </w:rPr>
      </w:pPr>
      <w:r>
        <w:rPr>
          <w:color w:val="auto"/>
          <w:spacing w:val="3"/>
          <w:sz w:val="24"/>
          <w:highlight w:val="none"/>
        </w:rPr>
        <w:t>具体的国际或国内检验标准按卖方在响应文件中承诺的并经买方确认的规定执行。</w:t>
      </w:r>
    </w:p>
    <w:p>
      <w:pPr>
        <w:pStyle w:val="8"/>
        <w:spacing w:line="360" w:lineRule="exact"/>
        <w:rPr>
          <w:color w:val="auto"/>
          <w:highlight w:val="none"/>
        </w:rPr>
      </w:pPr>
      <w:r>
        <w:rPr>
          <w:color w:val="auto"/>
          <w:highlight w:val="none"/>
        </w:rPr>
        <w:t>3</w:t>
      </w:r>
      <w:r>
        <w:rPr>
          <w:rFonts w:hint="eastAsia" w:eastAsia="宋体"/>
          <w:color w:val="auto"/>
          <w:highlight w:val="none"/>
          <w:lang w:eastAsia="zh-CN"/>
        </w:rPr>
        <w:t>、</w:t>
      </w:r>
      <w:r>
        <w:rPr>
          <w:color w:val="auto"/>
          <w:highlight w:val="none"/>
        </w:rPr>
        <w:t>安装调试</w:t>
      </w:r>
    </w:p>
    <w:p>
      <w:pPr>
        <w:pStyle w:val="21"/>
        <w:numPr>
          <w:ilvl w:val="1"/>
          <w:numId w:val="38"/>
        </w:numPr>
        <w:tabs>
          <w:tab w:val="left" w:pos="1383"/>
          <w:tab w:val="left" w:pos="1384"/>
        </w:tabs>
        <w:spacing w:before="54" w:after="0" w:line="240" w:lineRule="auto"/>
        <w:ind w:left="1383" w:right="0" w:hanging="606"/>
        <w:jc w:val="left"/>
        <w:rPr>
          <w:color w:val="auto"/>
          <w:sz w:val="24"/>
          <w:highlight w:val="none"/>
        </w:rPr>
      </w:pPr>
      <w:r>
        <w:rPr>
          <w:color w:val="auto"/>
          <w:sz w:val="24"/>
          <w:highlight w:val="none"/>
        </w:rPr>
        <w:t>卖方必须在合同签订后将所有的安装调试条件、需买方配合的事项以书面方</w:t>
      </w:r>
    </w:p>
    <w:p>
      <w:pPr>
        <w:pStyle w:val="9"/>
        <w:spacing w:before="112"/>
        <w:ind w:left="298"/>
        <w:rPr>
          <w:color w:val="auto"/>
          <w:highlight w:val="none"/>
        </w:rPr>
      </w:pPr>
      <w:r>
        <w:rPr>
          <w:color w:val="auto"/>
          <w:highlight w:val="none"/>
        </w:rPr>
        <w:t>式通知用户；</w:t>
      </w:r>
    </w:p>
    <w:p>
      <w:pPr>
        <w:pStyle w:val="21"/>
        <w:numPr>
          <w:ilvl w:val="1"/>
          <w:numId w:val="38"/>
        </w:numPr>
        <w:tabs>
          <w:tab w:val="left" w:pos="1498"/>
          <w:tab w:val="left" w:pos="1499"/>
        </w:tabs>
        <w:spacing w:before="113" w:after="0" w:line="240" w:lineRule="auto"/>
        <w:ind w:left="1498" w:right="0" w:hanging="721"/>
        <w:jc w:val="left"/>
        <w:rPr>
          <w:color w:val="auto"/>
          <w:sz w:val="24"/>
          <w:highlight w:val="none"/>
        </w:rPr>
      </w:pPr>
      <w:r>
        <w:rPr>
          <w:color w:val="auto"/>
          <w:sz w:val="24"/>
          <w:highlight w:val="none"/>
        </w:rPr>
        <w:t>卖方免费负责设备在买方的安装、调试，买方协助开展工作；</w:t>
      </w:r>
    </w:p>
    <w:p>
      <w:pPr>
        <w:pStyle w:val="21"/>
        <w:numPr>
          <w:ilvl w:val="1"/>
          <w:numId w:val="38"/>
        </w:numPr>
        <w:tabs>
          <w:tab w:val="left" w:pos="1498"/>
          <w:tab w:val="left" w:pos="1499"/>
        </w:tabs>
        <w:spacing w:before="112" w:after="0" w:line="240" w:lineRule="auto"/>
        <w:ind w:left="1498" w:right="0" w:hanging="721"/>
        <w:jc w:val="left"/>
        <w:rPr>
          <w:color w:val="auto"/>
          <w:sz w:val="24"/>
          <w:highlight w:val="none"/>
        </w:rPr>
      </w:pPr>
      <w:r>
        <w:rPr>
          <w:color w:val="auto"/>
          <w:spacing w:val="-8"/>
          <w:sz w:val="24"/>
          <w:highlight w:val="none"/>
        </w:rPr>
        <w:t>卖方安装调试专家人员应及时到达买方现场，直至安装调试结束、通过验收；</w:t>
      </w:r>
    </w:p>
    <w:p>
      <w:pPr>
        <w:pStyle w:val="21"/>
        <w:numPr>
          <w:ilvl w:val="1"/>
          <w:numId w:val="38"/>
        </w:numPr>
        <w:tabs>
          <w:tab w:val="left" w:pos="1498"/>
          <w:tab w:val="left" w:pos="1499"/>
        </w:tabs>
        <w:spacing w:before="113" w:after="0" w:line="240" w:lineRule="auto"/>
        <w:ind w:left="1498" w:right="0" w:hanging="721"/>
        <w:jc w:val="left"/>
        <w:rPr>
          <w:color w:val="auto"/>
          <w:sz w:val="24"/>
          <w:highlight w:val="none"/>
        </w:rPr>
      </w:pPr>
      <w:r>
        <w:rPr>
          <w:color w:val="auto"/>
          <w:spacing w:val="-2"/>
          <w:sz w:val="24"/>
          <w:highlight w:val="none"/>
        </w:rPr>
        <w:t>卖方负责安装调试期间</w:t>
      </w:r>
      <w:r>
        <w:rPr>
          <w:color w:val="auto"/>
          <w:sz w:val="24"/>
          <w:highlight w:val="none"/>
        </w:rPr>
        <w:t>（包括错发或运输中</w:t>
      </w:r>
      <w:r>
        <w:rPr>
          <w:color w:val="auto"/>
          <w:spacing w:val="-17"/>
          <w:sz w:val="24"/>
          <w:highlight w:val="none"/>
        </w:rPr>
        <w:t>）</w:t>
      </w:r>
      <w:r>
        <w:rPr>
          <w:color w:val="auto"/>
          <w:spacing w:val="-2"/>
          <w:sz w:val="24"/>
          <w:highlight w:val="none"/>
        </w:rPr>
        <w:t>可能损坏的元器件、测试材料</w:t>
      </w:r>
    </w:p>
    <w:p>
      <w:pPr>
        <w:pStyle w:val="9"/>
        <w:spacing w:before="112"/>
        <w:ind w:left="298"/>
        <w:rPr>
          <w:color w:val="auto"/>
          <w:highlight w:val="none"/>
        </w:rPr>
      </w:pPr>
      <w:r>
        <w:rPr>
          <w:color w:val="auto"/>
          <w:highlight w:val="none"/>
        </w:rPr>
        <w:t>的准备，如因时间关系，买方可以考虑使用随机的易损件进行更换，但卖方应及时给买</w:t>
      </w:r>
    </w:p>
    <w:p>
      <w:pPr>
        <w:spacing w:after="0"/>
        <w:rPr>
          <w:color w:val="auto"/>
          <w:highlight w:val="none"/>
        </w:rPr>
        <w:sectPr>
          <w:pgSz w:w="11900" w:h="16840"/>
          <w:pgMar w:top="1100" w:right="460" w:bottom="1400" w:left="1120" w:header="894" w:footer="1204" w:gutter="0"/>
          <w:cols w:equalWidth="0" w:num="1">
            <w:col w:w="10320"/>
          </w:cols>
        </w:sectPr>
      </w:pPr>
    </w:p>
    <w:p>
      <w:pPr>
        <w:pStyle w:val="9"/>
        <w:spacing w:before="11"/>
        <w:rPr>
          <w:color w:val="auto"/>
          <w:sz w:val="13"/>
          <w:highlight w:val="none"/>
        </w:rPr>
      </w:pPr>
    </w:p>
    <w:p>
      <w:pPr>
        <w:pStyle w:val="9"/>
        <w:spacing w:before="66"/>
        <w:ind w:left="298"/>
        <w:rPr>
          <w:color w:val="auto"/>
          <w:highlight w:val="none"/>
        </w:rPr>
      </w:pPr>
      <w:r>
        <w:rPr>
          <w:color w:val="auto"/>
          <w:highlight w:val="none"/>
        </w:rPr>
        <w:t>方补齐（中间产生的任何费用，均由卖方承担</w:t>
      </w:r>
      <w:r>
        <w:rPr>
          <w:color w:val="auto"/>
          <w:spacing w:val="-120"/>
          <w:highlight w:val="none"/>
        </w:rPr>
        <w:t>）</w:t>
      </w:r>
      <w:r>
        <w:rPr>
          <w:color w:val="auto"/>
          <w:highlight w:val="none"/>
        </w:rPr>
        <w:t>；</w:t>
      </w:r>
    </w:p>
    <w:p>
      <w:pPr>
        <w:pStyle w:val="21"/>
        <w:numPr>
          <w:ilvl w:val="1"/>
          <w:numId w:val="38"/>
        </w:numPr>
        <w:tabs>
          <w:tab w:val="left" w:pos="1383"/>
          <w:tab w:val="left" w:pos="1384"/>
        </w:tabs>
        <w:spacing w:before="113" w:after="0" w:line="328" w:lineRule="auto"/>
        <w:ind w:left="298" w:right="945" w:firstLine="480"/>
        <w:jc w:val="left"/>
        <w:rPr>
          <w:color w:val="auto"/>
          <w:sz w:val="24"/>
          <w:highlight w:val="none"/>
        </w:rPr>
      </w:pPr>
      <w:r>
        <w:rPr>
          <w:color w:val="auto"/>
          <w:sz w:val="24"/>
          <w:highlight w:val="none"/>
        </w:rPr>
        <w:t>上述安装调试完成后，买方按相应的卖方在响应文件中所提供的技术指标进行验收；</w:t>
      </w:r>
    </w:p>
    <w:p>
      <w:pPr>
        <w:pStyle w:val="21"/>
        <w:numPr>
          <w:ilvl w:val="1"/>
          <w:numId w:val="38"/>
        </w:numPr>
        <w:tabs>
          <w:tab w:val="left" w:pos="1498"/>
          <w:tab w:val="left" w:pos="1499"/>
        </w:tabs>
        <w:spacing w:before="0" w:after="0" w:line="305" w:lineRule="exact"/>
        <w:ind w:left="1498" w:right="0" w:hanging="721"/>
        <w:jc w:val="left"/>
        <w:rPr>
          <w:color w:val="auto"/>
          <w:sz w:val="24"/>
          <w:highlight w:val="none"/>
        </w:rPr>
      </w:pPr>
      <w:r>
        <w:rPr>
          <w:color w:val="auto"/>
          <w:sz w:val="24"/>
          <w:highlight w:val="none"/>
        </w:rPr>
        <w:t>卖方如不能按时完成安装、调试工作，应赔偿由此买方造成的所有损失；</w:t>
      </w:r>
    </w:p>
    <w:p>
      <w:pPr>
        <w:pStyle w:val="21"/>
        <w:numPr>
          <w:ilvl w:val="1"/>
          <w:numId w:val="38"/>
        </w:numPr>
        <w:tabs>
          <w:tab w:val="left" w:pos="1498"/>
          <w:tab w:val="left" w:pos="1499"/>
        </w:tabs>
        <w:spacing w:before="112" w:after="0" w:line="240" w:lineRule="auto"/>
        <w:ind w:left="1498" w:right="0" w:hanging="721"/>
        <w:jc w:val="left"/>
        <w:rPr>
          <w:color w:val="auto"/>
          <w:sz w:val="24"/>
          <w:highlight w:val="none"/>
        </w:rPr>
      </w:pPr>
      <w:r>
        <w:rPr>
          <w:color w:val="auto"/>
          <w:sz w:val="24"/>
          <w:highlight w:val="none"/>
        </w:rPr>
        <w:t>最终的测试验收报告由买卖双方代表签字认可后生效。</w:t>
      </w:r>
    </w:p>
    <w:p>
      <w:pPr>
        <w:pStyle w:val="8"/>
        <w:spacing w:before="34" w:line="240" w:lineRule="auto"/>
        <w:rPr>
          <w:color w:val="auto"/>
          <w:highlight w:val="none"/>
        </w:rPr>
      </w:pPr>
      <w:r>
        <w:rPr>
          <w:color w:val="auto"/>
          <w:highlight w:val="none"/>
        </w:rPr>
        <w:t>4</w:t>
      </w:r>
      <w:r>
        <w:rPr>
          <w:rFonts w:hint="eastAsia" w:eastAsia="宋体"/>
          <w:color w:val="auto"/>
          <w:highlight w:val="none"/>
          <w:lang w:eastAsia="zh-CN"/>
        </w:rPr>
        <w:t>、</w:t>
      </w:r>
      <w:r>
        <w:rPr>
          <w:color w:val="auto"/>
          <w:highlight w:val="none"/>
        </w:rPr>
        <w:t>质量保证</w:t>
      </w:r>
    </w:p>
    <w:p>
      <w:pPr>
        <w:pStyle w:val="21"/>
        <w:numPr>
          <w:ilvl w:val="1"/>
          <w:numId w:val="39"/>
        </w:numPr>
        <w:tabs>
          <w:tab w:val="left" w:pos="1378"/>
          <w:tab w:val="left" w:pos="1379"/>
        </w:tabs>
        <w:spacing w:before="58" w:after="0" w:line="240" w:lineRule="auto"/>
        <w:ind w:left="1378" w:right="0" w:hanging="601"/>
        <w:jc w:val="left"/>
        <w:rPr>
          <w:color w:val="auto"/>
          <w:sz w:val="24"/>
          <w:highlight w:val="none"/>
        </w:rPr>
      </w:pPr>
      <w:r>
        <w:rPr>
          <w:color w:val="auto"/>
          <w:spacing w:val="-2"/>
          <w:sz w:val="24"/>
          <w:highlight w:val="none"/>
        </w:rPr>
        <w:t>因卖方原因造成买方不能按时使用</w:t>
      </w:r>
      <w:r>
        <w:rPr>
          <w:color w:val="auto"/>
          <w:sz w:val="24"/>
          <w:highlight w:val="none"/>
        </w:rPr>
        <w:t>（根据合同</w:t>
      </w:r>
      <w:r>
        <w:rPr>
          <w:rFonts w:hint="eastAsia"/>
          <w:color w:val="auto"/>
          <w:sz w:val="24"/>
          <w:highlight w:val="none"/>
          <w:lang w:eastAsia="zh-CN"/>
        </w:rPr>
        <w:t>有关</w:t>
      </w:r>
      <w:r>
        <w:rPr>
          <w:color w:val="auto"/>
          <w:sz w:val="24"/>
          <w:highlight w:val="none"/>
        </w:rPr>
        <w:t>条款</w:t>
      </w:r>
      <w:r>
        <w:rPr>
          <w:color w:val="auto"/>
          <w:spacing w:val="-17"/>
          <w:sz w:val="24"/>
          <w:highlight w:val="none"/>
        </w:rPr>
        <w:t>）</w:t>
      </w:r>
      <w:r>
        <w:rPr>
          <w:color w:val="auto"/>
          <w:spacing w:val="-4"/>
          <w:sz w:val="24"/>
          <w:highlight w:val="none"/>
        </w:rPr>
        <w:t>所购买货物</w:t>
      </w:r>
      <w:r>
        <w:rPr>
          <w:color w:val="auto"/>
          <w:sz w:val="24"/>
          <w:highlight w:val="none"/>
        </w:rPr>
        <w:t>（设备）</w:t>
      </w:r>
    </w:p>
    <w:p>
      <w:pPr>
        <w:pStyle w:val="9"/>
        <w:spacing w:before="112"/>
        <w:ind w:left="298"/>
        <w:rPr>
          <w:color w:val="auto"/>
          <w:highlight w:val="none"/>
        </w:rPr>
      </w:pPr>
      <w:r>
        <w:rPr>
          <w:color w:val="auto"/>
          <w:highlight w:val="none"/>
        </w:rPr>
        <w:t>时，卖方应根据合同规定向买方做出赔偿；</w:t>
      </w:r>
    </w:p>
    <w:p>
      <w:pPr>
        <w:pStyle w:val="21"/>
        <w:numPr>
          <w:ilvl w:val="1"/>
          <w:numId w:val="39"/>
        </w:numPr>
        <w:tabs>
          <w:tab w:val="left" w:pos="1498"/>
          <w:tab w:val="left" w:pos="1499"/>
        </w:tabs>
        <w:spacing w:before="113" w:after="0" w:line="240" w:lineRule="auto"/>
        <w:ind w:left="1498" w:right="0" w:hanging="721"/>
        <w:jc w:val="left"/>
        <w:rPr>
          <w:color w:val="auto"/>
          <w:sz w:val="24"/>
          <w:highlight w:val="none"/>
        </w:rPr>
      </w:pPr>
      <w:r>
        <w:rPr>
          <w:color w:val="auto"/>
          <w:spacing w:val="-3"/>
          <w:sz w:val="24"/>
          <w:highlight w:val="none"/>
        </w:rPr>
        <w:t>卖方对合同项下设备提供为期</w:t>
      </w:r>
      <w:r>
        <w:rPr>
          <w:rFonts w:hint="eastAsia"/>
          <w:color w:val="auto"/>
          <w:spacing w:val="-3"/>
          <w:sz w:val="24"/>
          <w:highlight w:val="none"/>
          <w:lang w:val="en-US" w:eastAsia="zh-CN"/>
        </w:rPr>
        <w:t>三</w:t>
      </w:r>
      <w:r>
        <w:rPr>
          <w:color w:val="auto"/>
          <w:spacing w:val="-3"/>
          <w:sz w:val="24"/>
          <w:highlight w:val="none"/>
        </w:rPr>
        <w:t>年的保修服务，保修期自验收合格双方签字</w:t>
      </w:r>
    </w:p>
    <w:p>
      <w:pPr>
        <w:pStyle w:val="9"/>
        <w:spacing w:before="112"/>
        <w:ind w:left="298"/>
        <w:rPr>
          <w:color w:val="auto"/>
          <w:highlight w:val="none"/>
        </w:rPr>
      </w:pPr>
      <w:r>
        <w:rPr>
          <w:color w:val="auto"/>
          <w:highlight w:val="none"/>
        </w:rPr>
        <w:t>时算起。在保修期内，卖方需提供免费的维修零配件。</w:t>
      </w:r>
    </w:p>
    <w:p>
      <w:pPr>
        <w:pStyle w:val="8"/>
        <w:spacing w:before="33" w:line="240" w:lineRule="auto"/>
        <w:rPr>
          <w:color w:val="auto"/>
          <w:highlight w:val="none"/>
        </w:rPr>
      </w:pPr>
      <w:r>
        <w:rPr>
          <w:color w:val="auto"/>
          <w:highlight w:val="none"/>
        </w:rPr>
        <w:t>5</w:t>
      </w:r>
      <w:r>
        <w:rPr>
          <w:rFonts w:hint="eastAsia" w:eastAsia="宋体"/>
          <w:color w:val="auto"/>
          <w:highlight w:val="none"/>
          <w:lang w:eastAsia="zh-CN"/>
        </w:rPr>
        <w:t>、</w:t>
      </w:r>
      <w:r>
        <w:rPr>
          <w:color w:val="auto"/>
          <w:highlight w:val="none"/>
        </w:rPr>
        <w:t xml:space="preserve"> 售后服务</w:t>
      </w:r>
    </w:p>
    <w:p>
      <w:pPr>
        <w:pStyle w:val="21"/>
        <w:numPr>
          <w:ilvl w:val="1"/>
          <w:numId w:val="40"/>
        </w:numPr>
        <w:tabs>
          <w:tab w:val="left" w:pos="1498"/>
          <w:tab w:val="left" w:pos="1499"/>
        </w:tabs>
        <w:spacing w:before="58" w:after="0" w:line="328" w:lineRule="auto"/>
        <w:ind w:left="298" w:right="951" w:firstLine="480"/>
        <w:jc w:val="left"/>
        <w:rPr>
          <w:color w:val="auto"/>
          <w:sz w:val="24"/>
          <w:highlight w:val="none"/>
        </w:rPr>
      </w:pPr>
      <w:r>
        <w:rPr>
          <w:color w:val="auto"/>
          <w:spacing w:val="-4"/>
          <w:sz w:val="24"/>
          <w:highlight w:val="none"/>
        </w:rPr>
        <w:t>提供给买方详细的设备清单及相应的使用、维修、故障查询手册及电器、电</w:t>
      </w:r>
      <w:r>
        <w:rPr>
          <w:color w:val="auto"/>
          <w:sz w:val="24"/>
          <w:highlight w:val="none"/>
        </w:rPr>
        <w:t>路图；</w:t>
      </w:r>
    </w:p>
    <w:p>
      <w:pPr>
        <w:pStyle w:val="21"/>
        <w:numPr>
          <w:ilvl w:val="1"/>
          <w:numId w:val="40"/>
        </w:numPr>
        <w:tabs>
          <w:tab w:val="left" w:pos="1498"/>
          <w:tab w:val="left" w:pos="1499"/>
        </w:tabs>
        <w:spacing w:before="0" w:after="0" w:line="305" w:lineRule="exact"/>
        <w:ind w:left="1498" w:right="0" w:hanging="721"/>
        <w:jc w:val="left"/>
        <w:rPr>
          <w:color w:val="auto"/>
          <w:sz w:val="24"/>
          <w:highlight w:val="none"/>
        </w:rPr>
      </w:pPr>
      <w:r>
        <w:rPr>
          <w:color w:val="auto"/>
          <w:spacing w:val="-2"/>
          <w:sz w:val="24"/>
          <w:highlight w:val="none"/>
        </w:rPr>
        <w:t xml:space="preserve">在买方发出要求服务通知的 </w:t>
      </w:r>
      <w:r>
        <w:rPr>
          <w:color w:val="auto"/>
          <w:sz w:val="24"/>
          <w:highlight w:val="none"/>
        </w:rPr>
        <w:t>24</w:t>
      </w:r>
      <w:r>
        <w:rPr>
          <w:color w:val="auto"/>
          <w:spacing w:val="-5"/>
          <w:sz w:val="24"/>
          <w:highlight w:val="none"/>
        </w:rPr>
        <w:t xml:space="preserve"> 小时内，卖方指派的服务人员必须到达买方</w:t>
      </w:r>
    </w:p>
    <w:p>
      <w:pPr>
        <w:pStyle w:val="9"/>
        <w:spacing w:before="113"/>
        <w:ind w:left="298"/>
        <w:rPr>
          <w:color w:val="auto"/>
          <w:highlight w:val="none"/>
        </w:rPr>
      </w:pPr>
      <w:r>
        <w:rPr>
          <w:color w:val="auto"/>
          <w:highlight w:val="none"/>
        </w:rPr>
        <w:t>现场，对设备出现的较大问题，解决时间不应超过 5 个日历日；</w:t>
      </w:r>
    </w:p>
    <w:p>
      <w:pPr>
        <w:pStyle w:val="21"/>
        <w:numPr>
          <w:ilvl w:val="1"/>
          <w:numId w:val="40"/>
        </w:numPr>
        <w:tabs>
          <w:tab w:val="left" w:pos="1498"/>
          <w:tab w:val="left" w:pos="1499"/>
        </w:tabs>
        <w:spacing w:before="112" w:after="0" w:line="240" w:lineRule="auto"/>
        <w:ind w:left="1498" w:right="0" w:hanging="721"/>
        <w:jc w:val="left"/>
        <w:rPr>
          <w:color w:val="auto"/>
          <w:sz w:val="24"/>
          <w:highlight w:val="none"/>
        </w:rPr>
      </w:pPr>
      <w:r>
        <w:rPr>
          <w:color w:val="auto"/>
          <w:spacing w:val="-8"/>
          <w:sz w:val="24"/>
          <w:highlight w:val="none"/>
        </w:rPr>
        <w:t xml:space="preserve">在保修期内，如设备出现故障，必须在 </w:t>
      </w:r>
      <w:r>
        <w:rPr>
          <w:color w:val="auto"/>
          <w:sz w:val="24"/>
          <w:highlight w:val="none"/>
        </w:rPr>
        <w:t>3</w:t>
      </w:r>
      <w:r>
        <w:rPr>
          <w:color w:val="auto"/>
          <w:spacing w:val="-9"/>
          <w:sz w:val="24"/>
          <w:highlight w:val="none"/>
        </w:rPr>
        <w:t xml:space="preserve"> 个日历日内完成维修工作，否则更</w:t>
      </w:r>
    </w:p>
    <w:p>
      <w:pPr>
        <w:pStyle w:val="9"/>
        <w:spacing w:before="113"/>
        <w:ind w:left="298"/>
        <w:rPr>
          <w:color w:val="auto"/>
          <w:highlight w:val="none"/>
        </w:rPr>
      </w:pPr>
      <w:r>
        <w:rPr>
          <w:color w:val="auto"/>
          <w:highlight w:val="none"/>
        </w:rPr>
        <w:t>换新机；</w:t>
      </w:r>
    </w:p>
    <w:p>
      <w:pPr>
        <w:pStyle w:val="21"/>
        <w:numPr>
          <w:ilvl w:val="1"/>
          <w:numId w:val="40"/>
        </w:numPr>
        <w:tabs>
          <w:tab w:val="left" w:pos="1498"/>
          <w:tab w:val="left" w:pos="1499"/>
        </w:tabs>
        <w:spacing w:before="112" w:after="0" w:line="240" w:lineRule="auto"/>
        <w:ind w:left="1498" w:right="0" w:hanging="721"/>
        <w:jc w:val="left"/>
        <w:rPr>
          <w:color w:val="auto"/>
          <w:sz w:val="24"/>
          <w:highlight w:val="none"/>
        </w:rPr>
      </w:pPr>
      <w:r>
        <w:rPr>
          <w:color w:val="auto"/>
          <w:spacing w:val="-3"/>
          <w:sz w:val="24"/>
          <w:highlight w:val="none"/>
        </w:rPr>
        <w:t>提供相应的售后服务承诺</w:t>
      </w:r>
      <w:r>
        <w:rPr>
          <w:color w:val="auto"/>
          <w:sz w:val="24"/>
          <w:highlight w:val="none"/>
        </w:rPr>
        <w:t>（</w:t>
      </w:r>
      <w:r>
        <w:rPr>
          <w:color w:val="auto"/>
          <w:spacing w:val="-2"/>
          <w:sz w:val="24"/>
          <w:highlight w:val="none"/>
        </w:rPr>
        <w:t>需要设备生产企业协助的部分，须由该生产企业</w:t>
      </w:r>
    </w:p>
    <w:p>
      <w:pPr>
        <w:pStyle w:val="9"/>
        <w:spacing w:before="113"/>
        <w:ind w:left="298"/>
        <w:rPr>
          <w:color w:val="auto"/>
          <w:highlight w:val="none"/>
        </w:rPr>
      </w:pPr>
      <w:r>
        <w:rPr>
          <w:color w:val="auto"/>
          <w:highlight w:val="none"/>
        </w:rPr>
        <w:t>做出相应的服务承诺</w:t>
      </w:r>
      <w:r>
        <w:rPr>
          <w:color w:val="auto"/>
          <w:spacing w:val="-120"/>
          <w:highlight w:val="none"/>
        </w:rPr>
        <w:t>）</w:t>
      </w:r>
      <w:r>
        <w:rPr>
          <w:color w:val="auto"/>
          <w:highlight w:val="none"/>
        </w:rPr>
        <w:t>，并附在响应文件中。</w:t>
      </w:r>
    </w:p>
    <w:p>
      <w:pPr>
        <w:pStyle w:val="9"/>
        <w:spacing w:before="4"/>
        <w:rPr>
          <w:color w:val="auto"/>
          <w:sz w:val="35"/>
          <w:highlight w:val="none"/>
        </w:rPr>
      </w:pPr>
    </w:p>
    <w:p>
      <w:pPr>
        <w:pStyle w:val="8"/>
        <w:spacing w:before="1" w:line="240" w:lineRule="auto"/>
        <w:rPr>
          <w:color w:val="auto"/>
          <w:highlight w:val="none"/>
        </w:rPr>
      </w:pPr>
      <w:r>
        <w:rPr>
          <w:color w:val="auto"/>
          <w:highlight w:val="none"/>
        </w:rPr>
        <w:t>6</w:t>
      </w:r>
      <w:r>
        <w:rPr>
          <w:rFonts w:hint="eastAsia" w:eastAsia="宋体"/>
          <w:color w:val="auto"/>
          <w:highlight w:val="none"/>
          <w:lang w:eastAsia="zh-CN"/>
        </w:rPr>
        <w:t>、</w:t>
      </w:r>
      <w:r>
        <w:rPr>
          <w:color w:val="auto"/>
          <w:highlight w:val="none"/>
        </w:rPr>
        <w:t xml:space="preserve"> 其他</w:t>
      </w:r>
    </w:p>
    <w:p>
      <w:pPr>
        <w:pStyle w:val="21"/>
        <w:numPr>
          <w:ilvl w:val="1"/>
          <w:numId w:val="41"/>
        </w:numPr>
        <w:tabs>
          <w:tab w:val="left" w:pos="1498"/>
          <w:tab w:val="left" w:pos="1499"/>
        </w:tabs>
        <w:spacing w:before="57" w:after="0" w:line="240" w:lineRule="auto"/>
        <w:ind w:left="1498" w:right="0" w:hanging="721"/>
        <w:jc w:val="left"/>
        <w:rPr>
          <w:color w:val="auto"/>
          <w:sz w:val="24"/>
          <w:highlight w:val="none"/>
        </w:rPr>
      </w:pPr>
      <w:r>
        <w:rPr>
          <w:color w:val="auto"/>
          <w:sz w:val="24"/>
          <w:highlight w:val="none"/>
        </w:rPr>
        <w:t>报价：设备使用地安装调试完成、且验收合格后的交货价</w:t>
      </w:r>
    </w:p>
    <w:p>
      <w:pPr>
        <w:pStyle w:val="21"/>
        <w:numPr>
          <w:ilvl w:val="1"/>
          <w:numId w:val="41"/>
        </w:numPr>
        <w:tabs>
          <w:tab w:val="left" w:pos="1498"/>
          <w:tab w:val="left" w:pos="1499"/>
        </w:tabs>
        <w:spacing w:before="113" w:after="0" w:line="240" w:lineRule="auto"/>
        <w:ind w:left="1498" w:right="0" w:hanging="721"/>
        <w:jc w:val="left"/>
        <w:rPr>
          <w:color w:val="auto"/>
          <w:sz w:val="24"/>
          <w:highlight w:val="none"/>
        </w:rPr>
      </w:pPr>
      <w:r>
        <w:rPr>
          <w:color w:val="auto"/>
          <w:sz w:val="24"/>
          <w:highlight w:val="none"/>
        </w:rPr>
        <w:t>报价货币：人民币</w:t>
      </w:r>
    </w:p>
    <w:p>
      <w:pPr>
        <w:pStyle w:val="21"/>
        <w:numPr>
          <w:ilvl w:val="1"/>
          <w:numId w:val="41"/>
        </w:numPr>
        <w:tabs>
          <w:tab w:val="left" w:pos="1503"/>
          <w:tab w:val="left" w:pos="1504"/>
        </w:tabs>
        <w:spacing w:before="112" w:after="0" w:line="240" w:lineRule="auto"/>
        <w:ind w:left="1503" w:right="0" w:hanging="726"/>
        <w:jc w:val="left"/>
        <w:rPr>
          <w:color w:val="auto"/>
          <w:sz w:val="24"/>
          <w:highlight w:val="none"/>
        </w:rPr>
      </w:pPr>
      <w:r>
        <w:rPr>
          <w:color w:val="auto"/>
          <w:sz w:val="24"/>
          <w:highlight w:val="none"/>
        </w:rPr>
        <w:t>列出详细的易损件、专用工具的清单，并分项报价（应包括在总价内</w:t>
      </w:r>
      <w:r>
        <w:rPr>
          <w:color w:val="auto"/>
          <w:spacing w:val="-118"/>
          <w:sz w:val="24"/>
          <w:highlight w:val="none"/>
        </w:rPr>
        <w:t>）</w:t>
      </w:r>
      <w:r>
        <w:rPr>
          <w:color w:val="auto"/>
          <w:sz w:val="24"/>
          <w:highlight w:val="none"/>
        </w:rPr>
        <w:t>。清</w:t>
      </w:r>
    </w:p>
    <w:p>
      <w:pPr>
        <w:pStyle w:val="9"/>
        <w:spacing w:before="113"/>
        <w:ind w:left="298"/>
        <w:rPr>
          <w:color w:val="auto"/>
          <w:highlight w:val="none"/>
        </w:rPr>
      </w:pPr>
      <w:r>
        <w:rPr>
          <w:color w:val="auto"/>
          <w:highlight w:val="none"/>
        </w:rPr>
        <w:t>单内容应包括：名称、数量、单价、总价</w:t>
      </w:r>
    </w:p>
    <w:p>
      <w:pPr>
        <w:pStyle w:val="21"/>
        <w:numPr>
          <w:ilvl w:val="1"/>
          <w:numId w:val="41"/>
        </w:numPr>
        <w:tabs>
          <w:tab w:val="left" w:pos="1498"/>
          <w:tab w:val="left" w:pos="1499"/>
        </w:tabs>
        <w:spacing w:before="112" w:after="0" w:line="240" w:lineRule="auto"/>
        <w:ind w:left="1498" w:right="0" w:hanging="721"/>
        <w:jc w:val="left"/>
        <w:rPr>
          <w:color w:val="auto"/>
          <w:sz w:val="24"/>
          <w:highlight w:val="none"/>
        </w:rPr>
      </w:pPr>
      <w:r>
        <w:rPr>
          <w:color w:val="auto"/>
          <w:sz w:val="24"/>
          <w:highlight w:val="none"/>
        </w:rPr>
        <w:t>付款币种及方式（见第三章）</w:t>
      </w:r>
    </w:p>
    <w:p>
      <w:pPr>
        <w:pStyle w:val="21"/>
        <w:numPr>
          <w:ilvl w:val="1"/>
          <w:numId w:val="41"/>
        </w:numPr>
        <w:tabs>
          <w:tab w:val="left" w:pos="1498"/>
          <w:tab w:val="left" w:pos="1499"/>
        </w:tabs>
        <w:spacing w:before="113" w:after="0" w:line="240" w:lineRule="auto"/>
        <w:ind w:left="1498" w:right="0" w:hanging="721"/>
        <w:jc w:val="left"/>
        <w:rPr>
          <w:color w:val="auto"/>
          <w:sz w:val="24"/>
          <w:highlight w:val="none"/>
        </w:rPr>
      </w:pPr>
      <w:r>
        <w:rPr>
          <w:color w:val="auto"/>
          <w:sz w:val="24"/>
          <w:highlight w:val="none"/>
        </w:rPr>
        <w:t>交货地点： 采购人指定地点</w:t>
      </w:r>
    </w:p>
    <w:p>
      <w:pPr>
        <w:pStyle w:val="9"/>
        <w:rPr>
          <w:color w:val="auto"/>
          <w:sz w:val="26"/>
          <w:highlight w:val="none"/>
        </w:rPr>
      </w:pPr>
    </w:p>
    <w:p>
      <w:pPr>
        <w:pStyle w:val="9"/>
        <w:spacing w:before="8"/>
        <w:rPr>
          <w:color w:val="auto"/>
          <w:sz w:val="22"/>
          <w:highlight w:val="none"/>
        </w:rPr>
      </w:pPr>
    </w:p>
    <w:p>
      <w:pPr>
        <w:pStyle w:val="4"/>
        <w:ind w:left="3065" w:right="0"/>
        <w:jc w:val="left"/>
        <w:rPr>
          <w:color w:val="auto"/>
          <w:highlight w:val="none"/>
        </w:rPr>
      </w:pPr>
      <w:bookmarkStart w:id="22" w:name="_Toc13147"/>
      <w:r>
        <w:rPr>
          <w:color w:val="auto"/>
          <w:highlight w:val="none"/>
        </w:rPr>
        <w:t>第三章、付款币种及方式</w:t>
      </w:r>
      <w:bookmarkEnd w:id="22"/>
    </w:p>
    <w:p>
      <w:pPr>
        <w:pStyle w:val="9"/>
        <w:spacing w:before="4"/>
        <w:rPr>
          <w:rFonts w:ascii="Microsoft JhengHei"/>
          <w:b/>
          <w:color w:val="auto"/>
          <w:sz w:val="17"/>
          <w:highlight w:val="none"/>
        </w:rPr>
      </w:pPr>
    </w:p>
    <w:p>
      <w:pPr>
        <w:pStyle w:val="9"/>
        <w:ind w:left="778"/>
        <w:rPr>
          <w:color w:val="auto"/>
          <w:highlight w:val="none"/>
        </w:rPr>
      </w:pPr>
      <w:r>
        <w:rPr>
          <w:color w:val="auto"/>
          <w:highlight w:val="none"/>
        </w:rPr>
        <w:t>1、付款币种</w:t>
      </w:r>
    </w:p>
    <w:p>
      <w:pPr>
        <w:pStyle w:val="9"/>
        <w:spacing w:before="113"/>
        <w:ind w:left="778"/>
        <w:rPr>
          <w:color w:val="auto"/>
          <w:highlight w:val="none"/>
        </w:rPr>
      </w:pPr>
      <w:r>
        <w:rPr>
          <w:color w:val="auto"/>
          <w:highlight w:val="none"/>
        </w:rPr>
        <w:t>本次采购所述的项目资金均以人民币支付。</w:t>
      </w:r>
    </w:p>
    <w:p>
      <w:pPr>
        <w:pStyle w:val="9"/>
        <w:spacing w:before="112"/>
        <w:ind w:left="778"/>
        <w:rPr>
          <w:color w:val="auto"/>
          <w:highlight w:val="none"/>
        </w:rPr>
      </w:pPr>
      <w:r>
        <w:rPr>
          <w:color w:val="auto"/>
          <w:highlight w:val="none"/>
        </w:rPr>
        <w:t>2、付款方式：</w:t>
      </w:r>
    </w:p>
    <w:p>
      <w:pPr>
        <w:spacing w:after="0"/>
        <w:rPr>
          <w:color w:val="auto"/>
          <w:highlight w:val="none"/>
        </w:rPr>
        <w:sectPr>
          <w:pgSz w:w="11900" w:h="16840"/>
          <w:pgMar w:top="1100" w:right="460" w:bottom="1400" w:left="1120" w:header="894" w:footer="1204" w:gutter="0"/>
          <w:cols w:equalWidth="0" w:num="1">
            <w:col w:w="10320"/>
          </w:cols>
        </w:sectPr>
      </w:pPr>
    </w:p>
    <w:p>
      <w:pPr>
        <w:pStyle w:val="9"/>
        <w:spacing w:before="11"/>
        <w:rPr>
          <w:color w:val="auto"/>
          <w:sz w:val="13"/>
          <w:highlight w:val="none"/>
        </w:rPr>
      </w:pPr>
    </w:p>
    <w:p>
      <w:pPr>
        <w:pStyle w:val="9"/>
        <w:spacing w:before="66"/>
        <w:ind w:left="778"/>
        <w:rPr>
          <w:color w:val="auto"/>
          <w:highlight w:val="none"/>
        </w:rPr>
      </w:pPr>
      <w:r>
        <w:rPr>
          <w:color w:val="auto"/>
          <w:highlight w:val="none"/>
        </w:rPr>
        <w:t>成交方与采购人签订合同，交货完毕，经采购人验收合格后</w:t>
      </w:r>
      <w:r>
        <w:rPr>
          <w:rFonts w:hint="eastAsia"/>
          <w:color w:val="auto"/>
          <w:highlight w:val="none"/>
          <w:lang w:val="en-US" w:eastAsia="zh-CN"/>
        </w:rPr>
        <w:t>付合同金额的60%，一年后付合同金额的30%、2年后付合同金额的10%</w:t>
      </w:r>
    </w:p>
    <w:p>
      <w:pPr>
        <w:pStyle w:val="9"/>
        <w:spacing w:before="113"/>
        <w:ind w:right="3661"/>
        <w:jc w:val="center"/>
        <w:rPr>
          <w:color w:val="auto"/>
          <w:highlight w:val="none"/>
        </w:rPr>
      </w:pPr>
    </w:p>
    <w:p>
      <w:pPr>
        <w:pStyle w:val="9"/>
        <w:rPr>
          <w:color w:val="auto"/>
          <w:sz w:val="26"/>
          <w:highlight w:val="none"/>
        </w:rPr>
      </w:pPr>
    </w:p>
    <w:p>
      <w:pPr>
        <w:pStyle w:val="9"/>
        <w:spacing w:before="3"/>
        <w:rPr>
          <w:color w:val="auto"/>
          <w:sz w:val="27"/>
          <w:highlight w:val="none"/>
        </w:rPr>
      </w:pPr>
    </w:p>
    <w:p>
      <w:pPr>
        <w:pStyle w:val="4"/>
        <w:spacing w:before="1"/>
        <w:ind w:left="4"/>
        <w:rPr>
          <w:color w:val="auto"/>
          <w:highlight w:val="none"/>
        </w:rPr>
      </w:pPr>
      <w:bookmarkStart w:id="23" w:name="_Toc13897"/>
      <w:r>
        <w:rPr>
          <w:color w:val="auto"/>
          <w:highlight w:val="none"/>
        </w:rPr>
        <w:t>第四章、售后服务承诺</w:t>
      </w:r>
      <w:bookmarkEnd w:id="23"/>
    </w:p>
    <w:p>
      <w:pPr>
        <w:pStyle w:val="9"/>
        <w:spacing w:before="15"/>
        <w:rPr>
          <w:rFonts w:ascii="Microsoft JhengHei"/>
          <w:b/>
          <w:color w:val="auto"/>
          <w:sz w:val="19"/>
          <w:highlight w:val="none"/>
        </w:rPr>
      </w:pPr>
    </w:p>
    <w:p>
      <w:pPr>
        <w:pStyle w:val="9"/>
        <w:spacing w:line="374" w:lineRule="auto"/>
        <w:ind w:left="298" w:right="951" w:firstLine="480"/>
        <w:jc w:val="both"/>
        <w:rPr>
          <w:color w:val="auto"/>
          <w:highlight w:val="none"/>
        </w:rPr>
      </w:pPr>
      <w:r>
        <w:rPr>
          <w:color w:val="auto"/>
          <w:spacing w:val="-6"/>
          <w:highlight w:val="none"/>
        </w:rPr>
        <w:t>在交付使用后，卖方应对保修期及其以后的服务做出承诺，并具有切实可行的服务</w:t>
      </w:r>
      <w:r>
        <w:rPr>
          <w:color w:val="auto"/>
          <w:spacing w:val="-7"/>
          <w:highlight w:val="none"/>
        </w:rPr>
        <w:t>措施。不能及时兑现服务承诺内容而影响买方使用时，卖方应给予补偿的承诺，在响应</w:t>
      </w:r>
      <w:r>
        <w:rPr>
          <w:color w:val="auto"/>
          <w:spacing w:val="-5"/>
          <w:highlight w:val="none"/>
        </w:rPr>
        <w:t>文件中均应明确说明。卖方在</w:t>
      </w:r>
      <w:r>
        <w:rPr>
          <w:rFonts w:hint="eastAsia"/>
          <w:color w:val="auto"/>
          <w:spacing w:val="-5"/>
          <w:highlight w:val="none"/>
          <w:lang w:eastAsia="zh-CN"/>
        </w:rPr>
        <w:t>伊犁</w:t>
      </w:r>
      <w:r>
        <w:rPr>
          <w:color w:val="auto"/>
          <w:spacing w:val="-5"/>
          <w:highlight w:val="none"/>
        </w:rPr>
        <w:t>范围内应有常设或指派的法定售后服务机构，售后服</w:t>
      </w:r>
      <w:r>
        <w:rPr>
          <w:color w:val="auto"/>
          <w:spacing w:val="-3"/>
          <w:highlight w:val="none"/>
        </w:rPr>
        <w:t>务人员应是卖方派出的具有一定专业技术和服务水平的人员，并具有卖方的法人授权委</w:t>
      </w:r>
      <w:r>
        <w:rPr>
          <w:color w:val="auto"/>
          <w:highlight w:val="none"/>
        </w:rPr>
        <w:t>托和</w:t>
      </w:r>
      <w:r>
        <w:rPr>
          <w:rFonts w:hint="eastAsia"/>
          <w:color w:val="auto"/>
          <w:highlight w:val="none"/>
          <w:lang w:eastAsia="zh-CN"/>
        </w:rPr>
        <w:t>合同协议书</w:t>
      </w:r>
      <w:r>
        <w:rPr>
          <w:color w:val="auto"/>
          <w:highlight w:val="none"/>
        </w:rPr>
        <w:t>。</w:t>
      </w:r>
    </w:p>
    <w:p>
      <w:pPr>
        <w:pStyle w:val="9"/>
        <w:rPr>
          <w:color w:val="auto"/>
          <w:highlight w:val="none"/>
        </w:rPr>
      </w:pPr>
    </w:p>
    <w:p>
      <w:pPr>
        <w:bidi w:val="0"/>
        <w:rPr>
          <w:color w:val="auto"/>
          <w:highlight w:val="none"/>
        </w:rPr>
      </w:pPr>
      <w:bookmarkStart w:id="24" w:name="_Toc30705"/>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3"/>
        <w:tabs>
          <w:tab w:val="left" w:pos="2207"/>
          <w:tab w:val="left" w:pos="3532"/>
        </w:tabs>
        <w:spacing w:before="158"/>
        <w:ind w:right="656"/>
        <w:outlineLvl w:val="0"/>
        <w:rPr>
          <w:color w:val="auto"/>
          <w:highlight w:val="none"/>
        </w:rPr>
      </w:pPr>
      <w:r>
        <w:rPr>
          <w:color w:val="auto"/>
          <w:highlight w:val="none"/>
        </w:rPr>
        <w:t>第六部分</w:t>
      </w:r>
      <w:r>
        <w:rPr>
          <w:color w:val="auto"/>
          <w:highlight w:val="none"/>
        </w:rPr>
        <w:tab/>
      </w:r>
      <w:r>
        <w:rPr>
          <w:color w:val="auto"/>
          <w:highlight w:val="none"/>
        </w:rPr>
        <w:t>附</w:t>
      </w:r>
      <w:r>
        <w:rPr>
          <w:color w:val="auto"/>
          <w:highlight w:val="none"/>
        </w:rPr>
        <w:tab/>
      </w:r>
      <w:r>
        <w:rPr>
          <w:color w:val="auto"/>
          <w:highlight w:val="none"/>
        </w:rPr>
        <w:t>件</w:t>
      </w:r>
      <w:bookmarkEnd w:id="24"/>
    </w:p>
    <w:p>
      <w:pPr>
        <w:pStyle w:val="4"/>
        <w:spacing w:before="140"/>
        <w:ind w:left="784" w:right="552"/>
        <w:rPr>
          <w:color w:val="auto"/>
          <w:highlight w:val="none"/>
        </w:rPr>
      </w:pPr>
      <w:bookmarkStart w:id="25" w:name="_Toc19093"/>
      <w:r>
        <w:rPr>
          <w:color w:val="auto"/>
          <w:highlight w:val="none"/>
        </w:rPr>
        <w:t>一、响应文件编制顺序</w:t>
      </w:r>
      <w:bookmarkEnd w:id="25"/>
    </w:p>
    <w:p>
      <w:pPr>
        <w:pStyle w:val="9"/>
        <w:spacing w:before="87" w:line="374" w:lineRule="auto"/>
        <w:ind w:left="778" w:right="4979"/>
        <w:rPr>
          <w:color w:val="auto"/>
          <w:highlight w:val="none"/>
        </w:rPr>
      </w:pPr>
      <w:r>
        <w:rPr>
          <w:color w:val="auto"/>
          <w:highlight w:val="none"/>
        </w:rPr>
        <w:t>供应商应按下列顺序排列和装订响应文件： 一、报价函</w:t>
      </w:r>
    </w:p>
    <w:p>
      <w:pPr>
        <w:pStyle w:val="9"/>
        <w:spacing w:before="1" w:line="374" w:lineRule="auto"/>
        <w:ind w:left="778" w:right="3299"/>
        <w:rPr>
          <w:color w:val="auto"/>
          <w:highlight w:val="none"/>
        </w:rPr>
      </w:pPr>
      <w:r>
        <w:rPr>
          <w:color w:val="auto"/>
          <w:highlight w:val="none"/>
        </w:rPr>
        <w:t>二、法定代表人授权委托书原件及授权代表身份证明复印件三、报价一览表</w:t>
      </w:r>
    </w:p>
    <w:p>
      <w:pPr>
        <w:pStyle w:val="9"/>
        <w:ind w:left="778"/>
        <w:rPr>
          <w:rFonts w:hint="default" w:eastAsia="仿宋"/>
          <w:color w:val="auto"/>
          <w:highlight w:val="none"/>
          <w:lang w:val="en-US" w:eastAsia="zh-CN"/>
        </w:rPr>
      </w:pPr>
      <w:r>
        <w:rPr>
          <w:color w:val="auto"/>
          <w:highlight w:val="none"/>
        </w:rPr>
        <w:t>四、供应商资质证明文件，包括：</w:t>
      </w:r>
      <w:r>
        <w:rPr>
          <w:rFonts w:hint="eastAsia"/>
          <w:color w:val="auto"/>
          <w:highlight w:val="none"/>
          <w:lang w:val="en-US" w:eastAsia="zh-CN"/>
        </w:rPr>
        <w:t>资格审查所有资料</w:t>
      </w:r>
    </w:p>
    <w:p>
      <w:pPr>
        <w:pStyle w:val="9"/>
        <w:spacing w:before="173"/>
        <w:ind w:left="778"/>
        <w:rPr>
          <w:color w:val="auto"/>
          <w:highlight w:val="none"/>
        </w:rPr>
      </w:pPr>
      <w:r>
        <w:rPr>
          <w:color w:val="auto"/>
          <w:highlight w:val="none"/>
        </w:rPr>
        <w:t>五、</w:t>
      </w:r>
      <w:r>
        <w:rPr>
          <w:rFonts w:hint="eastAsia"/>
          <w:color w:val="auto"/>
          <w:highlight w:val="none"/>
          <w:lang w:eastAsia="zh-CN"/>
        </w:rPr>
        <w:t>关于</w:t>
      </w:r>
      <w:r>
        <w:rPr>
          <w:rFonts w:hint="eastAsia"/>
          <w:color w:val="auto"/>
          <w:highlight w:val="none"/>
        </w:rPr>
        <w:t>资格的声明函</w:t>
      </w:r>
    </w:p>
    <w:p>
      <w:pPr>
        <w:pStyle w:val="9"/>
        <w:spacing w:before="172"/>
        <w:ind w:left="778"/>
        <w:rPr>
          <w:color w:val="auto"/>
          <w:highlight w:val="none"/>
        </w:rPr>
      </w:pPr>
      <w:r>
        <w:rPr>
          <w:color w:val="auto"/>
          <w:highlight w:val="none"/>
        </w:rPr>
        <w:t>六、</w:t>
      </w:r>
      <w:r>
        <w:rPr>
          <w:rFonts w:hint="eastAsia"/>
          <w:color w:val="auto"/>
          <w:highlight w:val="none"/>
          <w:lang w:eastAsia="zh-CN"/>
        </w:rPr>
        <w:t>有关</w:t>
      </w:r>
      <w:r>
        <w:rPr>
          <w:rFonts w:hint="eastAsia"/>
          <w:color w:val="auto"/>
          <w:highlight w:val="none"/>
        </w:rPr>
        <w:t>报价产品的检测报告</w:t>
      </w:r>
    </w:p>
    <w:p>
      <w:pPr>
        <w:pStyle w:val="9"/>
        <w:spacing w:before="173"/>
        <w:ind w:left="778"/>
        <w:rPr>
          <w:color w:val="auto"/>
          <w:highlight w:val="none"/>
        </w:rPr>
      </w:pPr>
      <w:r>
        <w:rPr>
          <w:color w:val="auto"/>
          <w:highlight w:val="none"/>
        </w:rPr>
        <w:t>七、</w:t>
      </w:r>
      <w:r>
        <w:rPr>
          <w:rFonts w:hint="eastAsia"/>
          <w:color w:val="auto"/>
          <w:highlight w:val="none"/>
          <w:lang w:eastAsia="zh-CN"/>
        </w:rPr>
        <w:t>有关</w:t>
      </w:r>
      <w:r>
        <w:rPr>
          <w:color w:val="auto"/>
          <w:highlight w:val="none"/>
        </w:rPr>
        <w:t>报价产品的制造、验收标准</w:t>
      </w:r>
    </w:p>
    <w:p>
      <w:pPr>
        <w:pStyle w:val="9"/>
        <w:spacing w:before="172"/>
        <w:ind w:right="3721"/>
        <w:jc w:val="center"/>
        <w:rPr>
          <w:color w:val="auto"/>
          <w:highlight w:val="none"/>
        </w:rPr>
      </w:pPr>
      <w:r>
        <w:rPr>
          <w:color w:val="auto"/>
          <w:highlight w:val="none"/>
        </w:rPr>
        <w:t>八、售后服务承诺详述、</w:t>
      </w:r>
      <w:r>
        <w:rPr>
          <w:rFonts w:hint="eastAsia"/>
          <w:color w:val="auto"/>
          <w:highlight w:val="none"/>
          <w:lang w:eastAsia="zh-CN"/>
        </w:rPr>
        <w:t>保</w:t>
      </w:r>
      <w:r>
        <w:rPr>
          <w:color w:val="auto"/>
          <w:highlight w:val="none"/>
        </w:rPr>
        <w:t>修、培训等计划详述</w:t>
      </w:r>
    </w:p>
    <w:p>
      <w:pPr>
        <w:pStyle w:val="9"/>
        <w:spacing w:before="173"/>
        <w:ind w:left="778"/>
        <w:rPr>
          <w:color w:val="auto"/>
          <w:sz w:val="17"/>
          <w:highlight w:val="none"/>
        </w:rPr>
      </w:pPr>
      <w:r>
        <w:rPr>
          <w:color w:val="auto"/>
          <w:highlight w:val="none"/>
        </w:rPr>
        <w:t>九、</w:t>
      </w:r>
      <w:r>
        <w:rPr>
          <w:rFonts w:hint="eastAsia"/>
          <w:color w:val="auto"/>
          <w:highlight w:val="none"/>
        </w:rPr>
        <w:t>设备分项明细报价表</w:t>
      </w:r>
    </w:p>
    <w:p>
      <w:pPr>
        <w:pStyle w:val="9"/>
        <w:spacing w:before="172"/>
        <w:ind w:left="778"/>
        <w:rPr>
          <w:color w:val="auto"/>
          <w:highlight w:val="none"/>
        </w:rPr>
      </w:pPr>
      <w:r>
        <w:rPr>
          <w:color w:val="auto"/>
          <w:highlight w:val="none"/>
        </w:rPr>
        <w:t>十、近三年在国内及新疆的销售业绩表</w:t>
      </w:r>
    </w:p>
    <w:p>
      <w:pPr>
        <w:pStyle w:val="9"/>
        <w:spacing w:before="172"/>
        <w:ind w:left="778"/>
        <w:rPr>
          <w:rFonts w:hint="eastAsia" w:eastAsia="仿宋"/>
          <w:color w:val="auto"/>
          <w:highlight w:val="none"/>
          <w:lang w:eastAsia="zh-CN"/>
        </w:rPr>
      </w:pPr>
      <w:r>
        <w:rPr>
          <w:rFonts w:hint="eastAsia"/>
          <w:color w:val="auto"/>
          <w:highlight w:val="none"/>
          <w:lang w:eastAsia="zh-CN"/>
        </w:rPr>
        <w:t>十一、供应商反商业贿赂承诺书</w:t>
      </w:r>
    </w:p>
    <w:p>
      <w:pPr>
        <w:pStyle w:val="9"/>
        <w:rPr>
          <w:color w:val="auto"/>
          <w:highlight w:val="none"/>
        </w:rPr>
      </w:pPr>
    </w:p>
    <w:p>
      <w:pPr>
        <w:pStyle w:val="9"/>
        <w:spacing w:before="1"/>
        <w:rPr>
          <w:color w:val="auto"/>
          <w:sz w:val="29"/>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bidi w:val="0"/>
        <w:rPr>
          <w:color w:val="auto"/>
          <w:highlight w:val="none"/>
        </w:rPr>
      </w:pPr>
    </w:p>
    <w:p>
      <w:pPr>
        <w:rPr>
          <w:color w:val="auto"/>
          <w:highlight w:val="none"/>
        </w:rPr>
      </w:pPr>
    </w:p>
    <w:p>
      <w:pPr>
        <w:pStyle w:val="14"/>
        <w:rPr>
          <w:color w:val="auto"/>
          <w:highlight w:val="none"/>
        </w:rPr>
      </w:pPr>
    </w:p>
    <w:p>
      <w:pPr>
        <w:pStyle w:val="5"/>
        <w:rPr>
          <w:color w:val="auto"/>
          <w:highlight w:val="none"/>
        </w:rPr>
      </w:pPr>
    </w:p>
    <w:p>
      <w:pPr>
        <w:pStyle w:val="5"/>
        <w:rPr>
          <w:color w:val="auto"/>
          <w:highlight w:val="none"/>
        </w:rPr>
      </w:pPr>
    </w:p>
    <w:p>
      <w:pPr>
        <w:pStyle w:val="5"/>
        <w:rPr>
          <w:color w:val="auto"/>
          <w:highlight w:val="none"/>
        </w:rPr>
      </w:pPr>
    </w:p>
    <w:p>
      <w:pPr>
        <w:pStyle w:val="5"/>
        <w:rPr>
          <w:color w:val="auto"/>
          <w:highlight w:val="none"/>
        </w:rPr>
      </w:pPr>
      <w:r>
        <w:rPr>
          <w:color w:val="auto"/>
          <w:highlight w:val="none"/>
        </w:rPr>
        <w:t>二、其它</w:t>
      </w:r>
      <w:r>
        <w:rPr>
          <w:rFonts w:hint="eastAsia"/>
          <w:color w:val="auto"/>
          <w:highlight w:val="none"/>
          <w:lang w:eastAsia="zh-CN"/>
        </w:rPr>
        <w:t>有关</w:t>
      </w:r>
      <w:r>
        <w:rPr>
          <w:color w:val="auto"/>
          <w:highlight w:val="none"/>
        </w:rPr>
        <w:t>附件格式范本</w:t>
      </w:r>
    </w:p>
    <w:p>
      <w:pPr>
        <w:spacing w:before="130"/>
        <w:ind w:left="0" w:right="655" w:firstLine="0"/>
        <w:jc w:val="center"/>
        <w:rPr>
          <w:color w:val="auto"/>
          <w:sz w:val="32"/>
          <w:highlight w:val="none"/>
        </w:rPr>
      </w:pPr>
      <w:r>
        <w:rPr>
          <w:color w:val="auto"/>
          <w:sz w:val="32"/>
          <w:highlight w:val="none"/>
        </w:rPr>
        <w:t>(一)响应文件封面</w:t>
      </w:r>
    </w:p>
    <w:p>
      <w:pPr>
        <w:pStyle w:val="9"/>
        <w:rPr>
          <w:color w:val="auto"/>
          <w:sz w:val="20"/>
          <w:highlight w:val="none"/>
        </w:rPr>
      </w:pPr>
    </w:p>
    <w:p>
      <w:pPr>
        <w:pStyle w:val="9"/>
        <w:spacing w:before="7"/>
        <w:rPr>
          <w:color w:val="auto"/>
          <w:sz w:val="22"/>
          <w:highlight w:val="none"/>
        </w:rPr>
      </w:pPr>
      <w:r>
        <w:rPr>
          <w:color w:val="auto"/>
          <w:highlight w:val="none"/>
        </w:rPr>
        <mc:AlternateContent>
          <mc:Choice Requires="wpg">
            <w:drawing>
              <wp:anchor distT="0" distB="0" distL="114300" distR="114300" simplePos="0" relativeHeight="249530368" behindDoc="1" locked="0" layoutInCell="1" allowOverlap="1">
                <wp:simplePos x="0" y="0"/>
                <wp:positionH relativeFrom="page">
                  <wp:posOffset>813435</wp:posOffset>
                </wp:positionH>
                <wp:positionV relativeFrom="page">
                  <wp:posOffset>1280795</wp:posOffset>
                </wp:positionV>
                <wp:extent cx="5902960" cy="8143240"/>
                <wp:effectExtent l="2540" t="2540" r="19050" b="7620"/>
                <wp:wrapNone/>
                <wp:docPr id="4" name="组合 3"/>
                <wp:cNvGraphicFramePr/>
                <a:graphic xmlns:a="http://schemas.openxmlformats.org/drawingml/2006/main">
                  <a:graphicData uri="http://schemas.microsoft.com/office/word/2010/wordprocessingGroup">
                    <wpg:wgp>
                      <wpg:cNvGrpSpPr/>
                      <wpg:grpSpPr>
                        <a:xfrm>
                          <a:off x="0" y="0"/>
                          <a:ext cx="5902960" cy="8143240"/>
                          <a:chOff x="1306" y="1250"/>
                          <a:chExt cx="9296" cy="12824"/>
                        </a:xfrm>
                      </wpg:grpSpPr>
                      <wps:wsp>
                        <wps:cNvPr id="1" name="任意多边形 4"/>
                        <wps:cNvSpPr/>
                        <wps:spPr>
                          <a:xfrm>
                            <a:off x="1310" y="1249"/>
                            <a:ext cx="9281" cy="12824"/>
                          </a:xfrm>
                          <a:custGeom>
                            <a:avLst/>
                            <a:gdLst/>
                            <a:ahLst/>
                            <a:cxnLst/>
                            <a:pathLst>
                              <a:path w="9281" h="12824">
                                <a:moveTo>
                                  <a:pt x="5" y="4"/>
                                </a:moveTo>
                                <a:lnTo>
                                  <a:pt x="9281" y="4"/>
                                </a:lnTo>
                                <a:moveTo>
                                  <a:pt x="0" y="0"/>
                                </a:moveTo>
                                <a:lnTo>
                                  <a:pt x="0" y="12823"/>
                                </a:lnTo>
                              </a:path>
                            </a:pathLst>
                          </a:custGeom>
                          <a:noFill/>
                          <a:ln w="6096" cap="flat" cmpd="sng">
                            <a:solidFill>
                              <a:srgbClr val="000000"/>
                            </a:solidFill>
                            <a:prstDash val="solid"/>
                            <a:headEnd type="none" w="med" len="med"/>
                            <a:tailEnd type="none" w="med" len="med"/>
                          </a:ln>
                        </wps:spPr>
                        <wps:bodyPr upright="1"/>
                      </wps:wsp>
                      <wps:wsp>
                        <wps:cNvPr id="2" name="直线 5"/>
                        <wps:cNvCnPr/>
                        <wps:spPr>
                          <a:xfrm>
                            <a:off x="1315" y="14068"/>
                            <a:ext cx="9276" cy="0"/>
                          </a:xfrm>
                          <a:prstGeom prst="line">
                            <a:avLst/>
                          </a:prstGeom>
                          <a:ln w="6096" cap="flat" cmpd="sng">
                            <a:solidFill>
                              <a:srgbClr val="000000"/>
                            </a:solidFill>
                            <a:prstDash val="solid"/>
                            <a:headEnd type="none" w="med" len="med"/>
                            <a:tailEnd type="none" w="med" len="med"/>
                          </a:ln>
                        </wps:spPr>
                        <wps:bodyPr upright="1"/>
                      </wps:wsp>
                      <wps:wsp>
                        <wps:cNvPr id="3" name="直线 6"/>
                        <wps:cNvCnPr/>
                        <wps:spPr>
                          <a:xfrm>
                            <a:off x="10596" y="1250"/>
                            <a:ext cx="0" cy="12823"/>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64.05pt;margin-top:100.85pt;height:641.2pt;width:464.8pt;mso-position-horizontal-relative:page;mso-position-vertical-relative:page;z-index:-253786112;mso-width-relative:page;mso-height-relative:page;" coordorigin="1306,1250" coordsize="9296,12824" o:gfxdata="UEsDBAoAAAAAAIdO4kAAAAAAAAAAAAAAAAAEAAAAZHJzL1BLAwQUAAAACACHTuJAu6YcrNsAAAAN&#10;AQAADwAAAGRycy9kb3ducmV2LnhtbE2PQUvDQBCF74L/YRnBm93d2NoQsylS1FMRbAXxtk2mSWh2&#10;NmS3SfvvnZ709h7z8ea9fHV2nRhxCK0nA3qmQCCVvmqpNvC1e3tIQYRoqbKdJzRwwQCr4vYmt1nl&#10;J/rEcRtrwSEUMmugibHPpAxlg86Gme+R+Hbwg7OR7VDLarATh7tOJko9SWdb4g+N7XHdYHncnpyB&#10;98lOL4/6ddwcD+vLz27x8b3RaMz9nVbPICKe4x8M1/pcHQrutPcnqoLo2CepZtRAovQSxJVQiyWr&#10;Pat5Otcgi1z+X1H8AlBLAwQUAAAACACHTuJAXMKD6DIDAAAYCgAADgAAAGRycy9lMm9Eb2MueG1s&#10;7VbNbhMxEL4j8Q6W73R/8kMSNemhaXtBUKnlAdxd74+0a1u289N7D9zgDDfEI3CBCngZSnkMZrzr&#10;JE05tCA4NYfNrGc8nvnmm1nv7i3risy5NqUUYxrthJRwkci0FPmYvjw9fDKgxFgmUlZJwcf0nBu6&#10;N3n8aHehRjyWhaxSrgk4EWa0UGNaWKtGQWCSgtfM7EjFBSgzqWtm4VXnQarZArzXVRCHYT9YSJ0q&#10;LRNuDKxOGyVtPeq7OJRZViZ8KpNZzYVtvGpeMQspmaJUhk5ctFnGE/siywy3pBpTyNS6JxwC8hk+&#10;g8kuG+WaqaJM2hDYXULYyqlmpYBDV66mzDIy0+UtV3WZaGlkZncSWQdNIg4RyCIKt7A50nKmXC75&#10;aJGrFehQqC3U/9ht8nx+rEmZjmmXEsFqKPj15cXVm1ekg9gsVD4CkyOtTtSxbhfy5g3TXWa6xn9I&#10;hCwdqucrVPnSkgQWe8MwHvYB8AR0g6jbibst7kkBxcF9USfsUwLqKO6tdAft/iHsbjZH8SDuYliB&#10;PznAAFfxLBRQ0qxxMn+H00nBFHfwGwShxSnyOH2/vPxx8frqw9ufXz9dfXlPXGQYAtiu0DIjA8D9&#10;BqqoEwEkLuXusKGhB2wYD+AQROt2wmyUzIw94tLBzubPjG0onHqJFV5KlsKLillcxjhQJIsxbU4p&#10;/CGoquWcn0pnZLEsPRegR3ytrcSmVeMIovWGXr3eoJy7Jl9XXyjgWuvtN60wc8dAsGz0IGDorvir&#10;dGBxEw8hD8uqcoBUApPsh447DOZUBvMBUK0VcN2I3HWrkVWZ4hbM2ej8bL/SZM5wVrhfy7UbZkob&#10;O2WmaOycqilfwVl6IFJizxV0kYDhSTGEmqeUVBxmLUouNsvK6i6WLndIGEnV0AilM5meAxdnSpd5&#10;AQMtclG23MeW/Q9NEPsmuH738frzN9LDGPBk4P6+aCeFD9o362pMAPcbakXdsD9oMFmT/2nb7Z4o&#10;fsYg8Eh8gsKYViUAjHXzTYAEaU1w+YEA7Sf6n0zBzhYB+vcjQNjDvrwx8D0B2g/F5gB4YMD9RoD7&#10;KsKFwc3K9nKDN5LNdzdW1he6y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7phys2wAAAA0BAAAP&#10;AAAAAAAAAAEAIAAAACIAAABkcnMvZG93bnJldi54bWxQSwECFAAUAAAACACHTuJAXMKD6DIDAAAY&#10;CgAADgAAAAAAAAABACAAAAAqAQAAZHJzL2Uyb0RvYy54bWxQSwUGAAAAAAYABgBZAQAAzgYAAAAA&#10;">
                <o:lock v:ext="edit" aspectratio="f"/>
                <v:shape id="任意多边形 4" o:spid="_x0000_s1026" o:spt="100" style="position:absolute;left:1310;top:1249;height:12824;width:9281;" filled="f" stroked="t" coordsize="9281,12824" o:gfxdata="UEsDBAoAAAAAAIdO4kAAAAAAAAAAAAAAAAAEAAAAZHJzL1BLAwQUAAAACACHTuJAuvk7vrcAAADa&#10;AAAADwAAAGRycy9kb3ducmV2LnhtbEVPS4vCMBC+C/sfwizsTVMfSOkapexS0KNV3OvQjG2xmZQk&#10;VvffG0HwNHx8z1lt7qYTAznfWlYwnSQgiCurW64VHA/FOAXhA7LGzjIp+CcPm/XHaIWZtjfe01CG&#10;WsQQ9hkqaELoMyl91ZBBP7E9ceTO1hkMEbpaaoe3GG46OUuSpTTYcmxosKefhqpLeTUK8h1fF6l0&#10;ZZ5zX/yZ31kxH05KfX1Ok28Qge7hLX65tzrOh+crzyvX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6+Tu+twAAANoAAAAP&#10;AAAAAAAAAAEAIAAAACIAAABkcnMvZG93bnJldi54bWxQSwECFAAUAAAACACHTuJAMy8FnjsAAAA5&#10;AAAAEAAAAAAAAAABACAAAAAGAQAAZHJzL3NoYXBleG1sLnhtbFBLBQYAAAAABgAGAFsBAACwAwAA&#10;AAA=&#10;" path="m5,4l9281,4m0,0l0,12823e">
                  <v:fill on="f" focussize="0,0"/>
                  <v:stroke weight="0.48pt" color="#000000" joinstyle="round"/>
                  <v:imagedata o:title=""/>
                  <o:lock v:ext="edit" aspectratio="f"/>
                </v:shape>
                <v:line id="直线 5" o:spid="_x0000_s1026" o:spt="20" style="position:absolute;left:1315;top:14068;height:0;width:9276;"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0596;top:1250;height:12823;width:0;"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p>
    <w:p>
      <w:pPr>
        <w:spacing w:before="0" w:line="593" w:lineRule="exact"/>
        <w:ind w:left="0" w:right="1612" w:firstLine="0"/>
        <w:jc w:val="right"/>
        <w:rPr>
          <w:rFonts w:hint="eastAsia" w:ascii="Microsoft JhengHei" w:eastAsia="Microsoft JhengHei"/>
          <w:b/>
          <w:color w:val="auto"/>
          <w:sz w:val="36"/>
          <w:highlight w:val="none"/>
        </w:rPr>
      </w:pPr>
      <w:r>
        <w:rPr>
          <w:rFonts w:hint="eastAsia" w:ascii="Microsoft JhengHei" w:eastAsia="Microsoft JhengHei"/>
          <w:b/>
          <w:color w:val="auto"/>
          <w:sz w:val="36"/>
          <w:highlight w:val="none"/>
        </w:rPr>
        <w:t>正本/副本</w:t>
      </w:r>
    </w:p>
    <w:p>
      <w:pPr>
        <w:pStyle w:val="9"/>
        <w:rPr>
          <w:rFonts w:ascii="Microsoft JhengHei"/>
          <w:b/>
          <w:color w:val="auto"/>
          <w:sz w:val="20"/>
          <w:highlight w:val="none"/>
        </w:rPr>
      </w:pPr>
    </w:p>
    <w:p>
      <w:pPr>
        <w:pStyle w:val="9"/>
        <w:rPr>
          <w:rFonts w:ascii="Microsoft JhengHei"/>
          <w:b/>
          <w:color w:val="auto"/>
          <w:sz w:val="20"/>
          <w:highlight w:val="none"/>
        </w:rPr>
      </w:pPr>
    </w:p>
    <w:p>
      <w:pPr>
        <w:pStyle w:val="9"/>
        <w:spacing w:before="8"/>
        <w:rPr>
          <w:rFonts w:ascii="Microsoft JhengHei"/>
          <w:b/>
          <w:color w:val="auto"/>
          <w:sz w:val="17"/>
          <w:highlight w:val="none"/>
        </w:rPr>
      </w:pPr>
    </w:p>
    <w:p>
      <w:pPr>
        <w:tabs>
          <w:tab w:val="left" w:pos="1082"/>
          <w:tab w:val="left" w:pos="2169"/>
        </w:tabs>
        <w:spacing w:before="0" w:line="1085" w:lineRule="exact"/>
        <w:ind w:left="0" w:right="655" w:firstLine="0"/>
        <w:jc w:val="center"/>
        <w:rPr>
          <w:rFonts w:hint="default" w:ascii="Microsoft JhengHei" w:eastAsia="宋体"/>
          <w:b/>
          <w:color w:val="auto"/>
          <w:sz w:val="72"/>
          <w:highlight w:val="none"/>
          <w:lang w:val="en-US" w:eastAsia="zh-CN"/>
        </w:rPr>
      </w:pPr>
      <w:r>
        <w:rPr>
          <w:rFonts w:hint="eastAsia" w:ascii="Microsoft JhengHei" w:eastAsia="宋体"/>
          <w:b/>
          <w:color w:val="auto"/>
          <w:sz w:val="72"/>
          <w:highlight w:val="none"/>
          <w:lang w:val="en-US" w:eastAsia="zh-CN"/>
        </w:rPr>
        <w:t>响应文件</w:t>
      </w:r>
    </w:p>
    <w:p>
      <w:pPr>
        <w:pStyle w:val="9"/>
        <w:spacing w:before="3"/>
        <w:rPr>
          <w:rFonts w:ascii="Microsoft JhengHei"/>
          <w:b/>
          <w:color w:val="auto"/>
          <w:sz w:val="48"/>
          <w:highlight w:val="none"/>
        </w:rPr>
      </w:pPr>
    </w:p>
    <w:p>
      <w:pPr>
        <w:pStyle w:val="9"/>
        <w:spacing w:before="1" w:line="259" w:lineRule="auto"/>
        <w:ind w:left="778" w:right="7139"/>
        <w:rPr>
          <w:color w:val="auto"/>
          <w:highlight w:val="none"/>
        </w:rPr>
      </w:pPr>
      <w:r>
        <w:rPr>
          <w:color w:val="auto"/>
          <w:highlight w:val="none"/>
        </w:rPr>
        <w:t xml:space="preserve">项目名称： </w:t>
      </w:r>
    </w:p>
    <w:p>
      <w:pPr>
        <w:pStyle w:val="9"/>
        <w:spacing w:before="1" w:line="259" w:lineRule="auto"/>
        <w:ind w:left="778" w:right="7139"/>
        <w:rPr>
          <w:color w:val="auto"/>
          <w:highlight w:val="none"/>
        </w:rPr>
      </w:pPr>
      <w:r>
        <w:rPr>
          <w:color w:val="auto"/>
          <w:highlight w:val="none"/>
        </w:rPr>
        <w:t>询价通知书编号：</w:t>
      </w:r>
    </w:p>
    <w:p>
      <w:pPr>
        <w:pStyle w:val="9"/>
        <w:ind w:left="778"/>
        <w:rPr>
          <w:color w:val="auto"/>
          <w:highlight w:val="none"/>
        </w:rPr>
      </w:pPr>
      <w:r>
        <w:rPr>
          <w:color w:val="auto"/>
          <w:highlight w:val="none"/>
        </w:rPr>
        <w:t>供应商名称(加盖公章):</w:t>
      </w:r>
    </w:p>
    <w:p>
      <w:pPr>
        <w:pStyle w:val="9"/>
        <w:spacing w:before="26"/>
        <w:ind w:left="778"/>
        <w:rPr>
          <w:color w:val="auto"/>
          <w:highlight w:val="none"/>
        </w:rPr>
      </w:pPr>
      <w:r>
        <w:rPr>
          <w:color w:val="auto"/>
          <w:highlight w:val="none"/>
        </w:rPr>
        <w:t>供应商地址：</w:t>
      </w:r>
    </w:p>
    <w:p>
      <w:pPr>
        <w:pStyle w:val="9"/>
        <w:tabs>
          <w:tab w:val="left" w:pos="3898"/>
        </w:tabs>
        <w:spacing w:before="26"/>
        <w:ind w:left="778"/>
        <w:rPr>
          <w:color w:val="auto"/>
          <w:highlight w:val="none"/>
        </w:rPr>
      </w:pPr>
      <w:r>
        <w:rPr>
          <w:color w:val="auto"/>
          <w:highlight w:val="none"/>
        </w:rPr>
        <w:t>报价代表：</w:t>
      </w:r>
      <w:r>
        <w:rPr>
          <w:color w:val="auto"/>
          <w:highlight w:val="none"/>
        </w:rPr>
        <w:tab/>
      </w:r>
      <w:r>
        <w:rPr>
          <w:color w:val="auto"/>
          <w:highlight w:val="none"/>
        </w:rPr>
        <w:t>联系电话（手机</w:t>
      </w:r>
      <w:r>
        <w:rPr>
          <w:color w:val="auto"/>
          <w:spacing w:val="-120"/>
          <w:highlight w:val="none"/>
        </w:rPr>
        <w:t>）：</w:t>
      </w: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rPr>
          <w:color w:val="auto"/>
          <w:sz w:val="20"/>
          <w:highlight w:val="none"/>
        </w:rPr>
      </w:pPr>
    </w:p>
    <w:p>
      <w:pPr>
        <w:pStyle w:val="9"/>
        <w:spacing w:before="5"/>
        <w:rPr>
          <w:color w:val="auto"/>
          <w:sz w:val="27"/>
          <w:highlight w:val="none"/>
        </w:rPr>
      </w:pPr>
    </w:p>
    <w:p>
      <w:pPr>
        <w:bidi w:val="0"/>
        <w:rPr>
          <w:color w:val="auto"/>
          <w:highlight w:val="none"/>
        </w:rPr>
      </w:pPr>
    </w:p>
    <w:p>
      <w:pPr>
        <w:pStyle w:val="6"/>
        <w:spacing w:line="511" w:lineRule="exact"/>
        <w:ind w:right="1471"/>
        <w:jc w:val="center"/>
        <w:rPr>
          <w:color w:val="auto"/>
          <w:highlight w:val="none"/>
        </w:rPr>
      </w:pPr>
      <w:r>
        <w:rPr>
          <w:color w:val="auto"/>
          <w:highlight w:val="none"/>
        </w:rPr>
        <w:t>（二）报  价  函</w:t>
      </w:r>
    </w:p>
    <w:p>
      <w:pPr>
        <w:pStyle w:val="9"/>
        <w:spacing w:before="8"/>
        <w:ind w:left="298"/>
        <w:rPr>
          <w:color w:val="auto"/>
          <w:highlight w:val="none"/>
        </w:rPr>
      </w:pPr>
    </w:p>
    <w:p>
      <w:pPr>
        <w:pStyle w:val="9"/>
        <w:spacing w:before="8"/>
        <w:ind w:left="298"/>
        <w:rPr>
          <w:color w:val="auto"/>
          <w:highlight w:val="none"/>
        </w:rPr>
      </w:pPr>
      <w:r>
        <w:rPr>
          <w:color w:val="auto"/>
          <w:highlight w:val="none"/>
        </w:rPr>
        <w:t>致：</w:t>
      </w:r>
      <w:r>
        <w:rPr>
          <w:rFonts w:hint="eastAsia"/>
          <w:color w:val="auto"/>
          <w:highlight w:val="none"/>
          <w:lang w:eastAsia="zh-CN"/>
        </w:rPr>
        <w:t>伊犁哈萨克自治州友谊医院</w:t>
      </w:r>
    </w:p>
    <w:p>
      <w:pPr>
        <w:pStyle w:val="9"/>
        <w:spacing w:before="8"/>
        <w:rPr>
          <w:color w:val="auto"/>
          <w:sz w:val="23"/>
          <w:highlight w:val="none"/>
        </w:rPr>
      </w:pPr>
    </w:p>
    <w:p>
      <w:pPr>
        <w:pStyle w:val="9"/>
        <w:spacing w:before="67" w:line="312" w:lineRule="auto"/>
        <w:ind w:left="298" w:right="945" w:firstLine="554"/>
        <w:jc w:val="both"/>
        <w:rPr>
          <w:color w:val="auto"/>
          <w:highlight w:val="none"/>
        </w:rPr>
      </w:pPr>
      <w:r>
        <w:rPr>
          <w:color w:val="auto"/>
          <w:highlight w:val="none"/>
        </w:rPr>
        <w:t>根据贵方为</w:t>
      </w:r>
      <w:r>
        <w:rPr>
          <w:color w:val="auto"/>
          <w:highlight w:val="none"/>
          <w:u w:val="single"/>
        </w:rPr>
        <w:t xml:space="preserve">     （项目名称）    </w:t>
      </w:r>
      <w:r>
        <w:rPr>
          <w:color w:val="auto"/>
          <w:highlight w:val="none"/>
        </w:rPr>
        <w:t>项目采购的询价通知书</w:t>
      </w:r>
      <w:r>
        <w:rPr>
          <w:rFonts w:hint="eastAsia"/>
          <w:color w:val="auto"/>
          <w:highlight w:val="none"/>
          <w:u w:val="single"/>
          <w:lang w:val="en-US" w:eastAsia="zh-CN"/>
        </w:rPr>
        <w:t xml:space="preserve">    </w:t>
      </w:r>
      <w:r>
        <w:rPr>
          <w:color w:val="auto"/>
          <w:highlight w:val="none"/>
          <w:u w:val="single"/>
        </w:rPr>
        <w:t>（采购编号）</w:t>
      </w:r>
      <w:r>
        <w:rPr>
          <w:color w:val="auto"/>
          <w:spacing w:val="-5"/>
          <w:highlight w:val="none"/>
          <w:u w:val="single"/>
        </w:rPr>
        <w:t xml:space="preserve"> </w:t>
      </w:r>
      <w:r>
        <w:rPr>
          <w:color w:val="auto"/>
          <w:spacing w:val="-5"/>
          <w:highlight w:val="none"/>
        </w:rPr>
        <w:t>，签字</w:t>
      </w:r>
      <w:r>
        <w:rPr>
          <w:color w:val="auto"/>
          <w:spacing w:val="-4"/>
          <w:highlight w:val="none"/>
        </w:rPr>
        <w:t>代表</w:t>
      </w:r>
      <w:r>
        <w:rPr>
          <w:color w:val="auto"/>
          <w:highlight w:val="none"/>
          <w:u w:val="single"/>
        </w:rPr>
        <w:t>（</w:t>
      </w:r>
      <w:r>
        <w:rPr>
          <w:color w:val="auto"/>
          <w:spacing w:val="-3"/>
          <w:highlight w:val="none"/>
          <w:u w:val="single"/>
        </w:rPr>
        <w:t>姓名、职务</w:t>
      </w:r>
      <w:r>
        <w:rPr>
          <w:color w:val="auto"/>
          <w:spacing w:val="-8"/>
          <w:highlight w:val="none"/>
          <w:u w:val="single"/>
        </w:rPr>
        <w:t>）</w:t>
      </w:r>
      <w:r>
        <w:rPr>
          <w:color w:val="auto"/>
          <w:spacing w:val="-3"/>
          <w:highlight w:val="none"/>
        </w:rPr>
        <w:t>经正式授权并代表供应商</w:t>
      </w:r>
      <w:r>
        <w:rPr>
          <w:color w:val="auto"/>
          <w:highlight w:val="none"/>
          <w:u w:val="single"/>
        </w:rPr>
        <w:t>（</w:t>
      </w:r>
      <w:r>
        <w:rPr>
          <w:color w:val="auto"/>
          <w:spacing w:val="-2"/>
          <w:highlight w:val="none"/>
          <w:u w:val="single"/>
        </w:rPr>
        <w:t>供应商名称、地址</w:t>
      </w:r>
      <w:r>
        <w:rPr>
          <w:color w:val="auto"/>
          <w:spacing w:val="-10"/>
          <w:highlight w:val="none"/>
          <w:u w:val="single"/>
        </w:rPr>
        <w:t>）</w:t>
      </w:r>
      <w:r>
        <w:rPr>
          <w:color w:val="auto"/>
          <w:highlight w:val="none"/>
        </w:rPr>
        <w:t>提交下述文件正本一份和副本</w:t>
      </w:r>
      <w:r>
        <w:rPr>
          <w:rFonts w:hint="eastAsia"/>
          <w:color w:val="auto"/>
          <w:highlight w:val="none"/>
          <w:u w:val="single"/>
          <w:lang w:val="en-US" w:eastAsia="zh-CN"/>
        </w:rPr>
        <w:t xml:space="preserve">   </w:t>
      </w:r>
      <w:r>
        <w:rPr>
          <w:color w:val="auto"/>
          <w:highlight w:val="none"/>
          <w:u w:val="single"/>
        </w:rPr>
        <w:t xml:space="preserve"> </w:t>
      </w:r>
      <w:r>
        <w:rPr>
          <w:color w:val="auto"/>
          <w:highlight w:val="none"/>
        </w:rPr>
        <w:t>份。</w:t>
      </w:r>
    </w:p>
    <w:p>
      <w:pPr>
        <w:pStyle w:val="21"/>
        <w:numPr>
          <w:ilvl w:val="0"/>
          <w:numId w:val="42"/>
        </w:numPr>
        <w:tabs>
          <w:tab w:val="left" w:pos="1544"/>
        </w:tabs>
        <w:spacing w:before="0" w:after="0" w:line="240" w:lineRule="auto"/>
        <w:ind w:left="1544" w:right="0" w:hanging="692"/>
        <w:jc w:val="left"/>
        <w:rPr>
          <w:color w:val="auto"/>
          <w:sz w:val="24"/>
          <w:highlight w:val="none"/>
        </w:rPr>
      </w:pPr>
      <w:r>
        <w:rPr>
          <w:color w:val="auto"/>
          <w:sz w:val="24"/>
          <w:highlight w:val="none"/>
        </w:rPr>
        <w:t>报价一览表</w:t>
      </w:r>
    </w:p>
    <w:p>
      <w:pPr>
        <w:pStyle w:val="21"/>
        <w:numPr>
          <w:ilvl w:val="0"/>
          <w:numId w:val="42"/>
        </w:numPr>
        <w:tabs>
          <w:tab w:val="left" w:pos="1544"/>
        </w:tabs>
        <w:spacing w:before="94" w:after="0" w:line="240" w:lineRule="auto"/>
        <w:ind w:left="1544" w:right="0" w:hanging="692"/>
        <w:jc w:val="left"/>
        <w:rPr>
          <w:color w:val="auto"/>
          <w:sz w:val="24"/>
          <w:highlight w:val="none"/>
        </w:rPr>
      </w:pPr>
      <w:r>
        <w:rPr>
          <w:color w:val="auto"/>
          <w:sz w:val="24"/>
          <w:highlight w:val="none"/>
        </w:rPr>
        <w:t>报价分项报价表</w:t>
      </w:r>
    </w:p>
    <w:p>
      <w:pPr>
        <w:pStyle w:val="21"/>
        <w:numPr>
          <w:ilvl w:val="0"/>
          <w:numId w:val="42"/>
        </w:numPr>
        <w:tabs>
          <w:tab w:val="left" w:pos="1544"/>
        </w:tabs>
        <w:spacing w:before="93" w:after="0" w:line="240" w:lineRule="auto"/>
        <w:ind w:left="1544" w:right="0" w:hanging="692"/>
        <w:jc w:val="left"/>
        <w:rPr>
          <w:color w:val="auto"/>
          <w:sz w:val="24"/>
          <w:highlight w:val="none"/>
        </w:rPr>
      </w:pPr>
      <w:r>
        <w:rPr>
          <w:color w:val="auto"/>
          <w:sz w:val="24"/>
          <w:highlight w:val="none"/>
        </w:rPr>
        <w:t>规格、技术参数、功能偏离表</w:t>
      </w:r>
    </w:p>
    <w:p>
      <w:pPr>
        <w:pStyle w:val="21"/>
        <w:numPr>
          <w:ilvl w:val="0"/>
          <w:numId w:val="42"/>
        </w:numPr>
        <w:tabs>
          <w:tab w:val="left" w:pos="1544"/>
        </w:tabs>
        <w:spacing w:before="91" w:after="0" w:line="240" w:lineRule="auto"/>
        <w:ind w:left="1544" w:right="0" w:hanging="692"/>
        <w:jc w:val="left"/>
        <w:rPr>
          <w:color w:val="auto"/>
          <w:sz w:val="24"/>
          <w:highlight w:val="none"/>
        </w:rPr>
      </w:pPr>
      <w:r>
        <w:rPr>
          <w:color w:val="auto"/>
          <w:sz w:val="24"/>
          <w:highlight w:val="none"/>
        </w:rPr>
        <w:t>商务条款偏离表</w:t>
      </w:r>
    </w:p>
    <w:p>
      <w:pPr>
        <w:pStyle w:val="21"/>
        <w:numPr>
          <w:ilvl w:val="0"/>
          <w:numId w:val="42"/>
        </w:numPr>
        <w:tabs>
          <w:tab w:val="left" w:pos="1544"/>
        </w:tabs>
        <w:spacing w:before="93" w:after="0" w:line="240" w:lineRule="auto"/>
        <w:ind w:left="1544" w:right="0" w:hanging="692"/>
        <w:jc w:val="left"/>
        <w:rPr>
          <w:color w:val="auto"/>
          <w:sz w:val="24"/>
          <w:highlight w:val="none"/>
        </w:rPr>
      </w:pPr>
      <w:r>
        <w:rPr>
          <w:color w:val="auto"/>
          <w:sz w:val="24"/>
          <w:highlight w:val="none"/>
        </w:rPr>
        <w:t>按询价通知书供应商须知、技术规格要求及其他要求提供</w:t>
      </w:r>
      <w:r>
        <w:rPr>
          <w:rFonts w:hint="eastAsia"/>
          <w:color w:val="auto"/>
          <w:sz w:val="24"/>
          <w:highlight w:val="none"/>
          <w:lang w:eastAsia="zh-CN"/>
        </w:rPr>
        <w:t>有关</w:t>
      </w:r>
      <w:r>
        <w:rPr>
          <w:color w:val="auto"/>
          <w:sz w:val="24"/>
          <w:highlight w:val="none"/>
        </w:rPr>
        <w:t>文件</w:t>
      </w:r>
    </w:p>
    <w:p>
      <w:pPr>
        <w:pStyle w:val="21"/>
        <w:numPr>
          <w:ilvl w:val="0"/>
          <w:numId w:val="42"/>
        </w:numPr>
        <w:tabs>
          <w:tab w:val="left" w:pos="1544"/>
        </w:tabs>
        <w:spacing w:before="93" w:after="0" w:line="240" w:lineRule="auto"/>
        <w:ind w:left="1544" w:right="0" w:hanging="692"/>
        <w:jc w:val="left"/>
        <w:rPr>
          <w:color w:val="auto"/>
          <w:sz w:val="24"/>
          <w:highlight w:val="none"/>
        </w:rPr>
      </w:pPr>
      <w:r>
        <w:rPr>
          <w:color w:val="auto"/>
          <w:sz w:val="24"/>
          <w:highlight w:val="none"/>
        </w:rPr>
        <w:t>资格证明文件</w:t>
      </w:r>
    </w:p>
    <w:p>
      <w:pPr>
        <w:pStyle w:val="9"/>
        <w:spacing w:before="91"/>
        <w:ind w:left="852"/>
        <w:rPr>
          <w:color w:val="auto"/>
          <w:highlight w:val="none"/>
        </w:rPr>
      </w:pPr>
      <w:r>
        <w:rPr>
          <w:color w:val="auto"/>
          <w:highlight w:val="none"/>
        </w:rPr>
        <w:t>据此函，签字代表宣布并同意如下：</w:t>
      </w:r>
    </w:p>
    <w:p>
      <w:pPr>
        <w:pStyle w:val="9"/>
        <w:tabs>
          <w:tab w:val="left" w:pos="9125"/>
        </w:tabs>
        <w:spacing w:before="94"/>
        <w:ind w:left="852"/>
        <w:rPr>
          <w:color w:val="auto"/>
          <w:highlight w:val="none"/>
          <w:u w:val="single"/>
        </w:rPr>
      </w:pPr>
      <w:r>
        <w:rPr>
          <w:color w:val="auto"/>
          <w:highlight w:val="none"/>
        </w:rPr>
        <w:t>1</w:t>
      </w:r>
      <w:r>
        <w:rPr>
          <w:color w:val="auto"/>
          <w:spacing w:val="-3"/>
          <w:highlight w:val="none"/>
        </w:rPr>
        <w:t>、</w:t>
      </w:r>
      <w:r>
        <w:rPr>
          <w:color w:val="auto"/>
          <w:highlight w:val="none"/>
        </w:rPr>
        <w:t>所附报价表中规定的应提交和交付的货物和服务报价总价</w:t>
      </w:r>
      <w:r>
        <w:rPr>
          <w:color w:val="auto"/>
          <w:spacing w:val="-3"/>
          <w:highlight w:val="none"/>
        </w:rPr>
        <w:t>为</w:t>
      </w:r>
      <w:r>
        <w:rPr>
          <w:rFonts w:hint="eastAsia"/>
          <w:color w:val="auto"/>
          <w:spacing w:val="-3"/>
          <w:highlight w:val="none"/>
          <w:u w:val="single"/>
          <w:lang w:val="en-US" w:eastAsia="zh-CN"/>
        </w:rPr>
        <w:t xml:space="preserve">        </w:t>
      </w:r>
      <w:r>
        <w:rPr>
          <w:color w:val="auto"/>
          <w:highlight w:val="none"/>
          <w:u w:val="single"/>
        </w:rPr>
        <w:t>（注明币种，并</w:t>
      </w:r>
    </w:p>
    <w:p>
      <w:pPr>
        <w:pStyle w:val="9"/>
        <w:spacing w:before="93"/>
        <w:ind w:left="298"/>
        <w:rPr>
          <w:color w:val="auto"/>
          <w:highlight w:val="none"/>
        </w:rPr>
      </w:pPr>
      <w:r>
        <w:rPr>
          <w:color w:val="auto"/>
          <w:highlight w:val="none"/>
          <w:u w:val="single"/>
        </w:rPr>
        <w:t>用文字和数字表示的报价总价</w:t>
      </w:r>
      <w:r>
        <w:rPr>
          <w:color w:val="auto"/>
          <w:spacing w:val="-120"/>
          <w:highlight w:val="none"/>
          <w:u w:val="single"/>
        </w:rPr>
        <w:t>）</w:t>
      </w:r>
      <w:r>
        <w:rPr>
          <w:color w:val="auto"/>
          <w:highlight w:val="none"/>
        </w:rPr>
        <w:t>。</w:t>
      </w:r>
    </w:p>
    <w:p>
      <w:pPr>
        <w:pStyle w:val="9"/>
        <w:spacing w:before="91"/>
        <w:ind w:left="852"/>
        <w:rPr>
          <w:color w:val="auto"/>
          <w:highlight w:val="none"/>
        </w:rPr>
      </w:pPr>
      <w:r>
        <w:rPr>
          <w:color w:val="auto"/>
          <w:highlight w:val="none"/>
        </w:rPr>
        <w:t>2、供应商将按响应文件的规定履行合同责任和义务；</w:t>
      </w:r>
    </w:p>
    <w:p>
      <w:pPr>
        <w:pStyle w:val="9"/>
        <w:spacing w:before="93"/>
        <w:ind w:left="852"/>
        <w:rPr>
          <w:color w:val="auto"/>
          <w:highlight w:val="none"/>
        </w:rPr>
      </w:pPr>
      <w:r>
        <w:rPr>
          <w:color w:val="auto"/>
          <w:highlight w:val="none"/>
        </w:rPr>
        <w:t>3、供应商已详细阅读并理解了询价通知书的全部，包括修改文件</w:t>
      </w:r>
      <w:r>
        <w:rPr>
          <w:color w:val="auto"/>
          <w:spacing w:val="4"/>
          <w:highlight w:val="none"/>
        </w:rPr>
        <w:t>（</w:t>
      </w:r>
      <w:r>
        <w:rPr>
          <w:color w:val="auto"/>
          <w:highlight w:val="none"/>
        </w:rPr>
        <w:t>如有的话</w:t>
      </w:r>
      <w:r>
        <w:rPr>
          <w:color w:val="auto"/>
          <w:spacing w:val="-118"/>
          <w:highlight w:val="none"/>
        </w:rPr>
        <w:t>）</w:t>
      </w:r>
      <w:r>
        <w:rPr>
          <w:color w:val="auto"/>
          <w:highlight w:val="none"/>
        </w:rPr>
        <w:t>。</w:t>
      </w:r>
    </w:p>
    <w:p>
      <w:pPr>
        <w:pStyle w:val="9"/>
        <w:spacing w:before="93"/>
        <w:ind w:left="298"/>
        <w:rPr>
          <w:color w:val="auto"/>
          <w:highlight w:val="none"/>
        </w:rPr>
      </w:pPr>
      <w:r>
        <w:rPr>
          <w:color w:val="auto"/>
          <w:highlight w:val="none"/>
        </w:rPr>
        <w:t>我们完全理解并同意放弃对这方面有不明及误解的权利。</w:t>
      </w:r>
    </w:p>
    <w:p>
      <w:pPr>
        <w:pStyle w:val="9"/>
        <w:tabs>
          <w:tab w:val="left" w:pos="4812"/>
        </w:tabs>
        <w:spacing w:before="91"/>
        <w:ind w:left="852"/>
        <w:rPr>
          <w:color w:val="auto"/>
          <w:highlight w:val="none"/>
        </w:rPr>
      </w:pPr>
      <w:r>
        <w:rPr>
          <w:color w:val="auto"/>
          <w:highlight w:val="none"/>
        </w:rPr>
        <w:t>4、本报价有效期自开标之日起</w:t>
      </w:r>
      <w:r>
        <w:rPr>
          <w:color w:val="auto"/>
          <w:highlight w:val="none"/>
          <w:u w:val="single"/>
        </w:rPr>
        <w:tab/>
      </w:r>
      <w:r>
        <w:rPr>
          <w:color w:val="auto"/>
          <w:highlight w:val="none"/>
        </w:rPr>
        <w:t>个日历日。</w:t>
      </w:r>
    </w:p>
    <w:p>
      <w:pPr>
        <w:pStyle w:val="9"/>
        <w:spacing w:before="94"/>
        <w:ind w:left="852"/>
        <w:rPr>
          <w:color w:val="auto"/>
          <w:highlight w:val="none"/>
        </w:rPr>
      </w:pPr>
      <w:r>
        <w:rPr>
          <w:color w:val="auto"/>
          <w:highlight w:val="none"/>
        </w:rPr>
        <w:t>5、供应商同意提供按照贵方可能要求的与其报价</w:t>
      </w:r>
      <w:r>
        <w:rPr>
          <w:rFonts w:hint="eastAsia"/>
          <w:color w:val="auto"/>
          <w:highlight w:val="none"/>
          <w:lang w:eastAsia="zh-CN"/>
        </w:rPr>
        <w:t>有关</w:t>
      </w:r>
      <w:r>
        <w:rPr>
          <w:color w:val="auto"/>
          <w:highlight w:val="none"/>
        </w:rPr>
        <w:t>的一切数据或资料，完全理</w:t>
      </w:r>
    </w:p>
    <w:p>
      <w:pPr>
        <w:pStyle w:val="9"/>
        <w:spacing w:before="93"/>
        <w:ind w:left="298"/>
        <w:rPr>
          <w:color w:val="auto"/>
          <w:highlight w:val="none"/>
        </w:rPr>
      </w:pPr>
      <w:r>
        <w:rPr>
          <w:color w:val="auto"/>
          <w:highlight w:val="none"/>
        </w:rPr>
        <w:t>解贵方不一定接受最低价的报价或收到的任何报价的约定。</w:t>
      </w:r>
    </w:p>
    <w:p>
      <w:pPr>
        <w:pStyle w:val="9"/>
        <w:spacing w:before="91"/>
        <w:ind w:left="869"/>
        <w:rPr>
          <w:color w:val="auto"/>
          <w:highlight w:val="none"/>
        </w:rPr>
      </w:pPr>
      <w:r>
        <w:rPr>
          <w:color w:val="auto"/>
          <w:highlight w:val="none"/>
        </w:rPr>
        <w:t>7、与本报价</w:t>
      </w:r>
      <w:r>
        <w:rPr>
          <w:rFonts w:hint="eastAsia"/>
          <w:color w:val="auto"/>
          <w:highlight w:val="none"/>
          <w:lang w:eastAsia="zh-CN"/>
        </w:rPr>
        <w:t>有关</w:t>
      </w:r>
      <w:r>
        <w:rPr>
          <w:color w:val="auto"/>
          <w:highlight w:val="none"/>
        </w:rPr>
        <w:t>的一切正式往来信函请寄：</w:t>
      </w:r>
    </w:p>
    <w:p>
      <w:pPr>
        <w:pStyle w:val="9"/>
        <w:tabs>
          <w:tab w:val="left" w:pos="2139"/>
          <w:tab w:val="left" w:pos="5499"/>
        </w:tabs>
        <w:spacing w:before="93"/>
        <w:ind w:left="579"/>
        <w:rPr>
          <w:color w:val="auto"/>
          <w:highlight w:val="none"/>
        </w:rPr>
      </w:pPr>
      <w:r>
        <w:rPr>
          <w:color w:val="auto"/>
          <w:highlight w:val="none"/>
        </w:rPr>
        <w:t>地</w:t>
      </w:r>
      <w:r>
        <w:rPr>
          <w:color w:val="auto"/>
          <w:highlight w:val="none"/>
        </w:rPr>
        <w:tab/>
      </w:r>
      <w:r>
        <w:rPr>
          <w:color w:val="auto"/>
          <w:highlight w:val="none"/>
        </w:rPr>
        <w:t>址：</w:t>
      </w:r>
      <w:r>
        <w:rPr>
          <w:color w:val="auto"/>
          <w:highlight w:val="none"/>
        </w:rPr>
        <w:tab/>
      </w:r>
      <w:r>
        <w:rPr>
          <w:color w:val="auto"/>
          <w:highlight w:val="none"/>
        </w:rPr>
        <w:t>邮编：</w:t>
      </w:r>
    </w:p>
    <w:p>
      <w:pPr>
        <w:pStyle w:val="9"/>
        <w:tabs>
          <w:tab w:val="left" w:pos="2098"/>
          <w:tab w:val="left" w:pos="5458"/>
        </w:tabs>
        <w:spacing w:before="93"/>
        <w:ind w:left="538"/>
        <w:rPr>
          <w:color w:val="auto"/>
          <w:highlight w:val="none"/>
        </w:rPr>
      </w:pPr>
      <w:r>
        <w:rPr>
          <w:color w:val="auto"/>
          <w:highlight w:val="none"/>
        </w:rPr>
        <w:t>电</w:t>
      </w:r>
      <w:r>
        <w:rPr>
          <w:color w:val="auto"/>
          <w:highlight w:val="none"/>
        </w:rPr>
        <w:tab/>
      </w:r>
      <w:r>
        <w:rPr>
          <w:color w:val="auto"/>
          <w:highlight w:val="none"/>
        </w:rPr>
        <w:t>话：</w:t>
      </w:r>
      <w:r>
        <w:rPr>
          <w:color w:val="auto"/>
          <w:highlight w:val="none"/>
        </w:rPr>
        <w:tab/>
      </w:r>
      <w:r>
        <w:rPr>
          <w:color w:val="auto"/>
          <w:highlight w:val="none"/>
        </w:rPr>
        <w:t>传真：</w:t>
      </w:r>
    </w:p>
    <w:p>
      <w:pPr>
        <w:pStyle w:val="9"/>
        <w:tabs>
          <w:tab w:val="left" w:pos="1978"/>
        </w:tabs>
        <w:spacing w:before="91" w:line="312" w:lineRule="auto"/>
        <w:ind w:left="538" w:right="7859"/>
        <w:jc w:val="both"/>
        <w:rPr>
          <w:color w:val="auto"/>
          <w:highlight w:val="none"/>
        </w:rPr>
      </w:pPr>
      <w:r>
        <w:rPr>
          <w:color w:val="auto"/>
          <w:highlight w:val="none"/>
        </w:rPr>
        <w:t>供应商代表签字</w:t>
      </w:r>
      <w:r>
        <w:rPr>
          <w:color w:val="auto"/>
          <w:spacing w:val="-17"/>
          <w:highlight w:val="none"/>
        </w:rPr>
        <w:t xml:space="preserve">： </w:t>
      </w:r>
      <w:r>
        <w:rPr>
          <w:color w:val="auto"/>
          <w:highlight w:val="none"/>
        </w:rPr>
        <w:t>投 标 人 名 称</w:t>
      </w:r>
      <w:r>
        <w:rPr>
          <w:color w:val="auto"/>
          <w:spacing w:val="-17"/>
          <w:highlight w:val="none"/>
        </w:rPr>
        <w:t xml:space="preserve">： </w:t>
      </w:r>
      <w:r>
        <w:rPr>
          <w:color w:val="auto"/>
          <w:highlight w:val="none"/>
        </w:rPr>
        <w:t>公</w:t>
      </w:r>
      <w:r>
        <w:rPr>
          <w:color w:val="auto"/>
          <w:highlight w:val="none"/>
        </w:rPr>
        <w:tab/>
      </w:r>
      <w:r>
        <w:rPr>
          <w:color w:val="auto"/>
          <w:highlight w:val="none"/>
        </w:rPr>
        <w:t>章</w:t>
      </w:r>
      <w:r>
        <w:rPr>
          <w:color w:val="auto"/>
          <w:spacing w:val="-17"/>
          <w:highlight w:val="none"/>
        </w:rPr>
        <w:t>：</w:t>
      </w:r>
    </w:p>
    <w:p>
      <w:pPr>
        <w:pStyle w:val="9"/>
        <w:tabs>
          <w:tab w:val="left" w:pos="6658"/>
          <w:tab w:val="left" w:pos="7498"/>
          <w:tab w:val="left" w:pos="8338"/>
        </w:tabs>
        <w:spacing w:before="1"/>
        <w:ind w:left="5818"/>
        <w:rPr>
          <w:color w:val="auto"/>
          <w:highlight w:val="none"/>
        </w:rPr>
      </w:pPr>
      <w:r>
        <w:rPr>
          <w:color w:val="auto"/>
          <w:highlight w:val="none"/>
        </w:rPr>
        <w:t>20</w:t>
      </w:r>
      <w:r>
        <w:rPr>
          <w:rFonts w:hint="eastAsia"/>
          <w:color w:val="auto"/>
          <w:highlight w:val="none"/>
          <w:lang w:val="en-US" w:eastAsia="zh-CN"/>
        </w:rPr>
        <w:t>21</w:t>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rPr>
          <w:color w:val="auto"/>
          <w:highlight w:val="none"/>
        </w:rPr>
        <w:sectPr>
          <w:pgSz w:w="11900" w:h="16840"/>
          <w:pgMar w:top="1100" w:right="460" w:bottom="1400" w:left="1120" w:header="894" w:footer="1204" w:gutter="0"/>
          <w:cols w:equalWidth="0" w:num="1">
            <w:col w:w="10320"/>
          </w:cols>
        </w:sectPr>
      </w:pPr>
    </w:p>
    <w:p>
      <w:pPr>
        <w:pStyle w:val="9"/>
        <w:rPr>
          <w:color w:val="auto"/>
          <w:sz w:val="20"/>
          <w:highlight w:val="none"/>
        </w:rPr>
      </w:pPr>
    </w:p>
    <w:p>
      <w:pPr>
        <w:pStyle w:val="9"/>
        <w:rPr>
          <w:color w:val="auto"/>
          <w:sz w:val="29"/>
          <w:highlight w:val="none"/>
        </w:rPr>
      </w:pPr>
    </w:p>
    <w:p>
      <w:pPr>
        <w:pStyle w:val="6"/>
        <w:spacing w:line="511" w:lineRule="exact"/>
        <w:ind w:left="3024"/>
        <w:rPr>
          <w:color w:val="auto"/>
          <w:highlight w:val="none"/>
        </w:rPr>
      </w:pPr>
      <w:r>
        <w:rPr>
          <w:color w:val="auto"/>
          <w:highlight w:val="none"/>
        </w:rPr>
        <w:t>（三）法人代表授权书格式</w:t>
      </w:r>
    </w:p>
    <w:p>
      <w:pPr>
        <w:pStyle w:val="9"/>
        <w:keepNext w:val="0"/>
        <w:keepLines w:val="0"/>
        <w:pageBreakBefore w:val="0"/>
        <w:widowControl w:val="0"/>
        <w:kinsoku/>
        <w:wordWrap/>
        <w:overflowPunct/>
        <w:topLinePunct w:val="0"/>
        <w:autoSpaceDE w:val="0"/>
        <w:autoSpaceDN w:val="0"/>
        <w:bidi w:val="0"/>
        <w:adjustRightInd/>
        <w:snapToGrid/>
        <w:spacing w:before="255" w:line="560" w:lineRule="exact"/>
        <w:ind w:firstLine="468" w:firstLineChars="200"/>
        <w:textAlignment w:val="auto"/>
        <w:rPr>
          <w:color w:val="auto"/>
          <w:highlight w:val="none"/>
        </w:rPr>
      </w:pPr>
      <w:r>
        <w:rPr>
          <w:color w:val="auto"/>
          <w:spacing w:val="-3"/>
          <w:highlight w:val="none"/>
        </w:rPr>
        <w:t>本授权书声明：注册于</w:t>
      </w:r>
      <w:r>
        <w:rPr>
          <w:rFonts w:hint="eastAsia"/>
          <w:color w:val="auto"/>
          <w:spacing w:val="-3"/>
          <w:highlight w:val="none"/>
          <w:u w:val="single"/>
          <w:lang w:val="en-US" w:eastAsia="zh-CN"/>
        </w:rPr>
        <w:t xml:space="preserve">     </w:t>
      </w:r>
      <w:r>
        <w:rPr>
          <w:color w:val="auto"/>
          <w:highlight w:val="none"/>
          <w:u w:val="single"/>
        </w:rPr>
        <w:t>（地区的名称</w:t>
      </w:r>
      <w:r>
        <w:rPr>
          <w:color w:val="auto"/>
          <w:spacing w:val="-10"/>
          <w:highlight w:val="none"/>
          <w:u w:val="single"/>
        </w:rPr>
        <w:t>）</w:t>
      </w:r>
      <w:r>
        <w:rPr>
          <w:color w:val="auto"/>
          <w:spacing w:val="-10"/>
          <w:highlight w:val="none"/>
        </w:rPr>
        <w:t>的</w:t>
      </w:r>
      <w:r>
        <w:rPr>
          <w:rFonts w:hint="eastAsia"/>
          <w:color w:val="auto"/>
          <w:spacing w:val="-10"/>
          <w:highlight w:val="none"/>
          <w:u w:val="single"/>
          <w:lang w:val="en-US" w:eastAsia="zh-CN"/>
        </w:rPr>
        <w:t xml:space="preserve">       </w:t>
      </w:r>
      <w:r>
        <w:rPr>
          <w:color w:val="auto"/>
          <w:highlight w:val="none"/>
          <w:u w:val="single"/>
        </w:rPr>
        <w:t>（公司名称</w:t>
      </w:r>
      <w:r>
        <w:rPr>
          <w:color w:val="auto"/>
          <w:spacing w:val="-120"/>
          <w:highlight w:val="none"/>
          <w:u w:val="single"/>
        </w:rPr>
        <w:t>）</w:t>
      </w:r>
      <w:r>
        <w:rPr>
          <w:color w:val="auto"/>
          <w:spacing w:val="-3"/>
          <w:highlight w:val="none"/>
        </w:rPr>
        <w:t>，在下面签字的法人代表</w:t>
      </w:r>
      <w:r>
        <w:rPr>
          <w:color w:val="auto"/>
          <w:highlight w:val="none"/>
          <w:u w:val="single"/>
        </w:rPr>
        <w:t>（</w:t>
      </w:r>
      <w:r>
        <w:rPr>
          <w:color w:val="auto"/>
          <w:spacing w:val="-5"/>
          <w:highlight w:val="none"/>
          <w:u w:val="single"/>
        </w:rPr>
        <w:t>姓名、职务</w:t>
      </w:r>
      <w:r>
        <w:rPr>
          <w:color w:val="auto"/>
          <w:spacing w:val="-120"/>
          <w:highlight w:val="none"/>
          <w:u w:val="single"/>
        </w:rPr>
        <w:t>）</w:t>
      </w:r>
      <w:r>
        <w:rPr>
          <w:color w:val="auto"/>
          <w:spacing w:val="-7"/>
          <w:highlight w:val="none"/>
        </w:rPr>
        <w:t>，代表本公司授权在下面签字的</w:t>
      </w:r>
      <w:r>
        <w:rPr>
          <w:color w:val="auto"/>
          <w:highlight w:val="none"/>
          <w:u w:val="single"/>
        </w:rPr>
        <w:t>（</w:t>
      </w:r>
      <w:r>
        <w:rPr>
          <w:color w:val="auto"/>
          <w:spacing w:val="-3"/>
          <w:highlight w:val="none"/>
          <w:u w:val="single"/>
        </w:rPr>
        <w:t>被授权人的姓名、职务</w:t>
      </w:r>
      <w:r>
        <w:rPr>
          <w:color w:val="auto"/>
          <w:spacing w:val="-22"/>
          <w:highlight w:val="none"/>
          <w:u w:val="single"/>
        </w:rPr>
        <w:t>）</w:t>
      </w:r>
      <w:r>
        <w:rPr>
          <w:color w:val="auto"/>
          <w:spacing w:val="-4"/>
          <w:highlight w:val="none"/>
        </w:rPr>
        <w:t>为本公司</w:t>
      </w:r>
      <w:r>
        <w:rPr>
          <w:color w:val="auto"/>
          <w:highlight w:val="none"/>
        </w:rPr>
        <w:t>的合法代理人，就</w:t>
      </w:r>
      <w:r>
        <w:rPr>
          <w:color w:val="auto"/>
          <w:highlight w:val="none"/>
          <w:u w:val="single"/>
        </w:rPr>
        <w:t xml:space="preserve"> （项目名称）</w:t>
      </w:r>
      <w:r>
        <w:rPr>
          <w:color w:val="auto"/>
          <w:spacing w:val="-1"/>
          <w:highlight w:val="none"/>
          <w:u w:val="single"/>
        </w:rPr>
        <w:t xml:space="preserve">  </w:t>
      </w:r>
      <w:r>
        <w:rPr>
          <w:color w:val="auto"/>
          <w:spacing w:val="-1"/>
          <w:highlight w:val="none"/>
        </w:rPr>
        <w:t>的报价，以本公司的名义处理一切与之</w:t>
      </w:r>
      <w:r>
        <w:rPr>
          <w:rFonts w:hint="eastAsia"/>
          <w:color w:val="auto"/>
          <w:spacing w:val="-1"/>
          <w:highlight w:val="none"/>
          <w:lang w:eastAsia="zh-CN"/>
        </w:rPr>
        <w:t>有关</w:t>
      </w:r>
      <w:r>
        <w:rPr>
          <w:color w:val="auto"/>
          <w:spacing w:val="-1"/>
          <w:highlight w:val="none"/>
        </w:rPr>
        <w:t>的</w:t>
      </w:r>
      <w:r>
        <w:rPr>
          <w:color w:val="auto"/>
          <w:highlight w:val="none"/>
        </w:rPr>
        <w:t>事务。</w:t>
      </w:r>
    </w:p>
    <w:p>
      <w:pPr>
        <w:pStyle w:val="9"/>
        <w:keepNext w:val="0"/>
        <w:keepLines w:val="0"/>
        <w:pageBreakBefore w:val="0"/>
        <w:widowControl w:val="0"/>
        <w:tabs>
          <w:tab w:val="left" w:pos="3000"/>
          <w:tab w:val="left" w:pos="3960"/>
          <w:tab w:val="left" w:pos="4680"/>
        </w:tabs>
        <w:kinsoku/>
        <w:wordWrap/>
        <w:overflowPunct/>
        <w:topLinePunct w:val="0"/>
        <w:autoSpaceDE w:val="0"/>
        <w:autoSpaceDN w:val="0"/>
        <w:bidi w:val="0"/>
        <w:adjustRightInd/>
        <w:snapToGrid/>
        <w:spacing w:before="118" w:line="560" w:lineRule="exact"/>
        <w:ind w:left="780"/>
        <w:textAlignment w:val="auto"/>
        <w:rPr>
          <w:color w:val="auto"/>
          <w:highlight w:val="none"/>
        </w:rPr>
      </w:pPr>
      <w:r>
        <w:rPr>
          <w:color w:val="auto"/>
          <w:highlight w:val="none"/>
        </w:rPr>
        <w:t>本授权书于</w:t>
      </w:r>
      <w:r>
        <w:rPr>
          <w:color w:val="auto"/>
          <w:spacing w:val="-60"/>
          <w:highlight w:val="none"/>
        </w:rPr>
        <w:t xml:space="preserve"> </w:t>
      </w:r>
      <w:r>
        <w:rPr>
          <w:color w:val="auto"/>
          <w:highlight w:val="none"/>
        </w:rPr>
        <w:t>20</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日签字生效，特此声明。</w:t>
      </w:r>
    </w:p>
    <w:p>
      <w:pPr>
        <w:pStyle w:val="9"/>
        <w:rPr>
          <w:color w:val="auto"/>
          <w:sz w:val="26"/>
          <w:highlight w:val="none"/>
        </w:rPr>
      </w:pPr>
    </w:p>
    <w:p>
      <w:pPr>
        <w:pStyle w:val="9"/>
        <w:spacing w:before="11"/>
        <w:rPr>
          <w:color w:val="auto"/>
          <w:sz w:val="27"/>
          <w:highlight w:val="none"/>
        </w:rPr>
      </w:pPr>
    </w:p>
    <w:p>
      <w:pPr>
        <w:pStyle w:val="9"/>
        <w:spacing w:before="1"/>
        <w:ind w:left="780"/>
        <w:rPr>
          <w:color w:val="auto"/>
          <w:highlight w:val="none"/>
        </w:rPr>
      </w:pPr>
      <w:r>
        <w:rPr>
          <w:color w:val="auto"/>
          <w:highlight w:val="none"/>
        </w:rPr>
        <w:t>法人代表签字</w:t>
      </w:r>
    </w:p>
    <w:p>
      <w:pPr>
        <w:pStyle w:val="9"/>
        <w:spacing w:before="11"/>
        <w:rPr>
          <w:color w:val="auto"/>
          <w:sz w:val="27"/>
          <w:highlight w:val="none"/>
        </w:rPr>
      </w:pPr>
    </w:p>
    <w:p>
      <w:pPr>
        <w:pStyle w:val="9"/>
        <w:ind w:left="780"/>
        <w:rPr>
          <w:color w:val="auto"/>
          <w:highlight w:val="none"/>
        </w:rPr>
      </w:pPr>
      <w:r>
        <w:rPr>
          <w:color w:val="auto"/>
          <w:highlight w:val="none"/>
        </w:rPr>
        <w:t>被授权人签字</w:t>
      </w:r>
    </w:p>
    <w:p>
      <w:pPr>
        <w:pStyle w:val="9"/>
        <w:spacing w:before="11"/>
        <w:rPr>
          <w:color w:val="auto"/>
          <w:sz w:val="22"/>
          <w:highlight w:val="none"/>
        </w:rPr>
      </w:pPr>
    </w:p>
    <w:p>
      <w:pPr>
        <w:pStyle w:val="9"/>
        <w:tabs>
          <w:tab w:val="left" w:pos="1740"/>
        </w:tabs>
        <w:spacing w:before="67"/>
        <w:ind w:left="780"/>
        <w:rPr>
          <w:color w:val="auto"/>
          <w:highlight w:val="none"/>
        </w:rPr>
      </w:pPr>
      <w:r>
        <w:rPr>
          <w:color w:val="auto"/>
          <w:highlight w:val="none"/>
        </w:rPr>
        <w:t>公</w:t>
      </w:r>
      <w:r>
        <w:rPr>
          <w:color w:val="auto"/>
          <w:highlight w:val="none"/>
        </w:rPr>
        <w:tab/>
      </w:r>
      <w:r>
        <w:rPr>
          <w:color w:val="auto"/>
          <w:highlight w:val="none"/>
        </w:rPr>
        <w:t>章：</w:t>
      </w:r>
    </w:p>
    <w:p>
      <w:pPr>
        <w:pStyle w:val="9"/>
        <w:rPr>
          <w:color w:val="auto"/>
          <w:sz w:val="26"/>
          <w:highlight w:val="none"/>
        </w:rPr>
      </w:pPr>
    </w:p>
    <w:p>
      <w:pPr>
        <w:pStyle w:val="9"/>
        <w:tabs>
          <w:tab w:val="left" w:pos="2700"/>
          <w:tab w:val="left" w:pos="3420"/>
          <w:tab w:val="left" w:pos="4140"/>
        </w:tabs>
        <w:spacing w:before="231"/>
        <w:ind w:left="780"/>
        <w:jc w:val="right"/>
        <w:rPr>
          <w:color w:val="auto"/>
          <w:highlight w:val="none"/>
        </w:rPr>
      </w:pPr>
      <w:r>
        <w:rPr>
          <w:color w:val="auto"/>
          <w:highlight w:val="none"/>
        </w:rPr>
        <w:t>授权日期：20</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9"/>
        <w:tabs>
          <w:tab w:val="left" w:pos="2700"/>
          <w:tab w:val="left" w:pos="3420"/>
          <w:tab w:val="left" w:pos="4140"/>
        </w:tabs>
        <w:spacing w:before="231"/>
        <w:ind w:left="780"/>
        <w:rPr>
          <w:color w:val="auto"/>
          <w:highlight w:val="none"/>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255" w:line="560" w:lineRule="exact"/>
        <w:ind w:leftChars="0" w:right="0" w:rightChars="0"/>
        <w:jc w:val="both"/>
        <w:textAlignment w:val="auto"/>
        <w:rPr>
          <w:b/>
          <w:bCs/>
          <w:color w:val="auto"/>
          <w:spacing w:val="-7"/>
          <w:highlight w:val="none"/>
        </w:rPr>
      </w:pPr>
      <w:r>
        <w:rPr>
          <w:b/>
          <w:bCs/>
          <w:color w:val="auto"/>
          <w:spacing w:val="-7"/>
          <w:highlight w:val="none"/>
        </w:rPr>
        <w:t>注：1、法定代表人本人作为公司代理人前来参加投标的供应商，可不提供此项证明文件。</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255" w:line="560" w:lineRule="exact"/>
        <w:ind w:leftChars="0" w:right="0" w:rightChars="0" w:firstLine="454" w:firstLineChars="200"/>
        <w:jc w:val="both"/>
        <w:textAlignment w:val="auto"/>
        <w:rPr>
          <w:rFonts w:hint="eastAsia"/>
          <w:b/>
          <w:bCs/>
          <w:color w:val="auto"/>
          <w:spacing w:val="-7"/>
          <w:highlight w:val="none"/>
          <w:lang w:eastAsia="zh-CN"/>
        </w:rPr>
      </w:pPr>
      <w:r>
        <w:rPr>
          <w:rFonts w:hint="eastAsia"/>
          <w:b/>
          <w:bCs/>
          <w:color w:val="auto"/>
          <w:spacing w:val="-7"/>
          <w:highlight w:val="none"/>
        </w:rPr>
        <w:t>2、授权书上应附有授权人和被授权人的居民身份证复印件</w:t>
      </w:r>
      <w:r>
        <w:rPr>
          <w:rFonts w:hint="eastAsia"/>
          <w:b/>
          <w:bCs/>
          <w:color w:val="auto"/>
          <w:spacing w:val="-7"/>
          <w:highlight w:val="none"/>
          <w:lang w:eastAsia="zh-CN"/>
        </w:rPr>
        <w:t>正、反面</w:t>
      </w:r>
    </w:p>
    <w:p>
      <w:pPr>
        <w:pStyle w:val="9"/>
        <w:spacing w:before="4"/>
        <w:rPr>
          <w:rFonts w:ascii="Microsoft JhengHei"/>
          <w:b/>
          <w:color w:val="auto"/>
          <w:sz w:val="36"/>
          <w:highlight w:val="none"/>
        </w:rPr>
      </w:pPr>
    </w:p>
    <w:p>
      <w:pPr>
        <w:pStyle w:val="9"/>
        <w:spacing w:before="4"/>
        <w:rPr>
          <w:rFonts w:ascii="Microsoft JhengHei"/>
          <w:b/>
          <w:color w:val="auto"/>
          <w:sz w:val="36"/>
          <w:highlight w:val="none"/>
        </w:rPr>
      </w:pPr>
    </w:p>
    <w:p>
      <w:pPr>
        <w:pStyle w:val="9"/>
        <w:spacing w:before="4"/>
        <w:rPr>
          <w:rFonts w:ascii="Microsoft JhengHei"/>
          <w:b/>
          <w:color w:val="auto"/>
          <w:sz w:val="36"/>
          <w:highlight w:val="none"/>
        </w:rPr>
      </w:pPr>
    </w:p>
    <w:p>
      <w:pPr>
        <w:pStyle w:val="9"/>
        <w:spacing w:before="4"/>
        <w:rPr>
          <w:rFonts w:ascii="Microsoft JhengHei"/>
          <w:b/>
          <w:color w:val="auto"/>
          <w:sz w:val="36"/>
          <w:highlight w:val="none"/>
        </w:rPr>
      </w:pPr>
    </w:p>
    <w:p>
      <w:pPr>
        <w:pStyle w:val="9"/>
        <w:spacing w:before="4"/>
        <w:rPr>
          <w:rFonts w:ascii="Microsoft JhengHei"/>
          <w:b/>
          <w:color w:val="auto"/>
          <w:sz w:val="36"/>
          <w:highlight w:val="none"/>
        </w:rPr>
      </w:pPr>
    </w:p>
    <w:p>
      <w:pPr>
        <w:pStyle w:val="9"/>
        <w:spacing w:before="4"/>
        <w:rPr>
          <w:rFonts w:ascii="Microsoft JhengHei"/>
          <w:b/>
          <w:color w:val="auto"/>
          <w:sz w:val="36"/>
          <w:highlight w:val="none"/>
        </w:rPr>
      </w:pPr>
    </w:p>
    <w:p>
      <w:pPr>
        <w:pStyle w:val="9"/>
        <w:spacing w:before="4"/>
        <w:rPr>
          <w:rFonts w:ascii="Microsoft JhengHei"/>
          <w:b/>
          <w:color w:val="auto"/>
          <w:sz w:val="36"/>
          <w:highlight w:val="none"/>
        </w:rPr>
      </w:pPr>
    </w:p>
    <w:p>
      <w:pPr>
        <w:pStyle w:val="9"/>
        <w:spacing w:before="4"/>
        <w:rPr>
          <w:rFonts w:ascii="Microsoft JhengHei"/>
          <w:b/>
          <w:color w:val="auto"/>
          <w:sz w:val="36"/>
          <w:highlight w:val="none"/>
        </w:rPr>
      </w:pPr>
    </w:p>
    <w:p>
      <w:pPr>
        <w:spacing w:before="1"/>
        <w:ind w:right="655"/>
        <w:jc w:val="center"/>
        <w:rPr>
          <w:rFonts w:hint="eastAsia" w:ascii="Microsoft JhengHei" w:eastAsia="Microsoft JhengHei"/>
          <w:b/>
          <w:color w:val="auto"/>
          <w:sz w:val="30"/>
          <w:highlight w:val="none"/>
        </w:rPr>
      </w:pPr>
    </w:p>
    <w:p>
      <w:pPr>
        <w:spacing w:before="1"/>
        <w:ind w:right="655"/>
        <w:jc w:val="center"/>
        <w:rPr>
          <w:rFonts w:hint="eastAsia" w:ascii="Microsoft JhengHei" w:eastAsia="Microsoft JhengHei"/>
          <w:b/>
          <w:color w:val="auto"/>
          <w:sz w:val="30"/>
          <w:highlight w:val="none"/>
        </w:rPr>
      </w:pPr>
      <w:r>
        <w:rPr>
          <w:rFonts w:hint="eastAsia" w:ascii="Microsoft JhengHei" w:eastAsia="Microsoft JhengHei"/>
          <w:b/>
          <w:color w:val="auto"/>
          <w:sz w:val="30"/>
          <w:highlight w:val="none"/>
        </w:rPr>
        <w:t>（四）报价一览表</w:t>
      </w:r>
    </w:p>
    <w:p>
      <w:pPr>
        <w:tabs>
          <w:tab w:val="left" w:pos="4879"/>
        </w:tabs>
        <w:spacing w:before="227" w:line="446" w:lineRule="auto"/>
        <w:ind w:left="118" w:right="3474" w:firstLine="0"/>
        <w:jc w:val="left"/>
        <w:rPr>
          <w:color w:val="auto"/>
          <w:sz w:val="28"/>
          <w:highlight w:val="none"/>
        </w:rPr>
      </w:pPr>
    </w:p>
    <w:p>
      <w:pPr>
        <w:tabs>
          <w:tab w:val="left" w:pos="4879"/>
        </w:tabs>
        <w:spacing w:before="227" w:line="446" w:lineRule="auto"/>
        <w:ind w:left="118" w:right="3474" w:firstLine="0"/>
        <w:jc w:val="left"/>
        <w:rPr>
          <w:color w:val="auto"/>
          <w:sz w:val="28"/>
          <w:highlight w:val="none"/>
        </w:rPr>
      </w:pPr>
      <w:r>
        <w:rPr>
          <w:color w:val="auto"/>
          <w:sz w:val="28"/>
          <w:highlight w:val="none"/>
        </w:rPr>
        <w:t>供应商</w:t>
      </w:r>
      <w:r>
        <w:rPr>
          <w:color w:val="auto"/>
          <w:spacing w:val="-3"/>
          <w:sz w:val="28"/>
          <w:highlight w:val="none"/>
        </w:rPr>
        <w:t>名</w:t>
      </w:r>
      <w:r>
        <w:rPr>
          <w:color w:val="auto"/>
          <w:sz w:val="28"/>
          <w:highlight w:val="none"/>
        </w:rPr>
        <w:t>称：</w:t>
      </w:r>
      <w:r>
        <w:rPr>
          <w:color w:val="auto"/>
          <w:sz w:val="28"/>
          <w:highlight w:val="none"/>
        </w:rPr>
        <w:tab/>
      </w:r>
      <w:r>
        <w:rPr>
          <w:color w:val="auto"/>
          <w:sz w:val="28"/>
          <w:highlight w:val="none"/>
        </w:rPr>
        <w:t>采购项</w:t>
      </w:r>
      <w:r>
        <w:rPr>
          <w:color w:val="auto"/>
          <w:spacing w:val="-3"/>
          <w:sz w:val="28"/>
          <w:highlight w:val="none"/>
        </w:rPr>
        <w:t>目</w:t>
      </w:r>
      <w:r>
        <w:rPr>
          <w:color w:val="auto"/>
          <w:sz w:val="28"/>
          <w:highlight w:val="none"/>
        </w:rPr>
        <w:t>名称</w:t>
      </w:r>
      <w:r>
        <w:rPr>
          <w:color w:val="auto"/>
          <w:spacing w:val="-16"/>
          <w:sz w:val="28"/>
          <w:highlight w:val="none"/>
        </w:rPr>
        <w:t xml:space="preserve">： </w:t>
      </w:r>
      <w:r>
        <w:rPr>
          <w:color w:val="auto"/>
          <w:sz w:val="28"/>
          <w:highlight w:val="none"/>
        </w:rPr>
        <w:t>询价通</w:t>
      </w:r>
      <w:r>
        <w:rPr>
          <w:color w:val="auto"/>
          <w:spacing w:val="-3"/>
          <w:sz w:val="28"/>
          <w:highlight w:val="none"/>
        </w:rPr>
        <w:t>知</w:t>
      </w:r>
      <w:r>
        <w:rPr>
          <w:color w:val="auto"/>
          <w:sz w:val="28"/>
          <w:highlight w:val="none"/>
        </w:rPr>
        <w:t>书编</w:t>
      </w:r>
      <w:r>
        <w:rPr>
          <w:color w:val="auto"/>
          <w:spacing w:val="-3"/>
          <w:sz w:val="28"/>
          <w:highlight w:val="none"/>
        </w:rPr>
        <w:t>号：</w:t>
      </w:r>
    </w:p>
    <w:p>
      <w:pPr>
        <w:pStyle w:val="14"/>
        <w:rPr>
          <w:color w:val="auto"/>
          <w:sz w:val="28"/>
          <w:highlight w:val="none"/>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899"/>
        <w:gridCol w:w="869"/>
        <w:gridCol w:w="1750"/>
        <w:gridCol w:w="1523"/>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exact"/>
        </w:trPr>
        <w:tc>
          <w:tcPr>
            <w:tcW w:w="253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color w:val="auto"/>
                <w:position w:val="10"/>
                <w:sz w:val="24"/>
                <w:szCs w:val="24"/>
                <w:highlight w:val="none"/>
              </w:rPr>
            </w:pPr>
            <w:r>
              <w:rPr>
                <w:rFonts w:hint="eastAsia" w:ascii="宋体" w:hAnsi="宋体" w:eastAsia="宋体" w:cs="宋体"/>
                <w:color w:val="auto"/>
                <w:position w:val="10"/>
                <w:sz w:val="24"/>
                <w:szCs w:val="24"/>
                <w:highlight w:val="none"/>
                <w:lang w:eastAsia="zh-CN"/>
              </w:rPr>
              <w:t>货物</w:t>
            </w:r>
            <w:r>
              <w:rPr>
                <w:rFonts w:hint="eastAsia" w:ascii="宋体" w:hAnsi="宋体" w:eastAsia="宋体" w:cs="宋体"/>
                <w:color w:val="auto"/>
                <w:position w:val="10"/>
                <w:sz w:val="24"/>
                <w:szCs w:val="24"/>
                <w:highlight w:val="none"/>
              </w:rPr>
              <w:t>名称</w:t>
            </w:r>
          </w:p>
        </w:tc>
        <w:tc>
          <w:tcPr>
            <w:tcW w:w="89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color w:val="auto"/>
                <w:position w:val="10"/>
                <w:sz w:val="24"/>
                <w:szCs w:val="24"/>
                <w:highlight w:val="none"/>
                <w:lang w:eastAsia="zh-CN"/>
              </w:rPr>
            </w:pPr>
            <w:r>
              <w:rPr>
                <w:rFonts w:hint="eastAsia" w:ascii="宋体" w:hAnsi="宋体" w:eastAsia="宋体" w:cs="宋体"/>
                <w:color w:val="auto"/>
                <w:position w:val="10"/>
                <w:sz w:val="24"/>
                <w:szCs w:val="24"/>
                <w:highlight w:val="none"/>
                <w:lang w:eastAsia="zh-CN"/>
              </w:rPr>
              <w:t>单位</w:t>
            </w:r>
          </w:p>
        </w:tc>
        <w:tc>
          <w:tcPr>
            <w:tcW w:w="86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color w:val="auto"/>
                <w:position w:val="10"/>
                <w:sz w:val="24"/>
                <w:szCs w:val="24"/>
                <w:highlight w:val="none"/>
                <w:lang w:eastAsia="zh-CN"/>
              </w:rPr>
            </w:pPr>
            <w:r>
              <w:rPr>
                <w:rFonts w:hint="eastAsia" w:ascii="宋体" w:hAnsi="宋体" w:eastAsia="宋体" w:cs="宋体"/>
                <w:color w:val="auto"/>
                <w:position w:val="10"/>
                <w:sz w:val="24"/>
                <w:szCs w:val="24"/>
                <w:highlight w:val="none"/>
                <w:lang w:eastAsia="zh-CN"/>
              </w:rPr>
              <w:t>数量</w:t>
            </w:r>
          </w:p>
        </w:tc>
        <w:tc>
          <w:tcPr>
            <w:tcW w:w="17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color w:val="auto"/>
                <w:position w:val="10"/>
                <w:sz w:val="24"/>
                <w:szCs w:val="24"/>
                <w:highlight w:val="none"/>
                <w:lang w:eastAsia="zh-CN"/>
              </w:rPr>
            </w:pPr>
            <w:r>
              <w:rPr>
                <w:rFonts w:hint="eastAsia" w:ascii="宋体" w:hAnsi="宋体" w:eastAsia="宋体" w:cs="宋体"/>
                <w:color w:val="auto"/>
                <w:position w:val="10"/>
                <w:sz w:val="24"/>
                <w:szCs w:val="24"/>
                <w:highlight w:val="none"/>
                <w:lang w:eastAsia="zh-CN"/>
              </w:rPr>
              <w:t>单价（元）</w:t>
            </w:r>
          </w:p>
        </w:tc>
        <w:tc>
          <w:tcPr>
            <w:tcW w:w="152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color w:val="auto"/>
                <w:position w:val="10"/>
                <w:sz w:val="24"/>
                <w:szCs w:val="24"/>
                <w:highlight w:val="none"/>
              </w:rPr>
            </w:pPr>
            <w:r>
              <w:rPr>
                <w:rFonts w:hint="eastAsia" w:ascii="宋体" w:hAnsi="宋体" w:eastAsia="宋体" w:cs="宋体"/>
                <w:color w:val="auto"/>
                <w:position w:val="10"/>
                <w:sz w:val="24"/>
                <w:szCs w:val="24"/>
                <w:highlight w:val="none"/>
                <w:lang w:eastAsia="zh-CN"/>
              </w:rPr>
              <w:t>总价（元）</w:t>
            </w:r>
          </w:p>
        </w:tc>
        <w:tc>
          <w:tcPr>
            <w:tcW w:w="14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color w:val="auto"/>
                <w:position w:val="10"/>
                <w:sz w:val="24"/>
                <w:szCs w:val="24"/>
                <w:highlight w:val="none"/>
              </w:rPr>
            </w:pPr>
            <w:r>
              <w:rPr>
                <w:rFonts w:hint="eastAsia" w:ascii="宋体" w:hAnsi="宋体" w:eastAsia="宋体" w:cs="宋体"/>
                <w:color w:val="auto"/>
                <w:position w:val="1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253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89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86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750"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523"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442" w:type="dxa"/>
            <w:vMerge w:val="restart"/>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position w:val="10"/>
                <w:sz w:val="24"/>
                <w:szCs w:val="24"/>
                <w:highlight w:val="none"/>
                <w:lang w:eastAsia="zh-CN"/>
              </w:rPr>
              <w:t>应含</w:t>
            </w:r>
            <w:r>
              <w:rPr>
                <w:rFonts w:hint="eastAsia" w:ascii="宋体" w:hAnsi="宋体" w:eastAsia="宋体" w:cs="宋体"/>
                <w:color w:val="auto"/>
                <w:position w:val="10"/>
                <w:sz w:val="24"/>
                <w:szCs w:val="24"/>
                <w:highlight w:val="none"/>
              </w:rPr>
              <w:t>运保费</w:t>
            </w:r>
            <w:r>
              <w:rPr>
                <w:rFonts w:hint="eastAsia" w:ascii="宋体" w:hAnsi="宋体" w:eastAsia="宋体" w:cs="宋体"/>
                <w:color w:val="auto"/>
                <w:position w:val="10"/>
                <w:sz w:val="24"/>
                <w:szCs w:val="24"/>
                <w:highlight w:val="none"/>
                <w:lang w:eastAsia="zh-CN"/>
              </w:rPr>
              <w:t>、税金等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253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89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86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750"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523"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442" w:type="dxa"/>
            <w:vMerge w:val="continue"/>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253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89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86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750"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523"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442" w:type="dxa"/>
            <w:vMerge w:val="continue"/>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253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89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86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750"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523"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1442" w:type="dxa"/>
            <w:vMerge w:val="continue"/>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exact"/>
        </w:trPr>
        <w:tc>
          <w:tcPr>
            <w:tcW w:w="2539" w:type="dxa"/>
            <w:vMerge w:val="restart"/>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投标总报价（元）</w:t>
            </w:r>
          </w:p>
        </w:tc>
        <w:tc>
          <w:tcPr>
            <w:tcW w:w="6483" w:type="dxa"/>
            <w:gridSpan w:val="5"/>
            <w:noWrap w:val="0"/>
            <w:vAlign w:val="center"/>
          </w:tcPr>
          <w:p>
            <w:pPr>
              <w:keepNext w:val="0"/>
              <w:keepLines w:val="0"/>
              <w:pageBreakBefore w:val="0"/>
              <w:kinsoku/>
              <w:wordWrap/>
              <w:overflowPunct/>
              <w:bidi w:val="0"/>
              <w:spacing w:line="52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2539" w:type="dxa"/>
            <w:vMerge w:val="continue"/>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c>
          <w:tcPr>
            <w:tcW w:w="6483" w:type="dxa"/>
            <w:gridSpan w:val="5"/>
            <w:noWrap w:val="0"/>
            <w:vAlign w:val="center"/>
          </w:tcPr>
          <w:p>
            <w:pPr>
              <w:keepNext w:val="0"/>
              <w:keepLines w:val="0"/>
              <w:pageBreakBefore w:val="0"/>
              <w:kinsoku/>
              <w:wordWrap/>
              <w:overflowPunct/>
              <w:bidi w:val="0"/>
              <w:spacing w:line="52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exact"/>
        </w:trPr>
        <w:tc>
          <w:tcPr>
            <w:tcW w:w="2539" w:type="dxa"/>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position w:val="10"/>
                <w:sz w:val="24"/>
                <w:szCs w:val="24"/>
                <w:highlight w:val="none"/>
              </w:rPr>
              <w:t>交货期</w:t>
            </w:r>
          </w:p>
        </w:tc>
        <w:tc>
          <w:tcPr>
            <w:tcW w:w="6483" w:type="dxa"/>
            <w:gridSpan w:val="5"/>
            <w:noWrap w:val="0"/>
            <w:vAlign w:val="center"/>
          </w:tcPr>
          <w:p>
            <w:pPr>
              <w:keepNext w:val="0"/>
              <w:keepLines w:val="0"/>
              <w:pageBreakBefore w:val="0"/>
              <w:kinsoku/>
              <w:wordWrap/>
              <w:overflowPunct/>
              <w:bidi w:val="0"/>
              <w:spacing w:line="520" w:lineRule="atLeast"/>
              <w:jc w:val="center"/>
              <w:rPr>
                <w:rFonts w:hint="eastAsia" w:ascii="宋体" w:hAnsi="宋体" w:eastAsia="宋体" w:cs="宋体"/>
                <w:color w:val="auto"/>
                <w:sz w:val="24"/>
                <w:szCs w:val="24"/>
                <w:highlight w:val="none"/>
              </w:rPr>
            </w:pPr>
          </w:p>
        </w:tc>
      </w:tr>
    </w:tbl>
    <w:p>
      <w:pPr>
        <w:spacing w:before="113"/>
        <w:ind w:left="298" w:right="0" w:firstLine="0"/>
        <w:jc w:val="left"/>
        <w:rPr>
          <w:color w:val="auto"/>
          <w:sz w:val="28"/>
          <w:highlight w:val="none"/>
        </w:rPr>
      </w:pPr>
    </w:p>
    <w:p>
      <w:pPr>
        <w:pStyle w:val="11"/>
        <w:spacing w:line="240" w:lineRule="atLeast"/>
        <w:ind w:left="1105" w:leftChars="257" w:hanging="540"/>
        <w:rPr>
          <w:rFonts w:hint="eastAsia" w:ascii="仿宋_GB2312" w:eastAsia="仿宋_GB2312"/>
          <w:sz w:val="24"/>
        </w:rPr>
      </w:pPr>
      <w:r>
        <w:rPr>
          <w:rFonts w:hint="eastAsia" w:ascii="宋体" w:hAnsi="宋体" w:eastAsia="宋体" w:cs="宋体"/>
          <w:color w:val="auto"/>
          <w:position w:val="10"/>
          <w:sz w:val="24"/>
          <w:szCs w:val="24"/>
          <w:highlight w:val="none"/>
          <w:lang w:val="zh-CN" w:eastAsia="zh-CN" w:bidi="zh-CN"/>
        </w:rPr>
        <w:t>法定代表人或其委托代理人签字</w:t>
      </w:r>
      <w:r>
        <w:rPr>
          <w:rFonts w:hint="eastAsia" w:ascii="仿宋_GB2312"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11"/>
        <w:tabs>
          <w:tab w:val="left" w:pos="5370"/>
        </w:tabs>
        <w:spacing w:line="240" w:lineRule="atLeast"/>
        <w:ind w:left="1105" w:leftChars="257" w:hanging="540"/>
        <w:rPr>
          <w:rFonts w:hint="eastAsia" w:ascii="仿宋_GB2312" w:hAnsi="宋体" w:eastAsia="仿宋_GB2312"/>
          <w:sz w:val="24"/>
          <w:u w:val="single"/>
        </w:rPr>
      </w:pPr>
      <w:r>
        <w:rPr>
          <w:rFonts w:hint="eastAsia" w:ascii="宋体" w:hAnsi="宋体" w:eastAsia="宋体" w:cs="宋体"/>
          <w:color w:val="auto"/>
          <w:position w:val="10"/>
          <w:sz w:val="24"/>
          <w:szCs w:val="24"/>
          <w:highlight w:val="none"/>
          <w:lang w:val="en-US" w:eastAsia="zh-CN" w:bidi="zh-CN"/>
        </w:rPr>
        <w:t>供应商</w:t>
      </w:r>
      <w:r>
        <w:rPr>
          <w:rFonts w:hint="eastAsia" w:ascii="宋体" w:hAnsi="宋体" w:eastAsia="宋体" w:cs="宋体"/>
          <w:color w:val="auto"/>
          <w:position w:val="10"/>
          <w:sz w:val="24"/>
          <w:szCs w:val="24"/>
          <w:highlight w:val="none"/>
          <w:lang w:val="zh-CN" w:eastAsia="zh-CN" w:bidi="zh-CN"/>
        </w:rPr>
        <w:t>(盖单位章)</w:t>
      </w:r>
      <w:r>
        <w:rPr>
          <w:rFonts w:hint="eastAsia" w:ascii="仿宋_GB2312" w:hAnsi="宋体" w:eastAsia="仿宋_GB2312"/>
          <w:sz w:val="24"/>
        </w:rPr>
        <w:t>:</w:t>
      </w:r>
      <w:r>
        <w:rPr>
          <w:rFonts w:ascii="仿宋_GB2312" w:hAnsi="宋体" w:eastAsia="仿宋_GB2312"/>
          <w:sz w:val="24"/>
          <w:u w:val="single"/>
        </w:rPr>
        <w:tab/>
      </w:r>
    </w:p>
    <w:p>
      <w:pPr>
        <w:spacing w:before="79"/>
        <w:ind w:left="216" w:right="655" w:firstLine="0"/>
        <w:jc w:val="center"/>
        <w:rPr>
          <w:rFonts w:hint="eastAsia" w:ascii="Microsoft JhengHei" w:eastAsia="Microsoft JhengHei"/>
          <w:b/>
          <w:color w:val="auto"/>
          <w:sz w:val="32"/>
          <w:highlight w:val="none"/>
        </w:rPr>
      </w:pPr>
    </w:p>
    <w:p>
      <w:pPr>
        <w:spacing w:before="79"/>
        <w:ind w:left="216" w:right="655" w:firstLine="0"/>
        <w:jc w:val="center"/>
        <w:rPr>
          <w:rFonts w:hint="eastAsia" w:ascii="Microsoft JhengHei" w:eastAsia="Microsoft JhengHei"/>
          <w:b/>
          <w:color w:val="auto"/>
          <w:sz w:val="32"/>
          <w:highlight w:val="none"/>
        </w:rPr>
      </w:pPr>
    </w:p>
    <w:p>
      <w:pPr>
        <w:pStyle w:val="14"/>
        <w:rPr>
          <w:rFonts w:hint="eastAsia" w:ascii="Microsoft JhengHei" w:eastAsia="Microsoft JhengHei"/>
          <w:b/>
          <w:color w:val="auto"/>
          <w:sz w:val="32"/>
          <w:highlight w:val="none"/>
        </w:rPr>
      </w:pPr>
    </w:p>
    <w:p>
      <w:pPr>
        <w:pStyle w:val="14"/>
        <w:rPr>
          <w:rFonts w:hint="eastAsia" w:ascii="Microsoft JhengHei" w:eastAsia="Microsoft JhengHei"/>
          <w:b/>
          <w:color w:val="auto"/>
          <w:sz w:val="32"/>
          <w:highlight w:val="none"/>
        </w:rPr>
      </w:pPr>
    </w:p>
    <w:p>
      <w:pPr>
        <w:pStyle w:val="14"/>
        <w:rPr>
          <w:rFonts w:hint="eastAsia" w:ascii="Microsoft JhengHei" w:eastAsia="Microsoft JhengHei"/>
          <w:b/>
          <w:color w:val="auto"/>
          <w:sz w:val="32"/>
          <w:highlight w:val="none"/>
        </w:rPr>
      </w:pPr>
    </w:p>
    <w:p>
      <w:pPr>
        <w:pStyle w:val="14"/>
        <w:rPr>
          <w:rFonts w:hint="eastAsia" w:ascii="Microsoft JhengHei" w:eastAsia="Microsoft JhengHei"/>
          <w:b/>
          <w:color w:val="auto"/>
          <w:sz w:val="32"/>
          <w:highlight w:val="none"/>
        </w:rPr>
      </w:pPr>
    </w:p>
    <w:p>
      <w:pPr>
        <w:spacing w:before="79"/>
        <w:ind w:left="216" w:right="655" w:firstLine="0"/>
        <w:jc w:val="center"/>
        <w:rPr>
          <w:rFonts w:hint="eastAsia" w:ascii="Microsoft JhengHei" w:eastAsia="Microsoft JhengHei"/>
          <w:b/>
          <w:color w:val="auto"/>
          <w:sz w:val="32"/>
          <w:highlight w:val="none"/>
        </w:rPr>
      </w:pPr>
    </w:p>
    <w:p>
      <w:pPr>
        <w:spacing w:before="79"/>
        <w:ind w:left="216" w:right="655" w:firstLine="0"/>
        <w:jc w:val="center"/>
        <w:rPr>
          <w:rFonts w:hint="eastAsia" w:ascii="Microsoft JhengHei" w:eastAsia="Microsoft JhengHei"/>
          <w:b/>
          <w:color w:val="auto"/>
          <w:sz w:val="32"/>
          <w:highlight w:val="none"/>
        </w:rPr>
      </w:pPr>
      <w:r>
        <w:rPr>
          <w:rFonts w:hint="eastAsia" w:ascii="Microsoft JhengHei" w:eastAsia="Microsoft JhengHei"/>
          <w:b/>
          <w:color w:val="auto"/>
          <w:sz w:val="32"/>
          <w:highlight w:val="none"/>
        </w:rPr>
        <w:t>（五）</w:t>
      </w:r>
      <w:r>
        <w:rPr>
          <w:rFonts w:hint="eastAsia" w:ascii="Microsoft JhengHei" w:eastAsia="宋体"/>
          <w:b/>
          <w:color w:val="auto"/>
          <w:sz w:val="32"/>
          <w:highlight w:val="none"/>
          <w:lang w:eastAsia="zh-CN"/>
        </w:rPr>
        <w:t>关于</w:t>
      </w:r>
      <w:r>
        <w:rPr>
          <w:rFonts w:hint="eastAsia" w:ascii="Microsoft JhengHei" w:eastAsia="Microsoft JhengHei"/>
          <w:b/>
          <w:color w:val="auto"/>
          <w:sz w:val="32"/>
          <w:highlight w:val="none"/>
        </w:rPr>
        <w:t>资格的声明函</w:t>
      </w:r>
    </w:p>
    <w:p>
      <w:pPr>
        <w:pStyle w:val="9"/>
        <w:spacing w:before="2"/>
        <w:ind w:left="718"/>
        <w:rPr>
          <w:color w:val="auto"/>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2" w:line="560" w:lineRule="exact"/>
        <w:ind w:left="718"/>
        <w:textAlignment w:val="auto"/>
        <w:rPr>
          <w:color w:val="auto"/>
          <w:highlight w:val="none"/>
        </w:rPr>
      </w:pPr>
      <w:r>
        <w:rPr>
          <w:color w:val="auto"/>
          <w:highlight w:val="none"/>
        </w:rPr>
        <w:t>致</w:t>
      </w:r>
      <w:r>
        <w:rPr>
          <w:rFonts w:hint="eastAsia"/>
          <w:color w:val="auto"/>
          <w:highlight w:val="none"/>
          <w:lang w:eastAsia="zh-CN"/>
        </w:rPr>
        <w:t>：伊犁哈萨克自治州友谊医院</w:t>
      </w:r>
    </w:p>
    <w:p>
      <w:pPr>
        <w:pStyle w:val="9"/>
        <w:keepNext w:val="0"/>
        <w:keepLines w:val="0"/>
        <w:pageBreakBefore w:val="0"/>
        <w:widowControl w:val="0"/>
        <w:tabs>
          <w:tab w:val="left" w:pos="2878"/>
        </w:tabs>
        <w:kinsoku/>
        <w:wordWrap/>
        <w:overflowPunct/>
        <w:topLinePunct w:val="0"/>
        <w:autoSpaceDE w:val="0"/>
        <w:autoSpaceDN w:val="0"/>
        <w:bidi w:val="0"/>
        <w:adjustRightInd/>
        <w:snapToGrid/>
        <w:spacing w:before="214" w:line="560" w:lineRule="exact"/>
        <w:ind w:left="718" w:right="947" w:firstLine="480"/>
        <w:jc w:val="both"/>
        <w:textAlignment w:val="auto"/>
        <w:rPr>
          <w:color w:val="auto"/>
          <w:highlight w:val="none"/>
        </w:rPr>
      </w:pPr>
      <w:r>
        <w:rPr>
          <w:color w:val="auto"/>
          <w:highlight w:val="none"/>
        </w:rPr>
        <w:t>关</w:t>
      </w:r>
      <w:r>
        <w:rPr>
          <w:color w:val="auto"/>
          <w:spacing w:val="-60"/>
          <w:highlight w:val="none"/>
        </w:rPr>
        <w:t xml:space="preserve"> </w:t>
      </w:r>
      <w:r>
        <w:rPr>
          <w:color w:val="auto"/>
          <w:highlight w:val="none"/>
        </w:rPr>
        <w:t>于</w:t>
      </w:r>
      <w:r>
        <w:rPr>
          <w:color w:val="auto"/>
          <w:spacing w:val="-60"/>
          <w:highlight w:val="none"/>
        </w:rPr>
        <w:t xml:space="preserve"> </w:t>
      </w:r>
      <w:r>
        <w:rPr>
          <w:color w:val="auto"/>
          <w:highlight w:val="none"/>
        </w:rPr>
        <w:t>贵</w:t>
      </w:r>
      <w:r>
        <w:rPr>
          <w:color w:val="auto"/>
          <w:spacing w:val="-60"/>
          <w:highlight w:val="none"/>
        </w:rPr>
        <w:t xml:space="preserve"> </w:t>
      </w:r>
      <w:r>
        <w:rPr>
          <w:color w:val="auto"/>
          <w:highlight w:val="none"/>
        </w:rPr>
        <w:t>方</w:t>
      </w:r>
      <w:r>
        <w:rPr>
          <w:color w:val="auto"/>
          <w:spacing w:val="60"/>
          <w:highlight w:val="none"/>
        </w:rPr>
        <w:t xml:space="preserve"> </w:t>
      </w:r>
      <w:r>
        <w:rPr>
          <w:color w:val="auto"/>
          <w:highlight w:val="none"/>
        </w:rPr>
        <w:t xml:space="preserve">20   </w:t>
      </w:r>
      <w:r>
        <w:rPr>
          <w:color w:val="auto"/>
          <w:spacing w:val="62"/>
          <w:highlight w:val="none"/>
        </w:rPr>
        <w:t xml:space="preserve"> </w:t>
      </w:r>
      <w:r>
        <w:rPr>
          <w:color w:val="auto"/>
          <w:highlight w:val="none"/>
        </w:rPr>
        <w:t xml:space="preserve">年    </w:t>
      </w:r>
      <w:r>
        <w:rPr>
          <w:color w:val="auto"/>
          <w:spacing w:val="60"/>
          <w:highlight w:val="none"/>
        </w:rPr>
        <w:t xml:space="preserve"> </w:t>
      </w:r>
      <w:r>
        <w:rPr>
          <w:color w:val="auto"/>
          <w:highlight w:val="none"/>
        </w:rPr>
        <w:t xml:space="preserve">月    </w:t>
      </w:r>
      <w:r>
        <w:rPr>
          <w:color w:val="auto"/>
          <w:spacing w:val="60"/>
          <w:highlight w:val="none"/>
        </w:rPr>
        <w:t xml:space="preserve"> </w:t>
      </w:r>
      <w:r>
        <w:rPr>
          <w:color w:val="auto"/>
          <w:highlight w:val="none"/>
        </w:rPr>
        <w:t>日</w:t>
      </w:r>
      <w:r>
        <w:rPr>
          <w:color w:val="auto"/>
          <w:spacing w:val="-60"/>
          <w:highlight w:val="none"/>
        </w:rPr>
        <w:t xml:space="preserve"> </w:t>
      </w:r>
      <w:r>
        <w:rPr>
          <w:color w:val="auto"/>
          <w:highlight w:val="none"/>
        </w:rPr>
        <w:t>第</w:t>
      </w:r>
      <w:r>
        <w:rPr>
          <w:color w:val="auto"/>
          <w:spacing w:val="-58"/>
          <w:highlight w:val="none"/>
          <w:u w:val="single"/>
        </w:rPr>
        <w:t xml:space="preserve"> </w:t>
      </w:r>
      <w:r>
        <w:rPr>
          <w:color w:val="auto"/>
          <w:spacing w:val="60"/>
          <w:highlight w:val="none"/>
          <w:u w:val="single"/>
        </w:rPr>
        <w:t>（采购编号）</w:t>
      </w:r>
      <w:r>
        <w:rPr>
          <w:color w:val="auto"/>
          <w:spacing w:val="60"/>
          <w:highlight w:val="none"/>
        </w:rPr>
        <w:t>采</w:t>
      </w:r>
      <w:r>
        <w:rPr>
          <w:color w:val="auto"/>
          <w:highlight w:val="none"/>
        </w:rPr>
        <w:t>购</w:t>
      </w:r>
      <w:r>
        <w:rPr>
          <w:color w:val="auto"/>
          <w:spacing w:val="-58"/>
          <w:highlight w:val="none"/>
        </w:rPr>
        <w:t xml:space="preserve"> </w:t>
      </w:r>
      <w:r>
        <w:rPr>
          <w:color w:val="auto"/>
          <w:spacing w:val="60"/>
          <w:highlight w:val="none"/>
        </w:rPr>
        <w:t>公</w:t>
      </w:r>
      <w:r>
        <w:rPr>
          <w:color w:val="auto"/>
          <w:highlight w:val="none"/>
        </w:rPr>
        <w:t>告</w:t>
      </w:r>
      <w:r>
        <w:rPr>
          <w:color w:val="auto"/>
          <w:spacing w:val="-60"/>
          <w:highlight w:val="none"/>
        </w:rPr>
        <w:t xml:space="preserve"> </w:t>
      </w:r>
      <w:r>
        <w:rPr>
          <w:color w:val="auto"/>
          <w:highlight w:val="none"/>
        </w:rPr>
        <w:t>关</w:t>
      </w:r>
      <w:r>
        <w:rPr>
          <w:color w:val="auto"/>
          <w:spacing w:val="-60"/>
          <w:highlight w:val="none"/>
        </w:rPr>
        <w:t xml:space="preserve"> </w:t>
      </w:r>
      <w:r>
        <w:rPr>
          <w:color w:val="auto"/>
          <w:spacing w:val="-11"/>
          <w:highlight w:val="none"/>
        </w:rPr>
        <w:t>于</w:t>
      </w:r>
      <w:r>
        <w:rPr>
          <w:color w:val="auto"/>
          <w:highlight w:val="none"/>
          <w:u w:val="single"/>
        </w:rPr>
        <w:t>“</w:t>
      </w:r>
      <w:r>
        <w:rPr>
          <w:color w:val="auto"/>
          <w:highlight w:val="none"/>
          <w:u w:val="single"/>
        </w:rPr>
        <w:tab/>
      </w:r>
      <w:r>
        <w:rPr>
          <w:color w:val="auto"/>
          <w:highlight w:val="none"/>
          <w:u w:val="single"/>
        </w:rPr>
        <w:t>”</w:t>
      </w:r>
      <w:r>
        <w:rPr>
          <w:color w:val="auto"/>
          <w:highlight w:val="none"/>
        </w:rPr>
        <w:t>的采购项目，本签字人愿意参加报价，并有能力提供</w:t>
      </w:r>
      <w:r>
        <w:rPr>
          <w:color w:val="auto"/>
          <w:spacing w:val="5"/>
          <w:highlight w:val="none"/>
        </w:rPr>
        <w:t xml:space="preserve"> </w:t>
      </w:r>
      <w:r>
        <w:rPr>
          <w:color w:val="auto"/>
          <w:highlight w:val="none"/>
          <w:u w:val="single"/>
        </w:rPr>
        <w:t>（</w:t>
      </w:r>
      <w:r>
        <w:rPr>
          <w:color w:val="auto"/>
          <w:spacing w:val="-11"/>
          <w:highlight w:val="none"/>
          <w:u w:val="single"/>
        </w:rPr>
        <w:t>项</w:t>
      </w:r>
      <w:r>
        <w:rPr>
          <w:color w:val="auto"/>
          <w:highlight w:val="none"/>
          <w:u w:val="single"/>
        </w:rPr>
        <w:t>目名称）</w:t>
      </w:r>
      <w:r>
        <w:rPr>
          <w:color w:val="auto"/>
          <w:spacing w:val="-27"/>
          <w:highlight w:val="none"/>
        </w:rPr>
        <w:t xml:space="preserve"> </w:t>
      </w:r>
      <w:r>
        <w:rPr>
          <w:color w:val="auto"/>
          <w:highlight w:val="none"/>
        </w:rPr>
        <w:t>项目中</w:t>
      </w:r>
      <w:r>
        <w:rPr>
          <w:color w:val="auto"/>
          <w:spacing w:val="-27"/>
          <w:highlight w:val="none"/>
        </w:rPr>
        <w:t>的</w:t>
      </w:r>
      <w:r>
        <w:rPr>
          <w:color w:val="auto"/>
          <w:spacing w:val="-3"/>
          <w:highlight w:val="none"/>
          <w:u w:val="single"/>
        </w:rPr>
        <w:t>（</w:t>
      </w:r>
      <w:r>
        <w:rPr>
          <w:color w:val="auto"/>
          <w:highlight w:val="none"/>
          <w:u w:val="single"/>
        </w:rPr>
        <w:t>包号及货物名称</w:t>
      </w:r>
      <w:r>
        <w:rPr>
          <w:color w:val="auto"/>
          <w:spacing w:val="-27"/>
          <w:highlight w:val="none"/>
          <w:u w:val="single"/>
        </w:rPr>
        <w:t>）</w:t>
      </w:r>
      <w:r>
        <w:rPr>
          <w:color w:val="auto"/>
          <w:highlight w:val="none"/>
        </w:rPr>
        <w:t>采购货物及相关服务</w:t>
      </w:r>
      <w:r>
        <w:rPr>
          <w:color w:val="auto"/>
          <w:spacing w:val="-27"/>
          <w:highlight w:val="none"/>
        </w:rPr>
        <w:t>，</w:t>
      </w:r>
      <w:r>
        <w:rPr>
          <w:color w:val="auto"/>
          <w:highlight w:val="none"/>
        </w:rPr>
        <w:t>并保证所提交的所</w:t>
      </w:r>
      <w:r>
        <w:rPr>
          <w:color w:val="auto"/>
          <w:spacing w:val="-14"/>
          <w:highlight w:val="none"/>
        </w:rPr>
        <w:t>有</w:t>
      </w:r>
      <w:r>
        <w:rPr>
          <w:color w:val="auto"/>
          <w:highlight w:val="none"/>
        </w:rPr>
        <w:t>文件和说明是真实和准确的。</w:t>
      </w:r>
    </w:p>
    <w:p>
      <w:pPr>
        <w:pStyle w:val="9"/>
        <w:keepNext w:val="0"/>
        <w:keepLines w:val="0"/>
        <w:pageBreakBefore w:val="0"/>
        <w:widowControl w:val="0"/>
        <w:tabs>
          <w:tab w:val="left" w:pos="4558"/>
        </w:tabs>
        <w:kinsoku/>
        <w:wordWrap/>
        <w:overflowPunct/>
        <w:topLinePunct w:val="0"/>
        <w:autoSpaceDE w:val="0"/>
        <w:autoSpaceDN w:val="0"/>
        <w:bidi w:val="0"/>
        <w:adjustRightInd/>
        <w:snapToGrid/>
        <w:spacing w:before="121" w:line="560" w:lineRule="exact"/>
        <w:ind w:left="718"/>
        <w:jc w:val="both"/>
        <w:textAlignment w:val="auto"/>
        <w:rPr>
          <w:color w:val="auto"/>
          <w:highlight w:val="none"/>
        </w:rPr>
      </w:pPr>
      <w:r>
        <w:rPr>
          <w:color w:val="auto"/>
          <w:highlight w:val="none"/>
        </w:rPr>
        <w:t>供应商（盖章）</w:t>
      </w:r>
      <w:r>
        <w:rPr>
          <w:rFonts w:hint="eastAsia"/>
          <w:color w:val="auto"/>
          <w:highlight w:val="none"/>
          <w:lang w:eastAsia="zh-CN"/>
        </w:rPr>
        <w:t>：</w:t>
      </w:r>
      <w:r>
        <w:rPr>
          <w:color w:val="auto"/>
          <w:highlight w:val="none"/>
        </w:rPr>
        <w:t>供应商名称</w:t>
      </w:r>
      <w:r>
        <w:rPr>
          <w:color w:val="auto"/>
          <w:highlight w:val="none"/>
        </w:rPr>
        <w:tab/>
      </w:r>
      <w:r>
        <w:rPr>
          <w:color w:val="auto"/>
          <w:highlight w:val="none"/>
        </w:rPr>
        <w:t>受权签署本资格文件人：被授权人姓名</w:t>
      </w:r>
    </w:p>
    <w:p>
      <w:pPr>
        <w:pStyle w:val="9"/>
        <w:keepNext w:val="0"/>
        <w:keepLines w:val="0"/>
        <w:pageBreakBefore w:val="0"/>
        <w:widowControl w:val="0"/>
        <w:tabs>
          <w:tab w:val="left" w:pos="4558"/>
        </w:tabs>
        <w:kinsoku/>
        <w:wordWrap/>
        <w:overflowPunct/>
        <w:topLinePunct w:val="0"/>
        <w:autoSpaceDE w:val="0"/>
        <w:autoSpaceDN w:val="0"/>
        <w:bidi w:val="0"/>
        <w:adjustRightInd/>
        <w:snapToGrid/>
        <w:spacing w:before="211" w:line="560" w:lineRule="exact"/>
        <w:ind w:left="718"/>
        <w:jc w:val="both"/>
        <w:textAlignment w:val="auto"/>
        <w:rPr>
          <w:color w:val="auto"/>
          <w:highlight w:val="none"/>
        </w:rPr>
      </w:pPr>
      <w:r>
        <w:rPr>
          <w:color w:val="auto"/>
          <w:highlight w:val="none"/>
        </w:rPr>
        <w:t>地址：</w:t>
      </w:r>
      <w:r>
        <w:rPr>
          <w:color w:val="auto"/>
          <w:highlight w:val="none"/>
        </w:rPr>
        <w:tab/>
      </w:r>
      <w:r>
        <w:rPr>
          <w:color w:val="auto"/>
          <w:highlight w:val="none"/>
        </w:rPr>
        <w:t>签字人姓名、职务：被授权人姓名、职务</w:t>
      </w:r>
    </w:p>
    <w:p>
      <w:pPr>
        <w:pStyle w:val="9"/>
        <w:keepNext w:val="0"/>
        <w:keepLines w:val="0"/>
        <w:pageBreakBefore w:val="0"/>
        <w:widowControl w:val="0"/>
        <w:kinsoku/>
        <w:wordWrap/>
        <w:overflowPunct/>
        <w:topLinePunct w:val="0"/>
        <w:autoSpaceDE w:val="0"/>
        <w:autoSpaceDN w:val="0"/>
        <w:bidi w:val="0"/>
        <w:adjustRightInd/>
        <w:snapToGrid/>
        <w:spacing w:before="214" w:line="560" w:lineRule="exact"/>
        <w:ind w:left="718"/>
        <w:textAlignment w:val="auto"/>
        <w:rPr>
          <w:color w:val="auto"/>
          <w:highlight w:val="none"/>
        </w:rPr>
      </w:pPr>
      <w:r>
        <w:rPr>
          <w:color w:val="auto"/>
          <w:highlight w:val="none"/>
        </w:rPr>
        <w:t>传真：</w:t>
      </w:r>
    </w:p>
    <w:p>
      <w:pPr>
        <w:pStyle w:val="9"/>
        <w:keepNext w:val="0"/>
        <w:keepLines w:val="0"/>
        <w:pageBreakBefore w:val="0"/>
        <w:widowControl w:val="0"/>
        <w:tabs>
          <w:tab w:val="left" w:pos="4558"/>
        </w:tabs>
        <w:kinsoku/>
        <w:wordWrap/>
        <w:overflowPunct/>
        <w:topLinePunct w:val="0"/>
        <w:autoSpaceDE w:val="0"/>
        <w:autoSpaceDN w:val="0"/>
        <w:bidi w:val="0"/>
        <w:adjustRightInd/>
        <w:snapToGrid/>
        <w:spacing w:before="213" w:line="560" w:lineRule="exact"/>
        <w:ind w:left="718"/>
        <w:jc w:val="both"/>
        <w:textAlignment w:val="auto"/>
        <w:rPr>
          <w:color w:val="auto"/>
          <w:highlight w:val="none"/>
        </w:rPr>
      </w:pPr>
      <w:r>
        <w:rPr>
          <w:color w:val="auto"/>
          <w:highlight w:val="none"/>
        </w:rPr>
        <w:t>邮编：</w:t>
      </w:r>
      <w:r>
        <w:rPr>
          <w:color w:val="auto"/>
          <w:highlight w:val="none"/>
        </w:rPr>
        <w:tab/>
      </w:r>
      <w:r>
        <w:rPr>
          <w:color w:val="auto"/>
          <w:highlight w:val="none"/>
        </w:rPr>
        <w:t>电话：</w:t>
      </w:r>
    </w:p>
    <w:p>
      <w:pPr>
        <w:pStyle w:val="9"/>
        <w:keepNext w:val="0"/>
        <w:keepLines w:val="0"/>
        <w:pageBreakBefore w:val="0"/>
        <w:widowControl w:val="0"/>
        <w:kinsoku/>
        <w:wordWrap/>
        <w:overflowPunct/>
        <w:topLinePunct w:val="0"/>
        <w:autoSpaceDE w:val="0"/>
        <w:autoSpaceDN w:val="0"/>
        <w:bidi w:val="0"/>
        <w:adjustRightInd/>
        <w:snapToGrid/>
        <w:spacing w:before="3" w:line="560" w:lineRule="exact"/>
        <w:textAlignment w:val="auto"/>
        <w:rPr>
          <w:color w:val="auto"/>
          <w:sz w:val="11"/>
          <w:highlight w:val="none"/>
        </w:rPr>
      </w:pPr>
    </w:p>
    <w:p>
      <w:pPr>
        <w:pStyle w:val="11"/>
        <w:spacing w:line="240" w:lineRule="atLeast"/>
        <w:ind w:left="1105" w:leftChars="257" w:hanging="540"/>
        <w:rPr>
          <w:rFonts w:hint="eastAsia" w:ascii="仿宋_GB2312" w:eastAsia="仿宋_GB2312"/>
          <w:sz w:val="24"/>
        </w:rPr>
      </w:pPr>
      <w:r>
        <w:rPr>
          <w:rFonts w:hint="eastAsia" w:ascii="宋体" w:hAnsi="宋体" w:eastAsia="宋体" w:cs="宋体"/>
          <w:color w:val="auto"/>
          <w:position w:val="10"/>
          <w:sz w:val="24"/>
          <w:szCs w:val="24"/>
          <w:highlight w:val="none"/>
          <w:lang w:val="zh-CN" w:eastAsia="zh-CN" w:bidi="zh-CN"/>
        </w:rPr>
        <w:t>法定代表人或其委托代理人签字</w:t>
      </w:r>
      <w:r>
        <w:rPr>
          <w:rFonts w:hint="eastAsia" w:ascii="仿宋_GB2312" w:eastAsia="仿宋_GB2312"/>
          <w:sz w:val="24"/>
        </w:rPr>
        <w:t>:</w:t>
      </w:r>
      <w:r>
        <w:rPr>
          <w:rFonts w:hint="eastAsia" w:ascii="仿宋_GB2312" w:hAnsi="宋体" w:eastAsia="仿宋_GB2312"/>
          <w:sz w:val="24"/>
          <w:u w:val="single"/>
        </w:rPr>
        <w:t xml:space="preserve"> </w:t>
      </w:r>
      <w:r>
        <w:rPr>
          <w:rFonts w:ascii="仿宋_GB2312" w:hAnsi="宋体" w:eastAsia="仿宋_GB2312"/>
          <w:sz w:val="24"/>
          <w:u w:val="single"/>
        </w:rPr>
        <w:tab/>
      </w:r>
      <w:r>
        <w:rPr>
          <w:rFonts w:hint="eastAsia" w:ascii="仿宋_GB2312" w:hAnsi="宋体" w:eastAsia="仿宋_GB2312"/>
          <w:sz w:val="24"/>
          <w:u w:val="single"/>
        </w:rPr>
        <w:t xml:space="preserve">                 </w:t>
      </w:r>
    </w:p>
    <w:p>
      <w:pPr>
        <w:pStyle w:val="9"/>
        <w:keepNext w:val="0"/>
        <w:keepLines w:val="0"/>
        <w:pageBreakBefore w:val="0"/>
        <w:widowControl w:val="0"/>
        <w:tabs>
          <w:tab w:val="left" w:pos="6485"/>
          <w:tab w:val="left" w:pos="6963"/>
          <w:tab w:val="left" w:pos="7443"/>
        </w:tabs>
        <w:kinsoku/>
        <w:wordWrap/>
        <w:overflowPunct/>
        <w:topLinePunct w:val="0"/>
        <w:autoSpaceDE w:val="0"/>
        <w:autoSpaceDN w:val="0"/>
        <w:bidi w:val="0"/>
        <w:adjustRightInd/>
        <w:snapToGrid/>
        <w:spacing w:before="146" w:line="560" w:lineRule="exact"/>
        <w:ind w:firstLine="720" w:firstLineChars="300"/>
        <w:jc w:val="both"/>
        <w:textAlignment w:val="auto"/>
        <w:rPr>
          <w:rFonts w:ascii="仿宋_GB2312" w:hAnsi="宋体" w:eastAsia="仿宋_GB2312"/>
          <w:sz w:val="24"/>
          <w:u w:val="single"/>
        </w:rPr>
      </w:pPr>
      <w:r>
        <w:rPr>
          <w:rFonts w:hint="eastAsia" w:ascii="宋体" w:hAnsi="宋体" w:eastAsia="宋体" w:cs="宋体"/>
          <w:color w:val="auto"/>
          <w:position w:val="10"/>
          <w:sz w:val="24"/>
          <w:szCs w:val="24"/>
          <w:highlight w:val="none"/>
          <w:lang w:val="en-US" w:eastAsia="zh-CN" w:bidi="zh-CN"/>
        </w:rPr>
        <w:t>供应商</w:t>
      </w:r>
      <w:r>
        <w:rPr>
          <w:rFonts w:hint="eastAsia" w:ascii="宋体" w:hAnsi="宋体" w:eastAsia="宋体" w:cs="宋体"/>
          <w:color w:val="auto"/>
          <w:position w:val="10"/>
          <w:sz w:val="24"/>
          <w:szCs w:val="24"/>
          <w:highlight w:val="none"/>
          <w:lang w:val="zh-CN" w:eastAsia="zh-CN" w:bidi="zh-CN"/>
        </w:rPr>
        <w:t>(盖单位章)</w:t>
      </w:r>
      <w:r>
        <w:rPr>
          <w:rFonts w:hint="eastAsia" w:ascii="仿宋_GB2312" w:hAnsi="宋体" w:eastAsia="仿宋_GB2312"/>
          <w:sz w:val="24"/>
        </w:rPr>
        <w:t>:</w:t>
      </w:r>
      <w:r>
        <w:rPr>
          <w:rFonts w:ascii="仿宋_GB2312" w:hAnsi="宋体" w:eastAsia="仿宋_GB2312"/>
          <w:sz w:val="24"/>
          <w:u w:val="single"/>
        </w:rPr>
        <w:tab/>
      </w:r>
    </w:p>
    <w:p>
      <w:pPr>
        <w:pStyle w:val="9"/>
        <w:keepNext w:val="0"/>
        <w:keepLines w:val="0"/>
        <w:pageBreakBefore w:val="0"/>
        <w:widowControl w:val="0"/>
        <w:tabs>
          <w:tab w:val="left" w:pos="6485"/>
          <w:tab w:val="left" w:pos="6963"/>
          <w:tab w:val="left" w:pos="7443"/>
        </w:tabs>
        <w:kinsoku/>
        <w:wordWrap/>
        <w:overflowPunct/>
        <w:topLinePunct w:val="0"/>
        <w:autoSpaceDE w:val="0"/>
        <w:autoSpaceDN w:val="0"/>
        <w:bidi w:val="0"/>
        <w:adjustRightInd/>
        <w:snapToGrid/>
        <w:spacing w:before="146" w:line="560" w:lineRule="exact"/>
        <w:ind w:left="5765"/>
        <w:textAlignment w:val="auto"/>
        <w:rPr>
          <w:color w:val="auto"/>
          <w:highlight w:val="none"/>
        </w:rPr>
      </w:pPr>
      <w:r>
        <w:rPr>
          <w:color w:val="auto"/>
          <w:highlight w:val="none"/>
        </w:rPr>
        <w:t>20</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bidi w:val="0"/>
        <w:rPr>
          <w:color w:val="auto"/>
          <w:highlight w:val="none"/>
        </w:rPr>
      </w:pPr>
    </w:p>
    <w:p>
      <w:pPr>
        <w:bidi w:val="0"/>
        <w:rPr>
          <w:color w:val="auto"/>
          <w:highlight w:val="none"/>
        </w:rPr>
      </w:pPr>
    </w:p>
    <w:p>
      <w:pPr>
        <w:bidi w:val="0"/>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6"/>
        <w:spacing w:before="54"/>
        <w:ind w:left="0" w:leftChars="0" w:firstLine="0" w:firstLineChars="0"/>
        <w:rPr>
          <w:color w:val="auto"/>
          <w:highlight w:val="none"/>
        </w:rPr>
      </w:pPr>
      <w:r>
        <w:rPr>
          <w:color w:val="auto"/>
          <w:highlight w:val="none"/>
        </w:rPr>
        <w:t>（六）</w:t>
      </w:r>
      <w:r>
        <w:rPr>
          <w:rFonts w:hint="eastAsia" w:eastAsia="宋体"/>
          <w:color w:val="auto"/>
          <w:highlight w:val="none"/>
          <w:lang w:eastAsia="zh-CN"/>
        </w:rPr>
        <w:t>有关</w:t>
      </w:r>
      <w:r>
        <w:rPr>
          <w:color w:val="auto"/>
          <w:highlight w:val="none"/>
        </w:rPr>
        <w:t>报价产品的检测报告</w:t>
      </w:r>
    </w:p>
    <w:p>
      <w:pPr>
        <w:spacing w:before="113"/>
        <w:ind w:right="0"/>
        <w:jc w:val="left"/>
        <w:rPr>
          <w:rFonts w:hint="eastAsia" w:ascii="Microsoft JhengHei" w:eastAsia="Microsoft JhengHei"/>
          <w:b/>
          <w:color w:val="auto"/>
          <w:sz w:val="30"/>
          <w:highlight w:val="none"/>
        </w:rPr>
      </w:pPr>
      <w:r>
        <w:rPr>
          <w:rFonts w:hint="eastAsia" w:ascii="Microsoft JhengHei" w:eastAsia="Microsoft JhengHei"/>
          <w:b/>
          <w:color w:val="auto"/>
          <w:sz w:val="30"/>
          <w:highlight w:val="none"/>
        </w:rPr>
        <w:t>（七）</w:t>
      </w:r>
      <w:r>
        <w:rPr>
          <w:rFonts w:hint="eastAsia" w:ascii="Microsoft JhengHei" w:eastAsia="宋体"/>
          <w:b/>
          <w:color w:val="auto"/>
          <w:sz w:val="30"/>
          <w:highlight w:val="none"/>
          <w:lang w:eastAsia="zh-CN"/>
        </w:rPr>
        <w:t>有关</w:t>
      </w:r>
      <w:r>
        <w:rPr>
          <w:rFonts w:hint="eastAsia" w:ascii="Microsoft JhengHei" w:eastAsia="Microsoft JhengHei"/>
          <w:b/>
          <w:color w:val="auto"/>
          <w:sz w:val="30"/>
          <w:highlight w:val="none"/>
        </w:rPr>
        <w:t>报价产品的制造、验收标准</w:t>
      </w:r>
    </w:p>
    <w:p>
      <w:pPr>
        <w:spacing w:before="116"/>
        <w:ind w:right="0"/>
        <w:jc w:val="left"/>
        <w:rPr>
          <w:rFonts w:hint="eastAsia" w:ascii="Microsoft JhengHei" w:eastAsia="Microsoft JhengHei"/>
          <w:b/>
          <w:color w:val="auto"/>
          <w:sz w:val="30"/>
          <w:highlight w:val="none"/>
        </w:rPr>
      </w:pPr>
      <w:r>
        <w:rPr>
          <w:rFonts w:hint="eastAsia" w:ascii="Microsoft JhengHei" w:eastAsia="Microsoft JhengHei"/>
          <w:b/>
          <w:color w:val="auto"/>
          <w:sz w:val="30"/>
          <w:highlight w:val="none"/>
        </w:rPr>
        <w:t>（八）售后服务承诺详述、保修、培训等计划详述</w:t>
      </w:r>
    </w:p>
    <w:p>
      <w:pPr>
        <w:pStyle w:val="9"/>
        <w:spacing w:before="7"/>
        <w:rPr>
          <w:rFonts w:ascii="Microsoft JhengHei"/>
          <w:b/>
          <w:color w:val="auto"/>
          <w:sz w:val="8"/>
          <w:highlight w:val="none"/>
        </w:rPr>
      </w:pPr>
    </w:p>
    <w:p>
      <w:pPr>
        <w:spacing w:before="0" w:line="511" w:lineRule="exact"/>
        <w:ind w:right="0"/>
        <w:jc w:val="left"/>
        <w:rPr>
          <w:rFonts w:hint="eastAsia" w:ascii="Microsoft JhengHei" w:eastAsia="Microsoft JhengHei"/>
          <w:b/>
          <w:color w:val="auto"/>
          <w:sz w:val="30"/>
          <w:highlight w:val="none"/>
        </w:rPr>
      </w:pPr>
      <w:r>
        <w:rPr>
          <w:rFonts w:hint="eastAsia" w:ascii="Microsoft JhengHei" w:eastAsia="Microsoft JhengHei"/>
          <w:b/>
          <w:color w:val="auto"/>
          <w:sz w:val="30"/>
          <w:highlight w:val="none"/>
        </w:rPr>
        <w:t>（九）设备分项报价表</w:t>
      </w:r>
    </w:p>
    <w:p>
      <w:pPr>
        <w:pStyle w:val="9"/>
        <w:tabs>
          <w:tab w:val="left" w:pos="5098"/>
        </w:tabs>
        <w:spacing w:before="87"/>
        <w:ind w:left="298"/>
        <w:rPr>
          <w:color w:val="auto"/>
          <w:highlight w:val="none"/>
        </w:rPr>
      </w:pPr>
      <w:r>
        <w:rPr>
          <w:color w:val="auto"/>
          <w:highlight w:val="none"/>
        </w:rPr>
        <w:t>供应商名称（公章</w:t>
      </w:r>
      <w:r>
        <w:rPr>
          <w:color w:val="auto"/>
          <w:spacing w:val="-120"/>
          <w:highlight w:val="none"/>
        </w:rPr>
        <w:t>）</w:t>
      </w:r>
      <w:r>
        <w:rPr>
          <w:color w:val="auto"/>
          <w:highlight w:val="none"/>
        </w:rPr>
        <w:t>：</w:t>
      </w:r>
      <w:r>
        <w:rPr>
          <w:color w:val="auto"/>
          <w:highlight w:val="none"/>
        </w:rPr>
        <w:tab/>
      </w:r>
      <w:r>
        <w:rPr>
          <w:color w:val="auto"/>
          <w:highlight w:val="none"/>
        </w:rPr>
        <w:t>采购编号：</w:t>
      </w:r>
    </w:p>
    <w:p>
      <w:pPr>
        <w:pStyle w:val="9"/>
        <w:spacing w:before="12"/>
        <w:rPr>
          <w:color w:val="auto"/>
          <w:sz w:val="26"/>
          <w:highlight w:val="none"/>
        </w:rPr>
      </w:pPr>
    </w:p>
    <w:tbl>
      <w:tblPr>
        <w:tblStyle w:val="16"/>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956"/>
        <w:gridCol w:w="1555"/>
        <w:gridCol w:w="1358"/>
        <w:gridCol w:w="1358"/>
        <w:gridCol w:w="777"/>
        <w:gridCol w:w="986"/>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624" w:type="dxa"/>
          </w:tcPr>
          <w:p>
            <w:pPr>
              <w:pStyle w:val="22"/>
              <w:spacing w:before="11"/>
              <w:ind w:left="191"/>
              <w:rPr>
                <w:color w:val="auto"/>
                <w:sz w:val="24"/>
                <w:highlight w:val="none"/>
              </w:rPr>
            </w:pPr>
            <w:r>
              <w:rPr>
                <w:color w:val="auto"/>
                <w:sz w:val="24"/>
                <w:highlight w:val="none"/>
              </w:rPr>
              <w:t>序</w:t>
            </w:r>
          </w:p>
          <w:p>
            <w:pPr>
              <w:pStyle w:val="22"/>
              <w:spacing w:before="27" w:line="301" w:lineRule="exact"/>
              <w:ind w:left="191"/>
              <w:rPr>
                <w:color w:val="auto"/>
                <w:sz w:val="24"/>
                <w:highlight w:val="none"/>
              </w:rPr>
            </w:pPr>
            <w:r>
              <w:rPr>
                <w:color w:val="auto"/>
                <w:sz w:val="24"/>
                <w:highlight w:val="none"/>
              </w:rPr>
              <w:t>号</w:t>
            </w:r>
          </w:p>
        </w:tc>
        <w:tc>
          <w:tcPr>
            <w:tcW w:w="1956" w:type="dxa"/>
          </w:tcPr>
          <w:p>
            <w:pPr>
              <w:pStyle w:val="22"/>
              <w:spacing w:before="180"/>
              <w:ind w:left="496"/>
              <w:rPr>
                <w:color w:val="auto"/>
                <w:sz w:val="24"/>
                <w:highlight w:val="none"/>
              </w:rPr>
            </w:pPr>
            <w:r>
              <w:rPr>
                <w:color w:val="auto"/>
                <w:sz w:val="24"/>
                <w:highlight w:val="none"/>
              </w:rPr>
              <w:t>设备名称</w:t>
            </w:r>
          </w:p>
        </w:tc>
        <w:tc>
          <w:tcPr>
            <w:tcW w:w="1555" w:type="dxa"/>
          </w:tcPr>
          <w:p>
            <w:pPr>
              <w:pStyle w:val="22"/>
              <w:spacing w:before="180"/>
              <w:ind w:left="295"/>
              <w:rPr>
                <w:color w:val="auto"/>
                <w:sz w:val="24"/>
                <w:highlight w:val="none"/>
              </w:rPr>
            </w:pPr>
            <w:r>
              <w:rPr>
                <w:color w:val="auto"/>
                <w:sz w:val="24"/>
                <w:highlight w:val="none"/>
              </w:rPr>
              <w:t>规格型号</w:t>
            </w:r>
          </w:p>
        </w:tc>
        <w:tc>
          <w:tcPr>
            <w:tcW w:w="1358" w:type="dxa"/>
          </w:tcPr>
          <w:p>
            <w:pPr>
              <w:pStyle w:val="22"/>
              <w:spacing w:before="180"/>
              <w:ind w:left="436"/>
              <w:rPr>
                <w:color w:val="auto"/>
                <w:sz w:val="24"/>
                <w:highlight w:val="none"/>
              </w:rPr>
            </w:pPr>
            <w:r>
              <w:rPr>
                <w:color w:val="auto"/>
                <w:sz w:val="24"/>
                <w:highlight w:val="none"/>
              </w:rPr>
              <w:t>参数</w:t>
            </w:r>
          </w:p>
        </w:tc>
        <w:tc>
          <w:tcPr>
            <w:tcW w:w="1358" w:type="dxa"/>
          </w:tcPr>
          <w:p>
            <w:pPr>
              <w:pStyle w:val="22"/>
              <w:spacing w:before="180"/>
              <w:ind w:left="319"/>
              <w:rPr>
                <w:color w:val="auto"/>
                <w:sz w:val="24"/>
                <w:highlight w:val="none"/>
              </w:rPr>
            </w:pPr>
            <w:r>
              <w:rPr>
                <w:color w:val="auto"/>
                <w:sz w:val="24"/>
                <w:highlight w:val="none"/>
              </w:rPr>
              <w:t>制造商</w:t>
            </w:r>
          </w:p>
        </w:tc>
        <w:tc>
          <w:tcPr>
            <w:tcW w:w="777" w:type="dxa"/>
          </w:tcPr>
          <w:p>
            <w:pPr>
              <w:pStyle w:val="22"/>
              <w:spacing w:before="180"/>
              <w:ind w:left="149"/>
              <w:rPr>
                <w:color w:val="auto"/>
                <w:sz w:val="24"/>
                <w:highlight w:val="none"/>
              </w:rPr>
            </w:pPr>
            <w:r>
              <w:rPr>
                <w:color w:val="auto"/>
                <w:sz w:val="24"/>
                <w:highlight w:val="none"/>
              </w:rPr>
              <w:t>数量</w:t>
            </w:r>
          </w:p>
        </w:tc>
        <w:tc>
          <w:tcPr>
            <w:tcW w:w="986" w:type="dxa"/>
          </w:tcPr>
          <w:p>
            <w:pPr>
              <w:pStyle w:val="22"/>
              <w:spacing w:before="180"/>
              <w:ind w:left="255"/>
              <w:rPr>
                <w:color w:val="auto"/>
                <w:sz w:val="24"/>
                <w:highlight w:val="none"/>
              </w:rPr>
            </w:pPr>
            <w:r>
              <w:rPr>
                <w:color w:val="auto"/>
                <w:sz w:val="24"/>
                <w:highlight w:val="none"/>
              </w:rPr>
              <w:t>单价</w:t>
            </w:r>
          </w:p>
        </w:tc>
        <w:tc>
          <w:tcPr>
            <w:tcW w:w="1166" w:type="dxa"/>
          </w:tcPr>
          <w:p>
            <w:pPr>
              <w:pStyle w:val="22"/>
              <w:spacing w:before="180"/>
              <w:ind w:left="342"/>
              <w:rPr>
                <w:color w:val="auto"/>
                <w:sz w:val="24"/>
                <w:highlight w:val="none"/>
              </w:rPr>
            </w:pPr>
            <w:r>
              <w:rPr>
                <w:color w:val="auto"/>
                <w:sz w:val="24"/>
                <w:highlight w:val="none"/>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624" w:type="dxa"/>
          </w:tcPr>
          <w:p>
            <w:pPr>
              <w:pStyle w:val="22"/>
              <w:spacing w:before="69"/>
              <w:ind w:right="240"/>
              <w:jc w:val="right"/>
              <w:rPr>
                <w:color w:val="auto"/>
                <w:sz w:val="24"/>
                <w:highlight w:val="none"/>
              </w:rPr>
            </w:pPr>
            <w:r>
              <w:rPr>
                <w:color w:val="auto"/>
                <w:sz w:val="24"/>
                <w:highlight w:val="none"/>
              </w:rPr>
              <w:t>1</w:t>
            </w:r>
          </w:p>
        </w:tc>
        <w:tc>
          <w:tcPr>
            <w:tcW w:w="1956" w:type="dxa"/>
          </w:tcPr>
          <w:p>
            <w:pPr>
              <w:pStyle w:val="22"/>
              <w:rPr>
                <w:rFonts w:ascii="Times New Roman"/>
                <w:color w:val="auto"/>
                <w:sz w:val="24"/>
                <w:highlight w:val="none"/>
              </w:rPr>
            </w:pPr>
          </w:p>
        </w:tc>
        <w:tc>
          <w:tcPr>
            <w:tcW w:w="1555"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777" w:type="dxa"/>
          </w:tcPr>
          <w:p>
            <w:pPr>
              <w:pStyle w:val="22"/>
              <w:rPr>
                <w:rFonts w:ascii="Times New Roman"/>
                <w:color w:val="auto"/>
                <w:sz w:val="24"/>
                <w:highlight w:val="none"/>
              </w:rPr>
            </w:pPr>
          </w:p>
        </w:tc>
        <w:tc>
          <w:tcPr>
            <w:tcW w:w="986" w:type="dxa"/>
          </w:tcPr>
          <w:p>
            <w:pPr>
              <w:pStyle w:val="22"/>
              <w:rPr>
                <w:rFonts w:ascii="Times New Roman"/>
                <w:color w:val="auto"/>
                <w:sz w:val="24"/>
                <w:highlight w:val="none"/>
              </w:rPr>
            </w:pPr>
          </w:p>
        </w:tc>
        <w:tc>
          <w:tcPr>
            <w:tcW w:w="1166"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624" w:type="dxa"/>
          </w:tcPr>
          <w:p>
            <w:pPr>
              <w:pStyle w:val="22"/>
              <w:spacing w:before="64"/>
              <w:ind w:right="240"/>
              <w:jc w:val="right"/>
              <w:rPr>
                <w:color w:val="auto"/>
                <w:sz w:val="24"/>
                <w:highlight w:val="none"/>
              </w:rPr>
            </w:pPr>
            <w:r>
              <w:rPr>
                <w:color w:val="auto"/>
                <w:sz w:val="24"/>
                <w:highlight w:val="none"/>
              </w:rPr>
              <w:t>2</w:t>
            </w:r>
          </w:p>
        </w:tc>
        <w:tc>
          <w:tcPr>
            <w:tcW w:w="1956" w:type="dxa"/>
          </w:tcPr>
          <w:p>
            <w:pPr>
              <w:pStyle w:val="22"/>
              <w:rPr>
                <w:rFonts w:ascii="Times New Roman"/>
                <w:color w:val="auto"/>
                <w:sz w:val="24"/>
                <w:highlight w:val="none"/>
              </w:rPr>
            </w:pPr>
          </w:p>
        </w:tc>
        <w:tc>
          <w:tcPr>
            <w:tcW w:w="1555"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777" w:type="dxa"/>
          </w:tcPr>
          <w:p>
            <w:pPr>
              <w:pStyle w:val="22"/>
              <w:rPr>
                <w:rFonts w:ascii="Times New Roman"/>
                <w:color w:val="auto"/>
                <w:sz w:val="24"/>
                <w:highlight w:val="none"/>
              </w:rPr>
            </w:pPr>
          </w:p>
        </w:tc>
        <w:tc>
          <w:tcPr>
            <w:tcW w:w="986" w:type="dxa"/>
          </w:tcPr>
          <w:p>
            <w:pPr>
              <w:pStyle w:val="22"/>
              <w:rPr>
                <w:rFonts w:ascii="Times New Roman"/>
                <w:color w:val="auto"/>
                <w:sz w:val="24"/>
                <w:highlight w:val="none"/>
              </w:rPr>
            </w:pPr>
          </w:p>
        </w:tc>
        <w:tc>
          <w:tcPr>
            <w:tcW w:w="1166"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624" w:type="dxa"/>
          </w:tcPr>
          <w:p>
            <w:pPr>
              <w:pStyle w:val="22"/>
              <w:spacing w:before="43"/>
              <w:ind w:right="240"/>
              <w:jc w:val="right"/>
              <w:rPr>
                <w:color w:val="auto"/>
                <w:sz w:val="24"/>
                <w:highlight w:val="none"/>
              </w:rPr>
            </w:pPr>
            <w:r>
              <w:rPr>
                <w:color w:val="auto"/>
                <w:sz w:val="24"/>
                <w:highlight w:val="none"/>
              </w:rPr>
              <w:t>3</w:t>
            </w:r>
          </w:p>
        </w:tc>
        <w:tc>
          <w:tcPr>
            <w:tcW w:w="1956" w:type="dxa"/>
          </w:tcPr>
          <w:p>
            <w:pPr>
              <w:pStyle w:val="22"/>
              <w:rPr>
                <w:rFonts w:ascii="Times New Roman"/>
                <w:color w:val="auto"/>
                <w:sz w:val="24"/>
                <w:highlight w:val="none"/>
              </w:rPr>
            </w:pPr>
          </w:p>
        </w:tc>
        <w:tc>
          <w:tcPr>
            <w:tcW w:w="1555"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777" w:type="dxa"/>
          </w:tcPr>
          <w:p>
            <w:pPr>
              <w:pStyle w:val="22"/>
              <w:rPr>
                <w:rFonts w:ascii="Times New Roman"/>
                <w:color w:val="auto"/>
                <w:sz w:val="24"/>
                <w:highlight w:val="none"/>
              </w:rPr>
            </w:pPr>
          </w:p>
        </w:tc>
        <w:tc>
          <w:tcPr>
            <w:tcW w:w="986" w:type="dxa"/>
          </w:tcPr>
          <w:p>
            <w:pPr>
              <w:pStyle w:val="22"/>
              <w:rPr>
                <w:rFonts w:ascii="Times New Roman"/>
                <w:color w:val="auto"/>
                <w:sz w:val="24"/>
                <w:highlight w:val="none"/>
              </w:rPr>
            </w:pPr>
          </w:p>
        </w:tc>
        <w:tc>
          <w:tcPr>
            <w:tcW w:w="1166"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624" w:type="dxa"/>
          </w:tcPr>
          <w:p>
            <w:pPr>
              <w:pStyle w:val="22"/>
              <w:spacing w:before="43"/>
              <w:ind w:right="240"/>
              <w:jc w:val="right"/>
              <w:rPr>
                <w:color w:val="auto"/>
                <w:sz w:val="24"/>
                <w:highlight w:val="none"/>
              </w:rPr>
            </w:pPr>
            <w:r>
              <w:rPr>
                <w:color w:val="auto"/>
                <w:sz w:val="24"/>
                <w:highlight w:val="none"/>
              </w:rPr>
              <w:t>4</w:t>
            </w:r>
          </w:p>
        </w:tc>
        <w:tc>
          <w:tcPr>
            <w:tcW w:w="1956" w:type="dxa"/>
          </w:tcPr>
          <w:p>
            <w:pPr>
              <w:pStyle w:val="22"/>
              <w:rPr>
                <w:rFonts w:ascii="Times New Roman"/>
                <w:color w:val="auto"/>
                <w:sz w:val="24"/>
                <w:highlight w:val="none"/>
              </w:rPr>
            </w:pPr>
          </w:p>
        </w:tc>
        <w:tc>
          <w:tcPr>
            <w:tcW w:w="1555"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777" w:type="dxa"/>
          </w:tcPr>
          <w:p>
            <w:pPr>
              <w:pStyle w:val="22"/>
              <w:rPr>
                <w:rFonts w:ascii="Times New Roman"/>
                <w:color w:val="auto"/>
                <w:sz w:val="24"/>
                <w:highlight w:val="none"/>
              </w:rPr>
            </w:pPr>
          </w:p>
        </w:tc>
        <w:tc>
          <w:tcPr>
            <w:tcW w:w="986" w:type="dxa"/>
          </w:tcPr>
          <w:p>
            <w:pPr>
              <w:pStyle w:val="22"/>
              <w:rPr>
                <w:rFonts w:ascii="Times New Roman"/>
                <w:color w:val="auto"/>
                <w:sz w:val="24"/>
                <w:highlight w:val="none"/>
              </w:rPr>
            </w:pPr>
          </w:p>
        </w:tc>
        <w:tc>
          <w:tcPr>
            <w:tcW w:w="1166"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624" w:type="dxa"/>
          </w:tcPr>
          <w:p>
            <w:pPr>
              <w:pStyle w:val="22"/>
              <w:spacing w:before="43"/>
              <w:ind w:right="240"/>
              <w:jc w:val="right"/>
              <w:rPr>
                <w:color w:val="auto"/>
                <w:sz w:val="24"/>
                <w:highlight w:val="none"/>
              </w:rPr>
            </w:pPr>
            <w:r>
              <w:rPr>
                <w:color w:val="auto"/>
                <w:sz w:val="24"/>
                <w:highlight w:val="none"/>
              </w:rPr>
              <w:t>5</w:t>
            </w:r>
          </w:p>
        </w:tc>
        <w:tc>
          <w:tcPr>
            <w:tcW w:w="1956" w:type="dxa"/>
          </w:tcPr>
          <w:p>
            <w:pPr>
              <w:pStyle w:val="22"/>
              <w:rPr>
                <w:rFonts w:ascii="Times New Roman"/>
                <w:color w:val="auto"/>
                <w:sz w:val="24"/>
                <w:highlight w:val="none"/>
              </w:rPr>
            </w:pPr>
          </w:p>
        </w:tc>
        <w:tc>
          <w:tcPr>
            <w:tcW w:w="1555"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777" w:type="dxa"/>
          </w:tcPr>
          <w:p>
            <w:pPr>
              <w:pStyle w:val="22"/>
              <w:rPr>
                <w:rFonts w:ascii="Times New Roman"/>
                <w:color w:val="auto"/>
                <w:sz w:val="24"/>
                <w:highlight w:val="none"/>
              </w:rPr>
            </w:pPr>
          </w:p>
        </w:tc>
        <w:tc>
          <w:tcPr>
            <w:tcW w:w="986" w:type="dxa"/>
          </w:tcPr>
          <w:p>
            <w:pPr>
              <w:pStyle w:val="22"/>
              <w:rPr>
                <w:rFonts w:ascii="Times New Roman"/>
                <w:color w:val="auto"/>
                <w:sz w:val="24"/>
                <w:highlight w:val="none"/>
              </w:rPr>
            </w:pPr>
          </w:p>
        </w:tc>
        <w:tc>
          <w:tcPr>
            <w:tcW w:w="1166"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624" w:type="dxa"/>
          </w:tcPr>
          <w:p>
            <w:pPr>
              <w:pStyle w:val="22"/>
              <w:spacing w:before="43"/>
              <w:ind w:right="240"/>
              <w:jc w:val="right"/>
              <w:rPr>
                <w:color w:val="auto"/>
                <w:sz w:val="24"/>
                <w:highlight w:val="none"/>
              </w:rPr>
            </w:pPr>
            <w:r>
              <w:rPr>
                <w:color w:val="auto"/>
                <w:sz w:val="24"/>
                <w:highlight w:val="none"/>
              </w:rPr>
              <w:t>6</w:t>
            </w:r>
          </w:p>
        </w:tc>
        <w:tc>
          <w:tcPr>
            <w:tcW w:w="1956" w:type="dxa"/>
          </w:tcPr>
          <w:p>
            <w:pPr>
              <w:pStyle w:val="22"/>
              <w:rPr>
                <w:rFonts w:ascii="Times New Roman"/>
                <w:color w:val="auto"/>
                <w:sz w:val="24"/>
                <w:highlight w:val="none"/>
              </w:rPr>
            </w:pPr>
          </w:p>
        </w:tc>
        <w:tc>
          <w:tcPr>
            <w:tcW w:w="1555"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1358" w:type="dxa"/>
          </w:tcPr>
          <w:p>
            <w:pPr>
              <w:pStyle w:val="22"/>
              <w:rPr>
                <w:rFonts w:ascii="Times New Roman"/>
                <w:color w:val="auto"/>
                <w:sz w:val="24"/>
                <w:highlight w:val="none"/>
              </w:rPr>
            </w:pPr>
          </w:p>
        </w:tc>
        <w:tc>
          <w:tcPr>
            <w:tcW w:w="777" w:type="dxa"/>
          </w:tcPr>
          <w:p>
            <w:pPr>
              <w:pStyle w:val="22"/>
              <w:rPr>
                <w:rFonts w:ascii="Times New Roman"/>
                <w:color w:val="auto"/>
                <w:sz w:val="24"/>
                <w:highlight w:val="none"/>
              </w:rPr>
            </w:pPr>
          </w:p>
        </w:tc>
        <w:tc>
          <w:tcPr>
            <w:tcW w:w="986" w:type="dxa"/>
          </w:tcPr>
          <w:p>
            <w:pPr>
              <w:pStyle w:val="22"/>
              <w:rPr>
                <w:rFonts w:ascii="Times New Roman"/>
                <w:color w:val="auto"/>
                <w:sz w:val="24"/>
                <w:highlight w:val="none"/>
              </w:rPr>
            </w:pPr>
          </w:p>
        </w:tc>
        <w:tc>
          <w:tcPr>
            <w:tcW w:w="1166" w:type="dxa"/>
          </w:tcPr>
          <w:p>
            <w:pPr>
              <w:pStyle w:val="22"/>
              <w:rPr>
                <w:rFonts w:ascii="Times New Roman"/>
                <w:color w:val="auto"/>
                <w:sz w:val="24"/>
                <w:highlight w:val="none"/>
              </w:rPr>
            </w:pPr>
          </w:p>
        </w:tc>
      </w:tr>
    </w:tbl>
    <w:p>
      <w:pPr>
        <w:pStyle w:val="9"/>
        <w:spacing w:before="7"/>
        <w:rPr>
          <w:color w:val="auto"/>
          <w:sz w:val="11"/>
          <w:highlight w:val="none"/>
        </w:rPr>
      </w:pPr>
    </w:p>
    <w:p>
      <w:pPr>
        <w:pStyle w:val="9"/>
        <w:spacing w:before="7"/>
        <w:rPr>
          <w:color w:val="auto"/>
          <w:sz w:val="21"/>
          <w:highlight w:val="none"/>
        </w:rPr>
      </w:pPr>
    </w:p>
    <w:p>
      <w:pPr>
        <w:pStyle w:val="9"/>
        <w:spacing w:before="67"/>
        <w:ind w:left="298"/>
        <w:rPr>
          <w:color w:val="auto"/>
          <w:highlight w:val="none"/>
        </w:rPr>
      </w:pPr>
      <w:r>
        <w:rPr>
          <w:color w:val="auto"/>
          <w:highlight w:val="none"/>
        </w:rPr>
        <w:t>注：此表需详列报价的每种设备。</w:t>
      </w:r>
    </w:p>
    <w:p>
      <w:pPr>
        <w:pStyle w:val="9"/>
        <w:spacing w:before="1"/>
        <w:rPr>
          <w:color w:val="auto"/>
          <w:sz w:val="28"/>
          <w:highlight w:val="none"/>
        </w:rPr>
      </w:pPr>
    </w:p>
    <w:p>
      <w:pPr>
        <w:pStyle w:val="9"/>
        <w:ind w:left="298"/>
        <w:rPr>
          <w:color w:val="auto"/>
          <w:highlight w:val="none"/>
        </w:rPr>
      </w:pPr>
      <w:r>
        <w:rPr>
          <w:color w:val="auto"/>
          <w:highlight w:val="none"/>
        </w:rPr>
        <w:t>供应商代表签字：</w:t>
      </w: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rPr>
          <w:color w:val="auto"/>
          <w:highlight w:val="none"/>
        </w:rPr>
      </w:pPr>
    </w:p>
    <w:p>
      <w:pPr>
        <w:pStyle w:val="9"/>
        <w:spacing w:before="1"/>
        <w:rPr>
          <w:color w:val="auto"/>
          <w:sz w:val="32"/>
          <w:highlight w:val="none"/>
        </w:rPr>
      </w:pPr>
    </w:p>
    <w:p>
      <w:pPr>
        <w:pStyle w:val="6"/>
        <w:spacing w:before="54"/>
        <w:ind w:right="1771"/>
        <w:jc w:val="center"/>
        <w:rPr>
          <w:color w:val="auto"/>
          <w:highlight w:val="none"/>
        </w:rPr>
      </w:pPr>
      <w:r>
        <w:rPr>
          <w:color w:val="auto"/>
          <w:highlight w:val="none"/>
        </w:rPr>
        <w:t>（十）近三年在国内及新疆地区的销售业绩表</w:t>
      </w:r>
    </w:p>
    <w:p>
      <w:pPr>
        <w:pStyle w:val="9"/>
        <w:tabs>
          <w:tab w:val="left" w:pos="5098"/>
        </w:tabs>
        <w:spacing w:before="87"/>
        <w:ind w:left="298"/>
        <w:rPr>
          <w:color w:val="auto"/>
          <w:highlight w:val="none"/>
        </w:rPr>
      </w:pPr>
      <w:r>
        <w:rPr>
          <w:color w:val="auto"/>
          <w:highlight w:val="none"/>
        </w:rPr>
        <w:t>供应商名称（公章</w:t>
      </w:r>
      <w:r>
        <w:rPr>
          <w:color w:val="auto"/>
          <w:spacing w:val="-120"/>
          <w:highlight w:val="none"/>
        </w:rPr>
        <w:t>）</w:t>
      </w:r>
      <w:r>
        <w:rPr>
          <w:color w:val="auto"/>
          <w:highlight w:val="none"/>
        </w:rPr>
        <w:t>：</w:t>
      </w:r>
      <w:r>
        <w:rPr>
          <w:color w:val="auto"/>
          <w:highlight w:val="none"/>
        </w:rPr>
        <w:tab/>
      </w:r>
      <w:r>
        <w:rPr>
          <w:color w:val="auto"/>
          <w:highlight w:val="none"/>
        </w:rPr>
        <w:t>采购编号：</w:t>
      </w:r>
    </w:p>
    <w:p>
      <w:pPr>
        <w:pStyle w:val="9"/>
        <w:rPr>
          <w:color w:val="auto"/>
          <w:sz w:val="27"/>
          <w:highlight w:val="none"/>
        </w:rPr>
      </w:pPr>
    </w:p>
    <w:tbl>
      <w:tblPr>
        <w:tblStyle w:val="16"/>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3"/>
        <w:gridCol w:w="2575"/>
        <w:gridCol w:w="2069"/>
        <w:gridCol w:w="1560"/>
        <w:gridCol w:w="1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493" w:type="dxa"/>
          </w:tcPr>
          <w:p>
            <w:pPr>
              <w:pStyle w:val="22"/>
              <w:tabs>
                <w:tab w:val="left" w:pos="1026"/>
              </w:tabs>
              <w:spacing w:before="154"/>
              <w:ind w:left="184"/>
              <w:rPr>
                <w:color w:val="auto"/>
                <w:sz w:val="28"/>
                <w:highlight w:val="none"/>
              </w:rPr>
            </w:pPr>
            <w:r>
              <w:rPr>
                <w:color w:val="auto"/>
                <w:sz w:val="28"/>
                <w:highlight w:val="none"/>
              </w:rPr>
              <w:t>地</w:t>
            </w:r>
            <w:r>
              <w:rPr>
                <w:color w:val="auto"/>
                <w:sz w:val="28"/>
                <w:highlight w:val="none"/>
              </w:rPr>
              <w:tab/>
            </w:r>
            <w:r>
              <w:rPr>
                <w:color w:val="auto"/>
                <w:sz w:val="28"/>
                <w:highlight w:val="none"/>
              </w:rPr>
              <w:t>区</w:t>
            </w:r>
          </w:p>
        </w:tc>
        <w:tc>
          <w:tcPr>
            <w:tcW w:w="2575" w:type="dxa"/>
          </w:tcPr>
          <w:p>
            <w:pPr>
              <w:pStyle w:val="22"/>
              <w:spacing w:before="154"/>
              <w:ind w:left="777"/>
              <w:rPr>
                <w:color w:val="auto"/>
                <w:sz w:val="28"/>
                <w:highlight w:val="none"/>
              </w:rPr>
            </w:pPr>
            <w:r>
              <w:rPr>
                <w:color w:val="auto"/>
                <w:sz w:val="28"/>
                <w:highlight w:val="none"/>
              </w:rPr>
              <w:t>货物名称</w:t>
            </w:r>
          </w:p>
        </w:tc>
        <w:tc>
          <w:tcPr>
            <w:tcW w:w="2069" w:type="dxa"/>
          </w:tcPr>
          <w:p>
            <w:pPr>
              <w:pStyle w:val="22"/>
              <w:spacing w:before="154"/>
              <w:ind w:left="107"/>
              <w:rPr>
                <w:color w:val="auto"/>
                <w:sz w:val="28"/>
                <w:highlight w:val="none"/>
              </w:rPr>
            </w:pPr>
            <w:r>
              <w:rPr>
                <w:color w:val="auto"/>
                <w:sz w:val="28"/>
                <w:highlight w:val="none"/>
              </w:rPr>
              <w:t>规格及型号</w:t>
            </w:r>
          </w:p>
        </w:tc>
        <w:tc>
          <w:tcPr>
            <w:tcW w:w="1560" w:type="dxa"/>
          </w:tcPr>
          <w:p>
            <w:pPr>
              <w:pStyle w:val="22"/>
              <w:spacing w:before="154"/>
              <w:ind w:left="429"/>
              <w:rPr>
                <w:color w:val="auto"/>
                <w:sz w:val="28"/>
                <w:highlight w:val="none"/>
              </w:rPr>
            </w:pPr>
            <w:r>
              <w:rPr>
                <w:color w:val="auto"/>
                <w:sz w:val="28"/>
                <w:highlight w:val="none"/>
              </w:rPr>
              <w:t>数 量</w:t>
            </w:r>
          </w:p>
        </w:tc>
        <w:tc>
          <w:tcPr>
            <w:tcW w:w="1589" w:type="dxa"/>
          </w:tcPr>
          <w:p>
            <w:pPr>
              <w:pStyle w:val="22"/>
              <w:spacing w:before="154"/>
              <w:ind w:left="719"/>
              <w:rPr>
                <w:color w:val="auto"/>
                <w:sz w:val="28"/>
                <w:highlight w:val="none"/>
              </w:rPr>
            </w:pPr>
            <w:r>
              <w:rPr>
                <w:color w:val="auto"/>
                <w:sz w:val="28"/>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93" w:type="dxa"/>
          </w:tcPr>
          <w:p>
            <w:pPr>
              <w:pStyle w:val="22"/>
              <w:rPr>
                <w:rFonts w:ascii="Times New Roman"/>
                <w:color w:val="auto"/>
                <w:sz w:val="24"/>
                <w:highlight w:val="none"/>
              </w:rPr>
            </w:pPr>
          </w:p>
        </w:tc>
        <w:tc>
          <w:tcPr>
            <w:tcW w:w="2575" w:type="dxa"/>
          </w:tcPr>
          <w:p>
            <w:pPr>
              <w:pStyle w:val="22"/>
              <w:rPr>
                <w:rFonts w:ascii="Times New Roman"/>
                <w:color w:val="auto"/>
                <w:sz w:val="24"/>
                <w:highlight w:val="none"/>
              </w:rPr>
            </w:pPr>
          </w:p>
        </w:tc>
        <w:tc>
          <w:tcPr>
            <w:tcW w:w="2069" w:type="dxa"/>
          </w:tcPr>
          <w:p>
            <w:pPr>
              <w:pStyle w:val="22"/>
              <w:rPr>
                <w:rFonts w:ascii="Times New Roman"/>
                <w:color w:val="auto"/>
                <w:sz w:val="24"/>
                <w:highlight w:val="none"/>
              </w:rPr>
            </w:pPr>
          </w:p>
        </w:tc>
        <w:tc>
          <w:tcPr>
            <w:tcW w:w="1560" w:type="dxa"/>
          </w:tcPr>
          <w:p>
            <w:pPr>
              <w:pStyle w:val="22"/>
              <w:rPr>
                <w:rFonts w:ascii="Times New Roman"/>
                <w:color w:val="auto"/>
                <w:sz w:val="24"/>
                <w:highlight w:val="none"/>
              </w:rPr>
            </w:pPr>
          </w:p>
        </w:tc>
        <w:tc>
          <w:tcPr>
            <w:tcW w:w="1589"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93" w:type="dxa"/>
          </w:tcPr>
          <w:p>
            <w:pPr>
              <w:pStyle w:val="22"/>
              <w:rPr>
                <w:rFonts w:ascii="Times New Roman"/>
                <w:color w:val="auto"/>
                <w:sz w:val="24"/>
                <w:highlight w:val="none"/>
              </w:rPr>
            </w:pPr>
          </w:p>
        </w:tc>
        <w:tc>
          <w:tcPr>
            <w:tcW w:w="2575" w:type="dxa"/>
          </w:tcPr>
          <w:p>
            <w:pPr>
              <w:pStyle w:val="22"/>
              <w:rPr>
                <w:rFonts w:ascii="Times New Roman"/>
                <w:color w:val="auto"/>
                <w:sz w:val="24"/>
                <w:highlight w:val="none"/>
              </w:rPr>
            </w:pPr>
          </w:p>
        </w:tc>
        <w:tc>
          <w:tcPr>
            <w:tcW w:w="2069" w:type="dxa"/>
          </w:tcPr>
          <w:p>
            <w:pPr>
              <w:pStyle w:val="22"/>
              <w:rPr>
                <w:rFonts w:ascii="Times New Roman"/>
                <w:color w:val="auto"/>
                <w:sz w:val="24"/>
                <w:highlight w:val="none"/>
              </w:rPr>
            </w:pPr>
          </w:p>
        </w:tc>
        <w:tc>
          <w:tcPr>
            <w:tcW w:w="1560" w:type="dxa"/>
          </w:tcPr>
          <w:p>
            <w:pPr>
              <w:pStyle w:val="22"/>
              <w:rPr>
                <w:rFonts w:ascii="Times New Roman"/>
                <w:color w:val="auto"/>
                <w:sz w:val="24"/>
                <w:highlight w:val="none"/>
              </w:rPr>
            </w:pPr>
          </w:p>
        </w:tc>
        <w:tc>
          <w:tcPr>
            <w:tcW w:w="1589"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493" w:type="dxa"/>
          </w:tcPr>
          <w:p>
            <w:pPr>
              <w:pStyle w:val="22"/>
              <w:rPr>
                <w:rFonts w:ascii="Times New Roman"/>
                <w:color w:val="auto"/>
                <w:sz w:val="24"/>
                <w:highlight w:val="none"/>
              </w:rPr>
            </w:pPr>
          </w:p>
        </w:tc>
        <w:tc>
          <w:tcPr>
            <w:tcW w:w="2575" w:type="dxa"/>
          </w:tcPr>
          <w:p>
            <w:pPr>
              <w:pStyle w:val="22"/>
              <w:rPr>
                <w:rFonts w:ascii="Times New Roman"/>
                <w:color w:val="auto"/>
                <w:sz w:val="24"/>
                <w:highlight w:val="none"/>
              </w:rPr>
            </w:pPr>
          </w:p>
        </w:tc>
        <w:tc>
          <w:tcPr>
            <w:tcW w:w="2069" w:type="dxa"/>
          </w:tcPr>
          <w:p>
            <w:pPr>
              <w:pStyle w:val="22"/>
              <w:rPr>
                <w:rFonts w:ascii="Times New Roman"/>
                <w:color w:val="auto"/>
                <w:sz w:val="24"/>
                <w:highlight w:val="none"/>
              </w:rPr>
            </w:pPr>
          </w:p>
        </w:tc>
        <w:tc>
          <w:tcPr>
            <w:tcW w:w="1560" w:type="dxa"/>
          </w:tcPr>
          <w:p>
            <w:pPr>
              <w:pStyle w:val="22"/>
              <w:rPr>
                <w:rFonts w:ascii="Times New Roman"/>
                <w:color w:val="auto"/>
                <w:sz w:val="24"/>
                <w:highlight w:val="none"/>
              </w:rPr>
            </w:pPr>
          </w:p>
        </w:tc>
        <w:tc>
          <w:tcPr>
            <w:tcW w:w="1589" w:type="dxa"/>
          </w:tcPr>
          <w:p>
            <w:pPr>
              <w:pStyle w:val="22"/>
              <w:rPr>
                <w:rFonts w:ascii="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93" w:type="dxa"/>
          </w:tcPr>
          <w:p>
            <w:pPr>
              <w:pStyle w:val="22"/>
              <w:rPr>
                <w:rFonts w:ascii="Times New Roman"/>
                <w:color w:val="auto"/>
                <w:sz w:val="24"/>
                <w:highlight w:val="none"/>
              </w:rPr>
            </w:pPr>
          </w:p>
        </w:tc>
        <w:tc>
          <w:tcPr>
            <w:tcW w:w="2575" w:type="dxa"/>
          </w:tcPr>
          <w:p>
            <w:pPr>
              <w:pStyle w:val="22"/>
              <w:rPr>
                <w:rFonts w:ascii="Times New Roman"/>
                <w:color w:val="auto"/>
                <w:sz w:val="24"/>
                <w:highlight w:val="none"/>
              </w:rPr>
            </w:pPr>
          </w:p>
        </w:tc>
        <w:tc>
          <w:tcPr>
            <w:tcW w:w="2069" w:type="dxa"/>
          </w:tcPr>
          <w:p>
            <w:pPr>
              <w:pStyle w:val="22"/>
              <w:rPr>
                <w:rFonts w:ascii="Times New Roman"/>
                <w:color w:val="auto"/>
                <w:sz w:val="24"/>
                <w:highlight w:val="none"/>
              </w:rPr>
            </w:pPr>
          </w:p>
        </w:tc>
        <w:tc>
          <w:tcPr>
            <w:tcW w:w="1560" w:type="dxa"/>
          </w:tcPr>
          <w:p>
            <w:pPr>
              <w:pStyle w:val="22"/>
              <w:rPr>
                <w:rFonts w:ascii="Times New Roman"/>
                <w:color w:val="auto"/>
                <w:sz w:val="24"/>
                <w:highlight w:val="none"/>
              </w:rPr>
            </w:pPr>
          </w:p>
        </w:tc>
        <w:tc>
          <w:tcPr>
            <w:tcW w:w="1589" w:type="dxa"/>
          </w:tcPr>
          <w:p>
            <w:pPr>
              <w:pStyle w:val="22"/>
              <w:rPr>
                <w:rFonts w:ascii="Times New Roman"/>
                <w:color w:val="auto"/>
                <w:sz w:val="24"/>
                <w:highlight w:val="none"/>
              </w:rPr>
            </w:pPr>
          </w:p>
        </w:tc>
      </w:tr>
    </w:tbl>
    <w:p>
      <w:pPr>
        <w:pStyle w:val="9"/>
        <w:spacing w:before="7"/>
        <w:rPr>
          <w:color w:val="auto"/>
          <w:sz w:val="11"/>
          <w:highlight w:val="none"/>
        </w:rPr>
      </w:pPr>
    </w:p>
    <w:p>
      <w:pPr>
        <w:pStyle w:val="9"/>
        <w:spacing w:before="1"/>
        <w:rPr>
          <w:rFonts w:hint="eastAsia" w:eastAsia="仿宋"/>
          <w:color w:val="auto"/>
          <w:sz w:val="28"/>
          <w:highlight w:val="none"/>
          <w:lang w:eastAsia="zh-CN"/>
        </w:rPr>
      </w:pPr>
      <w:r>
        <w:rPr>
          <w:rFonts w:hint="eastAsia"/>
          <w:color w:val="auto"/>
          <w:sz w:val="28"/>
          <w:highlight w:val="none"/>
          <w:lang w:eastAsia="zh-CN"/>
        </w:rPr>
        <w:t>应附证明文件（合同或中标通知书）</w:t>
      </w: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6"/>
        <w:spacing w:line="510" w:lineRule="exact"/>
        <w:ind w:left="2532"/>
        <w:rPr>
          <w:color w:val="auto"/>
          <w:highlight w:val="none"/>
        </w:rPr>
      </w:pPr>
      <w:r>
        <w:rPr>
          <w:color w:val="auto"/>
          <w:highlight w:val="none"/>
        </w:rPr>
        <w:t>（十</w:t>
      </w:r>
      <w:r>
        <w:rPr>
          <w:rFonts w:hint="eastAsia" w:eastAsia="宋体"/>
          <w:color w:val="auto"/>
          <w:highlight w:val="none"/>
          <w:lang w:eastAsia="zh-CN"/>
        </w:rPr>
        <w:t>一</w:t>
      </w:r>
      <w:r>
        <w:rPr>
          <w:color w:val="auto"/>
          <w:highlight w:val="none"/>
        </w:rPr>
        <w:t>）供应商反商业贿赂承诺书</w:t>
      </w:r>
    </w:p>
    <w:p>
      <w:pPr>
        <w:pStyle w:val="9"/>
        <w:spacing w:before="10"/>
        <w:rPr>
          <w:rFonts w:ascii="Microsoft JhengHei"/>
          <w:b/>
          <w:color w:val="auto"/>
          <w:highlight w:val="none"/>
        </w:rPr>
      </w:pPr>
    </w:p>
    <w:p>
      <w:pPr>
        <w:pStyle w:val="9"/>
        <w:spacing w:before="1" w:line="388" w:lineRule="auto"/>
        <w:ind w:left="298" w:right="899" w:firstLine="669"/>
        <w:rPr>
          <w:color w:val="auto"/>
          <w:highlight w:val="none"/>
        </w:rPr>
      </w:pPr>
      <w:r>
        <w:rPr>
          <w:color w:val="auto"/>
          <w:highlight w:val="none"/>
        </w:rPr>
        <w:t>我公司承诺在</w:t>
      </w:r>
      <w:r>
        <w:rPr>
          <w:color w:val="auto"/>
          <w:spacing w:val="-3"/>
          <w:highlight w:val="none"/>
        </w:rPr>
        <w:t>（</w:t>
      </w:r>
      <w:r>
        <w:rPr>
          <w:color w:val="auto"/>
          <w:highlight w:val="none"/>
        </w:rPr>
        <w:t>项目编号、项目名称）采购活动中，不给予国家工作人员以及中介机构工作人员及其亲属各种形式的商业贿赂（</w:t>
      </w:r>
      <w:r>
        <w:rPr>
          <w:color w:val="auto"/>
          <w:spacing w:val="-1"/>
          <w:highlight w:val="none"/>
        </w:rPr>
        <w:t>包括送礼金礼品、有价证券、购物券、回扣、佣金、咨询费、劳务费、赞助费、宣传费、支付旅游费用、报销各种消费凭证、</w:t>
      </w:r>
      <w:r>
        <w:rPr>
          <w:color w:val="auto"/>
          <w:highlight w:val="none"/>
        </w:rPr>
        <w:t>宴请、娱乐等</w:t>
      </w:r>
      <w:r>
        <w:rPr>
          <w:color w:val="auto"/>
          <w:spacing w:val="-120"/>
          <w:highlight w:val="none"/>
        </w:rPr>
        <w:t>）</w:t>
      </w:r>
      <w:r>
        <w:rPr>
          <w:color w:val="auto"/>
          <w:highlight w:val="none"/>
        </w:rPr>
        <w:t>，如有上述行为，我公司及项目参与人员愿意按照《反不正当竞争法》的</w:t>
      </w:r>
      <w:r>
        <w:rPr>
          <w:rFonts w:hint="eastAsia"/>
          <w:color w:val="auto"/>
          <w:highlight w:val="none"/>
          <w:lang w:eastAsia="zh-CN"/>
        </w:rPr>
        <w:t>有关</w:t>
      </w:r>
      <w:r>
        <w:rPr>
          <w:color w:val="auto"/>
          <w:highlight w:val="none"/>
        </w:rPr>
        <w:t>规定接受处罚。</w:t>
      </w:r>
    </w:p>
    <w:p>
      <w:pPr>
        <w:pStyle w:val="9"/>
        <w:spacing w:before="204"/>
        <w:ind w:left="778"/>
        <w:rPr>
          <w:color w:val="auto"/>
          <w:highlight w:val="none"/>
        </w:rPr>
      </w:pPr>
      <w:r>
        <w:rPr>
          <w:color w:val="auto"/>
          <w:highlight w:val="none"/>
        </w:rPr>
        <w:t>供应商（供应商）承诺书</w:t>
      </w:r>
    </w:p>
    <w:p>
      <w:pPr>
        <w:pStyle w:val="9"/>
        <w:spacing w:before="24"/>
        <w:ind w:left="778"/>
        <w:rPr>
          <w:color w:val="auto"/>
          <w:highlight w:val="none"/>
        </w:rPr>
      </w:pPr>
      <w:r>
        <w:rPr>
          <w:color w:val="auto"/>
          <w:highlight w:val="none"/>
        </w:rPr>
        <w:t>我公司承诺在参加本次报价前三年内，无以下行为：</w:t>
      </w:r>
    </w:p>
    <w:p>
      <w:pPr>
        <w:pStyle w:val="9"/>
        <w:spacing w:before="26"/>
        <w:ind w:left="778"/>
        <w:rPr>
          <w:color w:val="auto"/>
          <w:highlight w:val="none"/>
        </w:rPr>
      </w:pPr>
      <w:r>
        <w:rPr>
          <w:color w:val="auto"/>
          <w:highlight w:val="none"/>
        </w:rPr>
        <w:t>1、重大违法行为；</w:t>
      </w:r>
    </w:p>
    <w:p>
      <w:pPr>
        <w:pStyle w:val="9"/>
        <w:spacing w:before="26"/>
        <w:ind w:left="778"/>
        <w:rPr>
          <w:color w:val="auto"/>
          <w:highlight w:val="none"/>
        </w:rPr>
      </w:pPr>
      <w:r>
        <w:rPr>
          <w:color w:val="auto"/>
          <w:highlight w:val="none"/>
        </w:rPr>
        <w:t>2、商业贿赂行为；</w:t>
      </w:r>
    </w:p>
    <w:p>
      <w:pPr>
        <w:pStyle w:val="9"/>
        <w:spacing w:before="26"/>
        <w:ind w:left="778"/>
        <w:rPr>
          <w:color w:val="auto"/>
          <w:highlight w:val="none"/>
        </w:rPr>
      </w:pPr>
      <w:r>
        <w:rPr>
          <w:color w:val="auto"/>
          <w:highlight w:val="none"/>
        </w:rPr>
        <w:t>3、政府采购法《第七十七条》，列入不良行为记录名单的各种行为；</w:t>
      </w:r>
    </w:p>
    <w:p>
      <w:pPr>
        <w:pStyle w:val="9"/>
        <w:spacing w:before="24"/>
        <w:ind w:left="778"/>
        <w:rPr>
          <w:color w:val="auto"/>
          <w:highlight w:val="none"/>
        </w:rPr>
      </w:pPr>
      <w:r>
        <w:rPr>
          <w:color w:val="auto"/>
          <w:highlight w:val="none"/>
        </w:rPr>
        <w:t>如有上述行为，我公司及项目参与人员自愿放弃本次项目的报价资格，若为成交人，</w:t>
      </w:r>
    </w:p>
    <w:p>
      <w:pPr>
        <w:pStyle w:val="9"/>
        <w:spacing w:before="26" w:line="259" w:lineRule="auto"/>
        <w:ind w:left="778" w:right="7379" w:hanging="480"/>
        <w:rPr>
          <w:color w:val="auto"/>
          <w:highlight w:val="none"/>
        </w:rPr>
      </w:pPr>
      <w:r>
        <w:rPr>
          <w:color w:val="auto"/>
          <w:highlight w:val="none"/>
        </w:rPr>
        <w:t xml:space="preserve">也自愿放弃成交资格。 </w:t>
      </w:r>
      <w:r>
        <w:rPr>
          <w:color w:val="auto"/>
          <w:spacing w:val="-2"/>
          <w:highlight w:val="none"/>
        </w:rPr>
        <w:t xml:space="preserve">公司法人代表签字： </w:t>
      </w:r>
      <w:r>
        <w:rPr>
          <w:color w:val="auto"/>
          <w:highlight w:val="none"/>
        </w:rPr>
        <w:t>公司法人代表：</w:t>
      </w:r>
    </w:p>
    <w:p>
      <w:pPr>
        <w:pStyle w:val="9"/>
        <w:spacing w:before="26" w:line="259" w:lineRule="auto"/>
        <w:ind w:right="7379" w:firstLine="480" w:firstLineChars="200"/>
        <w:rPr>
          <w:color w:val="auto"/>
          <w:highlight w:val="none"/>
        </w:rPr>
      </w:pPr>
      <w:r>
        <w:rPr>
          <w:color w:val="auto"/>
          <w:highlight w:val="none"/>
        </w:rPr>
        <w:t>供应商名称（公章</w:t>
      </w:r>
      <w:r>
        <w:rPr>
          <w:color w:val="auto"/>
          <w:spacing w:val="-120"/>
          <w:highlight w:val="none"/>
        </w:rPr>
        <w:t>）</w:t>
      </w:r>
      <w:r>
        <w:rPr>
          <w:color w:val="auto"/>
          <w:highlight w:val="none"/>
        </w:rPr>
        <w:t>：</w:t>
      </w:r>
    </w:p>
    <w:p>
      <w:pPr>
        <w:pStyle w:val="9"/>
        <w:spacing w:before="2"/>
        <w:ind w:left="6716"/>
        <w:rPr>
          <w:color w:val="auto"/>
          <w:highlight w:val="none"/>
        </w:rPr>
      </w:pPr>
      <w:r>
        <w:rPr>
          <w:color w:val="auto"/>
          <w:highlight w:val="none"/>
        </w:rPr>
        <w:t>日期：</w:t>
      </w: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bidi w:val="0"/>
        <w:rPr>
          <w:color w:val="auto"/>
          <w:highlight w:val="none"/>
        </w:rPr>
      </w:pPr>
    </w:p>
    <w:p>
      <w:pPr>
        <w:bidi w:val="0"/>
        <w:rPr>
          <w:color w:val="auto"/>
          <w:highlight w:val="none"/>
        </w:rPr>
      </w:pPr>
    </w:p>
    <w:p>
      <w:pPr>
        <w:bidi w:val="0"/>
        <w:rPr>
          <w:color w:val="auto"/>
          <w:highlight w:val="none"/>
        </w:rPr>
      </w:pPr>
    </w:p>
    <w:sectPr>
      <w:footerReference r:id="rId7" w:type="default"/>
      <w:pgSz w:w="11900" w:h="16840"/>
      <w:pgMar w:top="1100" w:right="460" w:bottom="1400" w:left="1120" w:header="894" w:footer="1204" w:gutter="0"/>
      <w:cols w:equalWidth="0" w:num="1">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Meiryo">
    <w:altName w:val="Yu Gothic UI"/>
    <w:panose1 w:val="020B0604030504040204"/>
    <w:charset w:val="80"/>
    <w:family w:val="swiss"/>
    <w:pitch w:val="default"/>
    <w:sig w:usb0="00000000" w:usb1="00000000" w:usb2="00010012" w:usb3="00000000" w:csb0="6002009F" w:csb1="DFD70000"/>
  </w:font>
  <w:font w:name="仿宋_GB2312">
    <w:altName w:val="仿宋"/>
    <w:panose1 w:val="02010609030101010101"/>
    <w:charset w:val="86"/>
    <w:family w:val="modern"/>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9"/>
      </w:rPr>
    </w:pPr>
    <w:r>
      <mc:AlternateContent>
        <mc:Choice Requires="wps">
          <w:drawing>
            <wp:anchor distT="0" distB="0" distL="114300" distR="114300" simplePos="0" relativeHeight="249530368" behindDoc="1" locked="0" layoutInCell="1" allowOverlap="1">
              <wp:simplePos x="0" y="0"/>
              <wp:positionH relativeFrom="page">
                <wp:posOffset>3724910</wp:posOffset>
              </wp:positionH>
              <wp:positionV relativeFrom="page">
                <wp:posOffset>9789160</wp:posOffset>
              </wp:positionV>
              <wp:extent cx="107950" cy="1524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3.3pt;margin-top:770.8pt;height:12pt;width:8.5pt;mso-position-horizontal-relative:page;mso-position-vertical-relative:page;z-index:-253786112;mso-width-relative:page;mso-height-relative:page;" filled="f" stroked="f" coordsize="21600,21600" o:gfxdata="UEsDBAoAAAAAAIdO4kAAAAAAAAAAAAAAAAAEAAAAZHJzL1BLAwQUAAAACACHTuJAhc/0xdkAAAAN&#10;AQAADwAAAGRycy9kb3ducmV2LnhtbE2PzU7DMBCE70i8g7VI3KgdIFabxqkQghMSIg0Hjk7sJlbj&#10;dYjdH96e7Qluszuj2W/LzdmP7Gjn6AIqyBYCmMUuGIe9gs/m9W4JLCaNRo8BrYIfG2FTXV+VujDh&#10;hLU9blPPqARjoRUMKU0F57EbrNdxESaL5O3C7HWice65mfWJyv3I74WQ3GuHdGHQk30ebLffHryC&#10;py+sX9z3e/tR72rXNCuBb3Kv1O1NJtbAkj2nvzBc8AkdKmJqwwFNZKOCfCklRcnIHzNSFJHigUR7&#10;WclcAq9K/v+L6hdQSwMEFAAAAAgAh07iQFmHQwy6AQAAcQMAAA4AAABkcnMvZTJvRG9jLnhtbK1T&#10;S44TMRDdI3EHy3viTsTwaaUzEooGISFAGjiA43anLdkuy+WkOxeAG7Biw55z5RyUnXSGmdnMgo27&#10;XFV+fu+Ve3k9Osv2OqIB3/D5rOJMewWt8duGf/t68+INZ5ikb6UFrxt+0MivV8+fLYdQ6wX0YFsd&#10;GYF4rIfQ8D6lUAuBqtdO4gyC9lTsIDqZaBu3oo1yIHRnxaKqXokBYhsiKI1I2fWpyM+I8SmA0HVG&#10;6TWondM+nVCjtjKRJOxNQL4qbLtOq/S561AnZhtOSlNZ6RKKN3kVq6Wst1GG3qgzBfkUCg80OWk8&#10;XXqBWssk2S6aR1DOqAgIXZopcOIkpDhCKubVA29uexl00UJWY7iYjv8PVn3af4nMtA2nsXvpaODH&#10;nz+Ov/4cf39ni2zPELCmrttAfWl8ByM9mimPlMyqxy66/CU9jOpk7uFirh4TU/lQ9frtFVUUleZX&#10;i5dVMV/cHQ4R03sNjuWg4ZFmVyyV+4+YiAi1Ti35Lg83xtoyP+vvJagxZ0RmfmKYozRuxrOcDbQH&#10;UmM/eHIyv4opiFOwmYJdiGbbE52iuUDSJAqZ86vJo/53Xy6++1N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Fz/TF2QAAAA0BAAAPAAAAAAAAAAEAIAAAACIAAABkcnMvZG93bnJldi54bWxQSwEC&#10;FAAUAAAACACHTuJAWYdDDLoBAABxAwAADgAAAAAAAAABACAAAAAo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5"/>
      </w:rPr>
    </w:pPr>
    <w:r>
      <mc:AlternateContent>
        <mc:Choice Requires="wps">
          <w:drawing>
            <wp:anchor distT="0" distB="0" distL="114300" distR="114300" simplePos="0" relativeHeight="249531392" behindDoc="1" locked="0" layoutInCell="1" allowOverlap="1">
              <wp:simplePos x="0" y="0"/>
              <wp:positionH relativeFrom="page">
                <wp:posOffset>3697605</wp:posOffset>
              </wp:positionH>
              <wp:positionV relativeFrom="page">
                <wp:posOffset>9789160</wp:posOffset>
              </wp:positionV>
              <wp:extent cx="166370" cy="1524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15pt;margin-top:770.8pt;height:12pt;width:13.1pt;mso-position-horizontal-relative:page;mso-position-vertical-relative:page;z-index:-253785088;mso-width-relative:page;mso-height-relative:page;" filled="f" stroked="f" coordsize="21600,21600" o:gfxdata="UEsDBAoAAAAAAIdO4kAAAAAAAAAAAAAAAAAEAAAAZHJzL1BLAwQUAAAACACHTuJA03auh9oAAAAN&#10;AQAADwAAAGRycy9kb3ducmV2LnhtbE2Py07DMBBF90j8gzWV2FE7hVghjVMhBCskRBoWLJ14mkSN&#10;xyF2H/w97qosZ+7RnTPF5mxHdsTZD44UJEsBDKl1ZqBOwVf9dp8B80GT0aMjVPCLHjbl7U2hc+NO&#10;VOFxGzoWS8jnWkEfwpRz7tserfZLNyHFbOdmq0Mc546bWZ9iuR35SgjJrR4oXuj1hC89tvvtwSp4&#10;/qbqdfj5aD6rXTXU9ZOgd7lX6m6RiDWwgOdwheGiH9WhjE6NO5DxbFSQZquHiMYgfUwksIhIkaXA&#10;mstKphJ4WfD/X5R/UEsDBBQAAAAIAIdO4kC5hJ6cugEAAHEDAAAOAAAAZHJzL2Uyb0RvYy54bWyt&#10;U0uOEzEQ3SNxB8t74k4GAtNKZyQUDUJCgBQ4gOO205b8U9lJdy7A3GBWbNhzrpyDspPODMNmFmzc&#10;5ary83uv3IubwRqylxC1dw2dTipKpBO+1W7b0O/fbl+9oyQm7lpuvJMNPchIb5YvXyz6UMuZ77xp&#10;JRAEcbHuQ0O7lELNWBSdtDxOfJAOi8qD5Qm3sGUt8B7RrWGzqpqz3kMbwAsZI2ZXpyI9I8JzAL1S&#10;WsiVFzsrXTqhgjQ8oaTY6RDpsrBVSor0RakoEzENRaWprHgJxpu8suWC11vgodPiTIE/h8ITTZZr&#10;h5deoFY8cbID/Q+U1QJ89CpNhLfsJKQ4giqm1RNv1h0PsmhBq2O4mB7/H6z4vP8KRLcNvabEcYsD&#10;P97fHX/+Pv76Qa6yPX2INXatA/al4b0f8NGM+YjJrHpQYPMX9RCso7mHi7lySETkQ/P51VusCCxN&#10;38xeV8V89nA4QEwfpLckBw0FnF2xlO8/xYREsHVsyXc5f6uNKfMz7q8ENuYMy8xPDHOUhs1wlrPx&#10;7QHVmI8OncyvYgxgDDZjsAugtx3SKZoLJE6ikDm/mjzqx/ty8cOfsv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3auh9oAAAANAQAADwAAAAAAAAABACAAAAAiAAAAZHJzL2Rvd25yZXYueG1sUEsB&#10;AhQAFAAAAAgAh07iQLmEnpy6AQAAcQ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49532416" behindDoc="1" locked="0" layoutInCell="1" allowOverlap="1">
              <wp:simplePos x="0" y="0"/>
              <wp:positionH relativeFrom="page">
                <wp:posOffset>3697605</wp:posOffset>
              </wp:positionH>
              <wp:positionV relativeFrom="page">
                <wp:posOffset>9789160</wp:posOffset>
              </wp:positionV>
              <wp:extent cx="166370" cy="15240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15pt;margin-top:770.8pt;height:12pt;width:13.1pt;mso-position-horizontal-relative:page;mso-position-vertical-relative:page;z-index:-253784064;mso-width-relative:page;mso-height-relative:page;" filled="f" stroked="f" coordsize="21600,21600" o:gfxdata="UEsDBAoAAAAAAIdO4kAAAAAAAAAAAAAAAAAEAAAAZHJzL1BLAwQUAAAACACHTuJA03auh9oAAAAN&#10;AQAADwAAAGRycy9kb3ducmV2LnhtbE2Py07DMBBF90j8gzWV2FE7hVghjVMhBCskRBoWLJ14mkSN&#10;xyF2H/w97qosZ+7RnTPF5mxHdsTZD44UJEsBDKl1ZqBOwVf9dp8B80GT0aMjVPCLHjbl7U2hc+NO&#10;VOFxGzoWS8jnWkEfwpRz7tserfZLNyHFbOdmq0Mc546bWZ9iuR35SgjJrR4oXuj1hC89tvvtwSp4&#10;/qbqdfj5aD6rXTXU9ZOgd7lX6m6RiDWwgOdwheGiH9WhjE6NO5DxbFSQZquHiMYgfUwksIhIkaXA&#10;mstKphJ4WfD/X5R/UEsDBBQAAAAIAIdO4kDEB+bkugEAAHIDAAAOAAAAZHJzL2Uyb0RvYy54bWyt&#10;U0tu2zAQ3RfIHQjuY8pu6haC5QCFkSBA0RZIegCaIi0C/GFIW/IF2ht01U33PZfP0SFtOW2yySIb&#10;ajgzfHzvDbW4HqwhOwlRe9fQ6aSiRDrhW+02Df32cHP5gZKYuGu58U42dC8jvV5evFn0oZYz33nT&#10;SiAI4mLdh4Z2KYWasSg6aXmc+CAdFpUHyxNuYcNa4D2iW8NmVTVnvYc2gBcyRsyujkV6QoSXAHql&#10;tJArL7ZWunREBWl4Qkmx0yHSZWGrlBTpi1JRJmIaikpTWfESjNd5ZcsFrzfAQ6fFiQJ/CYUnmizX&#10;Di89Q6144mQL+hmU1QJ89CpNhLfsKKQ4giqm1RNv7jseZNGCVsdwNj2+Hqz4vPsKRLf4EtASxy1O&#10;/PDzx+HXn8Pv7+Qq+9OHWGPbfcDGNHz0A/aO+YjJLHtQYPMXBRGsI9T+7K4cEhH50Hz+9j1WBJam&#10;72ZXVXGfPR4OENOt9JbkoKGAwyue8t2nmJAIto4t+S7nb7QxZYDG/ZfAxpxhmfmRYY7SsB5Octa+&#10;3aMac+fQSqSUxgDGYD0G2wB60yGdorlA4igKmdOzybP+d18ufvxV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3auh9oAAAANAQAADwAAAAAAAAABACAAAAAiAAAAZHJzL2Rvd25yZXYueG1sUEsB&#10;AhQAFAAAAAgAh07iQMQH5uS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49533440" behindDoc="1" locked="0" layoutInCell="1" allowOverlap="1">
              <wp:simplePos x="0" y="0"/>
              <wp:positionH relativeFrom="page">
                <wp:posOffset>3697605</wp:posOffset>
              </wp:positionH>
              <wp:positionV relativeFrom="page">
                <wp:posOffset>9789160</wp:posOffset>
              </wp:positionV>
              <wp:extent cx="166370" cy="1524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70.8pt;height:12pt;width:13.1pt;mso-position-horizontal-relative:page;mso-position-vertical-relative:page;z-index:-253783040;mso-width-relative:page;mso-height-relative:page;" filled="f" stroked="f" coordsize="21600,21600" o:gfxdata="UEsDBAoAAAAAAIdO4kAAAAAAAAAAAAAAAAAEAAAAZHJzL1BLAwQUAAAACACHTuJA03auh9oAAAAN&#10;AQAADwAAAGRycy9kb3ducmV2LnhtbE2Py07DMBBF90j8gzWV2FE7hVghjVMhBCskRBoWLJ14mkSN&#10;xyF2H/w97qosZ+7RnTPF5mxHdsTZD44UJEsBDKl1ZqBOwVf9dp8B80GT0aMjVPCLHjbl7U2hc+NO&#10;VOFxGzoWS8jnWkEfwpRz7tserfZLNyHFbOdmq0Mc546bWZ9iuR35SgjJrR4oXuj1hC89tvvtwSp4&#10;/qbqdfj5aD6rXTXU9ZOgd7lX6m6RiDWwgOdwheGiH9WhjE6NO5DxbFSQZquHiMYgfUwksIhIkaXA&#10;mstKphJ4WfD/X5R/UEsDBBQAAAAIAIdO4kAx9s9HugEAAHIDAAAOAAAAZHJzL2Uyb0RvYy54bWyt&#10;U0tu2zAQ3RfIHQjuY8pu4haC5QCFkaBA0RZIegCaIi0C/GFIW/IF2ht01U33PZfP0SFtOW2yySIb&#10;ajgzfHzvDbW4GawhOwlRe9fQ6aSiRDrhW+02Df32cHv5npKYuGu58U42dC8jvVlevFn0oZYz33nT&#10;SiAI4mLdh4Z2KYWasSg6aXmc+CAdFpUHyxNuYcNa4D2iW8NmVTVnvYc2gBcyRsyujkV6QoSXAHql&#10;tJArL7ZWunREBWl4Qkmx0yHSZWGrlBTpi1JRJmIaikpTWfESjNd5ZcsFrzfAQ6fFiQJ/CYUnmizX&#10;Di89Q6144mQL+hmU1QJ89CpNhLfsKKQ4giqm1RNv7jseZNGCVsdwNj2+Hqz4vPsKRLf4EqaUOG5x&#10;4oefPw6//hx+fyfX2Z8+xBrb7gM2puGDH7B3zEdMZtmDApu/KIhgHd3dn92VQyIiH5rP377DisDS&#10;9Hp2VRX32ePhADHdSW9JDhoKOLziKd99igmJYOvYku9y/lYbUwZo3H8JbMwZlpkfGeYoDevhJGft&#10;2z2qMR8dWpmfxRjAGKzHYBtAbzqkUzQXSBxFIXN6NnnW/+7Lx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3auh9oAAAANAQAADwAAAAAAAAABACAAAAAiAAAAZHJzL2Rvd25yZXYueG1sUEsB&#10;AhQAFAAAAAgAh07iQDH2z0e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49529344" behindDoc="1" locked="0" layoutInCell="1" allowOverlap="1">
              <wp:simplePos x="0" y="0"/>
              <wp:positionH relativeFrom="page">
                <wp:posOffset>882015</wp:posOffset>
              </wp:positionH>
              <wp:positionV relativeFrom="page">
                <wp:posOffset>689610</wp:posOffset>
              </wp:positionV>
              <wp:extent cx="5795645" cy="0"/>
              <wp:effectExtent l="0" t="0" r="0" b="0"/>
              <wp:wrapNone/>
              <wp:docPr id="7" name="直线 1"/>
              <wp:cNvGraphicFramePr/>
              <a:graphic xmlns:a="http://schemas.openxmlformats.org/drawingml/2006/main">
                <a:graphicData uri="http://schemas.microsoft.com/office/word/2010/wordprocessingShape">
                  <wps:wsp>
                    <wps:cNvCnPr/>
                    <wps:spPr>
                      <a:xfrm>
                        <a:off x="0" y="0"/>
                        <a:ext cx="579564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69.45pt;margin-top:54.3pt;height:0pt;width:456.35pt;mso-position-horizontal-relative:page;mso-position-vertical-relative:page;z-index:-253787136;mso-width-relative:page;mso-height-relative:page;" filled="f" stroked="t" coordsize="21600,21600" o:gfxdata="UEsDBAoAAAAAAIdO4kAAAAAAAAAAAAAAAAAEAAAAZHJzL1BLAwQUAAAACACHTuJAxRuTCdYAAAAM&#10;AQAADwAAAGRycy9kb3ducmV2LnhtbE2PwU7DMBBE70j8g7VI3KgdECGEOD1U4YI4QOAD3HhJLOJ1&#10;FLtN6dezlZDobWZ3NPu2Wh/8KPY4RxdIQ7ZSIJC6YB31Gj4/nm8KEDEZsmYMhBp+MMK6vryoTGnD&#10;Qu+4b1MvuIRiaTQMKU2llLEb0Ju4ChMS777C7E1iO/fSzmbhcj/KW6Vy6Y0jvjCYCTcDdt/tzmto&#10;316X/OV4XJqH1pmYkhuaZqP19VWmnkAkPKT/MJzwGR1qZtqGHdkoRvZ3xSNHWagiB3FKqPuM1fZv&#10;JOtKnj9R/wJQSwMEFAAAAAgAh07iQKsWLPjpAQAA2wMAAA4AAABkcnMvZTJvRG9jLnhtbK1TS27b&#10;MBDdF+gdCO5r2YGdNILlLOKmm6I10PQAY5KSCPAHDm3ZZ+k1uuqmx8k1OqQcp003XlQLasgZvpn3&#10;Zri8O1jD9iqi9q7hs8mUM+WEl9p1Df/2+PDuPWeYwEkw3qmGHxXyu9XbN8sh1OrK995IFRmBOKyH&#10;0PA+pVBXFYpeWcCJD8qRs/XRQqJt7CoZYSB0a6qr6fS6GnyUIXqhEOl0PTr5CTFeAujbVgu19mJn&#10;lUsjalQGElHCXgfkq1Jt2yqRvrQtqsRMw4lpKislIXub12q1hLqLEHotTiXAJSW84mRBO0p6hlpD&#10;AraL+h8oq0X06Ns0Ed5WI5GiCLGYTV9p87WHoAoXkhrDWXT8f7Di834TmZYNv+HMgaWGP33/8fTz&#10;F5tlbYaANYXcu0087TBsYiZ6aKPNf6LADkXP41lPdUhM0OHi5nZxPV9wJp591cvFEDF9VN6ybDTc&#10;aJepQg37T5goGYU+h+Rj49jQ8NvZfE5wQHPXUr/JtIFqR9eVu+iNlg/amHwDY7e9N5HtIfe+fJkS&#10;4f4VlpOsAfsxrrjGqegVyA9OsnQMpIqjx8BzCVZJzoyit5MtAoQ6gTaXRFJq46iCrOqoY7a2Xh6p&#10;B7sQddeTEkX4EkM9L/We5jMP1Z/7gvTyJl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bkwnW&#10;AAAADAEAAA8AAAAAAAAAAQAgAAAAIgAAAGRycy9kb3ducmV2LnhtbFBLAQIUABQAAAAIAIdO4kCr&#10;Fiz46QEAANsDAAAOAAAAAAAAAAEAIAAAACUBAABkcnMvZTJvRG9jLnhtbFBLBQYAAAAABgAGAFkB&#10;AACABQ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EB125"/>
    <w:multiLevelType w:val="multilevel"/>
    <w:tmpl w:val="8CAEB125"/>
    <w:lvl w:ilvl="0" w:tentative="0">
      <w:start w:val="1"/>
      <w:numFmt w:val="decimal"/>
      <w:lvlText w:val="%1"/>
      <w:lvlJc w:val="left"/>
      <w:pPr>
        <w:ind w:left="1481" w:hanging="704"/>
        <w:jc w:val="left"/>
      </w:pPr>
      <w:rPr>
        <w:rFonts w:hint="default"/>
        <w:lang w:val="zh-CN" w:eastAsia="zh-CN" w:bidi="zh-CN"/>
      </w:rPr>
    </w:lvl>
    <w:lvl w:ilvl="1" w:tentative="0">
      <w:start w:val="1"/>
      <w:numFmt w:val="decimal"/>
      <w:lvlText w:val="%1.%2"/>
      <w:lvlJc w:val="left"/>
      <w:pPr>
        <w:ind w:left="1481" w:hanging="704"/>
        <w:jc w:val="left"/>
      </w:pPr>
      <w:rPr>
        <w:rFonts w:hint="default" w:ascii="仿宋" w:hAnsi="仿宋" w:eastAsia="仿宋" w:cs="仿宋"/>
        <w:spacing w:val="-17"/>
        <w:w w:val="100"/>
        <w:sz w:val="24"/>
        <w:szCs w:val="24"/>
        <w:lang w:val="zh-CN" w:eastAsia="zh-CN" w:bidi="zh-CN"/>
      </w:rPr>
    </w:lvl>
    <w:lvl w:ilvl="2" w:tentative="0">
      <w:start w:val="0"/>
      <w:numFmt w:val="bullet"/>
      <w:lvlText w:val="•"/>
      <w:lvlJc w:val="left"/>
      <w:pPr>
        <w:ind w:left="3248" w:hanging="704"/>
      </w:pPr>
      <w:rPr>
        <w:rFonts w:hint="default"/>
        <w:lang w:val="zh-CN" w:eastAsia="zh-CN" w:bidi="zh-CN"/>
      </w:rPr>
    </w:lvl>
    <w:lvl w:ilvl="3" w:tentative="0">
      <w:start w:val="0"/>
      <w:numFmt w:val="bullet"/>
      <w:lvlText w:val="•"/>
      <w:lvlJc w:val="left"/>
      <w:pPr>
        <w:ind w:left="4132" w:hanging="704"/>
      </w:pPr>
      <w:rPr>
        <w:rFonts w:hint="default"/>
        <w:lang w:val="zh-CN" w:eastAsia="zh-CN" w:bidi="zh-CN"/>
      </w:rPr>
    </w:lvl>
    <w:lvl w:ilvl="4" w:tentative="0">
      <w:start w:val="0"/>
      <w:numFmt w:val="bullet"/>
      <w:lvlText w:val="•"/>
      <w:lvlJc w:val="left"/>
      <w:pPr>
        <w:ind w:left="5016" w:hanging="704"/>
      </w:pPr>
      <w:rPr>
        <w:rFonts w:hint="default"/>
        <w:lang w:val="zh-CN" w:eastAsia="zh-CN" w:bidi="zh-CN"/>
      </w:rPr>
    </w:lvl>
    <w:lvl w:ilvl="5" w:tentative="0">
      <w:start w:val="0"/>
      <w:numFmt w:val="bullet"/>
      <w:lvlText w:val="•"/>
      <w:lvlJc w:val="left"/>
      <w:pPr>
        <w:ind w:left="5900" w:hanging="704"/>
      </w:pPr>
      <w:rPr>
        <w:rFonts w:hint="default"/>
        <w:lang w:val="zh-CN" w:eastAsia="zh-CN" w:bidi="zh-CN"/>
      </w:rPr>
    </w:lvl>
    <w:lvl w:ilvl="6" w:tentative="0">
      <w:start w:val="0"/>
      <w:numFmt w:val="bullet"/>
      <w:lvlText w:val="•"/>
      <w:lvlJc w:val="left"/>
      <w:pPr>
        <w:ind w:left="6784" w:hanging="704"/>
      </w:pPr>
      <w:rPr>
        <w:rFonts w:hint="default"/>
        <w:lang w:val="zh-CN" w:eastAsia="zh-CN" w:bidi="zh-CN"/>
      </w:rPr>
    </w:lvl>
    <w:lvl w:ilvl="7" w:tentative="0">
      <w:start w:val="0"/>
      <w:numFmt w:val="bullet"/>
      <w:lvlText w:val="•"/>
      <w:lvlJc w:val="left"/>
      <w:pPr>
        <w:ind w:left="7668" w:hanging="704"/>
      </w:pPr>
      <w:rPr>
        <w:rFonts w:hint="default"/>
        <w:lang w:val="zh-CN" w:eastAsia="zh-CN" w:bidi="zh-CN"/>
      </w:rPr>
    </w:lvl>
    <w:lvl w:ilvl="8" w:tentative="0">
      <w:start w:val="0"/>
      <w:numFmt w:val="bullet"/>
      <w:lvlText w:val="•"/>
      <w:lvlJc w:val="left"/>
      <w:pPr>
        <w:ind w:left="8552" w:hanging="704"/>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143" w:hanging="605"/>
        <w:jc w:val="left"/>
      </w:pPr>
      <w:rPr>
        <w:rFonts w:hint="default"/>
        <w:w w:val="84"/>
        <w:lang w:val="zh-CN" w:eastAsia="zh-CN" w:bidi="zh-CN"/>
      </w:rPr>
    </w:lvl>
    <w:lvl w:ilvl="1" w:tentative="0">
      <w:start w:val="0"/>
      <w:numFmt w:val="bullet"/>
      <w:lvlText w:val="•"/>
      <w:lvlJc w:val="left"/>
      <w:pPr>
        <w:ind w:left="2058" w:hanging="605"/>
      </w:pPr>
      <w:rPr>
        <w:rFonts w:hint="default"/>
        <w:lang w:val="zh-CN" w:eastAsia="zh-CN" w:bidi="zh-CN"/>
      </w:rPr>
    </w:lvl>
    <w:lvl w:ilvl="2" w:tentative="0">
      <w:start w:val="0"/>
      <w:numFmt w:val="bullet"/>
      <w:lvlText w:val="•"/>
      <w:lvlJc w:val="left"/>
      <w:pPr>
        <w:ind w:left="2976" w:hanging="605"/>
      </w:pPr>
      <w:rPr>
        <w:rFonts w:hint="default"/>
        <w:lang w:val="zh-CN" w:eastAsia="zh-CN" w:bidi="zh-CN"/>
      </w:rPr>
    </w:lvl>
    <w:lvl w:ilvl="3" w:tentative="0">
      <w:start w:val="0"/>
      <w:numFmt w:val="bullet"/>
      <w:lvlText w:val="•"/>
      <w:lvlJc w:val="left"/>
      <w:pPr>
        <w:ind w:left="3894" w:hanging="605"/>
      </w:pPr>
      <w:rPr>
        <w:rFonts w:hint="default"/>
        <w:lang w:val="zh-CN" w:eastAsia="zh-CN" w:bidi="zh-CN"/>
      </w:rPr>
    </w:lvl>
    <w:lvl w:ilvl="4" w:tentative="0">
      <w:start w:val="0"/>
      <w:numFmt w:val="bullet"/>
      <w:lvlText w:val="•"/>
      <w:lvlJc w:val="left"/>
      <w:pPr>
        <w:ind w:left="4812" w:hanging="605"/>
      </w:pPr>
      <w:rPr>
        <w:rFonts w:hint="default"/>
        <w:lang w:val="zh-CN" w:eastAsia="zh-CN" w:bidi="zh-CN"/>
      </w:rPr>
    </w:lvl>
    <w:lvl w:ilvl="5" w:tentative="0">
      <w:start w:val="0"/>
      <w:numFmt w:val="bullet"/>
      <w:lvlText w:val="•"/>
      <w:lvlJc w:val="left"/>
      <w:pPr>
        <w:ind w:left="5730" w:hanging="605"/>
      </w:pPr>
      <w:rPr>
        <w:rFonts w:hint="default"/>
        <w:lang w:val="zh-CN" w:eastAsia="zh-CN" w:bidi="zh-CN"/>
      </w:rPr>
    </w:lvl>
    <w:lvl w:ilvl="6" w:tentative="0">
      <w:start w:val="0"/>
      <w:numFmt w:val="bullet"/>
      <w:lvlText w:val="•"/>
      <w:lvlJc w:val="left"/>
      <w:pPr>
        <w:ind w:left="6648" w:hanging="605"/>
      </w:pPr>
      <w:rPr>
        <w:rFonts w:hint="default"/>
        <w:lang w:val="zh-CN" w:eastAsia="zh-CN" w:bidi="zh-CN"/>
      </w:rPr>
    </w:lvl>
    <w:lvl w:ilvl="7" w:tentative="0">
      <w:start w:val="0"/>
      <w:numFmt w:val="bullet"/>
      <w:lvlText w:val="•"/>
      <w:lvlJc w:val="left"/>
      <w:pPr>
        <w:ind w:left="7566" w:hanging="605"/>
      </w:pPr>
      <w:rPr>
        <w:rFonts w:hint="default"/>
        <w:lang w:val="zh-CN" w:eastAsia="zh-CN" w:bidi="zh-CN"/>
      </w:rPr>
    </w:lvl>
    <w:lvl w:ilvl="8" w:tentative="0">
      <w:start w:val="0"/>
      <w:numFmt w:val="bullet"/>
      <w:lvlText w:val="•"/>
      <w:lvlJc w:val="left"/>
      <w:pPr>
        <w:ind w:left="8484" w:hanging="605"/>
      </w:pPr>
      <w:rPr>
        <w:rFonts w:hint="default"/>
        <w:lang w:val="zh-CN" w:eastAsia="zh-CN" w:bidi="zh-CN"/>
      </w:rPr>
    </w:lvl>
  </w:abstractNum>
  <w:abstractNum w:abstractNumId="2">
    <w:nsid w:val="A0F05207"/>
    <w:multiLevelType w:val="multilevel"/>
    <w:tmpl w:val="A0F05207"/>
    <w:lvl w:ilvl="0" w:tentative="0">
      <w:start w:val="6"/>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264" w:hanging="720"/>
      </w:pPr>
      <w:rPr>
        <w:rFonts w:hint="default"/>
        <w:lang w:val="zh-CN" w:eastAsia="zh-CN" w:bidi="zh-CN"/>
      </w:rPr>
    </w:lvl>
    <w:lvl w:ilvl="3" w:tentative="0">
      <w:start w:val="0"/>
      <w:numFmt w:val="bullet"/>
      <w:lvlText w:val="•"/>
      <w:lvlJc w:val="left"/>
      <w:pPr>
        <w:ind w:left="4146" w:hanging="720"/>
      </w:pPr>
      <w:rPr>
        <w:rFonts w:hint="default"/>
        <w:lang w:val="zh-CN" w:eastAsia="zh-CN" w:bidi="zh-CN"/>
      </w:rPr>
    </w:lvl>
    <w:lvl w:ilvl="4" w:tentative="0">
      <w:start w:val="0"/>
      <w:numFmt w:val="bullet"/>
      <w:lvlText w:val="•"/>
      <w:lvlJc w:val="left"/>
      <w:pPr>
        <w:ind w:left="5028" w:hanging="720"/>
      </w:pPr>
      <w:rPr>
        <w:rFonts w:hint="default"/>
        <w:lang w:val="zh-CN" w:eastAsia="zh-CN" w:bidi="zh-CN"/>
      </w:rPr>
    </w:lvl>
    <w:lvl w:ilvl="5" w:tentative="0">
      <w:start w:val="0"/>
      <w:numFmt w:val="bullet"/>
      <w:lvlText w:val="•"/>
      <w:lvlJc w:val="left"/>
      <w:pPr>
        <w:ind w:left="5910" w:hanging="720"/>
      </w:pPr>
      <w:rPr>
        <w:rFonts w:hint="default"/>
        <w:lang w:val="zh-CN" w:eastAsia="zh-CN" w:bidi="zh-CN"/>
      </w:rPr>
    </w:lvl>
    <w:lvl w:ilvl="6" w:tentative="0">
      <w:start w:val="0"/>
      <w:numFmt w:val="bullet"/>
      <w:lvlText w:val="•"/>
      <w:lvlJc w:val="left"/>
      <w:pPr>
        <w:ind w:left="6792" w:hanging="720"/>
      </w:pPr>
      <w:rPr>
        <w:rFonts w:hint="default"/>
        <w:lang w:val="zh-CN" w:eastAsia="zh-CN" w:bidi="zh-CN"/>
      </w:rPr>
    </w:lvl>
    <w:lvl w:ilvl="7" w:tentative="0">
      <w:start w:val="0"/>
      <w:numFmt w:val="bullet"/>
      <w:lvlText w:val="•"/>
      <w:lvlJc w:val="left"/>
      <w:pPr>
        <w:ind w:left="7674" w:hanging="720"/>
      </w:pPr>
      <w:rPr>
        <w:rFonts w:hint="default"/>
        <w:lang w:val="zh-CN" w:eastAsia="zh-CN" w:bidi="zh-CN"/>
      </w:rPr>
    </w:lvl>
    <w:lvl w:ilvl="8" w:tentative="0">
      <w:start w:val="0"/>
      <w:numFmt w:val="bullet"/>
      <w:lvlText w:val="•"/>
      <w:lvlJc w:val="left"/>
      <w:pPr>
        <w:ind w:left="8556" w:hanging="720"/>
      </w:pPr>
      <w:rPr>
        <w:rFonts w:hint="default"/>
        <w:lang w:val="zh-CN" w:eastAsia="zh-CN" w:bidi="zh-CN"/>
      </w:rPr>
    </w:lvl>
  </w:abstractNum>
  <w:abstractNum w:abstractNumId="3">
    <w:nsid w:val="B23A94A9"/>
    <w:multiLevelType w:val="multilevel"/>
    <w:tmpl w:val="B23A94A9"/>
    <w:lvl w:ilvl="0" w:tentative="0">
      <w:start w:val="4"/>
      <w:numFmt w:val="decimal"/>
      <w:lvlText w:val="%1"/>
      <w:lvlJc w:val="left"/>
      <w:pPr>
        <w:ind w:left="1378" w:hanging="600"/>
        <w:jc w:val="left"/>
      </w:pPr>
      <w:rPr>
        <w:rFonts w:hint="default"/>
        <w:lang w:val="zh-CN" w:eastAsia="zh-CN" w:bidi="zh-CN"/>
      </w:rPr>
    </w:lvl>
    <w:lvl w:ilvl="1" w:tentative="0">
      <w:start w:val="1"/>
      <w:numFmt w:val="decimal"/>
      <w:lvlText w:val="%1.%2"/>
      <w:lvlJc w:val="left"/>
      <w:pPr>
        <w:ind w:left="1378" w:hanging="600"/>
        <w:jc w:val="left"/>
      </w:pPr>
      <w:rPr>
        <w:rFonts w:hint="default" w:ascii="仿宋" w:hAnsi="仿宋" w:eastAsia="仿宋" w:cs="仿宋"/>
        <w:spacing w:val="-17"/>
        <w:w w:val="100"/>
        <w:sz w:val="24"/>
        <w:szCs w:val="24"/>
        <w:lang w:val="zh-CN" w:eastAsia="zh-CN" w:bidi="zh-CN"/>
      </w:rPr>
    </w:lvl>
    <w:lvl w:ilvl="2" w:tentative="0">
      <w:start w:val="0"/>
      <w:numFmt w:val="bullet"/>
      <w:lvlText w:val="•"/>
      <w:lvlJc w:val="left"/>
      <w:pPr>
        <w:ind w:left="3168" w:hanging="600"/>
      </w:pPr>
      <w:rPr>
        <w:rFonts w:hint="default"/>
        <w:lang w:val="zh-CN" w:eastAsia="zh-CN" w:bidi="zh-CN"/>
      </w:rPr>
    </w:lvl>
    <w:lvl w:ilvl="3" w:tentative="0">
      <w:start w:val="0"/>
      <w:numFmt w:val="bullet"/>
      <w:lvlText w:val="•"/>
      <w:lvlJc w:val="left"/>
      <w:pPr>
        <w:ind w:left="4062" w:hanging="600"/>
      </w:pPr>
      <w:rPr>
        <w:rFonts w:hint="default"/>
        <w:lang w:val="zh-CN" w:eastAsia="zh-CN" w:bidi="zh-CN"/>
      </w:rPr>
    </w:lvl>
    <w:lvl w:ilvl="4" w:tentative="0">
      <w:start w:val="0"/>
      <w:numFmt w:val="bullet"/>
      <w:lvlText w:val="•"/>
      <w:lvlJc w:val="left"/>
      <w:pPr>
        <w:ind w:left="4956" w:hanging="600"/>
      </w:pPr>
      <w:rPr>
        <w:rFonts w:hint="default"/>
        <w:lang w:val="zh-CN" w:eastAsia="zh-CN" w:bidi="zh-CN"/>
      </w:rPr>
    </w:lvl>
    <w:lvl w:ilvl="5" w:tentative="0">
      <w:start w:val="0"/>
      <w:numFmt w:val="bullet"/>
      <w:lvlText w:val="•"/>
      <w:lvlJc w:val="left"/>
      <w:pPr>
        <w:ind w:left="5850" w:hanging="600"/>
      </w:pPr>
      <w:rPr>
        <w:rFonts w:hint="default"/>
        <w:lang w:val="zh-CN" w:eastAsia="zh-CN" w:bidi="zh-CN"/>
      </w:rPr>
    </w:lvl>
    <w:lvl w:ilvl="6" w:tentative="0">
      <w:start w:val="0"/>
      <w:numFmt w:val="bullet"/>
      <w:lvlText w:val="•"/>
      <w:lvlJc w:val="left"/>
      <w:pPr>
        <w:ind w:left="6744" w:hanging="600"/>
      </w:pPr>
      <w:rPr>
        <w:rFonts w:hint="default"/>
        <w:lang w:val="zh-CN" w:eastAsia="zh-CN" w:bidi="zh-CN"/>
      </w:rPr>
    </w:lvl>
    <w:lvl w:ilvl="7" w:tentative="0">
      <w:start w:val="0"/>
      <w:numFmt w:val="bullet"/>
      <w:lvlText w:val="•"/>
      <w:lvlJc w:val="left"/>
      <w:pPr>
        <w:ind w:left="7638" w:hanging="600"/>
      </w:pPr>
      <w:rPr>
        <w:rFonts w:hint="default"/>
        <w:lang w:val="zh-CN" w:eastAsia="zh-CN" w:bidi="zh-CN"/>
      </w:rPr>
    </w:lvl>
    <w:lvl w:ilvl="8" w:tentative="0">
      <w:start w:val="0"/>
      <w:numFmt w:val="bullet"/>
      <w:lvlText w:val="•"/>
      <w:lvlJc w:val="left"/>
      <w:pPr>
        <w:ind w:left="8532" w:hanging="600"/>
      </w:pPr>
      <w:rPr>
        <w:rFonts w:hint="default"/>
        <w:lang w:val="zh-CN" w:eastAsia="zh-CN" w:bidi="zh-CN"/>
      </w:rPr>
    </w:lvl>
  </w:abstractNum>
  <w:abstractNum w:abstractNumId="4">
    <w:nsid w:val="B53F3350"/>
    <w:multiLevelType w:val="multilevel"/>
    <w:tmpl w:val="B53F3350"/>
    <w:lvl w:ilvl="0" w:tentative="0">
      <w:start w:val="3"/>
      <w:numFmt w:val="decimal"/>
      <w:lvlText w:val="(%1)"/>
      <w:lvlJc w:val="left"/>
      <w:pPr>
        <w:ind w:left="1259"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166" w:hanging="361"/>
      </w:pPr>
      <w:rPr>
        <w:rFonts w:hint="default"/>
        <w:lang w:val="zh-CN" w:eastAsia="zh-CN" w:bidi="zh-CN"/>
      </w:rPr>
    </w:lvl>
    <w:lvl w:ilvl="2" w:tentative="0">
      <w:start w:val="0"/>
      <w:numFmt w:val="bullet"/>
      <w:lvlText w:val="•"/>
      <w:lvlJc w:val="left"/>
      <w:pPr>
        <w:ind w:left="3072" w:hanging="361"/>
      </w:pPr>
      <w:rPr>
        <w:rFonts w:hint="default"/>
        <w:lang w:val="zh-CN" w:eastAsia="zh-CN" w:bidi="zh-CN"/>
      </w:rPr>
    </w:lvl>
    <w:lvl w:ilvl="3" w:tentative="0">
      <w:start w:val="0"/>
      <w:numFmt w:val="bullet"/>
      <w:lvlText w:val="•"/>
      <w:lvlJc w:val="left"/>
      <w:pPr>
        <w:ind w:left="3978" w:hanging="361"/>
      </w:pPr>
      <w:rPr>
        <w:rFonts w:hint="default"/>
        <w:lang w:val="zh-CN" w:eastAsia="zh-CN" w:bidi="zh-CN"/>
      </w:rPr>
    </w:lvl>
    <w:lvl w:ilvl="4" w:tentative="0">
      <w:start w:val="0"/>
      <w:numFmt w:val="bullet"/>
      <w:lvlText w:val="•"/>
      <w:lvlJc w:val="left"/>
      <w:pPr>
        <w:ind w:left="4884" w:hanging="361"/>
      </w:pPr>
      <w:rPr>
        <w:rFonts w:hint="default"/>
        <w:lang w:val="zh-CN" w:eastAsia="zh-CN" w:bidi="zh-CN"/>
      </w:rPr>
    </w:lvl>
    <w:lvl w:ilvl="5" w:tentative="0">
      <w:start w:val="0"/>
      <w:numFmt w:val="bullet"/>
      <w:lvlText w:val="•"/>
      <w:lvlJc w:val="left"/>
      <w:pPr>
        <w:ind w:left="5790" w:hanging="361"/>
      </w:pPr>
      <w:rPr>
        <w:rFonts w:hint="default"/>
        <w:lang w:val="zh-CN" w:eastAsia="zh-CN" w:bidi="zh-CN"/>
      </w:rPr>
    </w:lvl>
    <w:lvl w:ilvl="6" w:tentative="0">
      <w:start w:val="0"/>
      <w:numFmt w:val="bullet"/>
      <w:lvlText w:val="•"/>
      <w:lvlJc w:val="left"/>
      <w:pPr>
        <w:ind w:left="6696" w:hanging="361"/>
      </w:pPr>
      <w:rPr>
        <w:rFonts w:hint="default"/>
        <w:lang w:val="zh-CN" w:eastAsia="zh-CN" w:bidi="zh-CN"/>
      </w:rPr>
    </w:lvl>
    <w:lvl w:ilvl="7" w:tentative="0">
      <w:start w:val="0"/>
      <w:numFmt w:val="bullet"/>
      <w:lvlText w:val="•"/>
      <w:lvlJc w:val="left"/>
      <w:pPr>
        <w:ind w:left="7602" w:hanging="361"/>
      </w:pPr>
      <w:rPr>
        <w:rFonts w:hint="default"/>
        <w:lang w:val="zh-CN" w:eastAsia="zh-CN" w:bidi="zh-CN"/>
      </w:rPr>
    </w:lvl>
    <w:lvl w:ilvl="8" w:tentative="0">
      <w:start w:val="0"/>
      <w:numFmt w:val="bullet"/>
      <w:lvlText w:val="•"/>
      <w:lvlJc w:val="left"/>
      <w:pPr>
        <w:ind w:left="8508" w:hanging="361"/>
      </w:pPr>
      <w:rPr>
        <w:rFonts w:hint="default"/>
        <w:lang w:val="zh-CN" w:eastAsia="zh-CN" w:bidi="zh-CN"/>
      </w:rPr>
    </w:lvl>
  </w:abstractNum>
  <w:abstractNum w:abstractNumId="5">
    <w:nsid w:val="B5E306ED"/>
    <w:multiLevelType w:val="multilevel"/>
    <w:tmpl w:val="B5E306ED"/>
    <w:lvl w:ilvl="0" w:tentative="0">
      <w:start w:val="1"/>
      <w:numFmt w:val="decimal"/>
      <w:lvlText w:val="（%1）"/>
      <w:lvlJc w:val="left"/>
      <w:pPr>
        <w:ind w:left="13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274" w:hanging="601"/>
      </w:pPr>
      <w:rPr>
        <w:rFonts w:hint="default"/>
        <w:lang w:val="zh-CN" w:eastAsia="zh-CN" w:bidi="zh-CN"/>
      </w:rPr>
    </w:lvl>
    <w:lvl w:ilvl="2" w:tentative="0">
      <w:start w:val="0"/>
      <w:numFmt w:val="bullet"/>
      <w:lvlText w:val="•"/>
      <w:lvlJc w:val="left"/>
      <w:pPr>
        <w:ind w:left="3168" w:hanging="601"/>
      </w:pPr>
      <w:rPr>
        <w:rFonts w:hint="default"/>
        <w:lang w:val="zh-CN" w:eastAsia="zh-CN" w:bidi="zh-CN"/>
      </w:rPr>
    </w:lvl>
    <w:lvl w:ilvl="3" w:tentative="0">
      <w:start w:val="0"/>
      <w:numFmt w:val="bullet"/>
      <w:lvlText w:val="•"/>
      <w:lvlJc w:val="left"/>
      <w:pPr>
        <w:ind w:left="4062" w:hanging="601"/>
      </w:pPr>
      <w:rPr>
        <w:rFonts w:hint="default"/>
        <w:lang w:val="zh-CN" w:eastAsia="zh-CN" w:bidi="zh-CN"/>
      </w:rPr>
    </w:lvl>
    <w:lvl w:ilvl="4" w:tentative="0">
      <w:start w:val="0"/>
      <w:numFmt w:val="bullet"/>
      <w:lvlText w:val="•"/>
      <w:lvlJc w:val="left"/>
      <w:pPr>
        <w:ind w:left="4956" w:hanging="601"/>
      </w:pPr>
      <w:rPr>
        <w:rFonts w:hint="default"/>
        <w:lang w:val="zh-CN" w:eastAsia="zh-CN" w:bidi="zh-CN"/>
      </w:rPr>
    </w:lvl>
    <w:lvl w:ilvl="5" w:tentative="0">
      <w:start w:val="0"/>
      <w:numFmt w:val="bullet"/>
      <w:lvlText w:val="•"/>
      <w:lvlJc w:val="left"/>
      <w:pPr>
        <w:ind w:left="5850" w:hanging="601"/>
      </w:pPr>
      <w:rPr>
        <w:rFonts w:hint="default"/>
        <w:lang w:val="zh-CN" w:eastAsia="zh-CN" w:bidi="zh-CN"/>
      </w:rPr>
    </w:lvl>
    <w:lvl w:ilvl="6" w:tentative="0">
      <w:start w:val="0"/>
      <w:numFmt w:val="bullet"/>
      <w:lvlText w:val="•"/>
      <w:lvlJc w:val="left"/>
      <w:pPr>
        <w:ind w:left="6744" w:hanging="601"/>
      </w:pPr>
      <w:rPr>
        <w:rFonts w:hint="default"/>
        <w:lang w:val="zh-CN" w:eastAsia="zh-CN" w:bidi="zh-CN"/>
      </w:rPr>
    </w:lvl>
    <w:lvl w:ilvl="7" w:tentative="0">
      <w:start w:val="0"/>
      <w:numFmt w:val="bullet"/>
      <w:lvlText w:val="•"/>
      <w:lvlJc w:val="left"/>
      <w:pPr>
        <w:ind w:left="7638" w:hanging="601"/>
      </w:pPr>
      <w:rPr>
        <w:rFonts w:hint="default"/>
        <w:lang w:val="zh-CN" w:eastAsia="zh-CN" w:bidi="zh-CN"/>
      </w:rPr>
    </w:lvl>
    <w:lvl w:ilvl="8" w:tentative="0">
      <w:start w:val="0"/>
      <w:numFmt w:val="bullet"/>
      <w:lvlText w:val="•"/>
      <w:lvlJc w:val="left"/>
      <w:pPr>
        <w:ind w:left="8532" w:hanging="601"/>
      </w:pPr>
      <w:rPr>
        <w:rFonts w:hint="default"/>
        <w:lang w:val="zh-CN" w:eastAsia="zh-CN" w:bidi="zh-CN"/>
      </w:rPr>
    </w:lvl>
  </w:abstractNum>
  <w:abstractNum w:abstractNumId="6">
    <w:nsid w:val="BF205925"/>
    <w:multiLevelType w:val="multilevel"/>
    <w:tmpl w:val="BF205925"/>
    <w:lvl w:ilvl="0" w:tentative="0">
      <w:start w:val="3"/>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24"/>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7">
    <w:nsid w:val="C0915F4F"/>
    <w:multiLevelType w:val="multilevel"/>
    <w:tmpl w:val="C0915F4F"/>
    <w:lvl w:ilvl="0" w:tentative="0">
      <w:start w:val="2"/>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spacing w:val="-51"/>
        <w:w w:val="100"/>
        <w:sz w:val="24"/>
        <w:szCs w:val="24"/>
        <w:lang w:val="zh-CN" w:eastAsia="zh-CN" w:bidi="zh-CN"/>
      </w:rPr>
    </w:lvl>
    <w:lvl w:ilvl="2" w:tentative="0">
      <w:start w:val="0"/>
      <w:numFmt w:val="bullet"/>
      <w:lvlText w:val="•"/>
      <w:lvlJc w:val="left"/>
      <w:pPr>
        <w:ind w:left="3264" w:hanging="720"/>
      </w:pPr>
      <w:rPr>
        <w:rFonts w:hint="default"/>
        <w:lang w:val="zh-CN" w:eastAsia="zh-CN" w:bidi="zh-CN"/>
      </w:rPr>
    </w:lvl>
    <w:lvl w:ilvl="3" w:tentative="0">
      <w:start w:val="0"/>
      <w:numFmt w:val="bullet"/>
      <w:lvlText w:val="•"/>
      <w:lvlJc w:val="left"/>
      <w:pPr>
        <w:ind w:left="4146" w:hanging="720"/>
      </w:pPr>
      <w:rPr>
        <w:rFonts w:hint="default"/>
        <w:lang w:val="zh-CN" w:eastAsia="zh-CN" w:bidi="zh-CN"/>
      </w:rPr>
    </w:lvl>
    <w:lvl w:ilvl="4" w:tentative="0">
      <w:start w:val="0"/>
      <w:numFmt w:val="bullet"/>
      <w:lvlText w:val="•"/>
      <w:lvlJc w:val="left"/>
      <w:pPr>
        <w:ind w:left="5028" w:hanging="720"/>
      </w:pPr>
      <w:rPr>
        <w:rFonts w:hint="default"/>
        <w:lang w:val="zh-CN" w:eastAsia="zh-CN" w:bidi="zh-CN"/>
      </w:rPr>
    </w:lvl>
    <w:lvl w:ilvl="5" w:tentative="0">
      <w:start w:val="0"/>
      <w:numFmt w:val="bullet"/>
      <w:lvlText w:val="•"/>
      <w:lvlJc w:val="left"/>
      <w:pPr>
        <w:ind w:left="5910" w:hanging="720"/>
      </w:pPr>
      <w:rPr>
        <w:rFonts w:hint="default"/>
        <w:lang w:val="zh-CN" w:eastAsia="zh-CN" w:bidi="zh-CN"/>
      </w:rPr>
    </w:lvl>
    <w:lvl w:ilvl="6" w:tentative="0">
      <w:start w:val="0"/>
      <w:numFmt w:val="bullet"/>
      <w:lvlText w:val="•"/>
      <w:lvlJc w:val="left"/>
      <w:pPr>
        <w:ind w:left="6792" w:hanging="720"/>
      </w:pPr>
      <w:rPr>
        <w:rFonts w:hint="default"/>
        <w:lang w:val="zh-CN" w:eastAsia="zh-CN" w:bidi="zh-CN"/>
      </w:rPr>
    </w:lvl>
    <w:lvl w:ilvl="7" w:tentative="0">
      <w:start w:val="0"/>
      <w:numFmt w:val="bullet"/>
      <w:lvlText w:val="•"/>
      <w:lvlJc w:val="left"/>
      <w:pPr>
        <w:ind w:left="7674" w:hanging="720"/>
      </w:pPr>
      <w:rPr>
        <w:rFonts w:hint="default"/>
        <w:lang w:val="zh-CN" w:eastAsia="zh-CN" w:bidi="zh-CN"/>
      </w:rPr>
    </w:lvl>
    <w:lvl w:ilvl="8" w:tentative="0">
      <w:start w:val="0"/>
      <w:numFmt w:val="bullet"/>
      <w:lvlText w:val="•"/>
      <w:lvlJc w:val="left"/>
      <w:pPr>
        <w:ind w:left="8556" w:hanging="720"/>
      </w:pPr>
      <w:rPr>
        <w:rFonts w:hint="default"/>
        <w:lang w:val="zh-CN" w:eastAsia="zh-CN" w:bidi="zh-CN"/>
      </w:rPr>
    </w:lvl>
  </w:abstractNum>
  <w:abstractNum w:abstractNumId="8">
    <w:nsid w:val="C8879AEF"/>
    <w:multiLevelType w:val="multilevel"/>
    <w:tmpl w:val="C8879AEF"/>
    <w:lvl w:ilvl="0" w:tentative="0">
      <w:start w:val="13"/>
      <w:numFmt w:val="decimal"/>
      <w:lvlText w:val="%1"/>
      <w:lvlJc w:val="left"/>
      <w:pPr>
        <w:ind w:left="1623" w:hanging="845"/>
        <w:jc w:val="left"/>
      </w:pPr>
      <w:rPr>
        <w:rFonts w:hint="default"/>
        <w:lang w:val="zh-CN" w:eastAsia="zh-CN" w:bidi="zh-CN"/>
      </w:rPr>
    </w:lvl>
    <w:lvl w:ilvl="1" w:tentative="0">
      <w:start w:val="1"/>
      <w:numFmt w:val="decimal"/>
      <w:lvlText w:val="%1.%2"/>
      <w:lvlJc w:val="left"/>
      <w:pPr>
        <w:ind w:left="1623" w:hanging="845"/>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360" w:hanging="845"/>
      </w:pPr>
      <w:rPr>
        <w:rFonts w:hint="default"/>
        <w:lang w:val="zh-CN" w:eastAsia="zh-CN" w:bidi="zh-CN"/>
      </w:rPr>
    </w:lvl>
    <w:lvl w:ilvl="3" w:tentative="0">
      <w:start w:val="0"/>
      <w:numFmt w:val="bullet"/>
      <w:lvlText w:val="•"/>
      <w:lvlJc w:val="left"/>
      <w:pPr>
        <w:ind w:left="4230" w:hanging="845"/>
      </w:pPr>
      <w:rPr>
        <w:rFonts w:hint="default"/>
        <w:lang w:val="zh-CN" w:eastAsia="zh-CN" w:bidi="zh-CN"/>
      </w:rPr>
    </w:lvl>
    <w:lvl w:ilvl="4" w:tentative="0">
      <w:start w:val="0"/>
      <w:numFmt w:val="bullet"/>
      <w:lvlText w:val="•"/>
      <w:lvlJc w:val="left"/>
      <w:pPr>
        <w:ind w:left="5100" w:hanging="845"/>
      </w:pPr>
      <w:rPr>
        <w:rFonts w:hint="default"/>
        <w:lang w:val="zh-CN" w:eastAsia="zh-CN" w:bidi="zh-CN"/>
      </w:rPr>
    </w:lvl>
    <w:lvl w:ilvl="5" w:tentative="0">
      <w:start w:val="0"/>
      <w:numFmt w:val="bullet"/>
      <w:lvlText w:val="•"/>
      <w:lvlJc w:val="left"/>
      <w:pPr>
        <w:ind w:left="5970" w:hanging="845"/>
      </w:pPr>
      <w:rPr>
        <w:rFonts w:hint="default"/>
        <w:lang w:val="zh-CN" w:eastAsia="zh-CN" w:bidi="zh-CN"/>
      </w:rPr>
    </w:lvl>
    <w:lvl w:ilvl="6" w:tentative="0">
      <w:start w:val="0"/>
      <w:numFmt w:val="bullet"/>
      <w:lvlText w:val="•"/>
      <w:lvlJc w:val="left"/>
      <w:pPr>
        <w:ind w:left="6840" w:hanging="845"/>
      </w:pPr>
      <w:rPr>
        <w:rFonts w:hint="default"/>
        <w:lang w:val="zh-CN" w:eastAsia="zh-CN" w:bidi="zh-CN"/>
      </w:rPr>
    </w:lvl>
    <w:lvl w:ilvl="7" w:tentative="0">
      <w:start w:val="0"/>
      <w:numFmt w:val="bullet"/>
      <w:lvlText w:val="•"/>
      <w:lvlJc w:val="left"/>
      <w:pPr>
        <w:ind w:left="7710" w:hanging="845"/>
      </w:pPr>
      <w:rPr>
        <w:rFonts w:hint="default"/>
        <w:lang w:val="zh-CN" w:eastAsia="zh-CN" w:bidi="zh-CN"/>
      </w:rPr>
    </w:lvl>
    <w:lvl w:ilvl="8" w:tentative="0">
      <w:start w:val="0"/>
      <w:numFmt w:val="bullet"/>
      <w:lvlText w:val="•"/>
      <w:lvlJc w:val="left"/>
      <w:pPr>
        <w:ind w:left="8580" w:hanging="845"/>
      </w:pPr>
      <w:rPr>
        <w:rFonts w:hint="default"/>
        <w:lang w:val="zh-CN" w:eastAsia="zh-CN" w:bidi="zh-CN"/>
      </w:rPr>
    </w:lvl>
  </w:abstractNum>
  <w:abstractNum w:abstractNumId="9">
    <w:nsid w:val="D7D140E4"/>
    <w:multiLevelType w:val="multilevel"/>
    <w:tmpl w:val="D7D140E4"/>
    <w:lvl w:ilvl="0" w:tentative="0">
      <w:start w:val="18"/>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spacing w:val="-12"/>
        <w:w w:val="100"/>
        <w:sz w:val="24"/>
        <w:szCs w:val="24"/>
        <w:lang w:val="zh-CN" w:eastAsia="zh-CN" w:bidi="zh-CN"/>
      </w:rPr>
    </w:lvl>
    <w:lvl w:ilvl="2" w:tentative="0">
      <w:start w:val="0"/>
      <w:numFmt w:val="bullet"/>
      <w:lvlText w:val="•"/>
      <w:lvlJc w:val="left"/>
      <w:pPr>
        <w:ind w:left="3264" w:hanging="720"/>
      </w:pPr>
      <w:rPr>
        <w:rFonts w:hint="default"/>
        <w:lang w:val="zh-CN" w:eastAsia="zh-CN" w:bidi="zh-CN"/>
      </w:rPr>
    </w:lvl>
    <w:lvl w:ilvl="3" w:tentative="0">
      <w:start w:val="0"/>
      <w:numFmt w:val="bullet"/>
      <w:lvlText w:val="•"/>
      <w:lvlJc w:val="left"/>
      <w:pPr>
        <w:ind w:left="4146" w:hanging="720"/>
      </w:pPr>
      <w:rPr>
        <w:rFonts w:hint="default"/>
        <w:lang w:val="zh-CN" w:eastAsia="zh-CN" w:bidi="zh-CN"/>
      </w:rPr>
    </w:lvl>
    <w:lvl w:ilvl="4" w:tentative="0">
      <w:start w:val="0"/>
      <w:numFmt w:val="bullet"/>
      <w:lvlText w:val="•"/>
      <w:lvlJc w:val="left"/>
      <w:pPr>
        <w:ind w:left="5028" w:hanging="720"/>
      </w:pPr>
      <w:rPr>
        <w:rFonts w:hint="default"/>
        <w:lang w:val="zh-CN" w:eastAsia="zh-CN" w:bidi="zh-CN"/>
      </w:rPr>
    </w:lvl>
    <w:lvl w:ilvl="5" w:tentative="0">
      <w:start w:val="0"/>
      <w:numFmt w:val="bullet"/>
      <w:lvlText w:val="•"/>
      <w:lvlJc w:val="left"/>
      <w:pPr>
        <w:ind w:left="5910" w:hanging="720"/>
      </w:pPr>
      <w:rPr>
        <w:rFonts w:hint="default"/>
        <w:lang w:val="zh-CN" w:eastAsia="zh-CN" w:bidi="zh-CN"/>
      </w:rPr>
    </w:lvl>
    <w:lvl w:ilvl="6" w:tentative="0">
      <w:start w:val="0"/>
      <w:numFmt w:val="bullet"/>
      <w:lvlText w:val="•"/>
      <w:lvlJc w:val="left"/>
      <w:pPr>
        <w:ind w:left="6792" w:hanging="720"/>
      </w:pPr>
      <w:rPr>
        <w:rFonts w:hint="default"/>
        <w:lang w:val="zh-CN" w:eastAsia="zh-CN" w:bidi="zh-CN"/>
      </w:rPr>
    </w:lvl>
    <w:lvl w:ilvl="7" w:tentative="0">
      <w:start w:val="0"/>
      <w:numFmt w:val="bullet"/>
      <w:lvlText w:val="•"/>
      <w:lvlJc w:val="left"/>
      <w:pPr>
        <w:ind w:left="7674" w:hanging="720"/>
      </w:pPr>
      <w:rPr>
        <w:rFonts w:hint="default"/>
        <w:lang w:val="zh-CN" w:eastAsia="zh-CN" w:bidi="zh-CN"/>
      </w:rPr>
    </w:lvl>
    <w:lvl w:ilvl="8" w:tentative="0">
      <w:start w:val="0"/>
      <w:numFmt w:val="bullet"/>
      <w:lvlText w:val="•"/>
      <w:lvlJc w:val="left"/>
      <w:pPr>
        <w:ind w:left="8556" w:hanging="720"/>
      </w:pPr>
      <w:rPr>
        <w:rFonts w:hint="default"/>
        <w:lang w:val="zh-CN" w:eastAsia="zh-CN" w:bidi="zh-CN"/>
      </w:rPr>
    </w:lvl>
  </w:abstractNum>
  <w:abstractNum w:abstractNumId="10">
    <w:nsid w:val="D7F9FE59"/>
    <w:multiLevelType w:val="multilevel"/>
    <w:tmpl w:val="D7F9FE59"/>
    <w:lvl w:ilvl="0" w:tentative="0">
      <w:start w:val="1"/>
      <w:numFmt w:val="decimal"/>
      <w:lvlText w:val="(%1)"/>
      <w:lvlJc w:val="left"/>
      <w:pPr>
        <w:ind w:left="1139"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58" w:hanging="361"/>
      </w:pPr>
      <w:rPr>
        <w:rFonts w:hint="default"/>
        <w:lang w:val="zh-CN" w:eastAsia="zh-CN" w:bidi="zh-CN"/>
      </w:rPr>
    </w:lvl>
    <w:lvl w:ilvl="2" w:tentative="0">
      <w:start w:val="0"/>
      <w:numFmt w:val="bullet"/>
      <w:lvlText w:val="•"/>
      <w:lvlJc w:val="left"/>
      <w:pPr>
        <w:ind w:left="2976" w:hanging="361"/>
      </w:pPr>
      <w:rPr>
        <w:rFonts w:hint="default"/>
        <w:lang w:val="zh-CN" w:eastAsia="zh-CN" w:bidi="zh-CN"/>
      </w:rPr>
    </w:lvl>
    <w:lvl w:ilvl="3" w:tentative="0">
      <w:start w:val="0"/>
      <w:numFmt w:val="bullet"/>
      <w:lvlText w:val="•"/>
      <w:lvlJc w:val="left"/>
      <w:pPr>
        <w:ind w:left="3894"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730" w:hanging="361"/>
      </w:pPr>
      <w:rPr>
        <w:rFonts w:hint="default"/>
        <w:lang w:val="zh-CN" w:eastAsia="zh-CN" w:bidi="zh-CN"/>
      </w:rPr>
    </w:lvl>
    <w:lvl w:ilvl="6" w:tentative="0">
      <w:start w:val="0"/>
      <w:numFmt w:val="bullet"/>
      <w:lvlText w:val="•"/>
      <w:lvlJc w:val="left"/>
      <w:pPr>
        <w:ind w:left="6648" w:hanging="361"/>
      </w:pPr>
      <w:rPr>
        <w:rFonts w:hint="default"/>
        <w:lang w:val="zh-CN" w:eastAsia="zh-CN" w:bidi="zh-CN"/>
      </w:rPr>
    </w:lvl>
    <w:lvl w:ilvl="7" w:tentative="0">
      <w:start w:val="0"/>
      <w:numFmt w:val="bullet"/>
      <w:lvlText w:val="•"/>
      <w:lvlJc w:val="left"/>
      <w:pPr>
        <w:ind w:left="7566" w:hanging="361"/>
      </w:pPr>
      <w:rPr>
        <w:rFonts w:hint="default"/>
        <w:lang w:val="zh-CN" w:eastAsia="zh-CN" w:bidi="zh-CN"/>
      </w:rPr>
    </w:lvl>
    <w:lvl w:ilvl="8" w:tentative="0">
      <w:start w:val="0"/>
      <w:numFmt w:val="bullet"/>
      <w:lvlText w:val="•"/>
      <w:lvlJc w:val="left"/>
      <w:pPr>
        <w:ind w:left="8484" w:hanging="361"/>
      </w:pPr>
      <w:rPr>
        <w:rFonts w:hint="default"/>
        <w:lang w:val="zh-CN" w:eastAsia="zh-CN" w:bidi="zh-CN"/>
      </w:rPr>
    </w:lvl>
  </w:abstractNum>
  <w:abstractNum w:abstractNumId="11">
    <w:nsid w:val="DCBA6B53"/>
    <w:multiLevelType w:val="multilevel"/>
    <w:tmpl w:val="DCBA6B53"/>
    <w:lvl w:ilvl="0" w:tentative="0">
      <w:start w:val="18"/>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264" w:hanging="720"/>
      </w:pPr>
      <w:rPr>
        <w:rFonts w:hint="default"/>
        <w:lang w:val="zh-CN" w:eastAsia="zh-CN" w:bidi="zh-CN"/>
      </w:rPr>
    </w:lvl>
    <w:lvl w:ilvl="3" w:tentative="0">
      <w:start w:val="0"/>
      <w:numFmt w:val="bullet"/>
      <w:lvlText w:val="•"/>
      <w:lvlJc w:val="left"/>
      <w:pPr>
        <w:ind w:left="4146" w:hanging="720"/>
      </w:pPr>
      <w:rPr>
        <w:rFonts w:hint="default"/>
        <w:lang w:val="zh-CN" w:eastAsia="zh-CN" w:bidi="zh-CN"/>
      </w:rPr>
    </w:lvl>
    <w:lvl w:ilvl="4" w:tentative="0">
      <w:start w:val="0"/>
      <w:numFmt w:val="bullet"/>
      <w:lvlText w:val="•"/>
      <w:lvlJc w:val="left"/>
      <w:pPr>
        <w:ind w:left="5028" w:hanging="720"/>
      </w:pPr>
      <w:rPr>
        <w:rFonts w:hint="default"/>
        <w:lang w:val="zh-CN" w:eastAsia="zh-CN" w:bidi="zh-CN"/>
      </w:rPr>
    </w:lvl>
    <w:lvl w:ilvl="5" w:tentative="0">
      <w:start w:val="0"/>
      <w:numFmt w:val="bullet"/>
      <w:lvlText w:val="•"/>
      <w:lvlJc w:val="left"/>
      <w:pPr>
        <w:ind w:left="5910" w:hanging="720"/>
      </w:pPr>
      <w:rPr>
        <w:rFonts w:hint="default"/>
        <w:lang w:val="zh-CN" w:eastAsia="zh-CN" w:bidi="zh-CN"/>
      </w:rPr>
    </w:lvl>
    <w:lvl w:ilvl="6" w:tentative="0">
      <w:start w:val="0"/>
      <w:numFmt w:val="bullet"/>
      <w:lvlText w:val="•"/>
      <w:lvlJc w:val="left"/>
      <w:pPr>
        <w:ind w:left="6792" w:hanging="720"/>
      </w:pPr>
      <w:rPr>
        <w:rFonts w:hint="default"/>
        <w:lang w:val="zh-CN" w:eastAsia="zh-CN" w:bidi="zh-CN"/>
      </w:rPr>
    </w:lvl>
    <w:lvl w:ilvl="7" w:tentative="0">
      <w:start w:val="0"/>
      <w:numFmt w:val="bullet"/>
      <w:lvlText w:val="•"/>
      <w:lvlJc w:val="left"/>
      <w:pPr>
        <w:ind w:left="7674" w:hanging="720"/>
      </w:pPr>
      <w:rPr>
        <w:rFonts w:hint="default"/>
        <w:lang w:val="zh-CN" w:eastAsia="zh-CN" w:bidi="zh-CN"/>
      </w:rPr>
    </w:lvl>
    <w:lvl w:ilvl="8" w:tentative="0">
      <w:start w:val="0"/>
      <w:numFmt w:val="bullet"/>
      <w:lvlText w:val="•"/>
      <w:lvlJc w:val="left"/>
      <w:pPr>
        <w:ind w:left="8556" w:hanging="720"/>
      </w:pPr>
      <w:rPr>
        <w:rFonts w:hint="default"/>
        <w:lang w:val="zh-CN" w:eastAsia="zh-CN" w:bidi="zh-CN"/>
      </w:rPr>
    </w:lvl>
  </w:abstractNum>
  <w:abstractNum w:abstractNumId="12">
    <w:nsid w:val="F0E89278"/>
    <w:multiLevelType w:val="multilevel"/>
    <w:tmpl w:val="F0E89278"/>
    <w:lvl w:ilvl="0" w:tentative="0">
      <w:start w:val="1"/>
      <w:numFmt w:val="decimal"/>
      <w:lvlText w:val="(%1)"/>
      <w:lvlJc w:val="left"/>
      <w:pPr>
        <w:ind w:left="1140" w:hanging="363"/>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58" w:hanging="363"/>
      </w:pPr>
      <w:rPr>
        <w:rFonts w:hint="default"/>
        <w:lang w:val="zh-CN" w:eastAsia="zh-CN" w:bidi="zh-CN"/>
      </w:rPr>
    </w:lvl>
    <w:lvl w:ilvl="2" w:tentative="0">
      <w:start w:val="0"/>
      <w:numFmt w:val="bullet"/>
      <w:lvlText w:val="•"/>
      <w:lvlJc w:val="left"/>
      <w:pPr>
        <w:ind w:left="2976" w:hanging="363"/>
      </w:pPr>
      <w:rPr>
        <w:rFonts w:hint="default"/>
        <w:lang w:val="zh-CN" w:eastAsia="zh-CN" w:bidi="zh-CN"/>
      </w:rPr>
    </w:lvl>
    <w:lvl w:ilvl="3" w:tentative="0">
      <w:start w:val="0"/>
      <w:numFmt w:val="bullet"/>
      <w:lvlText w:val="•"/>
      <w:lvlJc w:val="left"/>
      <w:pPr>
        <w:ind w:left="3894" w:hanging="363"/>
      </w:pPr>
      <w:rPr>
        <w:rFonts w:hint="default"/>
        <w:lang w:val="zh-CN" w:eastAsia="zh-CN" w:bidi="zh-CN"/>
      </w:rPr>
    </w:lvl>
    <w:lvl w:ilvl="4" w:tentative="0">
      <w:start w:val="0"/>
      <w:numFmt w:val="bullet"/>
      <w:lvlText w:val="•"/>
      <w:lvlJc w:val="left"/>
      <w:pPr>
        <w:ind w:left="4812" w:hanging="363"/>
      </w:pPr>
      <w:rPr>
        <w:rFonts w:hint="default"/>
        <w:lang w:val="zh-CN" w:eastAsia="zh-CN" w:bidi="zh-CN"/>
      </w:rPr>
    </w:lvl>
    <w:lvl w:ilvl="5" w:tentative="0">
      <w:start w:val="0"/>
      <w:numFmt w:val="bullet"/>
      <w:lvlText w:val="•"/>
      <w:lvlJc w:val="left"/>
      <w:pPr>
        <w:ind w:left="5730" w:hanging="363"/>
      </w:pPr>
      <w:rPr>
        <w:rFonts w:hint="default"/>
        <w:lang w:val="zh-CN" w:eastAsia="zh-CN" w:bidi="zh-CN"/>
      </w:rPr>
    </w:lvl>
    <w:lvl w:ilvl="6" w:tentative="0">
      <w:start w:val="0"/>
      <w:numFmt w:val="bullet"/>
      <w:lvlText w:val="•"/>
      <w:lvlJc w:val="left"/>
      <w:pPr>
        <w:ind w:left="6648" w:hanging="363"/>
      </w:pPr>
      <w:rPr>
        <w:rFonts w:hint="default"/>
        <w:lang w:val="zh-CN" w:eastAsia="zh-CN" w:bidi="zh-CN"/>
      </w:rPr>
    </w:lvl>
    <w:lvl w:ilvl="7" w:tentative="0">
      <w:start w:val="0"/>
      <w:numFmt w:val="bullet"/>
      <w:lvlText w:val="•"/>
      <w:lvlJc w:val="left"/>
      <w:pPr>
        <w:ind w:left="7566" w:hanging="363"/>
      </w:pPr>
      <w:rPr>
        <w:rFonts w:hint="default"/>
        <w:lang w:val="zh-CN" w:eastAsia="zh-CN" w:bidi="zh-CN"/>
      </w:rPr>
    </w:lvl>
    <w:lvl w:ilvl="8" w:tentative="0">
      <w:start w:val="0"/>
      <w:numFmt w:val="bullet"/>
      <w:lvlText w:val="•"/>
      <w:lvlJc w:val="left"/>
      <w:pPr>
        <w:ind w:left="8484" w:hanging="363"/>
      </w:pPr>
      <w:rPr>
        <w:rFonts w:hint="default"/>
        <w:lang w:val="zh-CN" w:eastAsia="zh-CN" w:bidi="zh-CN"/>
      </w:rPr>
    </w:lvl>
  </w:abstractNum>
  <w:abstractNum w:abstractNumId="13">
    <w:nsid w:val="F4B5D9F5"/>
    <w:multiLevelType w:val="multilevel"/>
    <w:tmpl w:val="F4B5D9F5"/>
    <w:lvl w:ilvl="0" w:tentative="0">
      <w:start w:val="16"/>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w w:val="100"/>
        <w:sz w:val="24"/>
        <w:szCs w:val="24"/>
        <w:lang w:val="zh-CN" w:eastAsia="zh-CN" w:bidi="zh-CN"/>
      </w:rPr>
    </w:lvl>
    <w:lvl w:ilvl="2" w:tentative="0">
      <w:start w:val="1"/>
      <w:numFmt w:val="decimal"/>
      <w:lvlText w:val="%1.%2.%3"/>
      <w:lvlJc w:val="left"/>
      <w:pPr>
        <w:ind w:left="298" w:hanging="960"/>
        <w:jc w:val="left"/>
      </w:pPr>
      <w:rPr>
        <w:rFonts w:hint="default" w:ascii="仿宋" w:hAnsi="仿宋" w:eastAsia="仿宋" w:cs="仿宋"/>
        <w:spacing w:val="-18"/>
        <w:w w:val="100"/>
        <w:sz w:val="24"/>
        <w:szCs w:val="24"/>
        <w:lang w:val="zh-CN" w:eastAsia="zh-CN" w:bidi="zh-CN"/>
      </w:rPr>
    </w:lvl>
    <w:lvl w:ilvl="3" w:tentative="0">
      <w:start w:val="0"/>
      <w:numFmt w:val="bullet"/>
      <w:lvlText w:val="•"/>
      <w:lvlJc w:val="left"/>
      <w:pPr>
        <w:ind w:left="3460" w:hanging="960"/>
      </w:pPr>
      <w:rPr>
        <w:rFonts w:hint="default"/>
        <w:lang w:val="zh-CN" w:eastAsia="zh-CN" w:bidi="zh-CN"/>
      </w:rPr>
    </w:lvl>
    <w:lvl w:ilvl="4" w:tentative="0">
      <w:start w:val="0"/>
      <w:numFmt w:val="bullet"/>
      <w:lvlText w:val="•"/>
      <w:lvlJc w:val="left"/>
      <w:pPr>
        <w:ind w:left="4440" w:hanging="960"/>
      </w:pPr>
      <w:rPr>
        <w:rFonts w:hint="default"/>
        <w:lang w:val="zh-CN" w:eastAsia="zh-CN" w:bidi="zh-CN"/>
      </w:rPr>
    </w:lvl>
    <w:lvl w:ilvl="5" w:tentative="0">
      <w:start w:val="0"/>
      <w:numFmt w:val="bullet"/>
      <w:lvlText w:val="•"/>
      <w:lvlJc w:val="left"/>
      <w:pPr>
        <w:ind w:left="5420" w:hanging="960"/>
      </w:pPr>
      <w:rPr>
        <w:rFonts w:hint="default"/>
        <w:lang w:val="zh-CN" w:eastAsia="zh-CN" w:bidi="zh-CN"/>
      </w:rPr>
    </w:lvl>
    <w:lvl w:ilvl="6" w:tentative="0">
      <w:start w:val="0"/>
      <w:numFmt w:val="bullet"/>
      <w:lvlText w:val="•"/>
      <w:lvlJc w:val="left"/>
      <w:pPr>
        <w:ind w:left="6400" w:hanging="960"/>
      </w:pPr>
      <w:rPr>
        <w:rFonts w:hint="default"/>
        <w:lang w:val="zh-CN" w:eastAsia="zh-CN" w:bidi="zh-CN"/>
      </w:rPr>
    </w:lvl>
    <w:lvl w:ilvl="7" w:tentative="0">
      <w:start w:val="0"/>
      <w:numFmt w:val="bullet"/>
      <w:lvlText w:val="•"/>
      <w:lvlJc w:val="left"/>
      <w:pPr>
        <w:ind w:left="7380" w:hanging="960"/>
      </w:pPr>
      <w:rPr>
        <w:rFonts w:hint="default"/>
        <w:lang w:val="zh-CN" w:eastAsia="zh-CN" w:bidi="zh-CN"/>
      </w:rPr>
    </w:lvl>
    <w:lvl w:ilvl="8" w:tentative="0">
      <w:start w:val="0"/>
      <w:numFmt w:val="bullet"/>
      <w:lvlText w:val="•"/>
      <w:lvlJc w:val="left"/>
      <w:pPr>
        <w:ind w:left="8360" w:hanging="960"/>
      </w:pPr>
      <w:rPr>
        <w:rFonts w:hint="default"/>
        <w:lang w:val="zh-CN" w:eastAsia="zh-CN" w:bidi="zh-CN"/>
      </w:rPr>
    </w:lvl>
  </w:abstractNum>
  <w:abstractNum w:abstractNumId="14">
    <w:nsid w:val="F689643B"/>
    <w:multiLevelType w:val="multilevel"/>
    <w:tmpl w:val="F689643B"/>
    <w:lvl w:ilvl="0" w:tentative="0">
      <w:start w:val="1"/>
      <w:numFmt w:val="decimal"/>
      <w:lvlText w:val="（%1）"/>
      <w:lvlJc w:val="left"/>
      <w:pPr>
        <w:ind w:left="1544" w:hanging="692"/>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2418" w:hanging="692"/>
      </w:pPr>
      <w:rPr>
        <w:rFonts w:hint="default"/>
        <w:lang w:val="zh-CN" w:eastAsia="zh-CN" w:bidi="zh-CN"/>
      </w:rPr>
    </w:lvl>
    <w:lvl w:ilvl="2" w:tentative="0">
      <w:start w:val="0"/>
      <w:numFmt w:val="bullet"/>
      <w:lvlText w:val="•"/>
      <w:lvlJc w:val="left"/>
      <w:pPr>
        <w:ind w:left="3296" w:hanging="692"/>
      </w:pPr>
      <w:rPr>
        <w:rFonts w:hint="default"/>
        <w:lang w:val="zh-CN" w:eastAsia="zh-CN" w:bidi="zh-CN"/>
      </w:rPr>
    </w:lvl>
    <w:lvl w:ilvl="3" w:tentative="0">
      <w:start w:val="0"/>
      <w:numFmt w:val="bullet"/>
      <w:lvlText w:val="•"/>
      <w:lvlJc w:val="left"/>
      <w:pPr>
        <w:ind w:left="4174" w:hanging="692"/>
      </w:pPr>
      <w:rPr>
        <w:rFonts w:hint="default"/>
        <w:lang w:val="zh-CN" w:eastAsia="zh-CN" w:bidi="zh-CN"/>
      </w:rPr>
    </w:lvl>
    <w:lvl w:ilvl="4" w:tentative="0">
      <w:start w:val="0"/>
      <w:numFmt w:val="bullet"/>
      <w:lvlText w:val="•"/>
      <w:lvlJc w:val="left"/>
      <w:pPr>
        <w:ind w:left="5052" w:hanging="692"/>
      </w:pPr>
      <w:rPr>
        <w:rFonts w:hint="default"/>
        <w:lang w:val="zh-CN" w:eastAsia="zh-CN" w:bidi="zh-CN"/>
      </w:rPr>
    </w:lvl>
    <w:lvl w:ilvl="5" w:tentative="0">
      <w:start w:val="0"/>
      <w:numFmt w:val="bullet"/>
      <w:lvlText w:val="•"/>
      <w:lvlJc w:val="left"/>
      <w:pPr>
        <w:ind w:left="5930" w:hanging="692"/>
      </w:pPr>
      <w:rPr>
        <w:rFonts w:hint="default"/>
        <w:lang w:val="zh-CN" w:eastAsia="zh-CN" w:bidi="zh-CN"/>
      </w:rPr>
    </w:lvl>
    <w:lvl w:ilvl="6" w:tentative="0">
      <w:start w:val="0"/>
      <w:numFmt w:val="bullet"/>
      <w:lvlText w:val="•"/>
      <w:lvlJc w:val="left"/>
      <w:pPr>
        <w:ind w:left="6808" w:hanging="692"/>
      </w:pPr>
      <w:rPr>
        <w:rFonts w:hint="default"/>
        <w:lang w:val="zh-CN" w:eastAsia="zh-CN" w:bidi="zh-CN"/>
      </w:rPr>
    </w:lvl>
    <w:lvl w:ilvl="7" w:tentative="0">
      <w:start w:val="0"/>
      <w:numFmt w:val="bullet"/>
      <w:lvlText w:val="•"/>
      <w:lvlJc w:val="left"/>
      <w:pPr>
        <w:ind w:left="7686" w:hanging="692"/>
      </w:pPr>
      <w:rPr>
        <w:rFonts w:hint="default"/>
        <w:lang w:val="zh-CN" w:eastAsia="zh-CN" w:bidi="zh-CN"/>
      </w:rPr>
    </w:lvl>
    <w:lvl w:ilvl="8" w:tentative="0">
      <w:start w:val="0"/>
      <w:numFmt w:val="bullet"/>
      <w:lvlText w:val="•"/>
      <w:lvlJc w:val="left"/>
      <w:pPr>
        <w:ind w:left="8564" w:hanging="692"/>
      </w:pPr>
      <w:rPr>
        <w:rFonts w:hint="default"/>
        <w:lang w:val="zh-CN" w:eastAsia="zh-CN" w:bidi="zh-CN"/>
      </w:rPr>
    </w:lvl>
  </w:abstractNum>
  <w:abstractNum w:abstractNumId="15">
    <w:nsid w:val="0053208E"/>
    <w:multiLevelType w:val="multilevel"/>
    <w:tmpl w:val="0053208E"/>
    <w:lvl w:ilvl="0" w:tentative="0">
      <w:start w:val="1"/>
      <w:numFmt w:val="decimal"/>
      <w:lvlText w:val="%1."/>
      <w:lvlJc w:val="left"/>
      <w:pPr>
        <w:ind w:left="1265" w:hanging="485"/>
        <w:jc w:val="left"/>
      </w:pPr>
      <w:rPr>
        <w:rFonts w:hint="default" w:ascii="Microsoft JhengHei" w:hAnsi="Microsoft JhengHei" w:eastAsia="Microsoft JhengHei" w:cs="Microsoft JhengHei"/>
        <w:b/>
        <w:bCs/>
        <w:spacing w:val="0"/>
        <w:w w:val="84"/>
        <w:sz w:val="24"/>
        <w:szCs w:val="24"/>
        <w:lang w:val="zh-CN" w:eastAsia="zh-CN" w:bidi="zh-CN"/>
      </w:rPr>
    </w:lvl>
    <w:lvl w:ilvl="1" w:tentative="0">
      <w:start w:val="1"/>
      <w:numFmt w:val="decimal"/>
      <w:lvlText w:val="%1.%2"/>
      <w:lvlJc w:val="left"/>
      <w:pPr>
        <w:ind w:left="298" w:hanging="600"/>
        <w:jc w:val="left"/>
      </w:pPr>
      <w:rPr>
        <w:rFonts w:hint="default"/>
        <w:spacing w:val="-60"/>
        <w:w w:val="100"/>
        <w:lang w:val="zh-CN" w:eastAsia="zh-CN" w:bidi="zh-CN"/>
      </w:rPr>
    </w:lvl>
    <w:lvl w:ilvl="2" w:tentative="0">
      <w:start w:val="1"/>
      <w:numFmt w:val="decimal"/>
      <w:lvlText w:val="%1.%2.%3"/>
      <w:lvlJc w:val="left"/>
      <w:pPr>
        <w:ind w:left="1508" w:hanging="600"/>
        <w:jc w:val="left"/>
      </w:pPr>
      <w:rPr>
        <w:rFonts w:hint="default"/>
        <w:b/>
        <w:bCs/>
        <w:spacing w:val="0"/>
        <w:w w:val="84"/>
        <w:lang w:val="zh-CN" w:eastAsia="zh-CN" w:bidi="zh-CN"/>
      </w:rPr>
    </w:lvl>
    <w:lvl w:ilvl="3" w:tentative="0">
      <w:start w:val="0"/>
      <w:numFmt w:val="bullet"/>
      <w:lvlText w:val="•"/>
      <w:lvlJc w:val="left"/>
      <w:pPr>
        <w:ind w:left="1500" w:hanging="600"/>
      </w:pPr>
      <w:rPr>
        <w:rFonts w:hint="default"/>
        <w:lang w:val="zh-CN" w:eastAsia="zh-CN" w:bidi="zh-CN"/>
      </w:rPr>
    </w:lvl>
    <w:lvl w:ilvl="4" w:tentative="0">
      <w:start w:val="0"/>
      <w:numFmt w:val="bullet"/>
      <w:lvlText w:val="•"/>
      <w:lvlJc w:val="left"/>
      <w:pPr>
        <w:ind w:left="2760" w:hanging="600"/>
      </w:pPr>
      <w:rPr>
        <w:rFonts w:hint="default"/>
        <w:lang w:val="zh-CN" w:eastAsia="zh-CN" w:bidi="zh-CN"/>
      </w:rPr>
    </w:lvl>
    <w:lvl w:ilvl="5" w:tentative="0">
      <w:start w:val="0"/>
      <w:numFmt w:val="bullet"/>
      <w:lvlText w:val="•"/>
      <w:lvlJc w:val="left"/>
      <w:pPr>
        <w:ind w:left="4020" w:hanging="600"/>
      </w:pPr>
      <w:rPr>
        <w:rFonts w:hint="default"/>
        <w:lang w:val="zh-CN" w:eastAsia="zh-CN" w:bidi="zh-CN"/>
      </w:rPr>
    </w:lvl>
    <w:lvl w:ilvl="6" w:tentative="0">
      <w:start w:val="0"/>
      <w:numFmt w:val="bullet"/>
      <w:lvlText w:val="•"/>
      <w:lvlJc w:val="left"/>
      <w:pPr>
        <w:ind w:left="5280" w:hanging="600"/>
      </w:pPr>
      <w:rPr>
        <w:rFonts w:hint="default"/>
        <w:lang w:val="zh-CN" w:eastAsia="zh-CN" w:bidi="zh-CN"/>
      </w:rPr>
    </w:lvl>
    <w:lvl w:ilvl="7" w:tentative="0">
      <w:start w:val="0"/>
      <w:numFmt w:val="bullet"/>
      <w:lvlText w:val="•"/>
      <w:lvlJc w:val="left"/>
      <w:pPr>
        <w:ind w:left="6540" w:hanging="600"/>
      </w:pPr>
      <w:rPr>
        <w:rFonts w:hint="default"/>
        <w:lang w:val="zh-CN" w:eastAsia="zh-CN" w:bidi="zh-CN"/>
      </w:rPr>
    </w:lvl>
    <w:lvl w:ilvl="8" w:tentative="0">
      <w:start w:val="0"/>
      <w:numFmt w:val="bullet"/>
      <w:lvlText w:val="•"/>
      <w:lvlJc w:val="left"/>
      <w:pPr>
        <w:ind w:left="7800" w:hanging="600"/>
      </w:pPr>
      <w:rPr>
        <w:rFonts w:hint="default"/>
        <w:lang w:val="zh-CN" w:eastAsia="zh-CN" w:bidi="zh-CN"/>
      </w:rPr>
    </w:lvl>
  </w:abstractNum>
  <w:abstractNum w:abstractNumId="16">
    <w:nsid w:val="0248C179"/>
    <w:multiLevelType w:val="multilevel"/>
    <w:tmpl w:val="0248C179"/>
    <w:lvl w:ilvl="0" w:tentative="0">
      <w:start w:val="1"/>
      <w:numFmt w:val="decimal"/>
      <w:lvlText w:val="（%1）"/>
      <w:lvlJc w:val="left"/>
      <w:pPr>
        <w:ind w:left="13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274" w:hanging="601"/>
      </w:pPr>
      <w:rPr>
        <w:rFonts w:hint="default"/>
        <w:lang w:val="zh-CN" w:eastAsia="zh-CN" w:bidi="zh-CN"/>
      </w:rPr>
    </w:lvl>
    <w:lvl w:ilvl="2" w:tentative="0">
      <w:start w:val="0"/>
      <w:numFmt w:val="bullet"/>
      <w:lvlText w:val="•"/>
      <w:lvlJc w:val="left"/>
      <w:pPr>
        <w:ind w:left="3168" w:hanging="601"/>
      </w:pPr>
      <w:rPr>
        <w:rFonts w:hint="default"/>
        <w:lang w:val="zh-CN" w:eastAsia="zh-CN" w:bidi="zh-CN"/>
      </w:rPr>
    </w:lvl>
    <w:lvl w:ilvl="3" w:tentative="0">
      <w:start w:val="0"/>
      <w:numFmt w:val="bullet"/>
      <w:lvlText w:val="•"/>
      <w:lvlJc w:val="left"/>
      <w:pPr>
        <w:ind w:left="4062" w:hanging="601"/>
      </w:pPr>
      <w:rPr>
        <w:rFonts w:hint="default"/>
        <w:lang w:val="zh-CN" w:eastAsia="zh-CN" w:bidi="zh-CN"/>
      </w:rPr>
    </w:lvl>
    <w:lvl w:ilvl="4" w:tentative="0">
      <w:start w:val="0"/>
      <w:numFmt w:val="bullet"/>
      <w:lvlText w:val="•"/>
      <w:lvlJc w:val="left"/>
      <w:pPr>
        <w:ind w:left="4956" w:hanging="601"/>
      </w:pPr>
      <w:rPr>
        <w:rFonts w:hint="default"/>
        <w:lang w:val="zh-CN" w:eastAsia="zh-CN" w:bidi="zh-CN"/>
      </w:rPr>
    </w:lvl>
    <w:lvl w:ilvl="5" w:tentative="0">
      <w:start w:val="0"/>
      <w:numFmt w:val="bullet"/>
      <w:lvlText w:val="•"/>
      <w:lvlJc w:val="left"/>
      <w:pPr>
        <w:ind w:left="5850" w:hanging="601"/>
      </w:pPr>
      <w:rPr>
        <w:rFonts w:hint="default"/>
        <w:lang w:val="zh-CN" w:eastAsia="zh-CN" w:bidi="zh-CN"/>
      </w:rPr>
    </w:lvl>
    <w:lvl w:ilvl="6" w:tentative="0">
      <w:start w:val="0"/>
      <w:numFmt w:val="bullet"/>
      <w:lvlText w:val="•"/>
      <w:lvlJc w:val="left"/>
      <w:pPr>
        <w:ind w:left="6744" w:hanging="601"/>
      </w:pPr>
      <w:rPr>
        <w:rFonts w:hint="default"/>
        <w:lang w:val="zh-CN" w:eastAsia="zh-CN" w:bidi="zh-CN"/>
      </w:rPr>
    </w:lvl>
    <w:lvl w:ilvl="7" w:tentative="0">
      <w:start w:val="0"/>
      <w:numFmt w:val="bullet"/>
      <w:lvlText w:val="•"/>
      <w:lvlJc w:val="left"/>
      <w:pPr>
        <w:ind w:left="7638" w:hanging="601"/>
      </w:pPr>
      <w:rPr>
        <w:rFonts w:hint="default"/>
        <w:lang w:val="zh-CN" w:eastAsia="zh-CN" w:bidi="zh-CN"/>
      </w:rPr>
    </w:lvl>
    <w:lvl w:ilvl="8" w:tentative="0">
      <w:start w:val="0"/>
      <w:numFmt w:val="bullet"/>
      <w:lvlText w:val="•"/>
      <w:lvlJc w:val="left"/>
      <w:pPr>
        <w:ind w:left="8532" w:hanging="601"/>
      </w:pPr>
      <w:rPr>
        <w:rFonts w:hint="default"/>
        <w:lang w:val="zh-CN" w:eastAsia="zh-CN" w:bidi="zh-CN"/>
      </w:rPr>
    </w:lvl>
  </w:abstractNum>
  <w:abstractNum w:abstractNumId="17">
    <w:nsid w:val="03A63A41"/>
    <w:multiLevelType w:val="multilevel"/>
    <w:tmpl w:val="03A63A41"/>
    <w:lvl w:ilvl="0" w:tentative="0">
      <w:start w:val="1"/>
      <w:numFmt w:val="decimal"/>
      <w:lvlText w:val="（%1）"/>
      <w:lvlJc w:val="left"/>
      <w:pPr>
        <w:ind w:left="1379"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274" w:hanging="601"/>
      </w:pPr>
      <w:rPr>
        <w:rFonts w:hint="default"/>
        <w:lang w:val="zh-CN" w:eastAsia="zh-CN" w:bidi="zh-CN"/>
      </w:rPr>
    </w:lvl>
    <w:lvl w:ilvl="2" w:tentative="0">
      <w:start w:val="0"/>
      <w:numFmt w:val="bullet"/>
      <w:lvlText w:val="•"/>
      <w:lvlJc w:val="left"/>
      <w:pPr>
        <w:ind w:left="3168" w:hanging="601"/>
      </w:pPr>
      <w:rPr>
        <w:rFonts w:hint="default"/>
        <w:lang w:val="zh-CN" w:eastAsia="zh-CN" w:bidi="zh-CN"/>
      </w:rPr>
    </w:lvl>
    <w:lvl w:ilvl="3" w:tentative="0">
      <w:start w:val="0"/>
      <w:numFmt w:val="bullet"/>
      <w:lvlText w:val="•"/>
      <w:lvlJc w:val="left"/>
      <w:pPr>
        <w:ind w:left="4062" w:hanging="601"/>
      </w:pPr>
      <w:rPr>
        <w:rFonts w:hint="default"/>
        <w:lang w:val="zh-CN" w:eastAsia="zh-CN" w:bidi="zh-CN"/>
      </w:rPr>
    </w:lvl>
    <w:lvl w:ilvl="4" w:tentative="0">
      <w:start w:val="0"/>
      <w:numFmt w:val="bullet"/>
      <w:lvlText w:val="•"/>
      <w:lvlJc w:val="left"/>
      <w:pPr>
        <w:ind w:left="4956" w:hanging="601"/>
      </w:pPr>
      <w:rPr>
        <w:rFonts w:hint="default"/>
        <w:lang w:val="zh-CN" w:eastAsia="zh-CN" w:bidi="zh-CN"/>
      </w:rPr>
    </w:lvl>
    <w:lvl w:ilvl="5" w:tentative="0">
      <w:start w:val="0"/>
      <w:numFmt w:val="bullet"/>
      <w:lvlText w:val="•"/>
      <w:lvlJc w:val="left"/>
      <w:pPr>
        <w:ind w:left="5850" w:hanging="601"/>
      </w:pPr>
      <w:rPr>
        <w:rFonts w:hint="default"/>
        <w:lang w:val="zh-CN" w:eastAsia="zh-CN" w:bidi="zh-CN"/>
      </w:rPr>
    </w:lvl>
    <w:lvl w:ilvl="6" w:tentative="0">
      <w:start w:val="0"/>
      <w:numFmt w:val="bullet"/>
      <w:lvlText w:val="•"/>
      <w:lvlJc w:val="left"/>
      <w:pPr>
        <w:ind w:left="6744" w:hanging="601"/>
      </w:pPr>
      <w:rPr>
        <w:rFonts w:hint="default"/>
        <w:lang w:val="zh-CN" w:eastAsia="zh-CN" w:bidi="zh-CN"/>
      </w:rPr>
    </w:lvl>
    <w:lvl w:ilvl="7" w:tentative="0">
      <w:start w:val="0"/>
      <w:numFmt w:val="bullet"/>
      <w:lvlText w:val="•"/>
      <w:lvlJc w:val="left"/>
      <w:pPr>
        <w:ind w:left="7638" w:hanging="601"/>
      </w:pPr>
      <w:rPr>
        <w:rFonts w:hint="default"/>
        <w:lang w:val="zh-CN" w:eastAsia="zh-CN" w:bidi="zh-CN"/>
      </w:rPr>
    </w:lvl>
    <w:lvl w:ilvl="8" w:tentative="0">
      <w:start w:val="0"/>
      <w:numFmt w:val="bullet"/>
      <w:lvlText w:val="•"/>
      <w:lvlJc w:val="left"/>
      <w:pPr>
        <w:ind w:left="8532" w:hanging="601"/>
      </w:pPr>
      <w:rPr>
        <w:rFonts w:hint="default"/>
        <w:lang w:val="zh-CN" w:eastAsia="zh-CN" w:bidi="zh-CN"/>
      </w:rPr>
    </w:lvl>
  </w:abstractNum>
  <w:abstractNum w:abstractNumId="18">
    <w:nsid w:val="03D62ECE"/>
    <w:multiLevelType w:val="multilevel"/>
    <w:tmpl w:val="03D62ECE"/>
    <w:lvl w:ilvl="0" w:tentative="0">
      <w:start w:val="6"/>
      <w:numFmt w:val="decimal"/>
      <w:lvlText w:val="%1."/>
      <w:lvlJc w:val="left"/>
      <w:pPr>
        <w:ind w:left="1265" w:hanging="485"/>
        <w:jc w:val="left"/>
      </w:pPr>
      <w:rPr>
        <w:rFonts w:hint="default" w:ascii="Microsoft JhengHei" w:hAnsi="Microsoft JhengHei" w:eastAsia="Microsoft JhengHei" w:cs="Microsoft JhengHei"/>
        <w:b/>
        <w:bCs/>
        <w:spacing w:val="0"/>
        <w:w w:val="84"/>
        <w:sz w:val="24"/>
        <w:szCs w:val="24"/>
        <w:lang w:val="zh-CN" w:eastAsia="zh-CN" w:bidi="zh-CN"/>
      </w:rPr>
    </w:lvl>
    <w:lvl w:ilvl="1" w:tentative="0">
      <w:start w:val="1"/>
      <w:numFmt w:val="decimal"/>
      <w:lvlText w:val="%1.%2"/>
      <w:lvlJc w:val="left"/>
      <w:pPr>
        <w:ind w:left="298" w:hanging="605"/>
        <w:jc w:val="left"/>
      </w:pPr>
      <w:rPr>
        <w:rFonts w:hint="default" w:ascii="仿宋" w:hAnsi="仿宋" w:eastAsia="仿宋" w:cs="仿宋"/>
        <w:spacing w:val="-15"/>
        <w:w w:val="100"/>
        <w:sz w:val="24"/>
        <w:szCs w:val="24"/>
        <w:lang w:val="zh-CN" w:eastAsia="zh-CN" w:bidi="zh-CN"/>
      </w:rPr>
    </w:lvl>
    <w:lvl w:ilvl="2" w:tentative="0">
      <w:start w:val="0"/>
      <w:numFmt w:val="bullet"/>
      <w:lvlText w:val="•"/>
      <w:lvlJc w:val="left"/>
      <w:pPr>
        <w:ind w:left="2266" w:hanging="605"/>
      </w:pPr>
      <w:rPr>
        <w:rFonts w:hint="default"/>
        <w:lang w:val="zh-CN" w:eastAsia="zh-CN" w:bidi="zh-CN"/>
      </w:rPr>
    </w:lvl>
    <w:lvl w:ilvl="3" w:tentative="0">
      <w:start w:val="0"/>
      <w:numFmt w:val="bullet"/>
      <w:lvlText w:val="•"/>
      <w:lvlJc w:val="left"/>
      <w:pPr>
        <w:ind w:left="3273" w:hanging="605"/>
      </w:pPr>
      <w:rPr>
        <w:rFonts w:hint="default"/>
        <w:lang w:val="zh-CN" w:eastAsia="zh-CN" w:bidi="zh-CN"/>
      </w:rPr>
    </w:lvl>
    <w:lvl w:ilvl="4" w:tentative="0">
      <w:start w:val="0"/>
      <w:numFmt w:val="bullet"/>
      <w:lvlText w:val="•"/>
      <w:lvlJc w:val="left"/>
      <w:pPr>
        <w:ind w:left="4280" w:hanging="605"/>
      </w:pPr>
      <w:rPr>
        <w:rFonts w:hint="default"/>
        <w:lang w:val="zh-CN" w:eastAsia="zh-CN" w:bidi="zh-CN"/>
      </w:rPr>
    </w:lvl>
    <w:lvl w:ilvl="5" w:tentative="0">
      <w:start w:val="0"/>
      <w:numFmt w:val="bullet"/>
      <w:lvlText w:val="•"/>
      <w:lvlJc w:val="left"/>
      <w:pPr>
        <w:ind w:left="5286" w:hanging="605"/>
      </w:pPr>
      <w:rPr>
        <w:rFonts w:hint="default"/>
        <w:lang w:val="zh-CN" w:eastAsia="zh-CN" w:bidi="zh-CN"/>
      </w:rPr>
    </w:lvl>
    <w:lvl w:ilvl="6" w:tentative="0">
      <w:start w:val="0"/>
      <w:numFmt w:val="bullet"/>
      <w:lvlText w:val="•"/>
      <w:lvlJc w:val="left"/>
      <w:pPr>
        <w:ind w:left="6293" w:hanging="605"/>
      </w:pPr>
      <w:rPr>
        <w:rFonts w:hint="default"/>
        <w:lang w:val="zh-CN" w:eastAsia="zh-CN" w:bidi="zh-CN"/>
      </w:rPr>
    </w:lvl>
    <w:lvl w:ilvl="7" w:tentative="0">
      <w:start w:val="0"/>
      <w:numFmt w:val="bullet"/>
      <w:lvlText w:val="•"/>
      <w:lvlJc w:val="left"/>
      <w:pPr>
        <w:ind w:left="7300" w:hanging="605"/>
      </w:pPr>
      <w:rPr>
        <w:rFonts w:hint="default"/>
        <w:lang w:val="zh-CN" w:eastAsia="zh-CN" w:bidi="zh-CN"/>
      </w:rPr>
    </w:lvl>
    <w:lvl w:ilvl="8" w:tentative="0">
      <w:start w:val="0"/>
      <w:numFmt w:val="bullet"/>
      <w:lvlText w:val="•"/>
      <w:lvlJc w:val="left"/>
      <w:pPr>
        <w:ind w:left="8306" w:hanging="605"/>
      </w:pPr>
      <w:rPr>
        <w:rFonts w:hint="default"/>
        <w:lang w:val="zh-CN" w:eastAsia="zh-CN" w:bidi="zh-CN"/>
      </w:rPr>
    </w:lvl>
  </w:abstractNum>
  <w:abstractNum w:abstractNumId="19">
    <w:nsid w:val="0709FD3E"/>
    <w:multiLevelType w:val="multilevel"/>
    <w:tmpl w:val="0709FD3E"/>
    <w:lvl w:ilvl="0" w:tentative="0">
      <w:start w:val="16"/>
      <w:numFmt w:val="decimal"/>
      <w:lvlText w:val="%1"/>
      <w:lvlJc w:val="left"/>
      <w:pPr>
        <w:ind w:left="298" w:hanging="848"/>
        <w:jc w:val="left"/>
      </w:pPr>
      <w:rPr>
        <w:rFonts w:hint="default"/>
        <w:lang w:val="zh-CN" w:eastAsia="zh-CN" w:bidi="zh-CN"/>
      </w:rPr>
    </w:lvl>
    <w:lvl w:ilvl="1" w:tentative="0">
      <w:start w:val="1"/>
      <w:numFmt w:val="decimal"/>
      <w:lvlText w:val="%1.%2"/>
      <w:lvlJc w:val="left"/>
      <w:pPr>
        <w:ind w:left="298" w:hanging="848"/>
        <w:jc w:val="left"/>
      </w:pPr>
      <w:rPr>
        <w:rFonts w:hint="default" w:ascii="仿宋" w:hAnsi="仿宋" w:eastAsia="仿宋" w:cs="仿宋"/>
        <w:spacing w:val="-24"/>
        <w:w w:val="100"/>
        <w:sz w:val="24"/>
        <w:szCs w:val="24"/>
        <w:lang w:val="zh-CN" w:eastAsia="zh-CN" w:bidi="zh-CN"/>
      </w:rPr>
    </w:lvl>
    <w:lvl w:ilvl="2" w:tentative="0">
      <w:start w:val="0"/>
      <w:numFmt w:val="bullet"/>
      <w:lvlText w:val="•"/>
      <w:lvlJc w:val="left"/>
      <w:pPr>
        <w:ind w:left="2304" w:hanging="848"/>
      </w:pPr>
      <w:rPr>
        <w:rFonts w:hint="default"/>
        <w:lang w:val="zh-CN" w:eastAsia="zh-CN" w:bidi="zh-CN"/>
      </w:rPr>
    </w:lvl>
    <w:lvl w:ilvl="3" w:tentative="0">
      <w:start w:val="0"/>
      <w:numFmt w:val="bullet"/>
      <w:lvlText w:val="•"/>
      <w:lvlJc w:val="left"/>
      <w:pPr>
        <w:ind w:left="3306" w:hanging="848"/>
      </w:pPr>
      <w:rPr>
        <w:rFonts w:hint="default"/>
        <w:lang w:val="zh-CN" w:eastAsia="zh-CN" w:bidi="zh-CN"/>
      </w:rPr>
    </w:lvl>
    <w:lvl w:ilvl="4" w:tentative="0">
      <w:start w:val="0"/>
      <w:numFmt w:val="bullet"/>
      <w:lvlText w:val="•"/>
      <w:lvlJc w:val="left"/>
      <w:pPr>
        <w:ind w:left="4308" w:hanging="848"/>
      </w:pPr>
      <w:rPr>
        <w:rFonts w:hint="default"/>
        <w:lang w:val="zh-CN" w:eastAsia="zh-CN" w:bidi="zh-CN"/>
      </w:rPr>
    </w:lvl>
    <w:lvl w:ilvl="5" w:tentative="0">
      <w:start w:val="0"/>
      <w:numFmt w:val="bullet"/>
      <w:lvlText w:val="•"/>
      <w:lvlJc w:val="left"/>
      <w:pPr>
        <w:ind w:left="5310" w:hanging="848"/>
      </w:pPr>
      <w:rPr>
        <w:rFonts w:hint="default"/>
        <w:lang w:val="zh-CN" w:eastAsia="zh-CN" w:bidi="zh-CN"/>
      </w:rPr>
    </w:lvl>
    <w:lvl w:ilvl="6" w:tentative="0">
      <w:start w:val="0"/>
      <w:numFmt w:val="bullet"/>
      <w:lvlText w:val="•"/>
      <w:lvlJc w:val="left"/>
      <w:pPr>
        <w:ind w:left="6312" w:hanging="848"/>
      </w:pPr>
      <w:rPr>
        <w:rFonts w:hint="default"/>
        <w:lang w:val="zh-CN" w:eastAsia="zh-CN" w:bidi="zh-CN"/>
      </w:rPr>
    </w:lvl>
    <w:lvl w:ilvl="7" w:tentative="0">
      <w:start w:val="0"/>
      <w:numFmt w:val="bullet"/>
      <w:lvlText w:val="•"/>
      <w:lvlJc w:val="left"/>
      <w:pPr>
        <w:ind w:left="7314" w:hanging="848"/>
      </w:pPr>
      <w:rPr>
        <w:rFonts w:hint="default"/>
        <w:lang w:val="zh-CN" w:eastAsia="zh-CN" w:bidi="zh-CN"/>
      </w:rPr>
    </w:lvl>
    <w:lvl w:ilvl="8" w:tentative="0">
      <w:start w:val="0"/>
      <w:numFmt w:val="bullet"/>
      <w:lvlText w:val="•"/>
      <w:lvlJc w:val="left"/>
      <w:pPr>
        <w:ind w:left="8316" w:hanging="848"/>
      </w:pPr>
      <w:rPr>
        <w:rFonts w:hint="default"/>
        <w:lang w:val="zh-CN" w:eastAsia="zh-CN" w:bidi="zh-CN"/>
      </w:rPr>
    </w:lvl>
  </w:abstractNum>
  <w:abstractNum w:abstractNumId="20">
    <w:nsid w:val="0CEF100B"/>
    <w:multiLevelType w:val="multilevel"/>
    <w:tmpl w:val="0CEF100B"/>
    <w:lvl w:ilvl="0" w:tentative="0">
      <w:start w:val="1"/>
      <w:numFmt w:val="decimal"/>
      <w:lvlText w:val="(%1)"/>
      <w:lvlJc w:val="left"/>
      <w:pPr>
        <w:ind w:left="298" w:hanging="485"/>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1302" w:hanging="485"/>
      </w:pPr>
      <w:rPr>
        <w:rFonts w:hint="default"/>
        <w:lang w:val="zh-CN" w:eastAsia="zh-CN" w:bidi="zh-CN"/>
      </w:rPr>
    </w:lvl>
    <w:lvl w:ilvl="2" w:tentative="0">
      <w:start w:val="0"/>
      <w:numFmt w:val="bullet"/>
      <w:lvlText w:val="•"/>
      <w:lvlJc w:val="left"/>
      <w:pPr>
        <w:ind w:left="2304" w:hanging="485"/>
      </w:pPr>
      <w:rPr>
        <w:rFonts w:hint="default"/>
        <w:lang w:val="zh-CN" w:eastAsia="zh-CN" w:bidi="zh-CN"/>
      </w:rPr>
    </w:lvl>
    <w:lvl w:ilvl="3" w:tentative="0">
      <w:start w:val="0"/>
      <w:numFmt w:val="bullet"/>
      <w:lvlText w:val="•"/>
      <w:lvlJc w:val="left"/>
      <w:pPr>
        <w:ind w:left="3306" w:hanging="485"/>
      </w:pPr>
      <w:rPr>
        <w:rFonts w:hint="default"/>
        <w:lang w:val="zh-CN" w:eastAsia="zh-CN" w:bidi="zh-CN"/>
      </w:rPr>
    </w:lvl>
    <w:lvl w:ilvl="4" w:tentative="0">
      <w:start w:val="0"/>
      <w:numFmt w:val="bullet"/>
      <w:lvlText w:val="•"/>
      <w:lvlJc w:val="left"/>
      <w:pPr>
        <w:ind w:left="4308" w:hanging="485"/>
      </w:pPr>
      <w:rPr>
        <w:rFonts w:hint="default"/>
        <w:lang w:val="zh-CN" w:eastAsia="zh-CN" w:bidi="zh-CN"/>
      </w:rPr>
    </w:lvl>
    <w:lvl w:ilvl="5" w:tentative="0">
      <w:start w:val="0"/>
      <w:numFmt w:val="bullet"/>
      <w:lvlText w:val="•"/>
      <w:lvlJc w:val="left"/>
      <w:pPr>
        <w:ind w:left="5310" w:hanging="485"/>
      </w:pPr>
      <w:rPr>
        <w:rFonts w:hint="default"/>
        <w:lang w:val="zh-CN" w:eastAsia="zh-CN" w:bidi="zh-CN"/>
      </w:rPr>
    </w:lvl>
    <w:lvl w:ilvl="6" w:tentative="0">
      <w:start w:val="0"/>
      <w:numFmt w:val="bullet"/>
      <w:lvlText w:val="•"/>
      <w:lvlJc w:val="left"/>
      <w:pPr>
        <w:ind w:left="6312" w:hanging="485"/>
      </w:pPr>
      <w:rPr>
        <w:rFonts w:hint="default"/>
        <w:lang w:val="zh-CN" w:eastAsia="zh-CN" w:bidi="zh-CN"/>
      </w:rPr>
    </w:lvl>
    <w:lvl w:ilvl="7" w:tentative="0">
      <w:start w:val="0"/>
      <w:numFmt w:val="bullet"/>
      <w:lvlText w:val="•"/>
      <w:lvlJc w:val="left"/>
      <w:pPr>
        <w:ind w:left="7314" w:hanging="485"/>
      </w:pPr>
      <w:rPr>
        <w:rFonts w:hint="default"/>
        <w:lang w:val="zh-CN" w:eastAsia="zh-CN" w:bidi="zh-CN"/>
      </w:rPr>
    </w:lvl>
    <w:lvl w:ilvl="8" w:tentative="0">
      <w:start w:val="0"/>
      <w:numFmt w:val="bullet"/>
      <w:lvlText w:val="•"/>
      <w:lvlJc w:val="left"/>
      <w:pPr>
        <w:ind w:left="8316" w:hanging="485"/>
      </w:pPr>
      <w:rPr>
        <w:rFonts w:hint="default"/>
        <w:lang w:val="zh-CN" w:eastAsia="zh-CN" w:bidi="zh-CN"/>
      </w:rPr>
    </w:lvl>
  </w:abstractNum>
  <w:abstractNum w:abstractNumId="21">
    <w:nsid w:val="0E640482"/>
    <w:multiLevelType w:val="multilevel"/>
    <w:tmpl w:val="0E640482"/>
    <w:lvl w:ilvl="0" w:tentative="0">
      <w:start w:val="26"/>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51"/>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22">
    <w:nsid w:val="0F9F9CCA"/>
    <w:multiLevelType w:val="multilevel"/>
    <w:tmpl w:val="0F9F9CCA"/>
    <w:lvl w:ilvl="0" w:tentative="0">
      <w:start w:val="26"/>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24"/>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23">
    <w:nsid w:val="12EADF99"/>
    <w:multiLevelType w:val="multilevel"/>
    <w:tmpl w:val="12EADF99"/>
    <w:lvl w:ilvl="0" w:tentative="0">
      <w:start w:val="3"/>
      <w:numFmt w:val="decimal"/>
      <w:lvlText w:val="%1"/>
      <w:lvlJc w:val="left"/>
      <w:pPr>
        <w:ind w:left="1383" w:hanging="605"/>
        <w:jc w:val="left"/>
      </w:pPr>
      <w:rPr>
        <w:rFonts w:hint="default"/>
        <w:lang w:val="zh-CN" w:eastAsia="zh-CN" w:bidi="zh-CN"/>
      </w:rPr>
    </w:lvl>
    <w:lvl w:ilvl="1" w:tentative="0">
      <w:start w:val="1"/>
      <w:numFmt w:val="decimal"/>
      <w:lvlText w:val="%1.%2"/>
      <w:lvlJc w:val="left"/>
      <w:pPr>
        <w:ind w:left="1383" w:hanging="605"/>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168" w:hanging="605"/>
      </w:pPr>
      <w:rPr>
        <w:rFonts w:hint="default"/>
        <w:lang w:val="zh-CN" w:eastAsia="zh-CN" w:bidi="zh-CN"/>
      </w:rPr>
    </w:lvl>
    <w:lvl w:ilvl="3" w:tentative="0">
      <w:start w:val="0"/>
      <w:numFmt w:val="bullet"/>
      <w:lvlText w:val="•"/>
      <w:lvlJc w:val="left"/>
      <w:pPr>
        <w:ind w:left="4062" w:hanging="605"/>
      </w:pPr>
      <w:rPr>
        <w:rFonts w:hint="default"/>
        <w:lang w:val="zh-CN" w:eastAsia="zh-CN" w:bidi="zh-CN"/>
      </w:rPr>
    </w:lvl>
    <w:lvl w:ilvl="4" w:tentative="0">
      <w:start w:val="0"/>
      <w:numFmt w:val="bullet"/>
      <w:lvlText w:val="•"/>
      <w:lvlJc w:val="left"/>
      <w:pPr>
        <w:ind w:left="4956" w:hanging="605"/>
      </w:pPr>
      <w:rPr>
        <w:rFonts w:hint="default"/>
        <w:lang w:val="zh-CN" w:eastAsia="zh-CN" w:bidi="zh-CN"/>
      </w:rPr>
    </w:lvl>
    <w:lvl w:ilvl="5" w:tentative="0">
      <w:start w:val="0"/>
      <w:numFmt w:val="bullet"/>
      <w:lvlText w:val="•"/>
      <w:lvlJc w:val="left"/>
      <w:pPr>
        <w:ind w:left="5850" w:hanging="605"/>
      </w:pPr>
      <w:rPr>
        <w:rFonts w:hint="default"/>
        <w:lang w:val="zh-CN" w:eastAsia="zh-CN" w:bidi="zh-CN"/>
      </w:rPr>
    </w:lvl>
    <w:lvl w:ilvl="6" w:tentative="0">
      <w:start w:val="0"/>
      <w:numFmt w:val="bullet"/>
      <w:lvlText w:val="•"/>
      <w:lvlJc w:val="left"/>
      <w:pPr>
        <w:ind w:left="6744" w:hanging="605"/>
      </w:pPr>
      <w:rPr>
        <w:rFonts w:hint="default"/>
        <w:lang w:val="zh-CN" w:eastAsia="zh-CN" w:bidi="zh-CN"/>
      </w:rPr>
    </w:lvl>
    <w:lvl w:ilvl="7" w:tentative="0">
      <w:start w:val="0"/>
      <w:numFmt w:val="bullet"/>
      <w:lvlText w:val="•"/>
      <w:lvlJc w:val="left"/>
      <w:pPr>
        <w:ind w:left="7638" w:hanging="605"/>
      </w:pPr>
      <w:rPr>
        <w:rFonts w:hint="default"/>
        <w:lang w:val="zh-CN" w:eastAsia="zh-CN" w:bidi="zh-CN"/>
      </w:rPr>
    </w:lvl>
    <w:lvl w:ilvl="8" w:tentative="0">
      <w:start w:val="0"/>
      <w:numFmt w:val="bullet"/>
      <w:lvlText w:val="•"/>
      <w:lvlJc w:val="left"/>
      <w:pPr>
        <w:ind w:left="8532" w:hanging="605"/>
      </w:pPr>
      <w:rPr>
        <w:rFonts w:hint="default"/>
        <w:lang w:val="zh-CN" w:eastAsia="zh-CN" w:bidi="zh-CN"/>
      </w:rPr>
    </w:lvl>
  </w:abstractNum>
  <w:abstractNum w:abstractNumId="24">
    <w:nsid w:val="1C257C7B"/>
    <w:multiLevelType w:val="multilevel"/>
    <w:tmpl w:val="1C257C7B"/>
    <w:lvl w:ilvl="0" w:tentative="0">
      <w:start w:val="20"/>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51"/>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25">
    <w:nsid w:val="23E97754"/>
    <w:multiLevelType w:val="multilevel"/>
    <w:tmpl w:val="23E97754"/>
    <w:lvl w:ilvl="0" w:tentative="0">
      <w:start w:val="21"/>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spacing w:val="-51"/>
        <w:w w:val="100"/>
        <w:sz w:val="24"/>
        <w:szCs w:val="24"/>
        <w:lang w:val="zh-CN" w:eastAsia="zh-CN" w:bidi="zh-CN"/>
      </w:rPr>
    </w:lvl>
    <w:lvl w:ilvl="2" w:tentative="0">
      <w:start w:val="1"/>
      <w:numFmt w:val="decimal"/>
      <w:lvlText w:val="(%3)"/>
      <w:lvlJc w:val="left"/>
      <w:pPr>
        <w:ind w:left="898" w:hanging="361"/>
        <w:jc w:val="left"/>
      </w:pPr>
      <w:rPr>
        <w:rFonts w:hint="default" w:ascii="仿宋" w:hAnsi="仿宋" w:eastAsia="仿宋" w:cs="仿宋"/>
        <w:spacing w:val="-17"/>
        <w:w w:val="100"/>
        <w:sz w:val="22"/>
        <w:szCs w:val="22"/>
        <w:lang w:val="zh-CN" w:eastAsia="zh-CN" w:bidi="zh-CN"/>
      </w:rPr>
    </w:lvl>
    <w:lvl w:ilvl="3" w:tentative="0">
      <w:start w:val="0"/>
      <w:numFmt w:val="bullet"/>
      <w:lvlText w:val="•"/>
      <w:lvlJc w:val="left"/>
      <w:pPr>
        <w:ind w:left="3460" w:hanging="361"/>
      </w:pPr>
      <w:rPr>
        <w:rFonts w:hint="default"/>
        <w:lang w:val="zh-CN" w:eastAsia="zh-CN" w:bidi="zh-CN"/>
      </w:rPr>
    </w:lvl>
    <w:lvl w:ilvl="4" w:tentative="0">
      <w:start w:val="0"/>
      <w:numFmt w:val="bullet"/>
      <w:lvlText w:val="•"/>
      <w:lvlJc w:val="left"/>
      <w:pPr>
        <w:ind w:left="4440" w:hanging="361"/>
      </w:pPr>
      <w:rPr>
        <w:rFonts w:hint="default"/>
        <w:lang w:val="zh-CN" w:eastAsia="zh-CN" w:bidi="zh-CN"/>
      </w:rPr>
    </w:lvl>
    <w:lvl w:ilvl="5" w:tentative="0">
      <w:start w:val="0"/>
      <w:numFmt w:val="bullet"/>
      <w:lvlText w:val="•"/>
      <w:lvlJc w:val="left"/>
      <w:pPr>
        <w:ind w:left="5420" w:hanging="361"/>
      </w:pPr>
      <w:rPr>
        <w:rFonts w:hint="default"/>
        <w:lang w:val="zh-CN" w:eastAsia="zh-CN" w:bidi="zh-CN"/>
      </w:rPr>
    </w:lvl>
    <w:lvl w:ilvl="6" w:tentative="0">
      <w:start w:val="0"/>
      <w:numFmt w:val="bullet"/>
      <w:lvlText w:val="•"/>
      <w:lvlJc w:val="left"/>
      <w:pPr>
        <w:ind w:left="6400" w:hanging="361"/>
      </w:pPr>
      <w:rPr>
        <w:rFonts w:hint="default"/>
        <w:lang w:val="zh-CN" w:eastAsia="zh-CN" w:bidi="zh-CN"/>
      </w:rPr>
    </w:lvl>
    <w:lvl w:ilvl="7" w:tentative="0">
      <w:start w:val="0"/>
      <w:numFmt w:val="bullet"/>
      <w:lvlText w:val="•"/>
      <w:lvlJc w:val="left"/>
      <w:pPr>
        <w:ind w:left="7380" w:hanging="361"/>
      </w:pPr>
      <w:rPr>
        <w:rFonts w:hint="default"/>
        <w:lang w:val="zh-CN" w:eastAsia="zh-CN" w:bidi="zh-CN"/>
      </w:rPr>
    </w:lvl>
    <w:lvl w:ilvl="8" w:tentative="0">
      <w:start w:val="0"/>
      <w:numFmt w:val="bullet"/>
      <w:lvlText w:val="•"/>
      <w:lvlJc w:val="left"/>
      <w:pPr>
        <w:ind w:left="8360" w:hanging="361"/>
      </w:pPr>
      <w:rPr>
        <w:rFonts w:hint="default"/>
        <w:lang w:val="zh-CN" w:eastAsia="zh-CN" w:bidi="zh-CN"/>
      </w:rPr>
    </w:lvl>
  </w:abstractNum>
  <w:abstractNum w:abstractNumId="26">
    <w:nsid w:val="2470EC97"/>
    <w:multiLevelType w:val="multilevel"/>
    <w:tmpl w:val="2470EC97"/>
    <w:lvl w:ilvl="0" w:tentative="0">
      <w:start w:val="17"/>
      <w:numFmt w:val="decimal"/>
      <w:lvlText w:val="%1."/>
      <w:lvlJc w:val="left"/>
      <w:pPr>
        <w:ind w:left="1145" w:hanging="365"/>
        <w:jc w:val="left"/>
      </w:pPr>
      <w:rPr>
        <w:rFonts w:hint="default" w:ascii="Microsoft JhengHei" w:hAnsi="Microsoft JhengHei" w:eastAsia="Microsoft JhengHei" w:cs="Microsoft JhengHei"/>
        <w:b/>
        <w:bCs/>
        <w:spacing w:val="0"/>
        <w:w w:val="84"/>
        <w:sz w:val="22"/>
        <w:szCs w:val="22"/>
        <w:lang w:val="zh-CN" w:eastAsia="zh-CN" w:bidi="zh-CN"/>
      </w:rPr>
    </w:lvl>
    <w:lvl w:ilvl="1" w:tentative="0">
      <w:start w:val="1"/>
      <w:numFmt w:val="decimal"/>
      <w:lvlText w:val="%1.%2"/>
      <w:lvlJc w:val="left"/>
      <w:pPr>
        <w:ind w:left="1498" w:hanging="720"/>
        <w:jc w:val="right"/>
      </w:pPr>
      <w:rPr>
        <w:rFonts w:hint="default" w:ascii="仿宋" w:hAnsi="仿宋" w:eastAsia="仿宋" w:cs="仿宋"/>
        <w:spacing w:val="-51"/>
        <w:w w:val="100"/>
        <w:sz w:val="24"/>
        <w:szCs w:val="24"/>
        <w:lang w:val="zh-CN" w:eastAsia="zh-CN" w:bidi="zh-CN"/>
      </w:rPr>
    </w:lvl>
    <w:lvl w:ilvl="2" w:tentative="0">
      <w:start w:val="0"/>
      <w:numFmt w:val="bullet"/>
      <w:lvlText w:val="•"/>
      <w:lvlJc w:val="left"/>
      <w:pPr>
        <w:ind w:left="2480" w:hanging="720"/>
      </w:pPr>
      <w:rPr>
        <w:rFonts w:hint="default"/>
        <w:lang w:val="zh-CN" w:eastAsia="zh-CN" w:bidi="zh-CN"/>
      </w:rPr>
    </w:lvl>
    <w:lvl w:ilvl="3" w:tentative="0">
      <w:start w:val="0"/>
      <w:numFmt w:val="bullet"/>
      <w:lvlText w:val="•"/>
      <w:lvlJc w:val="left"/>
      <w:pPr>
        <w:ind w:left="3460" w:hanging="720"/>
      </w:pPr>
      <w:rPr>
        <w:rFonts w:hint="default"/>
        <w:lang w:val="zh-CN" w:eastAsia="zh-CN" w:bidi="zh-CN"/>
      </w:rPr>
    </w:lvl>
    <w:lvl w:ilvl="4" w:tentative="0">
      <w:start w:val="0"/>
      <w:numFmt w:val="bullet"/>
      <w:lvlText w:val="•"/>
      <w:lvlJc w:val="left"/>
      <w:pPr>
        <w:ind w:left="4440" w:hanging="720"/>
      </w:pPr>
      <w:rPr>
        <w:rFonts w:hint="default"/>
        <w:lang w:val="zh-CN" w:eastAsia="zh-CN" w:bidi="zh-CN"/>
      </w:rPr>
    </w:lvl>
    <w:lvl w:ilvl="5" w:tentative="0">
      <w:start w:val="0"/>
      <w:numFmt w:val="bullet"/>
      <w:lvlText w:val="•"/>
      <w:lvlJc w:val="left"/>
      <w:pPr>
        <w:ind w:left="5420" w:hanging="720"/>
      </w:pPr>
      <w:rPr>
        <w:rFonts w:hint="default"/>
        <w:lang w:val="zh-CN" w:eastAsia="zh-CN" w:bidi="zh-CN"/>
      </w:rPr>
    </w:lvl>
    <w:lvl w:ilvl="6" w:tentative="0">
      <w:start w:val="0"/>
      <w:numFmt w:val="bullet"/>
      <w:lvlText w:val="•"/>
      <w:lvlJc w:val="left"/>
      <w:pPr>
        <w:ind w:left="6400" w:hanging="720"/>
      </w:pPr>
      <w:rPr>
        <w:rFonts w:hint="default"/>
        <w:lang w:val="zh-CN" w:eastAsia="zh-CN" w:bidi="zh-CN"/>
      </w:rPr>
    </w:lvl>
    <w:lvl w:ilvl="7" w:tentative="0">
      <w:start w:val="0"/>
      <w:numFmt w:val="bullet"/>
      <w:lvlText w:val="•"/>
      <w:lvlJc w:val="left"/>
      <w:pPr>
        <w:ind w:left="7380" w:hanging="720"/>
      </w:pPr>
      <w:rPr>
        <w:rFonts w:hint="default"/>
        <w:lang w:val="zh-CN" w:eastAsia="zh-CN" w:bidi="zh-CN"/>
      </w:rPr>
    </w:lvl>
    <w:lvl w:ilvl="8" w:tentative="0">
      <w:start w:val="0"/>
      <w:numFmt w:val="bullet"/>
      <w:lvlText w:val="•"/>
      <w:lvlJc w:val="left"/>
      <w:pPr>
        <w:ind w:left="8360" w:hanging="720"/>
      </w:pPr>
      <w:rPr>
        <w:rFonts w:hint="default"/>
        <w:lang w:val="zh-CN" w:eastAsia="zh-CN" w:bidi="zh-CN"/>
      </w:rPr>
    </w:lvl>
  </w:abstractNum>
  <w:abstractNum w:abstractNumId="27">
    <w:nsid w:val="25B654F3"/>
    <w:multiLevelType w:val="multilevel"/>
    <w:tmpl w:val="25B654F3"/>
    <w:lvl w:ilvl="0" w:tentative="0">
      <w:start w:val="6"/>
      <w:numFmt w:val="decimal"/>
      <w:lvlText w:val="%1"/>
      <w:lvlJc w:val="left"/>
      <w:pPr>
        <w:ind w:left="1618" w:hanging="840"/>
        <w:jc w:val="left"/>
      </w:pPr>
      <w:rPr>
        <w:rFonts w:hint="default"/>
        <w:lang w:val="zh-CN" w:eastAsia="zh-CN" w:bidi="zh-CN"/>
      </w:rPr>
    </w:lvl>
    <w:lvl w:ilvl="1" w:tentative="0">
      <w:start w:val="2"/>
      <w:numFmt w:val="decimal"/>
      <w:lvlText w:val="%1.%2."/>
      <w:lvlJc w:val="left"/>
      <w:pPr>
        <w:ind w:left="1618" w:hanging="840"/>
        <w:jc w:val="left"/>
      </w:pPr>
      <w:rPr>
        <w:rFonts w:hint="default" w:ascii="仿宋" w:hAnsi="仿宋" w:eastAsia="仿宋" w:cs="仿宋"/>
        <w:w w:val="100"/>
        <w:sz w:val="24"/>
        <w:szCs w:val="24"/>
        <w:lang w:val="zh-CN" w:eastAsia="zh-CN" w:bidi="zh-CN"/>
      </w:rPr>
    </w:lvl>
    <w:lvl w:ilvl="2" w:tentative="0">
      <w:start w:val="1"/>
      <w:numFmt w:val="decimal"/>
      <w:lvlText w:val="%1.%2.%3"/>
      <w:lvlJc w:val="left"/>
      <w:pPr>
        <w:ind w:left="1738" w:hanging="960"/>
        <w:jc w:val="left"/>
      </w:pPr>
      <w:rPr>
        <w:rFonts w:hint="default" w:ascii="仿宋" w:hAnsi="仿宋" w:eastAsia="仿宋" w:cs="仿宋"/>
        <w:w w:val="100"/>
        <w:sz w:val="24"/>
        <w:szCs w:val="24"/>
        <w:lang w:val="zh-CN" w:eastAsia="zh-CN" w:bidi="zh-CN"/>
      </w:rPr>
    </w:lvl>
    <w:lvl w:ilvl="3" w:tentative="0">
      <w:start w:val="0"/>
      <w:numFmt w:val="bullet"/>
      <w:lvlText w:val="•"/>
      <w:lvlJc w:val="left"/>
      <w:pPr>
        <w:ind w:left="3646" w:hanging="960"/>
      </w:pPr>
      <w:rPr>
        <w:rFonts w:hint="default"/>
        <w:lang w:val="zh-CN" w:eastAsia="zh-CN" w:bidi="zh-CN"/>
      </w:rPr>
    </w:lvl>
    <w:lvl w:ilvl="4" w:tentative="0">
      <w:start w:val="0"/>
      <w:numFmt w:val="bullet"/>
      <w:lvlText w:val="•"/>
      <w:lvlJc w:val="left"/>
      <w:pPr>
        <w:ind w:left="4600" w:hanging="960"/>
      </w:pPr>
      <w:rPr>
        <w:rFonts w:hint="default"/>
        <w:lang w:val="zh-CN" w:eastAsia="zh-CN" w:bidi="zh-CN"/>
      </w:rPr>
    </w:lvl>
    <w:lvl w:ilvl="5" w:tentative="0">
      <w:start w:val="0"/>
      <w:numFmt w:val="bullet"/>
      <w:lvlText w:val="•"/>
      <w:lvlJc w:val="left"/>
      <w:pPr>
        <w:ind w:left="5553" w:hanging="960"/>
      </w:pPr>
      <w:rPr>
        <w:rFonts w:hint="default"/>
        <w:lang w:val="zh-CN" w:eastAsia="zh-CN" w:bidi="zh-CN"/>
      </w:rPr>
    </w:lvl>
    <w:lvl w:ilvl="6" w:tentative="0">
      <w:start w:val="0"/>
      <w:numFmt w:val="bullet"/>
      <w:lvlText w:val="•"/>
      <w:lvlJc w:val="left"/>
      <w:pPr>
        <w:ind w:left="6506" w:hanging="960"/>
      </w:pPr>
      <w:rPr>
        <w:rFonts w:hint="default"/>
        <w:lang w:val="zh-CN" w:eastAsia="zh-CN" w:bidi="zh-CN"/>
      </w:rPr>
    </w:lvl>
    <w:lvl w:ilvl="7" w:tentative="0">
      <w:start w:val="0"/>
      <w:numFmt w:val="bullet"/>
      <w:lvlText w:val="•"/>
      <w:lvlJc w:val="left"/>
      <w:pPr>
        <w:ind w:left="7460" w:hanging="960"/>
      </w:pPr>
      <w:rPr>
        <w:rFonts w:hint="default"/>
        <w:lang w:val="zh-CN" w:eastAsia="zh-CN" w:bidi="zh-CN"/>
      </w:rPr>
    </w:lvl>
    <w:lvl w:ilvl="8" w:tentative="0">
      <w:start w:val="0"/>
      <w:numFmt w:val="bullet"/>
      <w:lvlText w:val="•"/>
      <w:lvlJc w:val="left"/>
      <w:pPr>
        <w:ind w:left="8413" w:hanging="960"/>
      </w:pPr>
      <w:rPr>
        <w:rFonts w:hint="default"/>
        <w:lang w:val="zh-CN" w:eastAsia="zh-CN" w:bidi="zh-CN"/>
      </w:rPr>
    </w:lvl>
  </w:abstractNum>
  <w:abstractNum w:abstractNumId="28">
    <w:nsid w:val="2A8F537B"/>
    <w:multiLevelType w:val="multilevel"/>
    <w:tmpl w:val="2A8F537B"/>
    <w:lvl w:ilvl="0" w:tentative="0">
      <w:start w:val="10"/>
      <w:numFmt w:val="decimal"/>
      <w:lvlText w:val="%1"/>
      <w:lvlJc w:val="left"/>
      <w:pPr>
        <w:ind w:left="1618" w:hanging="840"/>
        <w:jc w:val="left"/>
      </w:pPr>
      <w:rPr>
        <w:rFonts w:hint="default"/>
        <w:lang w:val="zh-CN" w:eastAsia="zh-CN" w:bidi="zh-CN"/>
      </w:rPr>
    </w:lvl>
    <w:lvl w:ilvl="1" w:tentative="0">
      <w:start w:val="1"/>
      <w:numFmt w:val="decimal"/>
      <w:lvlText w:val="%1.%2"/>
      <w:lvlJc w:val="left"/>
      <w:pPr>
        <w:ind w:left="1618" w:hanging="8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360" w:hanging="840"/>
      </w:pPr>
      <w:rPr>
        <w:rFonts w:hint="default"/>
        <w:lang w:val="zh-CN" w:eastAsia="zh-CN" w:bidi="zh-CN"/>
      </w:rPr>
    </w:lvl>
    <w:lvl w:ilvl="3" w:tentative="0">
      <w:start w:val="0"/>
      <w:numFmt w:val="bullet"/>
      <w:lvlText w:val="•"/>
      <w:lvlJc w:val="left"/>
      <w:pPr>
        <w:ind w:left="4230" w:hanging="840"/>
      </w:pPr>
      <w:rPr>
        <w:rFonts w:hint="default"/>
        <w:lang w:val="zh-CN" w:eastAsia="zh-CN" w:bidi="zh-CN"/>
      </w:rPr>
    </w:lvl>
    <w:lvl w:ilvl="4" w:tentative="0">
      <w:start w:val="0"/>
      <w:numFmt w:val="bullet"/>
      <w:lvlText w:val="•"/>
      <w:lvlJc w:val="left"/>
      <w:pPr>
        <w:ind w:left="5100" w:hanging="840"/>
      </w:pPr>
      <w:rPr>
        <w:rFonts w:hint="default"/>
        <w:lang w:val="zh-CN" w:eastAsia="zh-CN" w:bidi="zh-CN"/>
      </w:rPr>
    </w:lvl>
    <w:lvl w:ilvl="5" w:tentative="0">
      <w:start w:val="0"/>
      <w:numFmt w:val="bullet"/>
      <w:lvlText w:val="•"/>
      <w:lvlJc w:val="left"/>
      <w:pPr>
        <w:ind w:left="5970" w:hanging="840"/>
      </w:pPr>
      <w:rPr>
        <w:rFonts w:hint="default"/>
        <w:lang w:val="zh-CN" w:eastAsia="zh-CN" w:bidi="zh-CN"/>
      </w:rPr>
    </w:lvl>
    <w:lvl w:ilvl="6" w:tentative="0">
      <w:start w:val="0"/>
      <w:numFmt w:val="bullet"/>
      <w:lvlText w:val="•"/>
      <w:lvlJc w:val="left"/>
      <w:pPr>
        <w:ind w:left="6840" w:hanging="840"/>
      </w:pPr>
      <w:rPr>
        <w:rFonts w:hint="default"/>
        <w:lang w:val="zh-CN" w:eastAsia="zh-CN" w:bidi="zh-CN"/>
      </w:rPr>
    </w:lvl>
    <w:lvl w:ilvl="7" w:tentative="0">
      <w:start w:val="0"/>
      <w:numFmt w:val="bullet"/>
      <w:lvlText w:val="•"/>
      <w:lvlJc w:val="left"/>
      <w:pPr>
        <w:ind w:left="7710" w:hanging="840"/>
      </w:pPr>
      <w:rPr>
        <w:rFonts w:hint="default"/>
        <w:lang w:val="zh-CN" w:eastAsia="zh-CN" w:bidi="zh-CN"/>
      </w:rPr>
    </w:lvl>
    <w:lvl w:ilvl="8" w:tentative="0">
      <w:start w:val="0"/>
      <w:numFmt w:val="bullet"/>
      <w:lvlText w:val="•"/>
      <w:lvlJc w:val="left"/>
      <w:pPr>
        <w:ind w:left="8580" w:hanging="840"/>
      </w:pPr>
      <w:rPr>
        <w:rFonts w:hint="default"/>
        <w:lang w:val="zh-CN" w:eastAsia="zh-CN" w:bidi="zh-CN"/>
      </w:rPr>
    </w:lvl>
  </w:abstractNum>
  <w:abstractNum w:abstractNumId="29">
    <w:nsid w:val="32A7AF2D"/>
    <w:multiLevelType w:val="multilevel"/>
    <w:tmpl w:val="32A7AF2D"/>
    <w:lvl w:ilvl="0" w:tentative="0">
      <w:start w:val="19"/>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264" w:hanging="720"/>
      </w:pPr>
      <w:rPr>
        <w:rFonts w:hint="default"/>
        <w:lang w:val="zh-CN" w:eastAsia="zh-CN" w:bidi="zh-CN"/>
      </w:rPr>
    </w:lvl>
    <w:lvl w:ilvl="3" w:tentative="0">
      <w:start w:val="0"/>
      <w:numFmt w:val="bullet"/>
      <w:lvlText w:val="•"/>
      <w:lvlJc w:val="left"/>
      <w:pPr>
        <w:ind w:left="4146" w:hanging="720"/>
      </w:pPr>
      <w:rPr>
        <w:rFonts w:hint="default"/>
        <w:lang w:val="zh-CN" w:eastAsia="zh-CN" w:bidi="zh-CN"/>
      </w:rPr>
    </w:lvl>
    <w:lvl w:ilvl="4" w:tentative="0">
      <w:start w:val="0"/>
      <w:numFmt w:val="bullet"/>
      <w:lvlText w:val="•"/>
      <w:lvlJc w:val="left"/>
      <w:pPr>
        <w:ind w:left="5028" w:hanging="720"/>
      </w:pPr>
      <w:rPr>
        <w:rFonts w:hint="default"/>
        <w:lang w:val="zh-CN" w:eastAsia="zh-CN" w:bidi="zh-CN"/>
      </w:rPr>
    </w:lvl>
    <w:lvl w:ilvl="5" w:tentative="0">
      <w:start w:val="0"/>
      <w:numFmt w:val="bullet"/>
      <w:lvlText w:val="•"/>
      <w:lvlJc w:val="left"/>
      <w:pPr>
        <w:ind w:left="5910" w:hanging="720"/>
      </w:pPr>
      <w:rPr>
        <w:rFonts w:hint="default"/>
        <w:lang w:val="zh-CN" w:eastAsia="zh-CN" w:bidi="zh-CN"/>
      </w:rPr>
    </w:lvl>
    <w:lvl w:ilvl="6" w:tentative="0">
      <w:start w:val="0"/>
      <w:numFmt w:val="bullet"/>
      <w:lvlText w:val="•"/>
      <w:lvlJc w:val="left"/>
      <w:pPr>
        <w:ind w:left="6792" w:hanging="720"/>
      </w:pPr>
      <w:rPr>
        <w:rFonts w:hint="default"/>
        <w:lang w:val="zh-CN" w:eastAsia="zh-CN" w:bidi="zh-CN"/>
      </w:rPr>
    </w:lvl>
    <w:lvl w:ilvl="7" w:tentative="0">
      <w:start w:val="0"/>
      <w:numFmt w:val="bullet"/>
      <w:lvlText w:val="•"/>
      <w:lvlJc w:val="left"/>
      <w:pPr>
        <w:ind w:left="7674" w:hanging="720"/>
      </w:pPr>
      <w:rPr>
        <w:rFonts w:hint="default"/>
        <w:lang w:val="zh-CN" w:eastAsia="zh-CN" w:bidi="zh-CN"/>
      </w:rPr>
    </w:lvl>
    <w:lvl w:ilvl="8" w:tentative="0">
      <w:start w:val="0"/>
      <w:numFmt w:val="bullet"/>
      <w:lvlText w:val="•"/>
      <w:lvlJc w:val="left"/>
      <w:pPr>
        <w:ind w:left="8556" w:hanging="720"/>
      </w:pPr>
      <w:rPr>
        <w:rFonts w:hint="default"/>
        <w:lang w:val="zh-CN" w:eastAsia="zh-CN" w:bidi="zh-CN"/>
      </w:rPr>
    </w:lvl>
  </w:abstractNum>
  <w:abstractNum w:abstractNumId="30">
    <w:nsid w:val="35E83B33"/>
    <w:multiLevelType w:val="multilevel"/>
    <w:tmpl w:val="35E83B33"/>
    <w:lvl w:ilvl="0" w:tentative="0">
      <w:start w:val="27"/>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51"/>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31">
    <w:nsid w:val="3B8127DF"/>
    <w:multiLevelType w:val="multilevel"/>
    <w:tmpl w:val="3B8127DF"/>
    <w:lvl w:ilvl="0" w:tentative="0">
      <w:start w:val="5"/>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18"/>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32">
    <w:nsid w:val="40B249F9"/>
    <w:multiLevelType w:val="multilevel"/>
    <w:tmpl w:val="40B249F9"/>
    <w:lvl w:ilvl="0" w:tentative="0">
      <w:start w:val="23"/>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51"/>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33">
    <w:nsid w:val="43A27490"/>
    <w:multiLevelType w:val="singleLevel"/>
    <w:tmpl w:val="43A27490"/>
    <w:lvl w:ilvl="0" w:tentative="0">
      <w:start w:val="1"/>
      <w:numFmt w:val="decimal"/>
      <w:suff w:val="nothing"/>
      <w:lvlText w:val="%1、"/>
      <w:lvlJc w:val="left"/>
    </w:lvl>
  </w:abstractNum>
  <w:abstractNum w:abstractNumId="34">
    <w:nsid w:val="4C3D7A74"/>
    <w:multiLevelType w:val="multilevel"/>
    <w:tmpl w:val="4C3D7A74"/>
    <w:lvl w:ilvl="0" w:tentative="0">
      <w:start w:val="13"/>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24"/>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35">
    <w:nsid w:val="59ADCABA"/>
    <w:multiLevelType w:val="multilevel"/>
    <w:tmpl w:val="59ADCABA"/>
    <w:lvl w:ilvl="0" w:tentative="0">
      <w:start w:val="2"/>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18"/>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abstractNum w:abstractNumId="36">
    <w:nsid w:val="5A241D34"/>
    <w:multiLevelType w:val="multilevel"/>
    <w:tmpl w:val="5A241D34"/>
    <w:lvl w:ilvl="0" w:tentative="0">
      <w:start w:val="12"/>
      <w:numFmt w:val="decimal"/>
      <w:lvlText w:val="%1"/>
      <w:lvlJc w:val="left"/>
      <w:pPr>
        <w:ind w:left="1625" w:hanging="848"/>
        <w:jc w:val="left"/>
      </w:pPr>
      <w:rPr>
        <w:rFonts w:hint="default"/>
        <w:lang w:val="zh-CN" w:eastAsia="zh-CN" w:bidi="zh-CN"/>
      </w:rPr>
    </w:lvl>
    <w:lvl w:ilvl="1" w:tentative="0">
      <w:start w:val="1"/>
      <w:numFmt w:val="decimal"/>
      <w:lvlText w:val="%1.%2"/>
      <w:lvlJc w:val="left"/>
      <w:pPr>
        <w:ind w:left="1625" w:hanging="848"/>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360" w:hanging="848"/>
      </w:pPr>
      <w:rPr>
        <w:rFonts w:hint="default"/>
        <w:lang w:val="zh-CN" w:eastAsia="zh-CN" w:bidi="zh-CN"/>
      </w:rPr>
    </w:lvl>
    <w:lvl w:ilvl="3" w:tentative="0">
      <w:start w:val="0"/>
      <w:numFmt w:val="bullet"/>
      <w:lvlText w:val="•"/>
      <w:lvlJc w:val="left"/>
      <w:pPr>
        <w:ind w:left="4230" w:hanging="848"/>
      </w:pPr>
      <w:rPr>
        <w:rFonts w:hint="default"/>
        <w:lang w:val="zh-CN" w:eastAsia="zh-CN" w:bidi="zh-CN"/>
      </w:rPr>
    </w:lvl>
    <w:lvl w:ilvl="4" w:tentative="0">
      <w:start w:val="0"/>
      <w:numFmt w:val="bullet"/>
      <w:lvlText w:val="•"/>
      <w:lvlJc w:val="left"/>
      <w:pPr>
        <w:ind w:left="5100" w:hanging="848"/>
      </w:pPr>
      <w:rPr>
        <w:rFonts w:hint="default"/>
        <w:lang w:val="zh-CN" w:eastAsia="zh-CN" w:bidi="zh-CN"/>
      </w:rPr>
    </w:lvl>
    <w:lvl w:ilvl="5" w:tentative="0">
      <w:start w:val="0"/>
      <w:numFmt w:val="bullet"/>
      <w:lvlText w:val="•"/>
      <w:lvlJc w:val="left"/>
      <w:pPr>
        <w:ind w:left="5970" w:hanging="848"/>
      </w:pPr>
      <w:rPr>
        <w:rFonts w:hint="default"/>
        <w:lang w:val="zh-CN" w:eastAsia="zh-CN" w:bidi="zh-CN"/>
      </w:rPr>
    </w:lvl>
    <w:lvl w:ilvl="6" w:tentative="0">
      <w:start w:val="0"/>
      <w:numFmt w:val="bullet"/>
      <w:lvlText w:val="•"/>
      <w:lvlJc w:val="left"/>
      <w:pPr>
        <w:ind w:left="6840" w:hanging="848"/>
      </w:pPr>
      <w:rPr>
        <w:rFonts w:hint="default"/>
        <w:lang w:val="zh-CN" w:eastAsia="zh-CN" w:bidi="zh-CN"/>
      </w:rPr>
    </w:lvl>
    <w:lvl w:ilvl="7" w:tentative="0">
      <w:start w:val="0"/>
      <w:numFmt w:val="bullet"/>
      <w:lvlText w:val="•"/>
      <w:lvlJc w:val="left"/>
      <w:pPr>
        <w:ind w:left="7710" w:hanging="848"/>
      </w:pPr>
      <w:rPr>
        <w:rFonts w:hint="default"/>
        <w:lang w:val="zh-CN" w:eastAsia="zh-CN" w:bidi="zh-CN"/>
      </w:rPr>
    </w:lvl>
    <w:lvl w:ilvl="8" w:tentative="0">
      <w:start w:val="0"/>
      <w:numFmt w:val="bullet"/>
      <w:lvlText w:val="•"/>
      <w:lvlJc w:val="left"/>
      <w:pPr>
        <w:ind w:left="8580" w:hanging="848"/>
      </w:pPr>
      <w:rPr>
        <w:rFonts w:hint="default"/>
        <w:lang w:val="zh-CN" w:eastAsia="zh-CN" w:bidi="zh-CN"/>
      </w:rPr>
    </w:lvl>
  </w:abstractNum>
  <w:abstractNum w:abstractNumId="37">
    <w:nsid w:val="5FFFB1A7"/>
    <w:multiLevelType w:val="multilevel"/>
    <w:tmpl w:val="5FFFB1A7"/>
    <w:lvl w:ilvl="0" w:tentative="0">
      <w:start w:val="1"/>
      <w:numFmt w:val="decimal"/>
      <w:lvlText w:val="(%1)"/>
      <w:lvlJc w:val="left"/>
      <w:pPr>
        <w:ind w:left="1139" w:hanging="36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58" w:hanging="361"/>
      </w:pPr>
      <w:rPr>
        <w:rFonts w:hint="default"/>
        <w:lang w:val="zh-CN" w:eastAsia="zh-CN" w:bidi="zh-CN"/>
      </w:rPr>
    </w:lvl>
    <w:lvl w:ilvl="2" w:tentative="0">
      <w:start w:val="0"/>
      <w:numFmt w:val="bullet"/>
      <w:lvlText w:val="•"/>
      <w:lvlJc w:val="left"/>
      <w:pPr>
        <w:ind w:left="2976" w:hanging="361"/>
      </w:pPr>
      <w:rPr>
        <w:rFonts w:hint="default"/>
        <w:lang w:val="zh-CN" w:eastAsia="zh-CN" w:bidi="zh-CN"/>
      </w:rPr>
    </w:lvl>
    <w:lvl w:ilvl="3" w:tentative="0">
      <w:start w:val="0"/>
      <w:numFmt w:val="bullet"/>
      <w:lvlText w:val="•"/>
      <w:lvlJc w:val="left"/>
      <w:pPr>
        <w:ind w:left="3894"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730" w:hanging="361"/>
      </w:pPr>
      <w:rPr>
        <w:rFonts w:hint="default"/>
        <w:lang w:val="zh-CN" w:eastAsia="zh-CN" w:bidi="zh-CN"/>
      </w:rPr>
    </w:lvl>
    <w:lvl w:ilvl="6" w:tentative="0">
      <w:start w:val="0"/>
      <w:numFmt w:val="bullet"/>
      <w:lvlText w:val="•"/>
      <w:lvlJc w:val="left"/>
      <w:pPr>
        <w:ind w:left="6648" w:hanging="361"/>
      </w:pPr>
      <w:rPr>
        <w:rFonts w:hint="default"/>
        <w:lang w:val="zh-CN" w:eastAsia="zh-CN" w:bidi="zh-CN"/>
      </w:rPr>
    </w:lvl>
    <w:lvl w:ilvl="7" w:tentative="0">
      <w:start w:val="0"/>
      <w:numFmt w:val="bullet"/>
      <w:lvlText w:val="•"/>
      <w:lvlJc w:val="left"/>
      <w:pPr>
        <w:ind w:left="7566" w:hanging="361"/>
      </w:pPr>
      <w:rPr>
        <w:rFonts w:hint="default"/>
        <w:lang w:val="zh-CN" w:eastAsia="zh-CN" w:bidi="zh-CN"/>
      </w:rPr>
    </w:lvl>
    <w:lvl w:ilvl="8" w:tentative="0">
      <w:start w:val="0"/>
      <w:numFmt w:val="bullet"/>
      <w:lvlText w:val="•"/>
      <w:lvlJc w:val="left"/>
      <w:pPr>
        <w:ind w:left="8484" w:hanging="361"/>
      </w:pPr>
      <w:rPr>
        <w:rFonts w:hint="default"/>
        <w:lang w:val="zh-CN" w:eastAsia="zh-CN" w:bidi="zh-CN"/>
      </w:rPr>
    </w:lvl>
  </w:abstractNum>
  <w:abstractNum w:abstractNumId="38">
    <w:nsid w:val="65CD0074"/>
    <w:multiLevelType w:val="multilevel"/>
    <w:tmpl w:val="65CD0074"/>
    <w:lvl w:ilvl="0" w:tentative="0">
      <w:start w:val="15"/>
      <w:numFmt w:val="decimal"/>
      <w:lvlText w:val="%1"/>
      <w:lvlJc w:val="left"/>
      <w:pPr>
        <w:ind w:left="1623" w:hanging="845"/>
        <w:jc w:val="left"/>
      </w:pPr>
      <w:rPr>
        <w:rFonts w:hint="default"/>
        <w:lang w:val="zh-CN" w:eastAsia="zh-CN" w:bidi="zh-CN"/>
      </w:rPr>
    </w:lvl>
    <w:lvl w:ilvl="1" w:tentative="0">
      <w:start w:val="1"/>
      <w:numFmt w:val="decimal"/>
      <w:lvlText w:val="%1.%2"/>
      <w:lvlJc w:val="left"/>
      <w:pPr>
        <w:ind w:left="1623" w:hanging="845"/>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3360" w:hanging="845"/>
      </w:pPr>
      <w:rPr>
        <w:rFonts w:hint="default"/>
        <w:lang w:val="zh-CN" w:eastAsia="zh-CN" w:bidi="zh-CN"/>
      </w:rPr>
    </w:lvl>
    <w:lvl w:ilvl="3" w:tentative="0">
      <w:start w:val="0"/>
      <w:numFmt w:val="bullet"/>
      <w:lvlText w:val="•"/>
      <w:lvlJc w:val="left"/>
      <w:pPr>
        <w:ind w:left="4230" w:hanging="845"/>
      </w:pPr>
      <w:rPr>
        <w:rFonts w:hint="default"/>
        <w:lang w:val="zh-CN" w:eastAsia="zh-CN" w:bidi="zh-CN"/>
      </w:rPr>
    </w:lvl>
    <w:lvl w:ilvl="4" w:tentative="0">
      <w:start w:val="0"/>
      <w:numFmt w:val="bullet"/>
      <w:lvlText w:val="•"/>
      <w:lvlJc w:val="left"/>
      <w:pPr>
        <w:ind w:left="5100" w:hanging="845"/>
      </w:pPr>
      <w:rPr>
        <w:rFonts w:hint="default"/>
        <w:lang w:val="zh-CN" w:eastAsia="zh-CN" w:bidi="zh-CN"/>
      </w:rPr>
    </w:lvl>
    <w:lvl w:ilvl="5" w:tentative="0">
      <w:start w:val="0"/>
      <w:numFmt w:val="bullet"/>
      <w:lvlText w:val="•"/>
      <w:lvlJc w:val="left"/>
      <w:pPr>
        <w:ind w:left="5970" w:hanging="845"/>
      </w:pPr>
      <w:rPr>
        <w:rFonts w:hint="default"/>
        <w:lang w:val="zh-CN" w:eastAsia="zh-CN" w:bidi="zh-CN"/>
      </w:rPr>
    </w:lvl>
    <w:lvl w:ilvl="6" w:tentative="0">
      <w:start w:val="0"/>
      <w:numFmt w:val="bullet"/>
      <w:lvlText w:val="•"/>
      <w:lvlJc w:val="left"/>
      <w:pPr>
        <w:ind w:left="6840" w:hanging="845"/>
      </w:pPr>
      <w:rPr>
        <w:rFonts w:hint="default"/>
        <w:lang w:val="zh-CN" w:eastAsia="zh-CN" w:bidi="zh-CN"/>
      </w:rPr>
    </w:lvl>
    <w:lvl w:ilvl="7" w:tentative="0">
      <w:start w:val="0"/>
      <w:numFmt w:val="bullet"/>
      <w:lvlText w:val="•"/>
      <w:lvlJc w:val="left"/>
      <w:pPr>
        <w:ind w:left="7710" w:hanging="845"/>
      </w:pPr>
      <w:rPr>
        <w:rFonts w:hint="default"/>
        <w:lang w:val="zh-CN" w:eastAsia="zh-CN" w:bidi="zh-CN"/>
      </w:rPr>
    </w:lvl>
    <w:lvl w:ilvl="8" w:tentative="0">
      <w:start w:val="0"/>
      <w:numFmt w:val="bullet"/>
      <w:lvlText w:val="•"/>
      <w:lvlJc w:val="left"/>
      <w:pPr>
        <w:ind w:left="8580" w:hanging="845"/>
      </w:pPr>
      <w:rPr>
        <w:rFonts w:hint="default"/>
        <w:lang w:val="zh-CN" w:eastAsia="zh-CN" w:bidi="zh-CN"/>
      </w:rPr>
    </w:lvl>
  </w:abstractNum>
  <w:abstractNum w:abstractNumId="39">
    <w:nsid w:val="690B2A64"/>
    <w:multiLevelType w:val="multilevel"/>
    <w:tmpl w:val="690B2A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2183CF9"/>
    <w:multiLevelType w:val="multilevel"/>
    <w:tmpl w:val="72183CF9"/>
    <w:lvl w:ilvl="0" w:tentative="0">
      <w:start w:val="8"/>
      <w:numFmt w:val="decimal"/>
      <w:lvlText w:val="%1"/>
      <w:lvlJc w:val="left"/>
      <w:pPr>
        <w:ind w:left="1498" w:hanging="720"/>
        <w:jc w:val="left"/>
      </w:pPr>
      <w:rPr>
        <w:rFonts w:hint="default"/>
        <w:lang w:val="zh-CN" w:eastAsia="zh-CN" w:bidi="zh-CN"/>
      </w:rPr>
    </w:lvl>
    <w:lvl w:ilvl="1" w:tentative="0">
      <w:start w:val="1"/>
      <w:numFmt w:val="decimal"/>
      <w:lvlText w:val="%1.%2"/>
      <w:lvlJc w:val="left"/>
      <w:pPr>
        <w:ind w:left="1498" w:hanging="720"/>
        <w:jc w:val="left"/>
      </w:pPr>
      <w:rPr>
        <w:rFonts w:hint="default" w:ascii="仿宋" w:hAnsi="仿宋" w:eastAsia="仿宋" w:cs="仿宋"/>
        <w:spacing w:val="-51"/>
        <w:w w:val="100"/>
        <w:sz w:val="24"/>
        <w:szCs w:val="24"/>
        <w:lang w:val="zh-CN" w:eastAsia="zh-CN" w:bidi="zh-CN"/>
      </w:rPr>
    </w:lvl>
    <w:lvl w:ilvl="2" w:tentative="0">
      <w:start w:val="0"/>
      <w:numFmt w:val="bullet"/>
      <w:lvlText w:val="•"/>
      <w:lvlJc w:val="left"/>
      <w:pPr>
        <w:ind w:left="3264" w:hanging="720"/>
      </w:pPr>
      <w:rPr>
        <w:rFonts w:hint="default"/>
        <w:lang w:val="zh-CN" w:eastAsia="zh-CN" w:bidi="zh-CN"/>
      </w:rPr>
    </w:lvl>
    <w:lvl w:ilvl="3" w:tentative="0">
      <w:start w:val="0"/>
      <w:numFmt w:val="bullet"/>
      <w:lvlText w:val="•"/>
      <w:lvlJc w:val="left"/>
      <w:pPr>
        <w:ind w:left="4146" w:hanging="720"/>
      </w:pPr>
      <w:rPr>
        <w:rFonts w:hint="default"/>
        <w:lang w:val="zh-CN" w:eastAsia="zh-CN" w:bidi="zh-CN"/>
      </w:rPr>
    </w:lvl>
    <w:lvl w:ilvl="4" w:tentative="0">
      <w:start w:val="0"/>
      <w:numFmt w:val="bullet"/>
      <w:lvlText w:val="•"/>
      <w:lvlJc w:val="left"/>
      <w:pPr>
        <w:ind w:left="5028" w:hanging="720"/>
      </w:pPr>
      <w:rPr>
        <w:rFonts w:hint="default"/>
        <w:lang w:val="zh-CN" w:eastAsia="zh-CN" w:bidi="zh-CN"/>
      </w:rPr>
    </w:lvl>
    <w:lvl w:ilvl="5" w:tentative="0">
      <w:start w:val="0"/>
      <w:numFmt w:val="bullet"/>
      <w:lvlText w:val="•"/>
      <w:lvlJc w:val="left"/>
      <w:pPr>
        <w:ind w:left="5910" w:hanging="720"/>
      </w:pPr>
      <w:rPr>
        <w:rFonts w:hint="default"/>
        <w:lang w:val="zh-CN" w:eastAsia="zh-CN" w:bidi="zh-CN"/>
      </w:rPr>
    </w:lvl>
    <w:lvl w:ilvl="6" w:tentative="0">
      <w:start w:val="0"/>
      <w:numFmt w:val="bullet"/>
      <w:lvlText w:val="•"/>
      <w:lvlJc w:val="left"/>
      <w:pPr>
        <w:ind w:left="6792" w:hanging="720"/>
      </w:pPr>
      <w:rPr>
        <w:rFonts w:hint="default"/>
        <w:lang w:val="zh-CN" w:eastAsia="zh-CN" w:bidi="zh-CN"/>
      </w:rPr>
    </w:lvl>
    <w:lvl w:ilvl="7" w:tentative="0">
      <w:start w:val="0"/>
      <w:numFmt w:val="bullet"/>
      <w:lvlText w:val="•"/>
      <w:lvlJc w:val="left"/>
      <w:pPr>
        <w:ind w:left="7674" w:hanging="720"/>
      </w:pPr>
      <w:rPr>
        <w:rFonts w:hint="default"/>
        <w:lang w:val="zh-CN" w:eastAsia="zh-CN" w:bidi="zh-CN"/>
      </w:rPr>
    </w:lvl>
    <w:lvl w:ilvl="8" w:tentative="0">
      <w:start w:val="0"/>
      <w:numFmt w:val="bullet"/>
      <w:lvlText w:val="•"/>
      <w:lvlJc w:val="left"/>
      <w:pPr>
        <w:ind w:left="8556" w:hanging="720"/>
      </w:pPr>
      <w:rPr>
        <w:rFonts w:hint="default"/>
        <w:lang w:val="zh-CN" w:eastAsia="zh-CN" w:bidi="zh-CN"/>
      </w:rPr>
    </w:lvl>
  </w:abstractNum>
  <w:abstractNum w:abstractNumId="41">
    <w:nsid w:val="74C28B35"/>
    <w:multiLevelType w:val="multilevel"/>
    <w:tmpl w:val="74C28B35"/>
    <w:lvl w:ilvl="0" w:tentative="0">
      <w:start w:val="8"/>
      <w:numFmt w:val="decimal"/>
      <w:lvlText w:val="%1"/>
      <w:lvlJc w:val="left"/>
      <w:pPr>
        <w:ind w:left="298" w:hanging="720"/>
        <w:jc w:val="left"/>
      </w:pPr>
      <w:rPr>
        <w:rFonts w:hint="default"/>
        <w:lang w:val="zh-CN" w:eastAsia="zh-CN" w:bidi="zh-CN"/>
      </w:rPr>
    </w:lvl>
    <w:lvl w:ilvl="1" w:tentative="0">
      <w:start w:val="1"/>
      <w:numFmt w:val="decimal"/>
      <w:lvlText w:val="%1.%2"/>
      <w:lvlJc w:val="left"/>
      <w:pPr>
        <w:ind w:left="298" w:hanging="720"/>
        <w:jc w:val="left"/>
      </w:pPr>
      <w:rPr>
        <w:rFonts w:hint="default" w:ascii="仿宋" w:hAnsi="仿宋" w:eastAsia="仿宋" w:cs="仿宋"/>
        <w:spacing w:val="-24"/>
        <w:w w:val="100"/>
        <w:sz w:val="24"/>
        <w:szCs w:val="24"/>
        <w:lang w:val="zh-CN" w:eastAsia="zh-CN" w:bidi="zh-CN"/>
      </w:rPr>
    </w:lvl>
    <w:lvl w:ilvl="2" w:tentative="0">
      <w:start w:val="0"/>
      <w:numFmt w:val="bullet"/>
      <w:lvlText w:val="•"/>
      <w:lvlJc w:val="left"/>
      <w:pPr>
        <w:ind w:left="2304" w:hanging="720"/>
      </w:pPr>
      <w:rPr>
        <w:rFonts w:hint="default"/>
        <w:lang w:val="zh-CN" w:eastAsia="zh-CN" w:bidi="zh-CN"/>
      </w:rPr>
    </w:lvl>
    <w:lvl w:ilvl="3" w:tentative="0">
      <w:start w:val="0"/>
      <w:numFmt w:val="bullet"/>
      <w:lvlText w:val="•"/>
      <w:lvlJc w:val="left"/>
      <w:pPr>
        <w:ind w:left="3306" w:hanging="720"/>
      </w:pPr>
      <w:rPr>
        <w:rFonts w:hint="default"/>
        <w:lang w:val="zh-CN" w:eastAsia="zh-CN" w:bidi="zh-CN"/>
      </w:rPr>
    </w:lvl>
    <w:lvl w:ilvl="4" w:tentative="0">
      <w:start w:val="0"/>
      <w:numFmt w:val="bullet"/>
      <w:lvlText w:val="•"/>
      <w:lvlJc w:val="left"/>
      <w:pPr>
        <w:ind w:left="4308" w:hanging="720"/>
      </w:pPr>
      <w:rPr>
        <w:rFonts w:hint="default"/>
        <w:lang w:val="zh-CN" w:eastAsia="zh-CN" w:bidi="zh-CN"/>
      </w:rPr>
    </w:lvl>
    <w:lvl w:ilvl="5" w:tentative="0">
      <w:start w:val="0"/>
      <w:numFmt w:val="bullet"/>
      <w:lvlText w:val="•"/>
      <w:lvlJc w:val="left"/>
      <w:pPr>
        <w:ind w:left="5310" w:hanging="720"/>
      </w:pPr>
      <w:rPr>
        <w:rFonts w:hint="default"/>
        <w:lang w:val="zh-CN" w:eastAsia="zh-CN" w:bidi="zh-CN"/>
      </w:rPr>
    </w:lvl>
    <w:lvl w:ilvl="6" w:tentative="0">
      <w:start w:val="0"/>
      <w:numFmt w:val="bullet"/>
      <w:lvlText w:val="•"/>
      <w:lvlJc w:val="left"/>
      <w:pPr>
        <w:ind w:left="6312" w:hanging="720"/>
      </w:pPr>
      <w:rPr>
        <w:rFonts w:hint="default"/>
        <w:lang w:val="zh-CN" w:eastAsia="zh-CN" w:bidi="zh-CN"/>
      </w:rPr>
    </w:lvl>
    <w:lvl w:ilvl="7" w:tentative="0">
      <w:start w:val="0"/>
      <w:numFmt w:val="bullet"/>
      <w:lvlText w:val="•"/>
      <w:lvlJc w:val="left"/>
      <w:pPr>
        <w:ind w:left="7314" w:hanging="720"/>
      </w:pPr>
      <w:rPr>
        <w:rFonts w:hint="default"/>
        <w:lang w:val="zh-CN" w:eastAsia="zh-CN" w:bidi="zh-CN"/>
      </w:rPr>
    </w:lvl>
    <w:lvl w:ilvl="8" w:tentative="0">
      <w:start w:val="0"/>
      <w:numFmt w:val="bullet"/>
      <w:lvlText w:val="•"/>
      <w:lvlJc w:val="left"/>
      <w:pPr>
        <w:ind w:left="8316" w:hanging="720"/>
      </w:pPr>
      <w:rPr>
        <w:rFonts w:hint="default"/>
        <w:lang w:val="zh-CN" w:eastAsia="zh-CN" w:bidi="zh-CN"/>
      </w:rPr>
    </w:lvl>
  </w:abstractNum>
  <w:num w:numId="1">
    <w:abstractNumId w:val="15"/>
  </w:num>
  <w:num w:numId="2">
    <w:abstractNumId w:val="35"/>
  </w:num>
  <w:num w:numId="3">
    <w:abstractNumId w:val="6"/>
  </w:num>
  <w:num w:numId="4">
    <w:abstractNumId w:val="5"/>
  </w:num>
  <w:num w:numId="5">
    <w:abstractNumId w:val="18"/>
  </w:num>
  <w:num w:numId="6">
    <w:abstractNumId w:val="27"/>
  </w:num>
  <w:num w:numId="7">
    <w:abstractNumId w:val="40"/>
  </w:num>
  <w:num w:numId="8">
    <w:abstractNumId w:val="16"/>
  </w:num>
  <w:num w:numId="9">
    <w:abstractNumId w:val="28"/>
  </w:num>
  <w:num w:numId="10">
    <w:abstractNumId w:val="36"/>
  </w:num>
  <w:num w:numId="11">
    <w:abstractNumId w:val="8"/>
  </w:num>
  <w:num w:numId="12">
    <w:abstractNumId w:val="13"/>
  </w:num>
  <w:num w:numId="13">
    <w:abstractNumId w:val="26"/>
  </w:num>
  <w:num w:numId="14">
    <w:abstractNumId w:val="11"/>
  </w:num>
  <w:num w:numId="15">
    <w:abstractNumId w:val="10"/>
  </w:num>
  <w:num w:numId="16">
    <w:abstractNumId w:val="1"/>
  </w:num>
  <w:num w:numId="17">
    <w:abstractNumId w:val="21"/>
  </w:num>
  <w:num w:numId="18">
    <w:abstractNumId w:val="33"/>
  </w:num>
  <w:num w:numId="19">
    <w:abstractNumId w:val="39"/>
  </w:num>
  <w:num w:numId="20">
    <w:abstractNumId w:val="0"/>
  </w:num>
  <w:num w:numId="21">
    <w:abstractNumId w:val="37"/>
  </w:num>
  <w:num w:numId="22">
    <w:abstractNumId w:val="41"/>
  </w:num>
  <w:num w:numId="23">
    <w:abstractNumId w:val="34"/>
  </w:num>
  <w:num w:numId="24">
    <w:abstractNumId w:val="38"/>
  </w:num>
  <w:num w:numId="25">
    <w:abstractNumId w:val="19"/>
  </w:num>
  <w:num w:numId="26">
    <w:abstractNumId w:val="20"/>
  </w:num>
  <w:num w:numId="27">
    <w:abstractNumId w:val="9"/>
  </w:num>
  <w:num w:numId="28">
    <w:abstractNumId w:val="29"/>
  </w:num>
  <w:num w:numId="29">
    <w:abstractNumId w:val="24"/>
  </w:num>
  <w:num w:numId="30">
    <w:abstractNumId w:val="12"/>
  </w:num>
  <w:num w:numId="31">
    <w:abstractNumId w:val="25"/>
  </w:num>
  <w:num w:numId="32">
    <w:abstractNumId w:val="4"/>
  </w:num>
  <w:num w:numId="33">
    <w:abstractNumId w:val="32"/>
  </w:num>
  <w:num w:numId="34">
    <w:abstractNumId w:val="22"/>
  </w:num>
  <w:num w:numId="35">
    <w:abstractNumId w:val="30"/>
  </w:num>
  <w:num w:numId="36">
    <w:abstractNumId w:val="17"/>
  </w:num>
  <w:num w:numId="37">
    <w:abstractNumId w:val="7"/>
  </w:num>
  <w:num w:numId="38">
    <w:abstractNumId w:val="23"/>
  </w:num>
  <w:num w:numId="39">
    <w:abstractNumId w:val="3"/>
  </w:num>
  <w:num w:numId="40">
    <w:abstractNumId w:val="31"/>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3DA5"/>
    <w:rsid w:val="01E66359"/>
    <w:rsid w:val="04AD5103"/>
    <w:rsid w:val="08432CEA"/>
    <w:rsid w:val="0D2B67B6"/>
    <w:rsid w:val="1368372C"/>
    <w:rsid w:val="19F774F4"/>
    <w:rsid w:val="1ABC343D"/>
    <w:rsid w:val="1C991567"/>
    <w:rsid w:val="1F8E1CA3"/>
    <w:rsid w:val="202153C3"/>
    <w:rsid w:val="25B968D4"/>
    <w:rsid w:val="2A0F3736"/>
    <w:rsid w:val="2AA33FC8"/>
    <w:rsid w:val="2D0C3EDC"/>
    <w:rsid w:val="2ED83397"/>
    <w:rsid w:val="321B2D07"/>
    <w:rsid w:val="340B79BE"/>
    <w:rsid w:val="3439236F"/>
    <w:rsid w:val="3E153951"/>
    <w:rsid w:val="400711F7"/>
    <w:rsid w:val="42D24B50"/>
    <w:rsid w:val="49222839"/>
    <w:rsid w:val="4E965A66"/>
    <w:rsid w:val="4F4776F5"/>
    <w:rsid w:val="50466085"/>
    <w:rsid w:val="55F30162"/>
    <w:rsid w:val="566434E7"/>
    <w:rsid w:val="576522BD"/>
    <w:rsid w:val="587A73E5"/>
    <w:rsid w:val="589A69C5"/>
    <w:rsid w:val="5D2D73E2"/>
    <w:rsid w:val="5D653762"/>
    <w:rsid w:val="5EBB17D6"/>
    <w:rsid w:val="627058B6"/>
    <w:rsid w:val="62994BE7"/>
    <w:rsid w:val="645E349A"/>
    <w:rsid w:val="65357B09"/>
    <w:rsid w:val="65363AD4"/>
    <w:rsid w:val="673431CF"/>
    <w:rsid w:val="6A921866"/>
    <w:rsid w:val="6B5A032C"/>
    <w:rsid w:val="6D3562C5"/>
    <w:rsid w:val="7A280662"/>
    <w:rsid w:val="7BE741E0"/>
    <w:rsid w:val="7ED06A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ind w:right="655"/>
      <w:jc w:val="center"/>
      <w:outlineLvl w:val="1"/>
    </w:pPr>
    <w:rPr>
      <w:rFonts w:ascii="Microsoft JhengHei" w:hAnsi="Microsoft JhengHei" w:eastAsia="Microsoft JhengHei" w:cs="Microsoft JhengHei"/>
      <w:b/>
      <w:bCs/>
      <w:sz w:val="44"/>
      <w:szCs w:val="44"/>
      <w:lang w:val="zh-CN" w:eastAsia="zh-CN" w:bidi="zh-CN"/>
    </w:rPr>
  </w:style>
  <w:style w:type="paragraph" w:styleId="4">
    <w:name w:val="heading 2"/>
    <w:basedOn w:val="1"/>
    <w:next w:val="1"/>
    <w:qFormat/>
    <w:uiPriority w:val="1"/>
    <w:pPr>
      <w:ind w:right="655"/>
      <w:jc w:val="center"/>
      <w:outlineLvl w:val="2"/>
    </w:pPr>
    <w:rPr>
      <w:rFonts w:ascii="Microsoft JhengHei" w:hAnsi="Microsoft JhengHei" w:eastAsia="Microsoft JhengHei" w:cs="Microsoft JhengHei"/>
      <w:b/>
      <w:bCs/>
      <w:sz w:val="32"/>
      <w:szCs w:val="32"/>
      <w:lang w:val="zh-CN" w:eastAsia="zh-CN" w:bidi="zh-CN"/>
    </w:rPr>
  </w:style>
  <w:style w:type="paragraph" w:styleId="5">
    <w:name w:val="heading 3"/>
    <w:basedOn w:val="1"/>
    <w:next w:val="1"/>
    <w:qFormat/>
    <w:uiPriority w:val="1"/>
    <w:pPr>
      <w:spacing w:before="1"/>
      <w:ind w:right="655"/>
      <w:jc w:val="center"/>
      <w:outlineLvl w:val="3"/>
    </w:pPr>
    <w:rPr>
      <w:rFonts w:ascii="仿宋" w:hAnsi="仿宋" w:eastAsia="仿宋" w:cs="仿宋"/>
      <w:sz w:val="32"/>
      <w:szCs w:val="32"/>
      <w:lang w:val="zh-CN" w:eastAsia="zh-CN" w:bidi="zh-CN"/>
    </w:rPr>
  </w:style>
  <w:style w:type="paragraph" w:styleId="6">
    <w:name w:val="heading 4"/>
    <w:basedOn w:val="1"/>
    <w:next w:val="1"/>
    <w:qFormat/>
    <w:uiPriority w:val="1"/>
    <w:pPr>
      <w:ind w:left="784"/>
      <w:outlineLvl w:val="4"/>
    </w:pPr>
    <w:rPr>
      <w:rFonts w:ascii="Microsoft JhengHei" w:hAnsi="Microsoft JhengHei" w:eastAsia="Microsoft JhengHei" w:cs="Microsoft JhengHei"/>
      <w:b/>
      <w:bCs/>
      <w:sz w:val="30"/>
      <w:szCs w:val="30"/>
      <w:lang w:val="zh-CN" w:eastAsia="zh-CN" w:bidi="zh-CN"/>
    </w:rPr>
  </w:style>
  <w:style w:type="paragraph" w:styleId="7">
    <w:name w:val="heading 5"/>
    <w:basedOn w:val="1"/>
    <w:next w:val="1"/>
    <w:qFormat/>
    <w:uiPriority w:val="1"/>
    <w:pPr>
      <w:spacing w:before="146"/>
      <w:ind w:left="298"/>
      <w:outlineLvl w:val="5"/>
    </w:pPr>
    <w:rPr>
      <w:rFonts w:ascii="Microsoft JhengHei" w:hAnsi="Microsoft JhengHei" w:eastAsia="Microsoft JhengHei" w:cs="Microsoft JhengHei"/>
      <w:b/>
      <w:bCs/>
      <w:sz w:val="28"/>
      <w:szCs w:val="28"/>
      <w:lang w:val="zh-CN" w:eastAsia="zh-CN" w:bidi="zh-CN"/>
    </w:rPr>
  </w:style>
  <w:style w:type="paragraph" w:styleId="8">
    <w:name w:val="heading 6"/>
    <w:basedOn w:val="1"/>
    <w:next w:val="1"/>
    <w:qFormat/>
    <w:uiPriority w:val="1"/>
    <w:pPr>
      <w:spacing w:line="401" w:lineRule="exact"/>
      <w:ind w:left="780"/>
      <w:outlineLvl w:val="6"/>
    </w:pPr>
    <w:rPr>
      <w:rFonts w:ascii="Microsoft JhengHei" w:hAnsi="Microsoft JhengHei" w:eastAsia="Microsoft JhengHei" w:cs="Microsoft JhengHei"/>
      <w:b/>
      <w:bCs/>
      <w:sz w:val="24"/>
      <w:szCs w:val="24"/>
      <w:lang w:val="zh-CN" w:eastAsia="zh-CN" w:bidi="zh-CN"/>
    </w:rPr>
  </w:style>
  <w:style w:type="character" w:default="1" w:styleId="18">
    <w:name w:val="Default Paragraph Font"/>
    <w:semiHidden/>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Times New Roman" w:cs="Times New Roman"/>
      <w:kern w:val="2"/>
      <w:sz w:val="21"/>
      <w:szCs w:val="22"/>
      <w:lang w:val="en-US" w:eastAsia="zh-CN" w:bidi="ar-SA"/>
    </w:rPr>
  </w:style>
  <w:style w:type="paragraph" w:styleId="9">
    <w:name w:val="Body Text"/>
    <w:basedOn w:val="1"/>
    <w:qFormat/>
    <w:uiPriority w:val="1"/>
    <w:rPr>
      <w:rFonts w:ascii="仿宋" w:hAnsi="仿宋" w:eastAsia="仿宋" w:cs="仿宋"/>
      <w:sz w:val="24"/>
      <w:szCs w:val="24"/>
      <w:lang w:val="zh-CN" w:eastAsia="zh-CN" w:bidi="zh-CN"/>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toc 1"/>
    <w:basedOn w:val="1"/>
    <w:next w:val="1"/>
    <w:qFormat/>
    <w:uiPriority w:val="1"/>
    <w:pPr>
      <w:spacing w:before="86"/>
      <w:ind w:left="298"/>
    </w:pPr>
    <w:rPr>
      <w:rFonts w:ascii="Microsoft JhengHei" w:hAnsi="Microsoft JhengHei" w:eastAsia="Microsoft JhengHei" w:cs="Microsoft JhengHei"/>
      <w:b/>
      <w:bCs/>
      <w:sz w:val="20"/>
      <w:szCs w:val="20"/>
      <w:lang w:val="zh-CN" w:eastAsia="zh-CN" w:bidi="zh-CN"/>
    </w:rPr>
  </w:style>
  <w:style w:type="paragraph" w:styleId="14">
    <w:name w:val="footnote text"/>
    <w:basedOn w:val="1"/>
    <w:qFormat/>
    <w:uiPriority w:val="0"/>
    <w:pPr>
      <w:snapToGrid w:val="0"/>
      <w:jc w:val="left"/>
    </w:pPr>
    <w:rPr>
      <w:sz w:val="18"/>
    </w:rPr>
  </w:style>
  <w:style w:type="paragraph" w:styleId="15">
    <w:name w:val="toc 2"/>
    <w:basedOn w:val="1"/>
    <w:next w:val="1"/>
    <w:qFormat/>
    <w:uiPriority w:val="1"/>
    <w:pPr>
      <w:spacing w:before="86"/>
      <w:ind w:left="298"/>
    </w:pPr>
    <w:rPr>
      <w:rFonts w:ascii="Microsoft JhengHei" w:hAnsi="Microsoft JhengHei" w:eastAsia="Microsoft JhengHei" w:cs="Microsoft JhengHei"/>
      <w:b/>
      <w:bCs/>
      <w:i/>
      <w:lang w:val="zh-CN" w:eastAsia="zh-CN" w:bidi="zh-CN"/>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298" w:firstLine="480"/>
    </w:pPr>
    <w:rPr>
      <w:rFonts w:ascii="仿宋" w:hAnsi="仿宋" w:eastAsia="仿宋" w:cs="仿宋"/>
      <w:lang w:val="zh-CN" w:eastAsia="zh-CN" w:bidi="zh-CN"/>
    </w:rPr>
  </w:style>
  <w:style w:type="paragraph" w:customStyle="1" w:styleId="22">
    <w:name w:val="Table Paragraph"/>
    <w:basedOn w:val="1"/>
    <w:qFormat/>
    <w:uiPriority w:val="1"/>
    <w:rPr>
      <w:rFonts w:ascii="仿宋" w:hAnsi="仿宋" w:eastAsia="仿宋" w:cs="仿宋"/>
      <w:lang w:val="zh-CN" w:eastAsia="zh-CN" w:bidi="zh-CN"/>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2020-11-25T09:52:00Z</dcterms:created>
  <dc:creator>yezt</dc:creator>
  <cp:lastModifiedBy>韓</cp:lastModifiedBy>
  <dcterms:modified xsi:type="dcterms:W3CDTF">2021-01-06T09:08:06Z</dcterms:modified>
  <dc:title>新疆重点林业工程质量管理总站专用仪器设备项目询价通知书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pdfFactory Pro www.pdffactory.com</vt:lpwstr>
  </property>
  <property fmtid="{D5CDD505-2E9C-101B-9397-08002B2CF9AE}" pid="4" name="LastSaved">
    <vt:filetime>2019-04-25T00:00:00Z</vt:filetime>
  </property>
  <property fmtid="{D5CDD505-2E9C-101B-9397-08002B2CF9AE}" pid="5" name="KSOProductBuildVer">
    <vt:lpwstr>2052-11.1.0.10228</vt:lpwstr>
  </property>
</Properties>
</file>