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rPr>
      </w:pPr>
      <w:r>
        <w:rPr>
          <w:rFonts w:ascii="仿宋" w:hAnsi="仿宋" w:eastAsia="仿宋"/>
        </w:rPr>
        <w:drawing>
          <wp:inline distT="0" distB="0" distL="0" distR="0">
            <wp:extent cx="2324100" cy="933450"/>
            <wp:effectExtent l="1905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5"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jc w:val="both"/>
        <w:rPr>
          <w:rFonts w:ascii="仿宋" w:hAnsi="仿宋" w:eastAsia="仿宋"/>
          <w:b/>
          <w:sz w:val="52"/>
        </w:rPr>
      </w:pPr>
    </w:p>
    <w:p>
      <w:pPr>
        <w:jc w:val="center"/>
        <w:rPr>
          <w:rFonts w:ascii="仿宋" w:hAnsi="仿宋" w:eastAsia="仿宋"/>
          <w:sz w:val="48"/>
        </w:rPr>
      </w:pPr>
      <w:r>
        <w:rPr>
          <w:rFonts w:hint="eastAsia" w:ascii="仿宋" w:hAnsi="仿宋" w:eastAsia="仿宋"/>
          <w:sz w:val="120"/>
          <w:szCs w:val="120"/>
        </w:rPr>
        <w:t>招 标 文 件</w:t>
      </w:r>
    </w:p>
    <w:p>
      <w:pPr>
        <w:rPr>
          <w:rFonts w:ascii="仿宋" w:hAnsi="仿宋" w:eastAsia="仿宋"/>
          <w:sz w:val="48"/>
        </w:rPr>
      </w:pPr>
    </w:p>
    <w:p>
      <w:pPr>
        <w:rPr>
          <w:rFonts w:ascii="仿宋" w:hAnsi="仿宋" w:eastAsia="仿宋"/>
          <w:sz w:val="48"/>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 w:hAnsi="仿宋" w:eastAsia="仿宋"/>
          <w:sz w:val="36"/>
          <w:szCs w:val="36"/>
          <w:lang w:val="en-US" w:eastAsia="zh-CN"/>
        </w:rPr>
      </w:pPr>
      <w:r>
        <w:rPr>
          <w:rFonts w:hint="eastAsia" w:ascii="仿宋" w:hAnsi="仿宋" w:eastAsia="仿宋"/>
          <w:sz w:val="36"/>
          <w:szCs w:val="36"/>
        </w:rPr>
        <w:t>文件编号：TKXZFCG（GK）XZJ2023-00</w:t>
      </w:r>
      <w:r>
        <w:rPr>
          <w:rFonts w:hint="eastAsia" w:ascii="仿宋" w:hAnsi="仿宋" w:eastAsia="仿宋"/>
          <w:sz w:val="36"/>
          <w:szCs w:val="36"/>
          <w:lang w:val="en-US" w:eastAsia="zh-CN"/>
        </w:rPr>
        <w:t>9-1</w:t>
      </w:r>
      <w:bookmarkStart w:id="8" w:name="_GoBack"/>
      <w:bookmarkEnd w:id="8"/>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Times New Roman"/>
          <w:sz w:val="36"/>
          <w:szCs w:val="36"/>
          <w:lang w:val="en-US" w:eastAsia="zh-CN"/>
        </w:rPr>
      </w:pPr>
      <w:r>
        <w:rPr>
          <w:rFonts w:hint="eastAsia" w:ascii="仿宋" w:hAnsi="仿宋" w:eastAsia="仿宋"/>
          <w:sz w:val="36"/>
          <w:szCs w:val="36"/>
        </w:rPr>
        <w:t xml:space="preserve">项目名称：吐鲁番市托克逊县人民医院综合业务用房二期建设项目采购特殊科室、附属设施施工及设备 </w:t>
      </w:r>
      <w:r>
        <w:rPr>
          <w:rFonts w:hint="eastAsia" w:ascii="仿宋" w:hAnsi="仿宋" w:eastAsia="仿宋"/>
          <w:sz w:val="36"/>
          <w:szCs w:val="36"/>
          <w:lang w:eastAsia="zh-CN"/>
        </w:rPr>
        <w:t>（</w:t>
      </w:r>
      <w:r>
        <w:rPr>
          <w:rFonts w:hint="eastAsia" w:ascii="仿宋" w:hAnsi="仿宋" w:eastAsia="仿宋"/>
          <w:sz w:val="36"/>
          <w:szCs w:val="36"/>
          <w:lang w:val="en-US" w:eastAsia="zh-CN"/>
        </w:rPr>
        <w:t>二次</w:t>
      </w:r>
      <w:r>
        <w:rPr>
          <w:rFonts w:hint="eastAsia" w:ascii="仿宋" w:hAnsi="仿宋" w:eastAsia="仿宋"/>
          <w:sz w:val="36"/>
          <w:szCs w:val="36"/>
          <w:lang w:eastAsia="zh-CN"/>
        </w:rPr>
        <w:t>）</w:t>
      </w:r>
      <w:r>
        <w:rPr>
          <w:rFonts w:hint="eastAsia" w:ascii="仿宋" w:hAnsi="仿宋" w:eastAsia="仿宋" w:cs="Times New Roman"/>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sz w:val="36"/>
          <w:szCs w:val="36"/>
          <w:lang w:val="en-US" w:eastAsia="zh-CN"/>
        </w:rPr>
      </w:pPr>
      <w:r>
        <w:rPr>
          <w:rFonts w:hint="eastAsia" w:ascii="仿宋" w:hAnsi="仿宋" w:eastAsia="仿宋"/>
          <w:sz w:val="36"/>
          <w:szCs w:val="36"/>
        </w:rPr>
        <w:t>采购单位：</w:t>
      </w:r>
      <w:r>
        <w:rPr>
          <w:rFonts w:hint="eastAsia" w:ascii="仿宋" w:hAnsi="仿宋" w:eastAsia="仿宋"/>
          <w:sz w:val="36"/>
          <w:szCs w:val="36"/>
          <w:lang w:val="en-US" w:eastAsia="zh-CN"/>
        </w:rPr>
        <w:t>托克逊县人民医院</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sz w:val="36"/>
          <w:szCs w:val="36"/>
        </w:rPr>
      </w:pPr>
      <w:r>
        <w:rPr>
          <w:rFonts w:hint="eastAsia" w:ascii="仿宋" w:hAnsi="仿宋" w:eastAsia="仿宋"/>
          <w:sz w:val="36"/>
          <w:szCs w:val="36"/>
        </w:rPr>
        <w:t>代理机构：新疆新之建工程咨询有限公司</w:t>
      </w:r>
    </w:p>
    <w:p>
      <w:pPr>
        <w:pStyle w:val="19"/>
        <w:rPr>
          <w:rFonts w:hint="eastAsia" w:ascii="仿宋" w:hAnsi="仿宋" w:eastAsia="仿宋"/>
          <w:sz w:val="36"/>
          <w:szCs w:val="36"/>
          <w:lang w:val="en-US" w:eastAsia="zh-CN"/>
        </w:rPr>
      </w:pPr>
    </w:p>
    <w:p>
      <w:pPr>
        <w:pStyle w:val="19"/>
        <w:ind w:firstLine="1080" w:firstLineChars="300"/>
        <w:rPr>
          <w:rFonts w:hint="default" w:eastAsia="仿宋"/>
          <w:lang w:val="en-US" w:eastAsia="zh-CN"/>
        </w:rPr>
      </w:pPr>
      <w:r>
        <w:rPr>
          <w:rFonts w:hint="eastAsia" w:ascii="仿宋" w:hAnsi="仿宋" w:eastAsia="仿宋"/>
          <w:sz w:val="36"/>
          <w:szCs w:val="36"/>
          <w:lang w:val="en-US" w:eastAsia="zh-CN"/>
        </w:rPr>
        <w:t>2023年4月</w:t>
      </w:r>
    </w:p>
    <w:p>
      <w:pPr>
        <w:pStyle w:val="116"/>
        <w:ind w:left="991" w:leftChars="472" w:firstLine="1875" w:firstLineChars="521"/>
        <w:rPr>
          <w:rFonts w:ascii="仿宋" w:hAnsi="仿宋" w:eastAsia="仿宋"/>
          <w:sz w:val="40"/>
        </w:rPr>
      </w:pPr>
      <w:r>
        <w:rPr>
          <w:rFonts w:hint="eastAsia" w:ascii="仿宋" w:hAnsi="仿宋" w:eastAsia="仿宋"/>
          <w:sz w:val="36"/>
          <w:szCs w:val="36"/>
        </w:rPr>
        <w:t xml:space="preserve"> </w:t>
      </w:r>
    </w:p>
    <w:p>
      <w:pPr>
        <w:rPr>
          <w:rFonts w:ascii="仿宋" w:hAnsi="仿宋" w:eastAsia="仿宋"/>
          <w:sz w:val="40"/>
        </w:rPr>
      </w:pPr>
    </w:p>
    <w:p>
      <w:pPr>
        <w:tabs>
          <w:tab w:val="left" w:pos="2700"/>
        </w:tabs>
        <w:spacing w:beforeLines="200" w:line="360" w:lineRule="atLeast"/>
        <w:jc w:val="both"/>
        <w:rPr>
          <w:rFonts w:hint="eastAsia" w:ascii="仿宋" w:hAnsi="仿宋" w:eastAsia="仿宋"/>
          <w:b/>
          <w:sz w:val="44"/>
          <w:szCs w:val="44"/>
        </w:rPr>
        <w:sectPr>
          <w:footerReference r:id="rId5" w:type="first"/>
          <w:headerReference r:id="rId3" w:type="default"/>
          <w:footerReference r:id="rId4" w:type="default"/>
          <w:pgSz w:w="11906" w:h="16838"/>
          <w:pgMar w:top="1440" w:right="1800" w:bottom="1440" w:left="1800" w:header="851" w:footer="1304"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2700"/>
        </w:tabs>
        <w:spacing w:line="240" w:lineRule="auto"/>
        <w:jc w:val="center"/>
        <w:rPr>
          <w:rFonts w:ascii="仿宋" w:hAnsi="仿宋" w:eastAsia="仿宋"/>
          <w:b/>
          <w:sz w:val="44"/>
          <w:szCs w:val="44"/>
        </w:rPr>
      </w:pPr>
      <w:r>
        <w:rPr>
          <w:rFonts w:hint="eastAsia" w:ascii="仿宋" w:hAnsi="仿宋" w:eastAsia="仿宋"/>
          <w:b/>
          <w:sz w:val="44"/>
          <w:szCs w:val="44"/>
        </w:rPr>
        <w:t>目    录</w:t>
      </w:r>
    </w:p>
    <w:p>
      <w:pPr>
        <w:pStyle w:val="2"/>
        <w:ind w:firstLine="210"/>
        <w:rPr>
          <w:rFonts w:ascii="仿宋" w:hAnsi="仿宋" w:eastAsia="仿宋"/>
        </w:rPr>
      </w:pPr>
    </w:p>
    <w:p>
      <w:pPr>
        <w:pStyle w:val="32"/>
        <w:tabs>
          <w:tab w:val="right" w:leader="dot" w:pos="9628"/>
        </w:tabs>
        <w:rPr>
          <w:rFonts w:ascii="仿宋" w:hAnsi="仿宋" w:eastAsia="仿宋" w:cstheme="minorBidi"/>
          <w:b w:val="0"/>
          <w:bCs w:val="0"/>
          <w:caps w:val="0"/>
          <w:sz w:val="30"/>
          <w:szCs w:val="30"/>
        </w:rPr>
      </w:pPr>
      <w:r>
        <w:rPr>
          <w:rFonts w:hint="eastAsia" w:ascii="仿宋" w:hAnsi="仿宋" w:eastAsia="仿宋"/>
          <w:b w:val="0"/>
          <w:sz w:val="30"/>
          <w:szCs w:val="30"/>
        </w:rPr>
        <w:fldChar w:fldCharType="begin"/>
      </w:r>
      <w:r>
        <w:rPr>
          <w:rFonts w:hint="eastAsia" w:ascii="仿宋" w:hAnsi="仿宋" w:eastAsia="仿宋"/>
          <w:b w:val="0"/>
          <w:sz w:val="30"/>
          <w:szCs w:val="30"/>
        </w:rPr>
        <w:instrText xml:space="preserve"> TOC \o "1-3" \h \z \u </w:instrText>
      </w:r>
      <w:r>
        <w:rPr>
          <w:rFonts w:hint="eastAsia" w:ascii="仿宋" w:hAnsi="仿宋" w:eastAsia="仿宋"/>
          <w:b w:val="0"/>
          <w:sz w:val="30"/>
          <w:szCs w:val="30"/>
        </w:rPr>
        <w:fldChar w:fldCharType="separate"/>
      </w:r>
      <w:r>
        <w:fldChar w:fldCharType="begin"/>
      </w:r>
      <w:r>
        <w:instrText xml:space="preserve"> HYPERLINK \l "_Toc114617424" </w:instrText>
      </w:r>
      <w:r>
        <w:fldChar w:fldCharType="separate"/>
      </w:r>
      <w:r>
        <w:rPr>
          <w:rStyle w:val="48"/>
          <w:rFonts w:hint="eastAsia" w:ascii="仿宋" w:hAnsi="仿宋" w:eastAsia="仿宋"/>
          <w:b w:val="0"/>
          <w:color w:val="auto"/>
          <w:sz w:val="30"/>
          <w:szCs w:val="30"/>
        </w:rPr>
        <w:t>投标须知前附表</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_Toc114617424 \h </w:instrText>
      </w:r>
      <w:r>
        <w:rPr>
          <w:rFonts w:ascii="仿宋" w:hAnsi="仿宋" w:eastAsia="仿宋"/>
          <w:b w:val="0"/>
          <w:sz w:val="30"/>
          <w:szCs w:val="30"/>
        </w:rPr>
        <w:fldChar w:fldCharType="separate"/>
      </w:r>
      <w:r>
        <w:rPr>
          <w:rFonts w:ascii="仿宋" w:hAnsi="仿宋" w:eastAsia="仿宋"/>
          <w:b w:val="0"/>
          <w:sz w:val="30"/>
          <w:szCs w:val="30"/>
        </w:rPr>
        <w:t>1</w:t>
      </w:r>
      <w:r>
        <w:rPr>
          <w:rFonts w:ascii="仿宋" w:hAnsi="仿宋" w:eastAsia="仿宋"/>
          <w:b w:val="0"/>
          <w:sz w:val="30"/>
          <w:szCs w:val="30"/>
        </w:rPr>
        <w:fldChar w:fldCharType="end"/>
      </w:r>
      <w:r>
        <w:rPr>
          <w:rFonts w:ascii="仿宋" w:hAnsi="仿宋" w:eastAsia="仿宋"/>
          <w:b w:val="0"/>
          <w:sz w:val="30"/>
          <w:szCs w:val="30"/>
        </w:rPr>
        <w:fldChar w:fldCharType="end"/>
      </w:r>
    </w:p>
    <w:p>
      <w:pPr>
        <w:pStyle w:val="32"/>
        <w:tabs>
          <w:tab w:val="right" w:leader="dot" w:pos="9628"/>
        </w:tabs>
        <w:ind w:firstLine="402"/>
        <w:rPr>
          <w:rFonts w:ascii="仿宋" w:hAnsi="仿宋" w:eastAsia="仿宋" w:cstheme="minorBidi"/>
          <w:b w:val="0"/>
          <w:bCs w:val="0"/>
          <w:caps w:val="0"/>
          <w:sz w:val="30"/>
          <w:szCs w:val="30"/>
        </w:rPr>
      </w:pPr>
      <w:r>
        <w:fldChar w:fldCharType="begin"/>
      </w:r>
      <w:r>
        <w:instrText xml:space="preserve"> HYPERLINK \l "_Toc114617425" </w:instrText>
      </w:r>
      <w:r>
        <w:fldChar w:fldCharType="separate"/>
      </w:r>
      <w:r>
        <w:rPr>
          <w:rStyle w:val="48"/>
          <w:rFonts w:hint="eastAsia" w:ascii="仿宋" w:hAnsi="仿宋" w:eastAsia="仿宋"/>
          <w:b w:val="0"/>
          <w:color w:val="auto"/>
          <w:sz w:val="30"/>
          <w:szCs w:val="30"/>
        </w:rPr>
        <w:t>第一章</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招标公告</w:t>
      </w:r>
      <w:r>
        <w:rPr>
          <w:rFonts w:ascii="仿宋" w:hAnsi="仿宋" w:eastAsia="仿宋"/>
          <w:b w:val="0"/>
          <w:sz w:val="30"/>
          <w:szCs w:val="30"/>
        </w:rPr>
        <w:tab/>
      </w:r>
      <w:r>
        <w:rPr>
          <w:rFonts w:hint="eastAsia" w:ascii="仿宋" w:hAnsi="仿宋" w:eastAsia="仿宋"/>
          <w:b w:val="0"/>
          <w:sz w:val="30"/>
          <w:szCs w:val="30"/>
          <w:lang w:val="en-US" w:eastAsia="zh-CN"/>
        </w:rPr>
        <w:t>6</w:t>
      </w:r>
      <w:r>
        <w:rPr>
          <w:rFonts w:ascii="仿宋" w:hAnsi="仿宋" w:eastAsia="仿宋"/>
          <w:b w:val="0"/>
          <w:sz w:val="30"/>
          <w:szCs w:val="30"/>
        </w:rPr>
        <w:fldChar w:fldCharType="end"/>
      </w:r>
    </w:p>
    <w:p>
      <w:pPr>
        <w:pStyle w:val="32"/>
        <w:tabs>
          <w:tab w:val="right" w:leader="dot" w:pos="9628"/>
        </w:tabs>
        <w:ind w:firstLine="402"/>
        <w:rPr>
          <w:rFonts w:ascii="仿宋" w:hAnsi="仿宋" w:eastAsia="仿宋" w:cstheme="minorBidi"/>
          <w:b w:val="0"/>
          <w:bCs w:val="0"/>
          <w:caps w:val="0"/>
          <w:sz w:val="30"/>
          <w:szCs w:val="30"/>
        </w:rPr>
      </w:pPr>
      <w:r>
        <w:fldChar w:fldCharType="begin"/>
      </w:r>
      <w:r>
        <w:instrText xml:space="preserve"> HYPERLINK \l "_Toc114617426" </w:instrText>
      </w:r>
      <w:r>
        <w:fldChar w:fldCharType="separate"/>
      </w:r>
      <w:r>
        <w:rPr>
          <w:rStyle w:val="48"/>
          <w:rFonts w:hint="eastAsia" w:ascii="仿宋" w:hAnsi="仿宋" w:eastAsia="仿宋"/>
          <w:b w:val="0"/>
          <w:color w:val="auto"/>
          <w:sz w:val="30"/>
          <w:szCs w:val="30"/>
        </w:rPr>
        <w:t>第二章</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投</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标</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须</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知</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_Toc114617426 \h </w:instrText>
      </w:r>
      <w:r>
        <w:rPr>
          <w:rFonts w:ascii="仿宋" w:hAnsi="仿宋" w:eastAsia="仿宋"/>
          <w:b w:val="0"/>
          <w:sz w:val="30"/>
          <w:szCs w:val="30"/>
        </w:rPr>
        <w:fldChar w:fldCharType="separate"/>
      </w:r>
      <w:r>
        <w:rPr>
          <w:rFonts w:ascii="仿宋" w:hAnsi="仿宋" w:eastAsia="仿宋"/>
          <w:b w:val="0"/>
          <w:sz w:val="30"/>
          <w:szCs w:val="30"/>
        </w:rPr>
        <w:t>10</w:t>
      </w:r>
      <w:r>
        <w:rPr>
          <w:rFonts w:ascii="仿宋" w:hAnsi="仿宋" w:eastAsia="仿宋"/>
          <w:b w:val="0"/>
          <w:sz w:val="30"/>
          <w:szCs w:val="30"/>
        </w:rPr>
        <w:fldChar w:fldCharType="end"/>
      </w:r>
      <w:r>
        <w:rPr>
          <w:rFonts w:ascii="仿宋" w:hAnsi="仿宋" w:eastAsia="仿宋"/>
          <w:b w:val="0"/>
          <w:sz w:val="30"/>
          <w:szCs w:val="30"/>
        </w:rPr>
        <w:fldChar w:fldCharType="end"/>
      </w:r>
    </w:p>
    <w:p>
      <w:pPr>
        <w:pStyle w:val="32"/>
        <w:tabs>
          <w:tab w:val="right" w:leader="dot" w:pos="9628"/>
        </w:tabs>
        <w:ind w:firstLine="402"/>
        <w:rPr>
          <w:rFonts w:ascii="仿宋" w:hAnsi="仿宋" w:eastAsia="仿宋" w:cstheme="minorBidi"/>
          <w:b w:val="0"/>
          <w:bCs w:val="0"/>
          <w:caps w:val="0"/>
          <w:sz w:val="30"/>
          <w:szCs w:val="30"/>
        </w:rPr>
      </w:pPr>
      <w:r>
        <w:fldChar w:fldCharType="begin"/>
      </w:r>
      <w:r>
        <w:instrText xml:space="preserve"> HYPERLINK \l "_Toc114617427" </w:instrText>
      </w:r>
      <w:r>
        <w:fldChar w:fldCharType="separate"/>
      </w:r>
      <w:r>
        <w:rPr>
          <w:rStyle w:val="48"/>
          <w:rFonts w:hint="eastAsia" w:ascii="仿宋" w:hAnsi="仿宋" w:eastAsia="仿宋"/>
          <w:b w:val="0"/>
          <w:color w:val="auto"/>
          <w:sz w:val="30"/>
          <w:szCs w:val="30"/>
        </w:rPr>
        <w:t>第三章</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招标内容及技术要求</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_Toc114617427 \h </w:instrText>
      </w:r>
      <w:r>
        <w:rPr>
          <w:rFonts w:ascii="仿宋" w:hAnsi="仿宋" w:eastAsia="仿宋"/>
          <w:b w:val="0"/>
          <w:sz w:val="30"/>
          <w:szCs w:val="30"/>
        </w:rPr>
        <w:fldChar w:fldCharType="separate"/>
      </w:r>
      <w:r>
        <w:rPr>
          <w:rFonts w:ascii="仿宋" w:hAnsi="仿宋" w:eastAsia="仿宋"/>
          <w:b w:val="0"/>
          <w:sz w:val="30"/>
          <w:szCs w:val="30"/>
        </w:rPr>
        <w:t>3</w:t>
      </w:r>
      <w:r>
        <w:rPr>
          <w:rFonts w:hint="eastAsia" w:ascii="仿宋" w:hAnsi="仿宋" w:eastAsia="仿宋"/>
          <w:b w:val="0"/>
          <w:sz w:val="30"/>
          <w:szCs w:val="30"/>
          <w:lang w:val="en-US" w:eastAsia="zh-CN"/>
        </w:rPr>
        <w:t>0</w:t>
      </w:r>
      <w:r>
        <w:rPr>
          <w:rFonts w:ascii="仿宋" w:hAnsi="仿宋" w:eastAsia="仿宋"/>
          <w:b w:val="0"/>
          <w:sz w:val="30"/>
          <w:szCs w:val="30"/>
        </w:rPr>
        <w:fldChar w:fldCharType="end"/>
      </w:r>
      <w:r>
        <w:rPr>
          <w:rFonts w:ascii="仿宋" w:hAnsi="仿宋" w:eastAsia="仿宋"/>
          <w:b w:val="0"/>
          <w:sz w:val="30"/>
          <w:szCs w:val="30"/>
        </w:rPr>
        <w:fldChar w:fldCharType="end"/>
      </w:r>
    </w:p>
    <w:p>
      <w:pPr>
        <w:pStyle w:val="32"/>
        <w:tabs>
          <w:tab w:val="right" w:leader="dot" w:pos="9628"/>
        </w:tabs>
        <w:ind w:firstLine="402"/>
        <w:rPr>
          <w:rFonts w:ascii="仿宋" w:hAnsi="仿宋" w:eastAsia="仿宋" w:cstheme="minorBidi"/>
          <w:b w:val="0"/>
          <w:bCs w:val="0"/>
          <w:caps w:val="0"/>
          <w:sz w:val="30"/>
          <w:szCs w:val="30"/>
        </w:rPr>
      </w:pPr>
      <w:r>
        <w:fldChar w:fldCharType="begin"/>
      </w:r>
      <w:r>
        <w:instrText xml:space="preserve"> HYPERLINK \l "_Toc114617428" </w:instrText>
      </w:r>
      <w:r>
        <w:fldChar w:fldCharType="separate"/>
      </w:r>
      <w:r>
        <w:rPr>
          <w:rStyle w:val="48"/>
          <w:rFonts w:hint="eastAsia" w:ascii="仿宋" w:hAnsi="仿宋" w:eastAsia="仿宋"/>
          <w:b w:val="0"/>
          <w:color w:val="auto"/>
          <w:sz w:val="30"/>
          <w:szCs w:val="30"/>
        </w:rPr>
        <w:t>第四章</w:t>
      </w:r>
      <w:r>
        <w:rPr>
          <w:rStyle w:val="48"/>
          <w:rFonts w:ascii="仿宋" w:hAnsi="仿宋" w:eastAsia="仿宋"/>
          <w:b w:val="0"/>
          <w:color w:val="auto"/>
          <w:sz w:val="30"/>
          <w:szCs w:val="30"/>
        </w:rPr>
        <w:t xml:space="preserve">  </w:t>
      </w:r>
      <w:r>
        <w:rPr>
          <w:rStyle w:val="48"/>
          <w:rFonts w:hint="eastAsia" w:ascii="仿宋" w:hAnsi="仿宋" w:eastAsia="仿宋"/>
          <w:b w:val="0"/>
          <w:color w:val="auto"/>
          <w:sz w:val="30"/>
          <w:szCs w:val="30"/>
        </w:rPr>
        <w:t>合同主要条款</w:t>
      </w:r>
      <w:r>
        <w:rPr>
          <w:rFonts w:ascii="仿宋" w:hAnsi="仿宋" w:eastAsia="仿宋"/>
          <w:b w:val="0"/>
          <w:sz w:val="30"/>
          <w:szCs w:val="30"/>
        </w:rPr>
        <w:tab/>
      </w:r>
      <w:r>
        <w:rPr>
          <w:rFonts w:ascii="仿宋" w:hAnsi="仿宋" w:eastAsia="仿宋"/>
          <w:b w:val="0"/>
          <w:sz w:val="30"/>
          <w:szCs w:val="30"/>
        </w:rPr>
        <w:fldChar w:fldCharType="begin"/>
      </w:r>
      <w:r>
        <w:rPr>
          <w:rFonts w:ascii="仿宋" w:hAnsi="仿宋" w:eastAsia="仿宋"/>
          <w:b w:val="0"/>
          <w:sz w:val="30"/>
          <w:szCs w:val="30"/>
        </w:rPr>
        <w:instrText xml:space="preserve"> PAGEREF _Toc114617428 \h </w:instrText>
      </w:r>
      <w:r>
        <w:rPr>
          <w:rFonts w:ascii="仿宋" w:hAnsi="仿宋" w:eastAsia="仿宋"/>
          <w:b w:val="0"/>
          <w:sz w:val="30"/>
          <w:szCs w:val="30"/>
        </w:rPr>
        <w:fldChar w:fldCharType="separate"/>
      </w:r>
      <w:r>
        <w:rPr>
          <w:rFonts w:hint="eastAsia" w:ascii="仿宋" w:hAnsi="仿宋" w:eastAsia="仿宋"/>
          <w:b w:val="0"/>
          <w:sz w:val="30"/>
          <w:szCs w:val="30"/>
          <w:lang w:val="en-US" w:eastAsia="zh-CN"/>
        </w:rPr>
        <w:t>51</w:t>
      </w:r>
      <w:r>
        <w:rPr>
          <w:rFonts w:ascii="仿宋" w:hAnsi="仿宋" w:eastAsia="仿宋"/>
          <w:b w:val="0"/>
          <w:sz w:val="30"/>
          <w:szCs w:val="30"/>
        </w:rPr>
        <w:fldChar w:fldCharType="end"/>
      </w:r>
      <w:r>
        <w:rPr>
          <w:rFonts w:ascii="仿宋" w:hAnsi="仿宋" w:eastAsia="仿宋"/>
          <w:b w:val="0"/>
          <w:sz w:val="30"/>
          <w:szCs w:val="30"/>
        </w:rPr>
        <w:fldChar w:fldCharType="end"/>
      </w:r>
    </w:p>
    <w:p>
      <w:pPr>
        <w:tabs>
          <w:tab w:val="left" w:pos="6262"/>
        </w:tabs>
        <w:spacing w:line="480" w:lineRule="auto"/>
        <w:jc w:val="distribute"/>
        <w:rPr>
          <w:rFonts w:ascii="仿宋" w:hAnsi="仿宋" w:eastAsia="仿宋"/>
          <w:sz w:val="24"/>
          <w:szCs w:val="24"/>
        </w:rPr>
      </w:pPr>
      <w:r>
        <w:rPr>
          <w:rFonts w:hint="eastAsia" w:ascii="仿宋" w:hAnsi="仿宋" w:eastAsia="仿宋"/>
          <w:sz w:val="30"/>
          <w:szCs w:val="30"/>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附件：（投标书格式）</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附件一 投标书</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附件二 法定代表人资格证明书（格式）/法定代表人授权委托书（格式）</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附件三 关于投标文件的声明函</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附件四 中小企业声明函（货物）</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附件五 诚信投标承诺书</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附件六 投标人（供应商）反商业贿赂承诺书</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附件七 开标一览表</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附件八 投标产品名称、数量、规格及报价明细表</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附件九 技术规格偏离表</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附件十 商务条款偏离表</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ascii="仿宋" w:hAnsi="仿宋" w:eastAsia="仿宋"/>
          <w:sz w:val="28"/>
        </w:rPr>
      </w:pPr>
      <w:r>
        <w:rPr>
          <w:rFonts w:hint="eastAsia" w:ascii="仿宋" w:hAnsi="仿宋" w:eastAsia="仿宋"/>
          <w:sz w:val="28"/>
        </w:rPr>
        <w:t>附件十一 供应商近三年同类产品销售业绩表</w:t>
      </w:r>
    </w:p>
    <w:p>
      <w:pPr>
        <w:pStyle w:val="42"/>
        <w:rPr>
          <w:rFonts w:hint="eastAsia" w:ascii="仿宋" w:hAnsi="仿宋" w:eastAsia="仿宋"/>
          <w:sz w:val="36"/>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Toc114617424"/>
    </w:p>
    <w:p>
      <w:pPr>
        <w:pStyle w:val="42"/>
        <w:widowControl w:val="0"/>
        <w:pBdr>
          <w:top w:val="none" w:color="auto" w:sz="0" w:space="1"/>
          <w:left w:val="none" w:color="auto" w:sz="0" w:space="4"/>
          <w:bottom w:val="none" w:color="auto" w:sz="0" w:space="1"/>
          <w:right w:val="none" w:color="auto" w:sz="0" w:space="4"/>
          <w:between w:val="none" w:color="auto" w:sz="0" w:space="0"/>
        </w:pBdr>
        <w:spacing w:before="240" w:after="60"/>
        <w:ind w:left="425" w:leftChars="0" w:hanging="425" w:firstLineChars="0"/>
        <w:jc w:val="center"/>
        <w:outlineLvl w:val="0"/>
        <w:rPr>
          <w:rFonts w:ascii="仿宋" w:hAnsi="仿宋" w:eastAsia="仿宋"/>
          <w:sz w:val="36"/>
        </w:rPr>
      </w:pPr>
      <w:r>
        <w:rPr>
          <w:rFonts w:hint="eastAsia" w:ascii="仿宋" w:hAnsi="仿宋" w:eastAsia="仿宋"/>
          <w:sz w:val="36"/>
        </w:rPr>
        <w:t>投标须知前附表</w:t>
      </w:r>
      <w:bookmarkEnd w:id="0"/>
    </w:p>
    <w:tbl>
      <w:tblPr>
        <w:tblStyle w:val="43"/>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88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trPr>
        <w:tc>
          <w:tcPr>
            <w:tcW w:w="824" w:type="dxa"/>
            <w:vAlign w:val="center"/>
          </w:tcPr>
          <w:p>
            <w:pPr>
              <w:pStyle w:val="116"/>
              <w:snapToGrid w:val="0"/>
              <w:spacing w:line="240" w:lineRule="auto"/>
              <w:ind w:firstLine="0" w:firstLineChars="0"/>
              <w:jc w:val="center"/>
              <w:rPr>
                <w:rFonts w:ascii="仿宋" w:hAnsi="仿宋" w:eastAsia="仿宋"/>
                <w:sz w:val="24"/>
                <w:szCs w:val="24"/>
              </w:rPr>
            </w:pPr>
            <w:r>
              <w:rPr>
                <w:rFonts w:hint="eastAsia" w:ascii="仿宋" w:hAnsi="仿宋" w:eastAsia="仿宋"/>
                <w:sz w:val="24"/>
                <w:szCs w:val="24"/>
              </w:rPr>
              <w:t>序号</w:t>
            </w:r>
          </w:p>
        </w:tc>
        <w:tc>
          <w:tcPr>
            <w:tcW w:w="8820" w:type="dxa"/>
            <w:vAlign w:val="center"/>
          </w:tcPr>
          <w:p>
            <w:pPr>
              <w:pStyle w:val="116"/>
              <w:snapToGrid w:val="0"/>
              <w:spacing w:line="240" w:lineRule="auto"/>
              <w:ind w:firstLine="0" w:firstLineChars="0"/>
              <w:jc w:val="center"/>
              <w:rPr>
                <w:rFonts w:ascii="仿宋" w:hAnsi="仿宋" w:eastAsia="仿宋"/>
                <w:sz w:val="24"/>
                <w:szCs w:val="24"/>
              </w:rPr>
            </w:pPr>
            <w:r>
              <w:rPr>
                <w:rFonts w:hint="eastAsia" w:ascii="仿宋" w:hAnsi="仿宋" w:eastAsia="仿宋"/>
                <w:sz w:val="24"/>
                <w:szCs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1</w:t>
            </w:r>
          </w:p>
        </w:tc>
        <w:tc>
          <w:tcPr>
            <w:tcW w:w="8820" w:type="dxa"/>
            <w:tcBorders>
              <w:bottom w:val="single" w:color="auto" w:sz="4" w:space="0"/>
            </w:tcBorders>
            <w:vAlign w:val="center"/>
          </w:tcPr>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lang w:eastAsia="zh-CN"/>
              </w:rPr>
            </w:pPr>
            <w:r>
              <w:rPr>
                <w:rFonts w:hint="eastAsia" w:ascii="仿宋" w:hAnsi="仿宋" w:eastAsia="仿宋" w:cs="宋体"/>
                <w:kern w:val="0"/>
                <w:sz w:val="24"/>
                <w:szCs w:val="24"/>
              </w:rPr>
              <w:t>项目名称：吐鲁番市托克逊县人民医院综合业务用房二期建设项目采购特殊科室、附属设施施工及设备</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二次</w:t>
            </w:r>
            <w:r>
              <w:rPr>
                <w:rFonts w:hint="eastAsia" w:ascii="仿宋" w:hAnsi="仿宋" w:eastAsia="仿宋" w:cs="宋体"/>
                <w:kern w:val="0"/>
                <w:sz w:val="24"/>
                <w:szCs w:val="24"/>
                <w:lang w:eastAsia="zh-CN"/>
              </w:rPr>
              <w:t>）</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仿宋" w:hAnsi="仿宋" w:eastAsia="仿宋" w:cs="宋体"/>
                <w:kern w:val="0"/>
                <w:sz w:val="24"/>
                <w:szCs w:val="24"/>
                <w:lang w:val="en-US"/>
              </w:rPr>
            </w:pPr>
            <w:r>
              <w:rPr>
                <w:rFonts w:hint="eastAsia" w:ascii="仿宋" w:hAnsi="仿宋" w:eastAsia="仿宋" w:cs="宋体"/>
                <w:kern w:val="0"/>
                <w:sz w:val="24"/>
                <w:szCs w:val="24"/>
              </w:rPr>
              <w:t>项目编号</w:t>
            </w:r>
            <w:r>
              <w:rPr>
                <w:rFonts w:hint="eastAsia" w:ascii="仿宋" w:hAnsi="仿宋" w:eastAsia="仿宋" w:cs="宋体"/>
                <w:kern w:val="0"/>
                <w:sz w:val="24"/>
                <w:szCs w:val="24"/>
                <w:lang w:val="en-US" w:eastAsia="zh-CN"/>
              </w:rPr>
              <w:t>：TKXZFCG（GK）XZJ2023-009-1</w:t>
            </w:r>
          </w:p>
          <w:p>
            <w:pPr>
              <w:pStyle w:val="116"/>
              <w:spacing w:line="420" w:lineRule="exact"/>
              <w:ind w:firstLine="0" w:firstLineChars="0"/>
              <w:rPr>
                <w:rFonts w:ascii="仿宋" w:hAnsi="仿宋" w:eastAsia="仿宋" w:cs="宋体"/>
                <w:kern w:val="0"/>
                <w:sz w:val="24"/>
                <w:szCs w:val="24"/>
              </w:rPr>
            </w:pPr>
            <w:r>
              <w:rPr>
                <w:rFonts w:hint="eastAsia" w:ascii="仿宋" w:hAnsi="仿宋" w:eastAsia="仿宋"/>
                <w:sz w:val="24"/>
                <w:szCs w:val="24"/>
              </w:rPr>
              <w:t>招</w:t>
            </w:r>
            <w:r>
              <w:rPr>
                <w:rFonts w:hint="eastAsia" w:ascii="仿宋" w:hAnsi="仿宋" w:eastAsia="仿宋" w:cs="宋体"/>
                <w:kern w:val="0"/>
                <w:sz w:val="24"/>
                <w:szCs w:val="24"/>
              </w:rPr>
              <w:t>标内容：</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第2包：检验流水线</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color w:val="auto"/>
                <w:kern w:val="0"/>
                <w:sz w:val="24"/>
                <w:szCs w:val="24"/>
                <w:lang w:val="en-US" w:eastAsia="zh-CN" w:bidi="ar-SA"/>
              </w:rPr>
            </w:pPr>
            <w:r>
              <w:rPr>
                <w:rFonts w:hint="eastAsia" w:ascii="仿宋" w:hAnsi="仿宋" w:eastAsia="仿宋" w:cs="宋体"/>
                <w:color w:val="auto"/>
                <w:kern w:val="0"/>
                <w:sz w:val="24"/>
                <w:szCs w:val="24"/>
                <w:lang w:val="en-US" w:eastAsia="zh-CN" w:bidi="ar-SA"/>
              </w:rPr>
              <w:t>第7包：云桌面系统（300点位）、移动护理系统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2</w:t>
            </w:r>
          </w:p>
        </w:tc>
        <w:tc>
          <w:tcPr>
            <w:tcW w:w="8820" w:type="dxa"/>
            <w:vAlign w:val="center"/>
          </w:tcPr>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rPr>
              <w:t>项目采购预算（同最高限价）：</w:t>
            </w:r>
            <w:r>
              <w:rPr>
                <w:rFonts w:hint="eastAsia" w:ascii="仿宋" w:hAnsi="仿宋" w:eastAsia="仿宋" w:cs="宋体"/>
                <w:b/>
                <w:bCs/>
                <w:color w:val="auto"/>
                <w:kern w:val="0"/>
                <w:sz w:val="24"/>
                <w:szCs w:val="24"/>
                <w:lang w:val="en-US" w:eastAsia="zh-CN"/>
              </w:rPr>
              <w:t>8090000元</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第2包：4700000元；</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b/>
                <w:bCs/>
                <w:color w:val="auto"/>
                <w:kern w:val="0"/>
                <w:sz w:val="24"/>
                <w:szCs w:val="24"/>
                <w:lang w:val="en-US" w:eastAsia="zh-CN"/>
              </w:rPr>
            </w:pPr>
            <w:r>
              <w:rPr>
                <w:rFonts w:hint="eastAsia" w:ascii="仿宋" w:hAnsi="仿宋" w:eastAsia="仿宋" w:cs="宋体"/>
                <w:b/>
                <w:bCs/>
                <w:color w:val="auto"/>
                <w:kern w:val="0"/>
                <w:sz w:val="24"/>
                <w:szCs w:val="24"/>
                <w:lang w:val="en-US" w:eastAsia="zh-CN"/>
              </w:rPr>
              <w:t>第7包：3390000元；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3</w:t>
            </w:r>
          </w:p>
        </w:tc>
        <w:tc>
          <w:tcPr>
            <w:tcW w:w="8820" w:type="dxa"/>
            <w:vAlign w:val="center"/>
          </w:tcPr>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采购人</w:t>
            </w:r>
            <w:r>
              <w:rPr>
                <w:rFonts w:hint="eastAsia" w:ascii="仿宋" w:hAnsi="仿宋" w:eastAsia="仿宋" w:cs="宋体"/>
                <w:kern w:val="0"/>
                <w:sz w:val="24"/>
                <w:szCs w:val="24"/>
              </w:rPr>
              <w:t>名称：</w:t>
            </w:r>
            <w:r>
              <w:rPr>
                <w:rFonts w:hint="eastAsia" w:ascii="仿宋" w:hAnsi="仿宋" w:eastAsia="仿宋" w:cs="宋体"/>
                <w:kern w:val="0"/>
                <w:sz w:val="24"/>
                <w:szCs w:val="24"/>
                <w:lang w:val="en-US" w:eastAsia="zh-CN"/>
              </w:rPr>
              <w:t>托克逊县人民医院</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地 址：托克逊县友好东路</w:t>
            </w:r>
            <w:r>
              <w:rPr>
                <w:rFonts w:hint="eastAsia" w:ascii="仿宋" w:hAnsi="仿宋" w:eastAsia="仿宋" w:cs="宋体"/>
                <w:kern w:val="0"/>
                <w:sz w:val="24"/>
                <w:szCs w:val="24"/>
                <w:lang w:val="en-US" w:eastAsia="zh-CN"/>
              </w:rPr>
              <w:t xml:space="preserve"> </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联系人：何鹏</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rPr>
            </w:pPr>
            <w:r>
              <w:rPr>
                <w:rFonts w:hint="eastAsia" w:ascii="仿宋" w:hAnsi="仿宋" w:eastAsia="仿宋" w:cs="宋体"/>
                <w:kern w:val="0"/>
                <w:sz w:val="24"/>
                <w:szCs w:val="24"/>
              </w:rPr>
              <w:t>联系方式：</w:t>
            </w:r>
            <w:r>
              <w:rPr>
                <w:rFonts w:hint="eastAsia" w:ascii="仿宋" w:hAnsi="仿宋" w:eastAsia="仿宋" w:cs="宋体"/>
                <w:kern w:val="0"/>
                <w:sz w:val="24"/>
                <w:szCs w:val="24"/>
                <w:lang w:val="en-US" w:eastAsia="zh-CN"/>
              </w:rPr>
              <w:t>0995-8828730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4</w:t>
            </w:r>
          </w:p>
        </w:tc>
        <w:tc>
          <w:tcPr>
            <w:tcW w:w="8820" w:type="dxa"/>
            <w:vAlign w:val="center"/>
          </w:tcPr>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rPr>
            </w:pPr>
            <w:r>
              <w:rPr>
                <w:rFonts w:hint="eastAsia" w:ascii="仿宋" w:hAnsi="仿宋" w:eastAsia="仿宋" w:cs="宋体"/>
                <w:kern w:val="0"/>
                <w:sz w:val="24"/>
                <w:szCs w:val="24"/>
              </w:rPr>
              <w:t>采</w:t>
            </w:r>
            <w:r>
              <w:rPr>
                <w:rFonts w:hint="eastAsia" w:ascii="仿宋" w:hAnsi="仿宋" w:eastAsia="仿宋" w:cs="宋体"/>
                <w:kern w:val="0"/>
                <w:sz w:val="24"/>
                <w:szCs w:val="24"/>
                <w:lang w:val="en-US" w:eastAsia="zh-CN"/>
              </w:rPr>
              <w:t>购代理</w:t>
            </w:r>
            <w:r>
              <w:rPr>
                <w:rFonts w:hint="eastAsia" w:ascii="仿宋" w:hAnsi="仿宋" w:eastAsia="仿宋" w:cs="宋体"/>
                <w:kern w:val="0"/>
                <w:sz w:val="24"/>
                <w:szCs w:val="24"/>
              </w:rPr>
              <w:t>名称：新疆新之建工程咨询有限公司</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地 址：</w:t>
            </w:r>
            <w:r>
              <w:rPr>
                <w:rFonts w:hint="eastAsia" w:ascii="仿宋" w:hAnsi="仿宋" w:eastAsia="仿宋" w:cs="宋体"/>
                <w:kern w:val="0"/>
                <w:sz w:val="24"/>
                <w:szCs w:val="24"/>
                <w:lang w:val="en-US" w:eastAsia="zh-CN"/>
              </w:rPr>
              <w:t>新疆吐鲁番市高昌区新编15区文化路南侧滨湖花园小区对面3层</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 xml:space="preserve">联系人：董蕊 </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仿宋" w:hAnsi="仿宋" w:eastAsia="仿宋" w:cs="宋体"/>
                <w:kern w:val="0"/>
                <w:sz w:val="24"/>
                <w:szCs w:val="24"/>
              </w:rPr>
            </w:pPr>
            <w:r>
              <w:rPr>
                <w:rFonts w:hint="eastAsia" w:ascii="仿宋" w:hAnsi="仿宋" w:eastAsia="仿宋" w:cs="宋体"/>
                <w:kern w:val="0"/>
                <w:sz w:val="24"/>
                <w:szCs w:val="24"/>
              </w:rPr>
              <w:t>联系方式：</w:t>
            </w:r>
            <w:r>
              <w:rPr>
                <w:rFonts w:hint="eastAsia" w:ascii="仿宋" w:hAnsi="仿宋" w:eastAsia="仿宋" w:cs="宋体"/>
                <w:kern w:val="0"/>
                <w:sz w:val="24"/>
                <w:szCs w:val="24"/>
                <w:lang w:val="en-US" w:eastAsia="zh-CN"/>
              </w:rPr>
              <w:t>13399958618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50"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5</w:t>
            </w:r>
          </w:p>
        </w:tc>
        <w:tc>
          <w:tcPr>
            <w:tcW w:w="8820" w:type="dxa"/>
            <w:vAlign w:val="center"/>
          </w:tcPr>
          <w:p>
            <w:pPr>
              <w:pStyle w:val="116"/>
              <w:spacing w:line="420" w:lineRule="exact"/>
              <w:ind w:firstLine="0" w:firstLineChars="0"/>
              <w:rPr>
                <w:rFonts w:hint="eastAsia" w:ascii="仿宋" w:hAnsi="仿宋" w:eastAsia="仿宋"/>
                <w:sz w:val="24"/>
                <w:szCs w:val="24"/>
                <w:lang w:val="en-US" w:eastAsia="zh-CN"/>
              </w:rPr>
            </w:pPr>
            <w:r>
              <w:rPr>
                <w:rFonts w:hint="eastAsia" w:ascii="仿宋" w:hAnsi="仿宋" w:eastAsia="仿宋"/>
                <w:sz w:val="24"/>
                <w:szCs w:val="24"/>
                <w:lang w:val="en-US" w:eastAsia="zh-CN"/>
              </w:rPr>
              <w:t>投标保证金金额（人民币）：第2包：47000元；第7包：33000元；投标保证金缴纳方式：投标保证金应当以支票、汇票、本票、网上银行支付或者金融机构、担保机构出具的保函等非现金形式缴纳。</w:t>
            </w:r>
          </w:p>
          <w:p>
            <w:pPr>
              <w:pStyle w:val="116"/>
              <w:spacing w:line="420" w:lineRule="exact"/>
              <w:ind w:firstLine="0" w:firstLineChars="0"/>
              <w:rPr>
                <w:rFonts w:hint="eastAsia" w:ascii="仿宋" w:hAnsi="仿宋" w:eastAsia="仿宋"/>
                <w:sz w:val="24"/>
                <w:szCs w:val="24"/>
                <w:lang w:eastAsia="zh-CN"/>
              </w:rPr>
            </w:pPr>
            <w:r>
              <w:rPr>
                <w:rFonts w:hint="eastAsia" w:ascii="仿宋" w:hAnsi="仿宋" w:eastAsia="仿宋"/>
                <w:sz w:val="24"/>
                <w:szCs w:val="24"/>
              </w:rPr>
              <w:t>须以非现金形式由供应商的账户转出，须</w:t>
            </w:r>
            <w:r>
              <w:rPr>
                <w:rFonts w:hint="eastAsia" w:ascii="仿宋" w:hAnsi="仿宋" w:eastAsia="仿宋"/>
                <w:sz w:val="24"/>
                <w:szCs w:val="24"/>
                <w:lang w:val="en-US" w:eastAsia="zh-CN"/>
              </w:rPr>
              <w:t>于2023年5月3日16:00时（</w:t>
            </w:r>
            <w:r>
              <w:rPr>
                <w:rFonts w:hint="eastAsia" w:ascii="仿宋" w:hAnsi="仿宋" w:eastAsia="仿宋"/>
                <w:sz w:val="24"/>
                <w:szCs w:val="24"/>
              </w:rPr>
              <w:t>北京时间）前交至招标代理机构指定账户</w:t>
            </w:r>
            <w:r>
              <w:rPr>
                <w:rFonts w:hint="eastAsia" w:ascii="仿宋" w:hAnsi="仿宋" w:eastAsia="仿宋"/>
                <w:sz w:val="24"/>
                <w:szCs w:val="24"/>
                <w:lang w:eastAsia="zh-CN"/>
              </w:rPr>
              <w:t>。</w:t>
            </w:r>
          </w:p>
          <w:p>
            <w:pPr>
              <w:pStyle w:val="116"/>
              <w:keepNext w:val="0"/>
              <w:keepLines w:val="0"/>
              <w:pageBreakBefore w:val="0"/>
              <w:widowControl w:val="0"/>
              <w:kinsoku/>
              <w:wordWrap/>
              <w:overflowPunct/>
              <w:topLinePunct w:val="0"/>
              <w:bidi w:val="0"/>
              <w:spacing w:line="400" w:lineRule="exact"/>
              <w:ind w:firstLine="0" w:firstLineChars="0"/>
              <w:textAlignment w:val="auto"/>
              <w:rPr>
                <w:rFonts w:ascii="仿宋" w:hAnsi="仿宋" w:eastAsia="仿宋"/>
                <w:sz w:val="24"/>
                <w:szCs w:val="24"/>
              </w:rPr>
            </w:pPr>
            <w:r>
              <w:rPr>
                <w:rFonts w:hint="eastAsia" w:ascii="仿宋" w:hAnsi="仿宋" w:eastAsia="仿宋" w:cs="Times New Roman"/>
                <w:kern w:val="2"/>
                <w:sz w:val="24"/>
                <w:szCs w:val="24"/>
                <w:lang w:val="en-US" w:eastAsia="zh-CN" w:bidi="ar-SA"/>
              </w:rPr>
              <w:t>投标保证金退还：1.中标供应商持合同5个工作日内退还；2.未中标供应商</w:t>
            </w:r>
            <w:r>
              <w:rPr>
                <w:rFonts w:hint="eastAsia" w:ascii="仿宋" w:hAnsi="仿宋" w:eastAsia="仿宋"/>
                <w:sz w:val="24"/>
                <w:szCs w:val="24"/>
              </w:rPr>
              <w:t>公示期结束后</w:t>
            </w:r>
            <w:r>
              <w:rPr>
                <w:rFonts w:hint="eastAsia" w:ascii="仿宋" w:hAnsi="仿宋" w:eastAsia="仿宋" w:cs="Times New Roman"/>
                <w:kern w:val="2"/>
                <w:sz w:val="24"/>
                <w:szCs w:val="24"/>
                <w:lang w:val="en-US" w:eastAsia="zh-CN" w:bidi="ar-SA"/>
              </w:rPr>
              <w:t>5个工作日</w:t>
            </w:r>
            <w:r>
              <w:rPr>
                <w:rFonts w:hint="eastAsia" w:ascii="仿宋" w:hAnsi="仿宋" w:eastAsia="仿宋"/>
                <w:sz w:val="24"/>
                <w:szCs w:val="24"/>
              </w:rPr>
              <w:t>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6</w:t>
            </w:r>
          </w:p>
        </w:tc>
        <w:tc>
          <w:tcPr>
            <w:tcW w:w="8820" w:type="dxa"/>
            <w:vAlign w:val="center"/>
          </w:tcPr>
          <w:p>
            <w:pPr>
              <w:pStyle w:val="116"/>
              <w:keepNext w:val="0"/>
              <w:keepLines w:val="0"/>
              <w:pageBreakBefore w:val="0"/>
              <w:widowControl w:val="0"/>
              <w:kinsoku/>
              <w:wordWrap/>
              <w:overflowPunct/>
              <w:topLinePunct w:val="0"/>
              <w:bidi w:val="0"/>
              <w:spacing w:line="400" w:lineRule="exact"/>
              <w:ind w:firstLine="0" w:firstLineChars="0"/>
              <w:textAlignment w:val="auto"/>
              <w:rPr>
                <w:rFonts w:hint="eastAsia" w:ascii="仿宋" w:hAnsi="仿宋" w:eastAsia="仿宋"/>
                <w:sz w:val="24"/>
                <w:szCs w:val="24"/>
                <w:lang w:eastAsia="zh-CN"/>
              </w:rPr>
            </w:pPr>
            <w:r>
              <w:rPr>
                <w:rFonts w:hint="eastAsia" w:ascii="仿宋" w:hAnsi="仿宋" w:eastAsia="仿宋" w:cs="Times New Roman"/>
                <w:kern w:val="2"/>
                <w:sz w:val="24"/>
                <w:szCs w:val="24"/>
                <w:lang w:val="en-US" w:eastAsia="zh-CN" w:bidi="ar-SA"/>
              </w:rPr>
              <w:t>银行信息：</w:t>
            </w:r>
          </w:p>
          <w:p>
            <w:pPr>
              <w:pStyle w:val="64"/>
              <w:keepNext w:val="0"/>
              <w:keepLines w:val="0"/>
              <w:pageBreakBefore w:val="0"/>
              <w:widowControl w:val="0"/>
              <w:kinsoku/>
              <w:wordWrap/>
              <w:overflowPunct/>
              <w:topLinePunct w:val="0"/>
              <w:bidi w:val="0"/>
              <w:spacing w:line="40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名称：新疆新之建工程咨询有限公司吐鲁番分公司</w:t>
            </w:r>
          </w:p>
          <w:p>
            <w:pPr>
              <w:pStyle w:val="64"/>
              <w:keepNext w:val="0"/>
              <w:keepLines w:val="0"/>
              <w:pageBreakBefore w:val="0"/>
              <w:widowControl w:val="0"/>
              <w:kinsoku/>
              <w:wordWrap/>
              <w:overflowPunct/>
              <w:topLinePunct w:val="0"/>
              <w:bidi w:val="0"/>
              <w:spacing w:line="40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开户行：中国银行股份有限公司吐鲁番市分行</w:t>
            </w:r>
          </w:p>
          <w:p>
            <w:pPr>
              <w:pStyle w:val="116"/>
              <w:keepNext w:val="0"/>
              <w:keepLines w:val="0"/>
              <w:pageBreakBefore w:val="0"/>
              <w:widowControl w:val="0"/>
              <w:kinsoku/>
              <w:wordWrap/>
              <w:overflowPunct/>
              <w:topLinePunct w:val="0"/>
              <w:bidi w:val="0"/>
              <w:spacing w:line="400" w:lineRule="exact"/>
              <w:ind w:firstLine="0" w:firstLineChars="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账号：108276063220</w:t>
            </w:r>
          </w:p>
          <w:p>
            <w:pPr>
              <w:pStyle w:val="116"/>
              <w:keepNext w:val="0"/>
              <w:keepLines w:val="0"/>
              <w:pageBreakBefore w:val="0"/>
              <w:widowControl w:val="0"/>
              <w:kinsoku/>
              <w:wordWrap/>
              <w:overflowPunct/>
              <w:topLinePunct w:val="0"/>
              <w:bidi w:val="0"/>
              <w:spacing w:line="400" w:lineRule="exact"/>
              <w:ind w:firstLine="0" w:firstLineChars="0"/>
              <w:textAlignment w:val="auto"/>
              <w:rPr>
                <w:rFonts w:hint="eastAsia" w:ascii="仿宋" w:hAnsi="仿宋" w:eastAsia="仿宋"/>
                <w:color w:val="auto"/>
                <w:szCs w:val="24"/>
                <w:lang w:eastAsia="zh-CN"/>
              </w:rPr>
            </w:pPr>
            <w:r>
              <w:rPr>
                <w:rFonts w:hint="eastAsia" w:ascii="仿宋" w:hAnsi="仿宋" w:eastAsia="仿宋" w:cs="Times New Roman"/>
                <w:kern w:val="2"/>
                <w:sz w:val="24"/>
                <w:szCs w:val="24"/>
                <w:lang w:val="en-US" w:eastAsia="zh-CN" w:bidi="ar-SA"/>
              </w:rPr>
              <w:t>行号：104883001013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7</w:t>
            </w:r>
          </w:p>
        </w:tc>
        <w:tc>
          <w:tcPr>
            <w:tcW w:w="8820" w:type="dxa"/>
            <w:vAlign w:val="center"/>
          </w:tcPr>
          <w:p>
            <w:pPr>
              <w:pStyle w:val="64"/>
              <w:spacing w:line="420" w:lineRule="exact"/>
              <w:jc w:val="both"/>
              <w:rPr>
                <w:rFonts w:ascii="仿宋" w:hAnsi="仿宋" w:eastAsia="仿宋"/>
                <w:color w:val="auto"/>
                <w:sz w:val="24"/>
                <w:szCs w:val="24"/>
              </w:rPr>
            </w:pPr>
            <w:r>
              <w:rPr>
                <w:rFonts w:hint="eastAsia" w:ascii="仿宋" w:hAnsi="仿宋" w:eastAsia="仿宋"/>
                <w:color w:val="auto"/>
                <w:sz w:val="24"/>
                <w:szCs w:val="24"/>
              </w:rPr>
              <w:t>申请人的资格要求：</w:t>
            </w:r>
          </w:p>
          <w:p>
            <w:pPr>
              <w:pStyle w:val="64"/>
              <w:spacing w:line="420" w:lineRule="exact"/>
              <w:jc w:val="both"/>
              <w:rPr>
                <w:rFonts w:ascii="仿宋" w:hAnsi="仿宋" w:eastAsia="仿宋"/>
                <w:color w:val="auto"/>
                <w:sz w:val="24"/>
                <w:szCs w:val="24"/>
              </w:rPr>
            </w:pPr>
            <w:r>
              <w:rPr>
                <w:rFonts w:hint="eastAsia" w:ascii="仿宋" w:hAnsi="仿宋" w:eastAsia="仿宋"/>
                <w:color w:val="auto"/>
                <w:sz w:val="24"/>
                <w:szCs w:val="24"/>
              </w:rPr>
              <w:t>1.满足《中华人民共和国政府采购法》第二十二条规定；</w:t>
            </w:r>
          </w:p>
          <w:p>
            <w:pPr>
              <w:pStyle w:val="64"/>
              <w:spacing w:line="420" w:lineRule="exact"/>
              <w:jc w:val="both"/>
              <w:rPr>
                <w:rFonts w:ascii="仿宋" w:hAnsi="仿宋" w:eastAsia="仿宋"/>
                <w:color w:val="auto"/>
                <w:sz w:val="24"/>
                <w:szCs w:val="24"/>
              </w:rPr>
            </w:pPr>
            <w:r>
              <w:rPr>
                <w:rFonts w:hint="eastAsia" w:ascii="仿宋" w:hAnsi="仿宋" w:eastAsia="仿宋"/>
                <w:color w:val="auto"/>
                <w:sz w:val="24"/>
                <w:szCs w:val="24"/>
              </w:rPr>
              <w:t>2.落实政府采购政策需满足的资格要求：无</w:t>
            </w:r>
          </w:p>
          <w:p>
            <w:pPr>
              <w:pStyle w:val="64"/>
              <w:spacing w:line="420" w:lineRule="exact"/>
              <w:jc w:val="both"/>
              <w:rPr>
                <w:rFonts w:ascii="仿宋" w:hAnsi="仿宋" w:eastAsia="仿宋"/>
                <w:color w:val="auto"/>
                <w:sz w:val="24"/>
                <w:szCs w:val="24"/>
              </w:rPr>
            </w:pPr>
            <w:r>
              <w:rPr>
                <w:rFonts w:hint="eastAsia" w:ascii="仿宋" w:hAnsi="仿宋" w:eastAsia="仿宋"/>
                <w:color w:val="auto"/>
                <w:sz w:val="24"/>
                <w:szCs w:val="24"/>
              </w:rPr>
              <w:t>3.本项目的特定资格要求：</w:t>
            </w:r>
          </w:p>
          <w:p>
            <w:pPr>
              <w:pStyle w:val="64"/>
              <w:spacing w:line="420" w:lineRule="exact"/>
              <w:jc w:val="both"/>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（1）有效的营业执照；</w:t>
            </w:r>
          </w:p>
          <w:p>
            <w:pPr>
              <w:pStyle w:val="6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s="仿宋"/>
                <w:i w:val="0"/>
                <w:iCs w:val="0"/>
                <w:caps w:val="0"/>
                <w:color w:val="000000"/>
                <w:spacing w:val="0"/>
                <w:sz w:val="24"/>
                <w:szCs w:val="24"/>
                <w:lang w:val="en-US" w:eastAsia="zh-CN"/>
              </w:rPr>
              <w:t>第2包</w:t>
            </w:r>
            <w:r>
              <w:rPr>
                <w:rFonts w:ascii="仿宋" w:hAnsi="仿宋" w:eastAsia="仿宋" w:cs="仿宋"/>
                <w:i w:val="0"/>
                <w:iCs w:val="0"/>
                <w:caps w:val="0"/>
                <w:color w:val="000000"/>
                <w:spacing w:val="0"/>
                <w:sz w:val="24"/>
                <w:szCs w:val="24"/>
              </w:rPr>
              <w:t>所投产品属于第二类医疗器械的，提供有效的行政主管部门颁发的医疗器械经营备案凭证（或医疗器械生产许可证或医疗器械经营许可证或其他医疗器械生产经营许可证明文件）；所投产品属于第三类医疗器械的，提供有效的行政主管部门颁发的医疗器械生产许可证（或医疗器械经营许可证或其他医疗器械生产经营许可证明文件）</w:t>
            </w:r>
            <w:r>
              <w:rPr>
                <w:rFonts w:ascii="仿宋" w:hAnsi="仿宋" w:eastAsia="仿宋"/>
                <w:color w:val="auto"/>
                <w:sz w:val="24"/>
                <w:szCs w:val="24"/>
              </w:rPr>
              <w:t>；</w:t>
            </w:r>
          </w:p>
          <w:p>
            <w:pPr>
              <w:pStyle w:val="6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单位负责人为同一人或者存在直接控股、管理关系的不同供应商，不得参加同一合同项下的政府采购活动；</w:t>
            </w:r>
          </w:p>
          <w:p>
            <w:pPr>
              <w:pStyle w:val="64"/>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投标人在“信用中国”（www.creditchina.gov.cn）未被列入失信被执行人、政府采购严重违法失信行为记录名单、重大税收违法失信主体名单</w:t>
            </w:r>
            <w:r>
              <w:rPr>
                <w:rFonts w:hint="eastAsia" w:ascii="仿宋" w:hAnsi="仿宋" w:eastAsia="仿宋"/>
                <w:color w:val="auto"/>
                <w:sz w:val="24"/>
                <w:szCs w:val="24"/>
                <w:lang w:eastAsia="zh-CN"/>
              </w:rPr>
              <w:t>，</w:t>
            </w:r>
            <w:r>
              <w:rPr>
                <w:rFonts w:hint="eastAsia" w:ascii="仿宋" w:hAnsi="仿宋" w:eastAsia="仿宋"/>
                <w:color w:val="auto"/>
                <w:sz w:val="24"/>
                <w:szCs w:val="24"/>
              </w:rPr>
              <w:t>“中国政府采购网”（www.ccgp.gov.cn）网站上未被列入政府采购严重违法失信行为记录名单。</w:t>
            </w:r>
          </w:p>
          <w:p>
            <w:pPr>
              <w:pStyle w:val="64"/>
              <w:spacing w:line="420" w:lineRule="exact"/>
              <w:jc w:val="both"/>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本项目（否）接受联合体投标。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8</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9</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10</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投标截止时</w:t>
            </w:r>
            <w:r>
              <w:rPr>
                <w:rFonts w:hint="eastAsia" w:ascii="仿宋" w:hAnsi="仿宋" w:eastAsia="仿宋"/>
                <w:color w:val="auto"/>
                <w:sz w:val="24"/>
                <w:szCs w:val="24"/>
              </w:rPr>
              <w:t>间：202</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日</w:t>
            </w:r>
            <w:r>
              <w:rPr>
                <w:rFonts w:hint="eastAsia" w:ascii="仿宋" w:hAnsi="仿宋" w:eastAsia="仿宋"/>
                <w:color w:val="auto"/>
                <w:sz w:val="24"/>
                <w:szCs w:val="24"/>
                <w:lang w:val="en-US" w:eastAsia="zh-CN"/>
              </w:rPr>
              <w:t>16</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00</w:t>
            </w:r>
            <w:r>
              <w:rPr>
                <w:rFonts w:hint="eastAsia" w:ascii="仿宋" w:hAnsi="仿宋" w:eastAsia="仿宋"/>
                <w:color w:val="auto"/>
                <w:sz w:val="24"/>
                <w:szCs w:val="24"/>
              </w:rPr>
              <w:t>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11</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投标文件的数目：</w:t>
            </w:r>
          </w:p>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（1）本项目采用远程不见面电子标的方式开标，供应商开标时无需提供纸质响应文件，须在响应文件递交截止时间前通过政采云平台https://www.zcygov.cn/登录后，将加密电子响应文件上传到对应项目的的指定位置。</w:t>
            </w:r>
          </w:p>
          <w:p>
            <w:pPr>
              <w:pStyle w:val="116"/>
              <w:spacing w:line="420" w:lineRule="exact"/>
              <w:ind w:firstLine="0" w:firstLineChars="0"/>
              <w:rPr>
                <w:rFonts w:ascii="仿宋" w:hAnsi="仿宋" w:eastAsia="仿宋"/>
                <w:b/>
                <w:sz w:val="24"/>
                <w:szCs w:val="24"/>
              </w:rPr>
            </w:pPr>
            <w:r>
              <w:rPr>
                <w:rFonts w:hint="eastAsia" w:ascii="仿宋" w:hAnsi="仿宋" w:eastAsia="仿宋"/>
                <w:sz w:val="24"/>
                <w:szCs w:val="24"/>
              </w:rPr>
              <w:t>（2）开标结束后2日内，各中标人须向招标代理机构递交纸质投标文件三份（正本一份，副本二份）、未加密的电子投标文件一份（U盘介质）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trPr>
        <w:tc>
          <w:tcPr>
            <w:tcW w:w="824" w:type="dxa"/>
            <w:vAlign w:val="center"/>
          </w:tcPr>
          <w:p>
            <w:pPr>
              <w:pStyle w:val="116"/>
              <w:spacing w:line="420" w:lineRule="exact"/>
              <w:ind w:firstLine="0" w:firstLineChars="0"/>
              <w:jc w:val="center"/>
              <w:rPr>
                <w:rFonts w:ascii="仿宋" w:hAnsi="仿宋" w:eastAsia="仿宋"/>
                <w:sz w:val="24"/>
                <w:szCs w:val="24"/>
              </w:rPr>
            </w:pPr>
            <w:r>
              <w:rPr>
                <w:rFonts w:hint="eastAsia" w:ascii="仿宋" w:hAnsi="仿宋" w:eastAsia="仿宋"/>
                <w:sz w:val="24"/>
                <w:szCs w:val="24"/>
              </w:rPr>
              <w:t>12</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投标文件递交至：在线递交，通过政采云平台https://www.zcygov.cn/登录后，将电子响应文件上传到对应项目的的指定位置。</w:t>
            </w:r>
          </w:p>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本项目投标文件解密时间为30分钟，如因自身原因导致无法正常解密，后果由供应商自行承担。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trPr>
        <w:tc>
          <w:tcPr>
            <w:tcW w:w="824" w:type="dxa"/>
            <w:vAlign w:val="center"/>
          </w:tcPr>
          <w:p>
            <w:pPr>
              <w:spacing w:line="420" w:lineRule="exact"/>
              <w:ind w:firstLine="120" w:firstLineChars="50"/>
              <w:rPr>
                <w:rFonts w:ascii="仿宋" w:hAnsi="仿宋" w:eastAsia="仿宋"/>
                <w:sz w:val="24"/>
                <w:szCs w:val="24"/>
              </w:rPr>
            </w:pPr>
            <w:r>
              <w:rPr>
                <w:rFonts w:hint="eastAsia" w:ascii="仿宋" w:hAnsi="仿宋" w:eastAsia="仿宋"/>
                <w:sz w:val="24"/>
                <w:szCs w:val="24"/>
              </w:rPr>
              <w:t>13</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开标</w:t>
            </w:r>
            <w:r>
              <w:rPr>
                <w:rFonts w:hint="eastAsia" w:ascii="仿宋" w:hAnsi="仿宋" w:eastAsia="仿宋"/>
                <w:color w:val="auto"/>
                <w:sz w:val="24"/>
                <w:szCs w:val="24"/>
              </w:rPr>
              <w:t>日期：202</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日</w:t>
            </w:r>
            <w:r>
              <w:rPr>
                <w:rFonts w:hint="eastAsia" w:ascii="仿宋" w:hAnsi="仿宋" w:eastAsia="仿宋"/>
                <w:color w:val="auto"/>
                <w:sz w:val="24"/>
                <w:szCs w:val="24"/>
                <w:lang w:val="en-US" w:eastAsia="zh-CN"/>
              </w:rPr>
              <w:t>16</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00</w:t>
            </w:r>
            <w:r>
              <w:rPr>
                <w:rFonts w:hint="eastAsia" w:ascii="仿宋" w:hAnsi="仿宋" w:eastAsia="仿宋"/>
                <w:color w:val="auto"/>
                <w:sz w:val="24"/>
                <w:szCs w:val="24"/>
              </w:rPr>
              <w:t>时（北京时间）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vAlign w:val="center"/>
          </w:tcPr>
          <w:p>
            <w:pPr>
              <w:spacing w:line="420" w:lineRule="exact"/>
              <w:ind w:firstLine="120" w:firstLineChars="50"/>
              <w:rPr>
                <w:rFonts w:ascii="仿宋" w:hAnsi="仿宋" w:eastAsia="仿宋"/>
                <w:sz w:val="24"/>
                <w:szCs w:val="24"/>
              </w:rPr>
            </w:pPr>
            <w:r>
              <w:rPr>
                <w:rFonts w:hint="eastAsia" w:ascii="仿宋" w:hAnsi="仿宋" w:eastAsia="仿宋"/>
                <w:sz w:val="24"/>
                <w:szCs w:val="24"/>
              </w:rPr>
              <w:t>14</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开标/评审地点：新疆乌鲁木齐市沙依巴克区公园北街162号文苑综合楼七楼会议室。（供应商在政采云平台https://www.zcygov.cn/远程参加开标活动）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trPr>
        <w:tc>
          <w:tcPr>
            <w:tcW w:w="824" w:type="dxa"/>
            <w:vAlign w:val="center"/>
          </w:tcPr>
          <w:p>
            <w:pPr>
              <w:spacing w:line="420" w:lineRule="exact"/>
              <w:ind w:firstLine="120" w:firstLineChars="50"/>
              <w:rPr>
                <w:rFonts w:ascii="仿宋" w:hAnsi="仿宋" w:eastAsia="仿宋"/>
                <w:sz w:val="24"/>
                <w:szCs w:val="24"/>
              </w:rPr>
            </w:pPr>
            <w:r>
              <w:rPr>
                <w:rFonts w:hint="eastAsia" w:ascii="仿宋" w:hAnsi="仿宋" w:eastAsia="仿宋"/>
                <w:sz w:val="24"/>
                <w:szCs w:val="24"/>
              </w:rPr>
              <w:t>15</w:t>
            </w:r>
          </w:p>
        </w:tc>
        <w:tc>
          <w:tcPr>
            <w:tcW w:w="8820" w:type="dxa"/>
            <w:vAlign w:val="center"/>
          </w:tcPr>
          <w:p>
            <w:pPr>
              <w:pStyle w:val="116"/>
              <w:spacing w:line="420" w:lineRule="exact"/>
              <w:ind w:firstLine="0" w:firstLineChars="0"/>
              <w:rPr>
                <w:rFonts w:ascii="仿宋" w:hAnsi="仿宋" w:eastAsia="仿宋"/>
                <w:sz w:val="24"/>
                <w:szCs w:val="24"/>
              </w:rPr>
            </w:pPr>
            <w:r>
              <w:rPr>
                <w:rFonts w:hint="eastAsia" w:ascii="仿宋" w:hAnsi="仿宋" w:eastAsia="仿宋"/>
                <w:sz w:val="24"/>
                <w:szCs w:val="24"/>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trPr>
        <w:tc>
          <w:tcPr>
            <w:tcW w:w="824" w:type="dxa"/>
            <w:vAlign w:val="center"/>
          </w:tcPr>
          <w:p>
            <w:pPr>
              <w:spacing w:line="420" w:lineRule="exact"/>
              <w:ind w:firstLine="120" w:firstLineChars="50"/>
              <w:rPr>
                <w:rFonts w:ascii="仿宋" w:hAnsi="仿宋" w:eastAsia="仿宋"/>
                <w:sz w:val="24"/>
                <w:szCs w:val="24"/>
              </w:rPr>
            </w:pPr>
            <w:r>
              <w:rPr>
                <w:rFonts w:hint="eastAsia" w:ascii="仿宋" w:hAnsi="仿宋" w:eastAsia="仿宋"/>
                <w:sz w:val="24"/>
                <w:szCs w:val="24"/>
              </w:rPr>
              <w:t>16</w:t>
            </w:r>
          </w:p>
        </w:tc>
        <w:tc>
          <w:tcPr>
            <w:tcW w:w="8820" w:type="dxa"/>
            <w:vAlign w:val="center"/>
          </w:tcPr>
          <w:p>
            <w:pPr>
              <w:jc w:val="left"/>
              <w:rPr>
                <w:rFonts w:ascii="仿宋" w:hAnsi="仿宋" w:eastAsia="仿宋"/>
                <w:sz w:val="24"/>
                <w:szCs w:val="24"/>
              </w:rPr>
            </w:pPr>
            <w:r>
              <w:rPr>
                <w:rFonts w:hint="eastAsia" w:ascii="仿宋" w:hAnsi="仿宋" w:eastAsia="仿宋"/>
                <w:sz w:val="24"/>
                <w:szCs w:val="24"/>
              </w:rPr>
              <w:t>交货期：</w:t>
            </w:r>
            <w:r>
              <w:rPr>
                <w:rFonts w:hint="eastAsia" w:ascii="仿宋" w:hAnsi="仿宋" w:eastAsia="仿宋"/>
                <w:sz w:val="24"/>
                <w:szCs w:val="24"/>
                <w:lang w:val="en-US" w:eastAsia="zh-CN"/>
              </w:rPr>
              <w:t>90</w:t>
            </w:r>
            <w:r>
              <w:rPr>
                <w:rFonts w:hint="eastAsia" w:ascii="仿宋" w:hAnsi="仿宋" w:eastAsia="仿宋"/>
                <w:sz w:val="24"/>
                <w:szCs w:val="24"/>
              </w:rPr>
              <w:t>天</w:t>
            </w:r>
          </w:p>
          <w:p>
            <w:pPr>
              <w:jc w:val="left"/>
              <w:rPr>
                <w:rFonts w:ascii="仿宋" w:hAnsi="仿宋" w:eastAsia="仿宋"/>
                <w:b/>
                <w:spacing w:val="-10"/>
                <w:sz w:val="24"/>
                <w:szCs w:val="24"/>
              </w:rPr>
            </w:pPr>
            <w:r>
              <w:rPr>
                <w:rFonts w:hint="eastAsia" w:ascii="仿宋" w:hAnsi="仿宋" w:eastAsia="仿宋"/>
                <w:b/>
                <w:bCs/>
                <w:sz w:val="24"/>
                <w:szCs w:val="24"/>
              </w:rPr>
              <w:t>如不满足此项要求，将视为重大偏离。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trPr>
        <w:tc>
          <w:tcPr>
            <w:tcW w:w="824" w:type="dxa"/>
            <w:vAlign w:val="center"/>
          </w:tcPr>
          <w:p>
            <w:pPr>
              <w:spacing w:line="420" w:lineRule="exact"/>
              <w:ind w:firstLine="120" w:firstLineChars="50"/>
              <w:rPr>
                <w:rFonts w:ascii="仿宋" w:hAnsi="仿宋" w:eastAsia="仿宋"/>
                <w:sz w:val="24"/>
                <w:szCs w:val="24"/>
              </w:rPr>
            </w:pPr>
            <w:r>
              <w:rPr>
                <w:rFonts w:hint="eastAsia" w:ascii="仿宋" w:hAnsi="仿宋" w:eastAsia="仿宋"/>
                <w:sz w:val="24"/>
                <w:szCs w:val="24"/>
              </w:rPr>
              <w:t>17</w:t>
            </w:r>
          </w:p>
        </w:tc>
        <w:tc>
          <w:tcPr>
            <w:tcW w:w="8820" w:type="dxa"/>
            <w:vAlign w:val="center"/>
          </w:tcPr>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付款方式：合同签订后支付30%，设备到现场付50%，安装调试完成验收合格后支付20%。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trPr>
        <w:tc>
          <w:tcPr>
            <w:tcW w:w="824" w:type="dxa"/>
            <w:vAlign w:val="center"/>
          </w:tcPr>
          <w:p>
            <w:pPr>
              <w:spacing w:line="420" w:lineRule="exact"/>
              <w:ind w:firstLine="120" w:firstLineChars="50"/>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8820" w:type="dxa"/>
            <w:vAlign w:val="center"/>
          </w:tcPr>
          <w:p>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履约担保金额为：合同价款的</w:t>
            </w:r>
            <w:r>
              <w:rPr>
                <w:rFonts w:hint="eastAsia" w:ascii="仿宋" w:hAnsi="仿宋" w:eastAsia="仿宋" w:cs="Times New Roman"/>
                <w:kern w:val="2"/>
                <w:sz w:val="24"/>
                <w:szCs w:val="24"/>
                <w:u w:val="single"/>
                <w:lang w:val="en-US" w:eastAsia="zh-CN" w:bidi="ar-SA"/>
              </w:rPr>
              <w:t xml:space="preserve"> 10% </w:t>
            </w:r>
            <w:r>
              <w:rPr>
                <w:rFonts w:hint="eastAsia" w:ascii="仿宋" w:hAnsi="仿宋" w:eastAsia="仿宋" w:cs="Times New Roman"/>
                <w:kern w:val="2"/>
                <w:sz w:val="24"/>
                <w:szCs w:val="24"/>
                <w:lang w:val="en-US" w:eastAsia="zh-CN" w:bidi="ar-SA"/>
              </w:rPr>
              <w:t>；</w:t>
            </w:r>
          </w:p>
          <w:p>
            <w:pPr>
              <w:pStyle w:val="64"/>
              <w:keepNext w:val="0"/>
              <w:keepLines w:val="0"/>
              <w:pageBreakBefore w:val="0"/>
              <w:widowControl w:val="0"/>
              <w:kinsoku/>
              <w:wordWrap/>
              <w:overflowPunct/>
              <w:topLinePunct w:val="0"/>
              <w:bidi w:val="0"/>
              <w:snapToGrid/>
              <w:spacing w:line="400" w:lineRule="exact"/>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履约保证金形式：以支票、汇票、本票或者金融机构、担保机构出具的保函等非现金形式缴纳至采购人。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vAlign w:val="center"/>
          </w:tcPr>
          <w:p>
            <w:pPr>
              <w:spacing w:line="420" w:lineRule="exact"/>
              <w:ind w:firstLine="120" w:firstLineChars="50"/>
              <w:rPr>
                <w:rFonts w:hint="eastAsia" w:ascii="仿宋" w:hAnsi="仿宋" w:eastAsia="仿宋"/>
                <w:sz w:val="24"/>
                <w:szCs w:val="24"/>
                <w:lang w:eastAsia="zh-CN"/>
              </w:rPr>
            </w:pPr>
            <w:r>
              <w:rPr>
                <w:rFonts w:hint="eastAsia" w:ascii="仿宋" w:hAnsi="仿宋" w:eastAsia="仿宋"/>
                <w:sz w:val="24"/>
                <w:szCs w:val="24"/>
              </w:rPr>
              <w:t>1</w:t>
            </w:r>
            <w:r>
              <w:rPr>
                <w:rFonts w:hint="eastAsia" w:ascii="仿宋" w:hAnsi="仿宋" w:eastAsia="仿宋"/>
                <w:sz w:val="24"/>
                <w:szCs w:val="24"/>
                <w:lang w:val="en-US" w:eastAsia="zh-CN"/>
              </w:rPr>
              <w:t>9</w:t>
            </w:r>
          </w:p>
        </w:tc>
        <w:tc>
          <w:tcPr>
            <w:tcW w:w="8820" w:type="dxa"/>
            <w:vAlign w:val="center"/>
          </w:tcPr>
          <w:p>
            <w:pPr>
              <w:pStyle w:val="64"/>
              <w:spacing w:line="420" w:lineRule="exact"/>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质保期：3年（设备参数中另有要求的，以具体要求为准）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vAlign w:val="center"/>
          </w:tcPr>
          <w:p>
            <w:pPr>
              <w:spacing w:line="420" w:lineRule="exact"/>
              <w:ind w:firstLine="120" w:firstLineChars="50"/>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8820" w:type="dxa"/>
            <w:vAlign w:val="center"/>
          </w:tcPr>
          <w:p>
            <w:pPr>
              <w:pStyle w:val="64"/>
              <w:spacing w:line="420" w:lineRule="exact"/>
              <w:jc w:val="both"/>
              <w:rPr>
                <w:rFonts w:ascii="仿宋" w:hAnsi="仿宋" w:eastAsia="仿宋"/>
                <w:color w:val="auto"/>
                <w:szCs w:val="28"/>
              </w:rPr>
            </w:pPr>
            <w:r>
              <w:rPr>
                <w:rFonts w:hint="eastAsia" w:ascii="仿宋" w:hAnsi="仿宋" w:eastAsia="仿宋"/>
                <w:color w:val="auto"/>
                <w:szCs w:val="28"/>
              </w:rPr>
              <w:t>交货地点：</w:t>
            </w:r>
            <w:r>
              <w:rPr>
                <w:rFonts w:hint="eastAsia" w:ascii="仿宋" w:hAnsi="仿宋" w:eastAsia="仿宋"/>
                <w:color w:val="auto"/>
                <w:szCs w:val="28"/>
                <w:lang w:val="en-US" w:eastAsia="zh-CN"/>
              </w:rPr>
              <w:t>托克逊</w:t>
            </w:r>
            <w:r>
              <w:rPr>
                <w:rFonts w:hint="eastAsia" w:ascii="仿宋" w:hAnsi="仿宋" w:eastAsia="仿宋"/>
                <w:color w:val="auto"/>
                <w:szCs w:val="28"/>
              </w:rPr>
              <w:t>县人民医院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824" w:type="dxa"/>
            <w:vAlign w:val="center"/>
          </w:tcPr>
          <w:p>
            <w:pPr>
              <w:spacing w:line="420" w:lineRule="exact"/>
              <w:ind w:firstLine="120" w:firstLineChars="50"/>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1</w:t>
            </w:r>
          </w:p>
        </w:tc>
        <w:tc>
          <w:tcPr>
            <w:tcW w:w="8820" w:type="dxa"/>
            <w:vAlign w:val="center"/>
          </w:tcPr>
          <w:p>
            <w:pPr>
              <w:pStyle w:val="64"/>
              <w:snapToGrid w:val="0"/>
              <w:spacing w:line="360" w:lineRule="auto"/>
              <w:rPr>
                <w:rFonts w:ascii="仿宋" w:hAnsi="仿宋" w:eastAsia="仿宋"/>
                <w:snapToGrid w:val="0"/>
                <w:color w:val="auto"/>
                <w:szCs w:val="24"/>
              </w:rPr>
            </w:pPr>
            <w:r>
              <w:rPr>
                <w:rFonts w:hint="eastAsia" w:ascii="仿宋" w:hAnsi="仿宋" w:eastAsia="仿宋"/>
                <w:snapToGrid w:val="0"/>
                <w:color w:val="auto"/>
                <w:szCs w:val="24"/>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pPr>
              <w:pStyle w:val="64"/>
              <w:snapToGrid w:val="0"/>
              <w:spacing w:line="360" w:lineRule="auto"/>
              <w:rPr>
                <w:rFonts w:ascii="仿宋" w:hAnsi="仿宋" w:eastAsia="仿宋"/>
                <w:snapToGrid w:val="0"/>
                <w:color w:val="auto"/>
                <w:szCs w:val="24"/>
              </w:rPr>
            </w:pPr>
            <w:r>
              <w:rPr>
                <w:rFonts w:hint="eastAsia" w:ascii="仿宋" w:hAnsi="仿宋" w:eastAsia="仿宋"/>
                <w:snapToGrid w:val="0"/>
                <w:color w:val="auto"/>
                <w:szCs w:val="24"/>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供应商须按照招标文件格式要求在《环境标志产品明细表》、《节能标志产品明细表》中列明并附证书，否则，不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824" w:type="dxa"/>
            <w:vAlign w:val="center"/>
          </w:tcPr>
          <w:p>
            <w:pPr>
              <w:spacing w:line="420" w:lineRule="exact"/>
              <w:ind w:firstLine="120" w:firstLineChars="50"/>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2</w:t>
            </w:r>
          </w:p>
        </w:tc>
        <w:tc>
          <w:tcPr>
            <w:tcW w:w="8820" w:type="dxa"/>
            <w:vAlign w:val="center"/>
          </w:tcPr>
          <w:p>
            <w:pPr>
              <w:pStyle w:val="64"/>
              <w:snapToGrid w:val="0"/>
              <w:spacing w:line="360" w:lineRule="auto"/>
              <w:rPr>
                <w:rFonts w:ascii="仿宋" w:hAnsi="仿宋" w:eastAsia="仿宋"/>
                <w:b/>
                <w:snapToGrid w:val="0"/>
                <w:color w:val="auto"/>
                <w:szCs w:val="24"/>
              </w:rPr>
            </w:pPr>
            <w:r>
              <w:rPr>
                <w:rFonts w:hint="eastAsia" w:ascii="仿宋" w:hAnsi="仿宋" w:eastAsia="仿宋"/>
                <w:b/>
                <w:snapToGrid w:val="0"/>
                <w:color w:val="auto"/>
                <w:szCs w:val="24"/>
              </w:rPr>
              <w:t>中小企业政策：</w:t>
            </w:r>
          </w:p>
          <w:p>
            <w:pPr>
              <w:pStyle w:val="64"/>
              <w:snapToGrid w:val="0"/>
              <w:spacing w:line="360" w:lineRule="auto"/>
              <w:rPr>
                <w:rFonts w:ascii="仿宋" w:hAnsi="仿宋" w:eastAsia="仿宋"/>
                <w:b/>
                <w:snapToGrid w:val="0"/>
                <w:color w:val="auto"/>
                <w:szCs w:val="24"/>
              </w:rPr>
            </w:pPr>
            <w:r>
              <w:rPr>
                <w:rFonts w:hint="eastAsia" w:ascii="仿宋" w:hAnsi="仿宋" w:eastAsia="仿宋"/>
                <w:b/>
                <w:snapToGrid w:val="0"/>
                <w:color w:val="auto"/>
                <w:szCs w:val="24"/>
              </w:rPr>
              <w:t>本项目不专门面向中小企业预留采购份额。</w:t>
            </w:r>
          </w:p>
          <w:p>
            <w:pPr>
              <w:pStyle w:val="64"/>
              <w:snapToGrid w:val="0"/>
              <w:spacing w:line="360" w:lineRule="auto"/>
              <w:rPr>
                <w:rFonts w:ascii="仿宋" w:hAnsi="仿宋" w:eastAsia="仿宋"/>
                <w:snapToGrid w:val="0"/>
                <w:color w:val="auto"/>
                <w:szCs w:val="24"/>
              </w:rPr>
            </w:pPr>
            <w:r>
              <w:rPr>
                <w:rFonts w:hint="eastAsia" w:ascii="仿宋" w:hAnsi="仿宋" w:eastAsia="仿宋"/>
                <w:snapToGrid w:val="0"/>
                <w:color w:val="auto"/>
                <w:szCs w:val="24"/>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工业（制造业），符合以下条件的中小微型企业应按照采购文件格式要求提供《中小企业声明函》。</w:t>
            </w:r>
          </w:p>
          <w:p>
            <w:pPr>
              <w:pStyle w:val="64"/>
              <w:snapToGrid w:val="0"/>
              <w:spacing w:line="360" w:lineRule="auto"/>
              <w:rPr>
                <w:rFonts w:ascii="仿宋" w:hAnsi="仿宋" w:eastAsia="仿宋"/>
                <w:snapToGrid w:val="0"/>
                <w:color w:val="auto"/>
                <w:szCs w:val="24"/>
              </w:rPr>
            </w:pPr>
            <w:r>
              <w:rPr>
                <w:rFonts w:hint="eastAsia" w:ascii="仿宋" w:hAnsi="仿宋" w:eastAsia="仿宋"/>
                <w:snapToGrid w:val="0"/>
                <w:color w:val="auto"/>
                <w:szCs w:val="24"/>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4"/>
              <w:snapToGrid w:val="0"/>
              <w:spacing w:line="360" w:lineRule="auto"/>
              <w:rPr>
                <w:rFonts w:ascii="仿宋" w:hAnsi="仿宋" w:eastAsia="仿宋"/>
                <w:snapToGrid w:val="0"/>
                <w:color w:val="auto"/>
                <w:szCs w:val="24"/>
              </w:rPr>
            </w:pPr>
            <w:r>
              <w:rPr>
                <w:rFonts w:hint="eastAsia" w:ascii="仿宋" w:hAnsi="仿宋" w:eastAsia="仿宋"/>
                <w:snapToGrid w:val="0"/>
                <w:color w:val="auto"/>
                <w:szCs w:val="24"/>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pPr>
              <w:pStyle w:val="64"/>
              <w:snapToGrid w:val="0"/>
              <w:spacing w:line="360" w:lineRule="auto"/>
              <w:rPr>
                <w:rFonts w:ascii="仿宋" w:hAnsi="仿宋" w:eastAsia="仿宋"/>
                <w:snapToGrid w:val="0"/>
                <w:color w:val="auto"/>
                <w:szCs w:val="24"/>
              </w:rPr>
            </w:pPr>
            <w:r>
              <w:rPr>
                <w:rFonts w:hint="eastAsia" w:ascii="仿宋" w:hAnsi="仿宋" w:eastAsia="仿宋"/>
                <w:snapToGrid w:val="0"/>
                <w:color w:val="auto"/>
                <w:szCs w:val="24"/>
              </w:rPr>
              <w:t>（3）根据上述文件规定，对满足上述（1）（2）两项条件的小微企业的投标总报价给予10%的扣除，用扣除后的价格参与评审。</w:t>
            </w:r>
          </w:p>
          <w:p>
            <w:pPr>
              <w:pStyle w:val="64"/>
              <w:snapToGrid w:val="0"/>
              <w:spacing w:line="360" w:lineRule="auto"/>
              <w:jc w:val="both"/>
              <w:rPr>
                <w:rFonts w:ascii="仿宋" w:hAnsi="仿宋" w:eastAsia="仿宋"/>
                <w:snapToGrid w:val="0"/>
                <w:color w:val="auto"/>
                <w:szCs w:val="24"/>
              </w:rPr>
            </w:pPr>
            <w:r>
              <w:rPr>
                <w:rFonts w:hint="eastAsia" w:ascii="仿宋" w:hAnsi="仿宋" w:eastAsia="仿宋"/>
                <w:snapToGrid w:val="0"/>
                <w:color w:val="auto"/>
                <w:szCs w:val="24"/>
              </w:rPr>
              <w:t>（4）依据本办法规定享受扶持政策获得政府采购合同的，小微企业不得将合同分包给大中型企业，中型企业不得将合同分包给大型企业。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824" w:type="dxa"/>
            <w:vAlign w:val="center"/>
          </w:tcPr>
          <w:p>
            <w:pPr>
              <w:spacing w:line="420" w:lineRule="exact"/>
              <w:ind w:firstLine="120" w:firstLineChars="50"/>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3</w:t>
            </w:r>
          </w:p>
        </w:tc>
        <w:tc>
          <w:tcPr>
            <w:tcW w:w="8820" w:type="dxa"/>
            <w:vAlign w:val="center"/>
          </w:tcPr>
          <w:p>
            <w:pPr>
              <w:pStyle w:val="64"/>
              <w:spacing w:line="420" w:lineRule="exact"/>
              <w:jc w:val="both"/>
              <w:rPr>
                <w:rFonts w:ascii="仿宋" w:hAnsi="仿宋" w:eastAsia="仿宋"/>
                <w:color w:val="auto"/>
                <w:szCs w:val="24"/>
              </w:rPr>
            </w:pPr>
            <w:r>
              <w:rPr>
                <w:rFonts w:hint="eastAsia" w:ascii="仿宋" w:hAnsi="仿宋" w:eastAsia="仿宋"/>
                <w:color w:val="auto"/>
                <w:szCs w:val="24"/>
              </w:rPr>
              <w:t>供应商须仔细阅读本招标文件的所有条款。如果在商务、技术等方面有偏离，供应商须在投标文件“商务偏离表”、“技术规格偏离表”中一一列出。另外，供应商应对字体置黑的条款、注有 “投标无效”字样的条款、以及加注“*”号的条款引起重视，如不满足此类条款的规定，其后果由供应商自行承担。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5" w:hRule="atLeast"/>
        </w:trPr>
        <w:tc>
          <w:tcPr>
            <w:tcW w:w="824" w:type="dxa"/>
            <w:vAlign w:val="center"/>
          </w:tcPr>
          <w:p>
            <w:pPr>
              <w:spacing w:line="420" w:lineRule="exact"/>
              <w:ind w:firstLine="120" w:firstLineChars="50"/>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4</w:t>
            </w:r>
          </w:p>
        </w:tc>
        <w:tc>
          <w:tcPr>
            <w:tcW w:w="8820" w:type="dxa"/>
            <w:vAlign w:val="center"/>
          </w:tcPr>
          <w:p>
            <w:pPr>
              <w:pStyle w:val="64"/>
              <w:spacing w:line="420" w:lineRule="exact"/>
              <w:jc w:val="both"/>
              <w:rPr>
                <w:rFonts w:ascii="仿宋" w:hAnsi="仿宋" w:eastAsia="仿宋"/>
                <w:color w:val="auto"/>
                <w:szCs w:val="24"/>
              </w:rPr>
            </w:pPr>
            <w:r>
              <w:rPr>
                <w:rFonts w:hint="eastAsia" w:ascii="仿宋" w:hAnsi="仿宋" w:eastAsia="仿宋"/>
                <w:color w:val="auto"/>
                <w:szCs w:val="24"/>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 w:hRule="atLeast"/>
        </w:trPr>
        <w:tc>
          <w:tcPr>
            <w:tcW w:w="824" w:type="dxa"/>
            <w:vAlign w:val="center"/>
          </w:tcPr>
          <w:p>
            <w:pPr>
              <w:spacing w:line="420" w:lineRule="exact"/>
              <w:ind w:firstLine="120" w:firstLineChars="50"/>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5</w:t>
            </w:r>
          </w:p>
        </w:tc>
        <w:tc>
          <w:tcPr>
            <w:tcW w:w="8820" w:type="dxa"/>
            <w:vAlign w:val="center"/>
          </w:tcPr>
          <w:p>
            <w:pPr>
              <w:pStyle w:val="64"/>
              <w:spacing w:line="420" w:lineRule="exact"/>
              <w:jc w:val="both"/>
              <w:rPr>
                <w:rFonts w:ascii="仿宋" w:hAnsi="仿宋" w:eastAsia="仿宋"/>
                <w:color w:val="auto"/>
                <w:szCs w:val="24"/>
              </w:rPr>
            </w:pPr>
            <w:r>
              <w:rPr>
                <w:rFonts w:hint="eastAsia" w:ascii="仿宋" w:hAnsi="仿宋" w:eastAsia="仿宋"/>
                <w:color w:val="auto"/>
                <w:szCs w:val="24"/>
              </w:rPr>
              <w:t>供应商认为采购文件、采购过程、中标或者成交结果使自己的权益受到损害的，可以在知道或者应知其权益受到损害之日起7个工作日内，以书面形式向采购人、采购代理机构提出质疑。</w:t>
            </w:r>
          </w:p>
        </w:tc>
      </w:tr>
    </w:tbl>
    <w:p>
      <w:pPr>
        <w:pStyle w:val="42"/>
        <w:rPr>
          <w:rFonts w:ascii="仿宋" w:hAnsi="仿宋" w:eastAsia="仿宋" w:cs="宋体"/>
          <w:kern w:val="0"/>
          <w:sz w:val="28"/>
          <w:szCs w:val="28"/>
        </w:rPr>
      </w:pPr>
      <w:r>
        <w:rPr>
          <w:rFonts w:hint="eastAsia" w:ascii="仿宋" w:hAnsi="仿宋" w:eastAsia="仿宋"/>
          <w:sz w:val="31"/>
        </w:rPr>
        <w:br w:type="page"/>
      </w:r>
      <w:bookmarkStart w:id="1" w:name="_Toc114617425"/>
      <w:r>
        <w:rPr>
          <w:rFonts w:hint="eastAsia" w:ascii="仿宋" w:hAnsi="仿宋" w:eastAsia="仿宋"/>
          <w:sz w:val="36"/>
        </w:rPr>
        <w:t xml:space="preserve">第一章  </w:t>
      </w:r>
      <w:r>
        <w:rPr>
          <w:rFonts w:hint="eastAsia" w:ascii="仿宋" w:hAnsi="仿宋" w:eastAsia="仿宋"/>
          <w:sz w:val="36"/>
          <w:szCs w:val="36"/>
        </w:rPr>
        <w:t>招标公告</w:t>
      </w:r>
      <w:bookmarkEnd w:id="1"/>
    </w:p>
    <w:p>
      <w:pPr>
        <w:pStyle w:val="42"/>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ascii="仿宋" w:hAnsi="仿宋" w:eastAsia="仿宋" w:cs="Arial"/>
          <w:sz w:val="32"/>
          <w:szCs w:val="32"/>
        </w:rPr>
      </w:pPr>
      <w:r>
        <w:rPr>
          <w:rFonts w:hint="eastAsia" w:ascii="仿宋" w:hAnsi="仿宋" w:eastAsia="仿宋"/>
          <w:sz w:val="32"/>
          <w:szCs w:val="32"/>
        </w:rPr>
        <w:t>吐鲁番市托克逊县人民医院综合业务用房二期建设项目采购特殊科室、附属设施施工及设备</w:t>
      </w:r>
      <w:r>
        <w:rPr>
          <w:rFonts w:hint="eastAsia" w:ascii="仿宋" w:hAnsi="仿宋" w:eastAsia="仿宋"/>
          <w:sz w:val="32"/>
          <w:szCs w:val="32"/>
          <w:lang w:eastAsia="zh-CN"/>
        </w:rPr>
        <w:t>（</w:t>
      </w:r>
      <w:r>
        <w:rPr>
          <w:rFonts w:hint="eastAsia" w:ascii="仿宋" w:hAnsi="仿宋" w:eastAsia="仿宋"/>
          <w:sz w:val="32"/>
          <w:szCs w:val="32"/>
          <w:lang w:val="en-US" w:eastAsia="zh-CN"/>
        </w:rPr>
        <w:t>二次</w:t>
      </w:r>
      <w:r>
        <w:rPr>
          <w:rFonts w:hint="eastAsia" w:ascii="仿宋" w:hAnsi="仿宋" w:eastAsia="仿宋"/>
          <w:sz w:val="32"/>
          <w:szCs w:val="32"/>
          <w:lang w:eastAsia="zh-CN"/>
        </w:rPr>
        <w:t>）</w:t>
      </w:r>
      <w:r>
        <w:rPr>
          <w:rFonts w:hint="eastAsia" w:ascii="仿宋" w:hAnsi="仿宋" w:eastAsia="仿宋"/>
          <w:sz w:val="32"/>
          <w:szCs w:val="32"/>
          <w:lang w:val="en-US" w:eastAsia="zh-CN"/>
        </w:rPr>
        <w:t>公开</w:t>
      </w:r>
      <w:r>
        <w:rPr>
          <w:rFonts w:hint="eastAsia" w:ascii="仿宋" w:hAnsi="仿宋" w:eastAsia="仿宋"/>
          <w:sz w:val="32"/>
          <w:szCs w:val="32"/>
        </w:rPr>
        <w:t>招标公告</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pStyle w:val="64"/>
              <w:keepNext w:val="0"/>
              <w:keepLines w:val="0"/>
              <w:pageBreakBefore w:val="0"/>
              <w:widowControl w:val="0"/>
              <w:kinsoku/>
              <w:wordWrap/>
              <w:overflowPunct/>
              <w:topLinePunct w:val="0"/>
              <w:bidi w:val="0"/>
              <w:snapToGrid/>
              <w:spacing w:line="400" w:lineRule="exact"/>
              <w:jc w:val="both"/>
              <w:textAlignment w:val="auto"/>
              <w:rPr>
                <w:rFonts w:ascii="仿宋" w:hAnsi="仿宋" w:eastAsia="仿宋"/>
                <w:color w:val="auto"/>
                <w:sz w:val="28"/>
              </w:rPr>
            </w:pPr>
            <w:r>
              <w:rPr>
                <w:rFonts w:ascii="仿宋" w:hAnsi="仿宋" w:eastAsia="仿宋"/>
                <w:color w:val="auto"/>
                <w:sz w:val="28"/>
              </w:rPr>
              <w:t>项目概况</w:t>
            </w:r>
          </w:p>
          <w:p>
            <w:pPr>
              <w:pStyle w:val="64"/>
              <w:keepNext w:val="0"/>
              <w:keepLines w:val="0"/>
              <w:pageBreakBefore w:val="0"/>
              <w:widowControl w:val="0"/>
              <w:kinsoku/>
              <w:wordWrap/>
              <w:overflowPunct/>
              <w:topLinePunct w:val="0"/>
              <w:bidi w:val="0"/>
              <w:snapToGrid/>
              <w:spacing w:line="400" w:lineRule="exact"/>
              <w:ind w:firstLine="560"/>
              <w:jc w:val="both"/>
              <w:textAlignment w:val="auto"/>
              <w:rPr>
                <w:rFonts w:ascii="仿宋" w:hAnsi="仿宋" w:eastAsia="仿宋"/>
                <w:color w:val="auto"/>
                <w:sz w:val="28"/>
              </w:rPr>
            </w:pPr>
            <w:r>
              <w:rPr>
                <w:rFonts w:hint="eastAsia" w:ascii="仿宋" w:hAnsi="仿宋" w:eastAsia="仿宋"/>
                <w:color w:val="auto"/>
                <w:sz w:val="28"/>
              </w:rPr>
              <w:t>吐鲁番市托克逊县人民医院综合业务用房二期建设项目采购特殊科室、附属设施施工及设备</w:t>
            </w:r>
            <w:r>
              <w:rPr>
                <w:rFonts w:hint="eastAsia" w:ascii="仿宋" w:hAnsi="仿宋" w:eastAsia="仿宋"/>
                <w:sz w:val="32"/>
                <w:szCs w:val="32"/>
                <w:lang w:eastAsia="zh-CN"/>
              </w:rPr>
              <w:t>（</w:t>
            </w:r>
            <w:r>
              <w:rPr>
                <w:rFonts w:hint="eastAsia" w:ascii="仿宋" w:hAnsi="仿宋" w:eastAsia="仿宋"/>
                <w:sz w:val="32"/>
                <w:szCs w:val="32"/>
                <w:lang w:val="en-US" w:eastAsia="zh-CN"/>
              </w:rPr>
              <w:t>二次</w:t>
            </w:r>
            <w:r>
              <w:rPr>
                <w:rFonts w:hint="eastAsia" w:ascii="仿宋" w:hAnsi="仿宋" w:eastAsia="仿宋"/>
                <w:sz w:val="32"/>
                <w:szCs w:val="32"/>
                <w:lang w:eastAsia="zh-CN"/>
              </w:rPr>
              <w:t>）</w:t>
            </w:r>
            <w:r>
              <w:rPr>
                <w:rFonts w:ascii="仿宋" w:hAnsi="仿宋" w:eastAsia="仿宋"/>
                <w:color w:val="auto"/>
                <w:sz w:val="28"/>
              </w:rPr>
              <w:t>招标项目的潜在投标人应在政采云平台https://www.zcygov.cn/获取招标文件，并于202</w:t>
            </w:r>
            <w:r>
              <w:rPr>
                <w:rFonts w:hint="eastAsia" w:ascii="仿宋" w:hAnsi="仿宋" w:eastAsia="仿宋"/>
                <w:color w:val="auto"/>
                <w:sz w:val="28"/>
                <w:lang w:val="en-US" w:eastAsia="zh-CN"/>
              </w:rPr>
              <w:t>3</w:t>
            </w:r>
            <w:r>
              <w:rPr>
                <w:rFonts w:ascii="仿宋" w:hAnsi="仿宋" w:eastAsia="仿宋"/>
                <w:color w:val="auto"/>
                <w:sz w:val="28"/>
              </w:rPr>
              <w:t>年</w:t>
            </w:r>
            <w:r>
              <w:rPr>
                <w:rFonts w:hint="eastAsia" w:ascii="仿宋" w:hAnsi="仿宋" w:eastAsia="仿宋"/>
                <w:color w:val="auto"/>
                <w:sz w:val="28"/>
                <w:lang w:val="en-US" w:eastAsia="zh-CN"/>
              </w:rPr>
              <w:t>5</w:t>
            </w:r>
            <w:r>
              <w:rPr>
                <w:rFonts w:ascii="仿宋" w:hAnsi="仿宋" w:eastAsia="仿宋"/>
                <w:color w:val="auto"/>
                <w:sz w:val="28"/>
              </w:rPr>
              <w:t>月</w:t>
            </w:r>
            <w:r>
              <w:rPr>
                <w:rFonts w:hint="eastAsia" w:ascii="仿宋" w:hAnsi="仿宋" w:eastAsia="仿宋"/>
                <w:color w:val="auto"/>
                <w:sz w:val="28"/>
                <w:lang w:val="en-US" w:eastAsia="zh-CN"/>
              </w:rPr>
              <w:t>3</w:t>
            </w:r>
            <w:r>
              <w:rPr>
                <w:rFonts w:ascii="仿宋" w:hAnsi="仿宋" w:eastAsia="仿宋"/>
                <w:color w:val="auto"/>
                <w:sz w:val="28"/>
              </w:rPr>
              <w:t>日</w:t>
            </w:r>
            <w:r>
              <w:rPr>
                <w:rFonts w:hint="eastAsia" w:ascii="仿宋" w:hAnsi="仿宋" w:eastAsia="仿宋"/>
                <w:color w:val="auto"/>
                <w:sz w:val="28"/>
                <w:lang w:val="en-US" w:eastAsia="zh-CN"/>
              </w:rPr>
              <w:t>16</w:t>
            </w:r>
            <w:r>
              <w:rPr>
                <w:rFonts w:ascii="仿宋" w:hAnsi="仿宋" w:eastAsia="仿宋"/>
                <w:color w:val="auto"/>
                <w:sz w:val="28"/>
              </w:rPr>
              <w:t>:</w:t>
            </w:r>
            <w:r>
              <w:rPr>
                <w:rFonts w:hint="eastAsia" w:ascii="仿宋" w:hAnsi="仿宋" w:eastAsia="仿宋"/>
                <w:color w:val="auto"/>
                <w:sz w:val="28"/>
                <w:lang w:val="en-US" w:eastAsia="zh-CN"/>
              </w:rPr>
              <w:t>0</w:t>
            </w:r>
            <w:r>
              <w:rPr>
                <w:rFonts w:ascii="仿宋" w:hAnsi="仿宋" w:eastAsia="仿宋"/>
                <w:color w:val="auto"/>
                <w:sz w:val="28"/>
              </w:rPr>
              <w:t>0（北京时间）前递交投标文件。</w:t>
            </w:r>
          </w:p>
        </w:tc>
      </w:tr>
    </w:tbl>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b/>
          <w:color w:val="auto"/>
          <w:sz w:val="28"/>
        </w:rPr>
      </w:pPr>
      <w:r>
        <w:rPr>
          <w:rFonts w:hint="eastAsia" w:ascii="仿宋" w:hAnsi="仿宋" w:eastAsia="仿宋"/>
          <w:b/>
          <w:color w:val="auto"/>
          <w:sz w:val="28"/>
        </w:rPr>
        <w:t>一、项目基本情况</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default" w:ascii="仿宋" w:hAnsi="仿宋" w:eastAsia="仿宋"/>
          <w:color w:val="auto"/>
          <w:sz w:val="28"/>
          <w:lang w:val="en-US" w:eastAsia="zh-CN"/>
        </w:rPr>
      </w:pPr>
      <w:r>
        <w:rPr>
          <w:rFonts w:hint="eastAsia" w:ascii="仿宋" w:hAnsi="仿宋" w:eastAsia="仿宋"/>
          <w:color w:val="auto"/>
          <w:sz w:val="28"/>
        </w:rPr>
        <w:t>项目编号：TKXZFCG（GK）XZJ2023-00</w:t>
      </w:r>
      <w:r>
        <w:rPr>
          <w:rFonts w:hint="eastAsia" w:ascii="仿宋" w:hAnsi="仿宋" w:eastAsia="仿宋"/>
          <w:color w:val="auto"/>
          <w:sz w:val="28"/>
          <w:lang w:val="en-US" w:eastAsia="zh-CN"/>
        </w:rPr>
        <w:t>9-1</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项目名称：</w:t>
      </w:r>
      <w:r>
        <w:rPr>
          <w:rFonts w:hint="eastAsia" w:ascii="仿宋" w:hAnsi="仿宋" w:eastAsia="仿宋"/>
          <w:color w:val="auto"/>
          <w:sz w:val="28"/>
        </w:rPr>
        <w:t>吐鲁番市托克逊县人民医院综合业务用房二期建设项目采购特殊科室、附属设施施工及设备（二次）</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采购方式：公开招标</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ascii="仿宋" w:hAnsi="仿宋" w:eastAsia="仿宋"/>
          <w:color w:val="auto"/>
          <w:sz w:val="28"/>
        </w:rPr>
        <w:t>预算金额（元）：</w:t>
      </w:r>
      <w:r>
        <w:rPr>
          <w:rFonts w:hint="eastAsia" w:ascii="仿宋" w:hAnsi="仿宋" w:eastAsia="仿宋"/>
          <w:color w:val="auto"/>
          <w:sz w:val="28"/>
          <w:lang w:val="en-US" w:eastAsia="zh-CN"/>
        </w:rPr>
        <w:t>8090000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hint="eastAsia" w:ascii="仿宋" w:hAnsi="仿宋" w:eastAsia="仿宋"/>
          <w:color w:val="auto"/>
          <w:sz w:val="28"/>
        </w:rPr>
        <w:t>最高限价（元）：</w:t>
      </w:r>
      <w:r>
        <w:rPr>
          <w:rFonts w:hint="eastAsia" w:ascii="仿宋" w:hAnsi="仿宋" w:eastAsia="仿宋"/>
          <w:color w:val="auto"/>
          <w:sz w:val="28"/>
          <w:lang w:val="en-US" w:eastAsia="zh-CN"/>
        </w:rPr>
        <w:t>4700000</w:t>
      </w:r>
      <w:r>
        <w:rPr>
          <w:rFonts w:hint="eastAsia" w:ascii="仿宋" w:hAnsi="仿宋" w:eastAsia="仿宋"/>
          <w:color w:val="auto"/>
          <w:sz w:val="28"/>
          <w:lang w:eastAsia="zh-CN"/>
        </w:rPr>
        <w:t>、</w:t>
      </w:r>
      <w:r>
        <w:rPr>
          <w:rFonts w:hint="eastAsia" w:ascii="仿宋" w:hAnsi="仿宋" w:eastAsia="仿宋"/>
          <w:color w:val="auto"/>
          <w:sz w:val="28"/>
          <w:lang w:val="en-US" w:eastAsia="zh-CN"/>
        </w:rPr>
        <w:t>3390000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采购需求：</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eastAsia="zh-CN"/>
        </w:rPr>
      </w:pPr>
      <w:r>
        <w:rPr>
          <w:rFonts w:ascii="仿宋" w:hAnsi="仿宋" w:eastAsia="仿宋"/>
          <w:color w:val="auto"/>
          <w:sz w:val="28"/>
        </w:rPr>
        <w:t>标项</w:t>
      </w:r>
      <w:r>
        <w:rPr>
          <w:rFonts w:hint="eastAsia" w:ascii="仿宋" w:hAnsi="仿宋" w:eastAsia="仿宋"/>
          <w:color w:val="auto"/>
          <w:sz w:val="28"/>
          <w:lang w:val="en-US" w:eastAsia="zh-CN"/>
        </w:rPr>
        <w:t>一</w:t>
      </w:r>
      <w:r>
        <w:rPr>
          <w:rFonts w:ascii="仿宋" w:hAnsi="仿宋" w:eastAsia="仿宋"/>
          <w:color w:val="auto"/>
          <w:sz w:val="28"/>
        </w:rPr>
        <w:t>名称:第2包</w:t>
      </w:r>
      <w:r>
        <w:rPr>
          <w:rFonts w:hint="eastAsia" w:ascii="仿宋" w:hAnsi="仿宋" w:eastAsia="仿宋"/>
          <w:color w:val="auto"/>
          <w:sz w:val="28"/>
          <w:lang w:eastAsia="zh-CN"/>
        </w:rPr>
        <w:t>：检验流水线</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ascii="仿宋" w:hAnsi="仿宋" w:eastAsia="仿宋"/>
          <w:color w:val="auto"/>
          <w:sz w:val="28"/>
        </w:rPr>
        <w:t>数量:</w:t>
      </w:r>
      <w:r>
        <w:rPr>
          <w:rFonts w:hint="eastAsia" w:ascii="仿宋" w:hAnsi="仿宋" w:eastAsia="仿宋"/>
          <w:color w:val="auto"/>
          <w:sz w:val="28"/>
          <w:lang w:val="en-US" w:eastAsia="zh-CN"/>
        </w:rPr>
        <w:t>1批</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ascii="仿宋" w:hAnsi="仿宋" w:eastAsia="仿宋"/>
          <w:color w:val="auto"/>
          <w:sz w:val="28"/>
        </w:rPr>
        <w:t>预算金额（元）:</w:t>
      </w:r>
      <w:r>
        <w:rPr>
          <w:rFonts w:hint="eastAsia" w:ascii="仿宋" w:hAnsi="仿宋" w:eastAsia="仿宋"/>
          <w:color w:val="auto"/>
          <w:sz w:val="28"/>
          <w:lang w:val="en-US" w:eastAsia="zh-CN"/>
        </w:rPr>
        <w:t>4700000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简要规格描述或项目基本概况介绍、用途：</w:t>
      </w:r>
      <w:r>
        <w:rPr>
          <w:rFonts w:hint="eastAsia" w:ascii="仿宋" w:hAnsi="仿宋" w:eastAsia="仿宋"/>
          <w:color w:val="auto"/>
          <w:sz w:val="28"/>
        </w:rPr>
        <w:t>详见招标文件</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hint="eastAsia" w:ascii="仿宋" w:hAnsi="仿宋" w:eastAsia="仿宋"/>
          <w:color w:val="auto"/>
          <w:sz w:val="28"/>
        </w:rPr>
        <w:t>标项</w:t>
      </w:r>
      <w:r>
        <w:rPr>
          <w:rFonts w:hint="eastAsia" w:ascii="仿宋" w:hAnsi="仿宋" w:eastAsia="仿宋"/>
          <w:color w:val="auto"/>
          <w:sz w:val="28"/>
          <w:lang w:val="en-US" w:eastAsia="zh-CN"/>
        </w:rPr>
        <w:t>二</w:t>
      </w:r>
      <w:r>
        <w:rPr>
          <w:rFonts w:hint="eastAsia" w:ascii="仿宋" w:hAnsi="仿宋" w:eastAsia="仿宋"/>
          <w:color w:val="auto"/>
          <w:sz w:val="28"/>
        </w:rPr>
        <w:t>名称:</w:t>
      </w:r>
      <w:r>
        <w:rPr>
          <w:rFonts w:ascii="仿宋" w:hAnsi="仿宋" w:eastAsia="仿宋"/>
          <w:color w:val="auto"/>
          <w:sz w:val="28"/>
        </w:rPr>
        <w:t>第</w:t>
      </w:r>
      <w:r>
        <w:rPr>
          <w:rFonts w:hint="eastAsia" w:ascii="仿宋" w:hAnsi="仿宋" w:eastAsia="仿宋"/>
          <w:color w:val="auto"/>
          <w:sz w:val="28"/>
          <w:lang w:val="en-US" w:eastAsia="zh-CN"/>
        </w:rPr>
        <w:t>7</w:t>
      </w:r>
      <w:r>
        <w:rPr>
          <w:rFonts w:ascii="仿宋" w:hAnsi="仿宋" w:eastAsia="仿宋"/>
          <w:color w:val="auto"/>
          <w:sz w:val="28"/>
        </w:rPr>
        <w:t>包</w:t>
      </w:r>
      <w:r>
        <w:rPr>
          <w:rFonts w:hint="eastAsia" w:ascii="仿宋" w:hAnsi="仿宋" w:eastAsia="仿宋"/>
          <w:color w:val="auto"/>
          <w:sz w:val="28"/>
          <w:lang w:eastAsia="zh-CN"/>
        </w:rPr>
        <w:t>：</w:t>
      </w:r>
      <w:r>
        <w:rPr>
          <w:rFonts w:hint="eastAsia" w:ascii="仿宋" w:hAnsi="仿宋" w:eastAsia="仿宋"/>
          <w:color w:val="auto"/>
          <w:sz w:val="28"/>
          <w:lang w:val="en-US" w:eastAsia="zh-CN"/>
        </w:rPr>
        <w:t>云桌面系统（300点位）、移动护理系统</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数量:1批</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hint="eastAsia" w:ascii="仿宋" w:hAnsi="仿宋" w:eastAsia="仿宋"/>
          <w:color w:val="auto"/>
          <w:sz w:val="28"/>
        </w:rPr>
        <w:t>预算金额（元）:</w:t>
      </w:r>
      <w:r>
        <w:rPr>
          <w:rFonts w:hint="eastAsia" w:ascii="仿宋" w:hAnsi="仿宋" w:eastAsia="仿宋"/>
          <w:color w:val="auto"/>
          <w:sz w:val="28"/>
          <w:lang w:val="en-US" w:eastAsia="zh-CN"/>
        </w:rPr>
        <w:t xml:space="preserve"> 3390000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简要规格描述或项目基本概况介绍、用途：详见招标文件</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备注：</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合同履约期限：标项 1、2，交货期：90天</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b/>
          <w:color w:val="auto"/>
          <w:sz w:val="28"/>
        </w:rPr>
      </w:pPr>
      <w:r>
        <w:rPr>
          <w:rFonts w:hint="eastAsia" w:ascii="仿宋" w:hAnsi="仿宋" w:eastAsia="仿宋"/>
          <w:b/>
          <w:color w:val="auto"/>
          <w:sz w:val="28"/>
        </w:rPr>
        <w:t>二、申请人的资格要求：</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1.满足《中华人民共和国政府采购法》第二十二条规定；</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2.落实政府采购政策需满足的资格要求：无</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3.本项目的特定资格要求：</w:t>
      </w:r>
    </w:p>
    <w:p>
      <w:pPr>
        <w:pStyle w:val="64"/>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left="-140" w:leftChars="0" w:firstLine="560" w:firstLineChars="0"/>
        <w:textAlignment w:val="auto"/>
        <w:rPr>
          <w:rFonts w:ascii="仿宋" w:hAnsi="仿宋" w:eastAsia="仿宋"/>
          <w:color w:val="auto"/>
          <w:sz w:val="28"/>
        </w:rPr>
      </w:pPr>
      <w:r>
        <w:rPr>
          <w:rFonts w:hint="eastAsia" w:ascii="仿宋" w:hAnsi="仿宋" w:eastAsia="仿宋"/>
          <w:color w:val="auto"/>
          <w:sz w:val="28"/>
        </w:rPr>
        <w:t>标项1</w:t>
      </w:r>
      <w:r>
        <w:rPr>
          <w:rFonts w:ascii="仿宋" w:hAnsi="仿宋" w:eastAsia="仿宋" w:cs="仿宋"/>
          <w:i w:val="0"/>
          <w:iCs w:val="0"/>
          <w:caps w:val="0"/>
          <w:color w:val="000000"/>
          <w:spacing w:val="0"/>
          <w:sz w:val="27"/>
          <w:szCs w:val="27"/>
        </w:rPr>
        <w:t>所投产品属于第二类医疗器械的，提供有效的行政主管部门颁发的医疗器械经营备案凭证（或医疗器械生产许可证或医疗器械经营许可证或其他医疗器械生产经营许可证明文件）；所投产品属于第三类医疗器械的，提供有效的行政主管部门颁发的医疗器械生产许可证（或医疗器械经营许可证或其他医疗器械生产经营许可证明文件）</w:t>
      </w:r>
      <w:r>
        <w:rPr>
          <w:rFonts w:ascii="仿宋" w:hAnsi="仿宋" w:eastAsia="仿宋"/>
          <w:color w:val="auto"/>
          <w:sz w:val="28"/>
        </w:rPr>
        <w:t>；</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b/>
          <w:color w:val="auto"/>
          <w:sz w:val="28"/>
        </w:rPr>
      </w:pPr>
      <w:r>
        <w:rPr>
          <w:rFonts w:hint="eastAsia" w:ascii="仿宋" w:hAnsi="仿宋" w:eastAsia="仿宋"/>
          <w:b/>
          <w:color w:val="auto"/>
          <w:sz w:val="28"/>
        </w:rPr>
        <w:t>三、获取招标文件</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时间：202</w:t>
      </w:r>
      <w:r>
        <w:rPr>
          <w:rFonts w:hint="eastAsia" w:ascii="仿宋" w:hAnsi="仿宋" w:eastAsia="仿宋"/>
          <w:color w:val="auto"/>
          <w:sz w:val="28"/>
          <w:lang w:val="en-US" w:eastAsia="zh-CN"/>
        </w:rPr>
        <w:t>3</w:t>
      </w:r>
      <w:r>
        <w:rPr>
          <w:rFonts w:ascii="仿宋" w:hAnsi="仿宋" w:eastAsia="仿宋"/>
          <w:color w:val="auto"/>
          <w:sz w:val="28"/>
        </w:rPr>
        <w:t>年</w:t>
      </w:r>
      <w:r>
        <w:rPr>
          <w:rFonts w:hint="eastAsia" w:ascii="仿宋" w:hAnsi="仿宋" w:eastAsia="仿宋"/>
          <w:color w:val="auto"/>
          <w:sz w:val="28"/>
          <w:lang w:val="en-US" w:eastAsia="zh-CN"/>
        </w:rPr>
        <w:t>4</w:t>
      </w:r>
      <w:r>
        <w:rPr>
          <w:rFonts w:ascii="仿宋" w:hAnsi="仿宋" w:eastAsia="仿宋"/>
          <w:color w:val="auto"/>
          <w:sz w:val="28"/>
        </w:rPr>
        <w:t>月</w:t>
      </w:r>
      <w:r>
        <w:rPr>
          <w:rFonts w:hint="eastAsia" w:ascii="仿宋" w:hAnsi="仿宋" w:eastAsia="仿宋"/>
          <w:color w:val="auto"/>
          <w:sz w:val="28"/>
          <w:lang w:val="en-US" w:eastAsia="zh-CN"/>
        </w:rPr>
        <w:t>11</w:t>
      </w:r>
      <w:r>
        <w:rPr>
          <w:rFonts w:ascii="仿宋" w:hAnsi="仿宋" w:eastAsia="仿宋"/>
          <w:color w:val="auto"/>
          <w:sz w:val="28"/>
        </w:rPr>
        <w:t>日至202</w:t>
      </w:r>
      <w:r>
        <w:rPr>
          <w:rFonts w:hint="eastAsia" w:ascii="仿宋" w:hAnsi="仿宋" w:eastAsia="仿宋"/>
          <w:color w:val="auto"/>
          <w:sz w:val="28"/>
          <w:lang w:val="en-US" w:eastAsia="zh-CN"/>
        </w:rPr>
        <w:t>3</w:t>
      </w:r>
      <w:r>
        <w:rPr>
          <w:rFonts w:ascii="仿宋" w:hAnsi="仿宋" w:eastAsia="仿宋"/>
          <w:color w:val="auto"/>
          <w:sz w:val="28"/>
        </w:rPr>
        <w:t>年</w:t>
      </w:r>
      <w:r>
        <w:rPr>
          <w:rFonts w:hint="eastAsia" w:ascii="仿宋" w:hAnsi="仿宋" w:eastAsia="仿宋"/>
          <w:color w:val="auto"/>
          <w:sz w:val="28"/>
          <w:lang w:val="en-US" w:eastAsia="zh-CN"/>
        </w:rPr>
        <w:t>4</w:t>
      </w:r>
      <w:r>
        <w:rPr>
          <w:rFonts w:ascii="仿宋" w:hAnsi="仿宋" w:eastAsia="仿宋"/>
          <w:color w:val="auto"/>
          <w:sz w:val="28"/>
        </w:rPr>
        <w:t>月</w:t>
      </w:r>
      <w:r>
        <w:rPr>
          <w:rFonts w:hint="eastAsia" w:ascii="仿宋" w:hAnsi="仿宋" w:eastAsia="仿宋"/>
          <w:color w:val="auto"/>
          <w:sz w:val="28"/>
          <w:lang w:val="en-US" w:eastAsia="zh-CN"/>
        </w:rPr>
        <w:t>18</w:t>
      </w:r>
      <w:r>
        <w:rPr>
          <w:rFonts w:ascii="仿宋" w:hAnsi="仿宋" w:eastAsia="仿宋"/>
          <w:color w:val="auto"/>
          <w:sz w:val="28"/>
        </w:rPr>
        <w:t>日，每天上午10:00至1</w:t>
      </w:r>
      <w:r>
        <w:rPr>
          <w:rFonts w:hint="eastAsia" w:ascii="仿宋" w:hAnsi="仿宋" w:eastAsia="仿宋"/>
          <w:color w:val="auto"/>
          <w:sz w:val="28"/>
          <w:lang w:val="en-US" w:eastAsia="zh-CN"/>
        </w:rPr>
        <w:t>3</w:t>
      </w:r>
      <w:r>
        <w:rPr>
          <w:rFonts w:ascii="仿宋" w:hAnsi="仿宋" w:eastAsia="仿宋"/>
          <w:color w:val="auto"/>
          <w:sz w:val="28"/>
        </w:rPr>
        <w:t>:</w:t>
      </w:r>
      <w:r>
        <w:rPr>
          <w:rFonts w:hint="eastAsia" w:ascii="仿宋" w:hAnsi="仿宋" w:eastAsia="仿宋"/>
          <w:color w:val="auto"/>
          <w:sz w:val="28"/>
          <w:lang w:val="en-US" w:eastAsia="zh-CN"/>
        </w:rPr>
        <w:t>3</w:t>
      </w:r>
      <w:r>
        <w:rPr>
          <w:rFonts w:ascii="仿宋" w:hAnsi="仿宋" w:eastAsia="仿宋"/>
          <w:color w:val="auto"/>
          <w:sz w:val="28"/>
        </w:rPr>
        <w:t>0，下午1</w:t>
      </w:r>
      <w:r>
        <w:rPr>
          <w:rFonts w:hint="eastAsia" w:ascii="仿宋" w:hAnsi="仿宋" w:eastAsia="仿宋"/>
          <w:color w:val="auto"/>
          <w:sz w:val="28"/>
          <w:lang w:val="en-US" w:eastAsia="zh-CN"/>
        </w:rPr>
        <w:t>5</w:t>
      </w:r>
      <w:r>
        <w:rPr>
          <w:rFonts w:ascii="仿宋" w:hAnsi="仿宋" w:eastAsia="仿宋"/>
          <w:color w:val="auto"/>
          <w:sz w:val="28"/>
        </w:rPr>
        <w:t>:</w:t>
      </w:r>
      <w:r>
        <w:rPr>
          <w:rFonts w:hint="eastAsia" w:ascii="仿宋" w:hAnsi="仿宋" w:eastAsia="仿宋"/>
          <w:color w:val="auto"/>
          <w:sz w:val="28"/>
          <w:lang w:val="en-US" w:eastAsia="zh-CN"/>
        </w:rPr>
        <w:t>3</w:t>
      </w:r>
      <w:r>
        <w:rPr>
          <w:rFonts w:ascii="仿宋" w:hAnsi="仿宋" w:eastAsia="仿宋"/>
          <w:color w:val="auto"/>
          <w:sz w:val="28"/>
        </w:rPr>
        <w:t>0至19:</w:t>
      </w:r>
      <w:r>
        <w:rPr>
          <w:rFonts w:hint="eastAsia" w:ascii="仿宋" w:hAnsi="仿宋" w:eastAsia="仿宋"/>
          <w:color w:val="auto"/>
          <w:sz w:val="28"/>
          <w:lang w:val="en-US" w:eastAsia="zh-CN"/>
        </w:rPr>
        <w:t>3</w:t>
      </w:r>
      <w:r>
        <w:rPr>
          <w:rFonts w:ascii="仿宋" w:hAnsi="仿宋" w:eastAsia="仿宋"/>
          <w:color w:val="auto"/>
          <w:sz w:val="28"/>
        </w:rPr>
        <w:t>0（北京时间，法定节假日除外）</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地点：政采云平台https://www.zcygov.cn/</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方式：供应商登录政采云平台https://www.zcygov.cn/在线申请获取采购文件（进入“项目采购”应用，在获取采购文件菜单中选择项目，申请获取采购文件）</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售价（元）：0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b/>
          <w:color w:val="auto"/>
          <w:sz w:val="28"/>
        </w:rPr>
      </w:pPr>
      <w:r>
        <w:rPr>
          <w:rFonts w:hint="eastAsia" w:ascii="仿宋" w:hAnsi="仿宋" w:eastAsia="仿宋"/>
          <w:b/>
          <w:color w:val="auto"/>
          <w:sz w:val="28"/>
        </w:rPr>
        <w:t>四、提交投标文件截止时间、开标时间和地点</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提交投标文件截止时间：202</w:t>
      </w:r>
      <w:r>
        <w:rPr>
          <w:rFonts w:hint="eastAsia" w:ascii="仿宋" w:hAnsi="仿宋" w:eastAsia="仿宋"/>
          <w:color w:val="auto"/>
          <w:sz w:val="28"/>
          <w:lang w:val="en-US" w:eastAsia="zh-CN"/>
        </w:rPr>
        <w:t>3</w:t>
      </w:r>
      <w:r>
        <w:rPr>
          <w:rFonts w:ascii="仿宋" w:hAnsi="仿宋" w:eastAsia="仿宋"/>
          <w:color w:val="auto"/>
          <w:sz w:val="28"/>
        </w:rPr>
        <w:t>年</w:t>
      </w:r>
      <w:r>
        <w:rPr>
          <w:rFonts w:hint="eastAsia" w:ascii="仿宋" w:hAnsi="仿宋" w:eastAsia="仿宋"/>
          <w:color w:val="auto"/>
          <w:sz w:val="28"/>
          <w:lang w:val="en-US" w:eastAsia="zh-CN"/>
        </w:rPr>
        <w:t>5</w:t>
      </w:r>
      <w:r>
        <w:rPr>
          <w:rFonts w:ascii="仿宋" w:hAnsi="仿宋" w:eastAsia="仿宋"/>
          <w:color w:val="auto"/>
          <w:sz w:val="28"/>
        </w:rPr>
        <w:t>月</w:t>
      </w:r>
      <w:r>
        <w:rPr>
          <w:rFonts w:hint="eastAsia" w:ascii="仿宋" w:hAnsi="仿宋" w:eastAsia="仿宋"/>
          <w:color w:val="auto"/>
          <w:sz w:val="28"/>
          <w:lang w:val="en-US" w:eastAsia="zh-CN"/>
        </w:rPr>
        <w:t>3</w:t>
      </w:r>
      <w:r>
        <w:rPr>
          <w:rFonts w:ascii="仿宋" w:hAnsi="仿宋" w:eastAsia="仿宋"/>
          <w:color w:val="auto"/>
          <w:sz w:val="28"/>
        </w:rPr>
        <w:t>日1</w:t>
      </w:r>
      <w:r>
        <w:rPr>
          <w:rFonts w:hint="eastAsia" w:ascii="仿宋" w:hAnsi="仿宋" w:eastAsia="仿宋"/>
          <w:color w:val="auto"/>
          <w:sz w:val="28"/>
          <w:lang w:val="en-US" w:eastAsia="zh-CN"/>
        </w:rPr>
        <w:t>6</w:t>
      </w:r>
      <w:r>
        <w:rPr>
          <w:rFonts w:ascii="仿宋" w:hAnsi="仿宋" w:eastAsia="仿宋"/>
          <w:color w:val="auto"/>
          <w:sz w:val="28"/>
        </w:rPr>
        <w:t>:</w:t>
      </w:r>
      <w:r>
        <w:rPr>
          <w:rFonts w:hint="eastAsia" w:ascii="仿宋" w:hAnsi="仿宋" w:eastAsia="仿宋"/>
          <w:color w:val="auto"/>
          <w:sz w:val="28"/>
          <w:lang w:val="en-US" w:eastAsia="zh-CN"/>
        </w:rPr>
        <w:t>0</w:t>
      </w:r>
      <w:r>
        <w:rPr>
          <w:rFonts w:ascii="仿宋" w:hAnsi="仿宋" w:eastAsia="仿宋"/>
          <w:color w:val="auto"/>
          <w:sz w:val="28"/>
        </w:rPr>
        <w:t>0（北京时间）</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投标地点：政采云平台https://www.zcygov.cn/</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开标时间：202</w:t>
      </w:r>
      <w:r>
        <w:rPr>
          <w:rFonts w:hint="eastAsia" w:ascii="仿宋" w:hAnsi="仿宋" w:eastAsia="仿宋"/>
          <w:color w:val="auto"/>
          <w:sz w:val="28"/>
          <w:lang w:val="en-US" w:eastAsia="zh-CN"/>
        </w:rPr>
        <w:t>3</w:t>
      </w:r>
      <w:r>
        <w:rPr>
          <w:rFonts w:ascii="仿宋" w:hAnsi="仿宋" w:eastAsia="仿宋"/>
          <w:color w:val="auto"/>
          <w:sz w:val="28"/>
        </w:rPr>
        <w:t>年</w:t>
      </w:r>
      <w:r>
        <w:rPr>
          <w:rFonts w:hint="eastAsia" w:ascii="仿宋" w:hAnsi="仿宋" w:eastAsia="仿宋"/>
          <w:color w:val="auto"/>
          <w:sz w:val="28"/>
          <w:lang w:val="en-US" w:eastAsia="zh-CN"/>
        </w:rPr>
        <w:t>5</w:t>
      </w:r>
      <w:r>
        <w:rPr>
          <w:rFonts w:ascii="仿宋" w:hAnsi="仿宋" w:eastAsia="仿宋"/>
          <w:color w:val="auto"/>
          <w:sz w:val="28"/>
        </w:rPr>
        <w:t>月</w:t>
      </w:r>
      <w:r>
        <w:rPr>
          <w:rFonts w:hint="eastAsia" w:ascii="仿宋" w:hAnsi="仿宋" w:eastAsia="仿宋"/>
          <w:color w:val="auto"/>
          <w:sz w:val="28"/>
          <w:lang w:val="en-US" w:eastAsia="zh-CN"/>
        </w:rPr>
        <w:t>3</w:t>
      </w:r>
      <w:r>
        <w:rPr>
          <w:rFonts w:ascii="仿宋" w:hAnsi="仿宋" w:eastAsia="仿宋"/>
          <w:color w:val="auto"/>
          <w:sz w:val="28"/>
        </w:rPr>
        <w:t>日1</w:t>
      </w:r>
      <w:r>
        <w:rPr>
          <w:rFonts w:hint="eastAsia" w:ascii="仿宋" w:hAnsi="仿宋" w:eastAsia="仿宋"/>
          <w:color w:val="auto"/>
          <w:sz w:val="28"/>
          <w:lang w:val="en-US" w:eastAsia="zh-CN"/>
        </w:rPr>
        <w:t>6</w:t>
      </w:r>
      <w:r>
        <w:rPr>
          <w:rFonts w:ascii="仿宋" w:hAnsi="仿宋" w:eastAsia="仿宋"/>
          <w:color w:val="auto"/>
          <w:sz w:val="28"/>
        </w:rPr>
        <w:t>:</w:t>
      </w:r>
      <w:r>
        <w:rPr>
          <w:rFonts w:hint="eastAsia" w:ascii="仿宋" w:hAnsi="仿宋" w:eastAsia="仿宋"/>
          <w:color w:val="auto"/>
          <w:sz w:val="28"/>
          <w:lang w:val="en-US" w:eastAsia="zh-CN"/>
        </w:rPr>
        <w:t>0</w:t>
      </w:r>
      <w:r>
        <w:rPr>
          <w:rFonts w:ascii="仿宋" w:hAnsi="仿宋" w:eastAsia="仿宋"/>
          <w:color w:val="auto"/>
          <w:sz w:val="28"/>
        </w:rPr>
        <w:t>0（北京时间）</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开标地点：新疆乌鲁木齐市沙依巴克区公园北街162号文苑综合楼七楼会议室（供应商在政采云平台https://www.zcygov.cn/远程参加开标活动）</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b/>
          <w:color w:val="auto"/>
          <w:sz w:val="28"/>
        </w:rPr>
      </w:pPr>
      <w:r>
        <w:rPr>
          <w:rFonts w:hint="eastAsia" w:ascii="仿宋" w:hAnsi="仿宋" w:eastAsia="仿宋"/>
          <w:b/>
          <w:color w:val="auto"/>
          <w:sz w:val="28"/>
        </w:rPr>
        <w:t>五、公告期限</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自本公告发布之日起5个工作日。</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b/>
          <w:color w:val="auto"/>
          <w:sz w:val="28"/>
        </w:rPr>
      </w:pPr>
      <w:r>
        <w:rPr>
          <w:rFonts w:hint="eastAsia" w:ascii="仿宋" w:hAnsi="仿宋" w:eastAsia="仿宋"/>
          <w:b/>
          <w:color w:val="auto"/>
          <w:sz w:val="28"/>
        </w:rPr>
        <w:t>六、其他补充事宜</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1.本项目实行网上投标，采用电子投标文件；</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代理机构不予异常处理，视为供应商自动弃标；</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4.供应商应当在投标截止时间前,将生成的“电子加密投标文件”上传递交至“政府采购云平台”,投标截止时间以后上传递交的投标文件将被“政府采购云平台”拒收；</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rPr>
      </w:pPr>
      <w:r>
        <w:rPr>
          <w:rFonts w:hint="eastAsia" w:ascii="仿宋" w:hAnsi="仿宋" w:eastAsia="仿宋"/>
          <w:color w:val="auto"/>
          <w:sz w:val="28"/>
        </w:rPr>
        <w:t>6</w:t>
      </w:r>
      <w:r>
        <w:rPr>
          <w:rFonts w:hint="eastAsia" w:ascii="仿宋" w:hAnsi="仿宋" w:eastAsia="仿宋"/>
          <w:color w:val="auto"/>
          <w:sz w:val="28"/>
          <w:lang w:val="en-US" w:eastAsia="zh-CN"/>
        </w:rPr>
        <w:t>.</w:t>
      </w:r>
      <w:r>
        <w:rPr>
          <w:rFonts w:hint="eastAsia" w:ascii="仿宋" w:hAnsi="仿宋" w:eastAsia="仿宋"/>
          <w:color w:val="auto"/>
          <w:sz w:val="28"/>
        </w:rPr>
        <w:t>供应商登录政采云平台，在开标时间后30分钟内用“项目采购-开标评标”功能进行解密投标文件。若供应商在规定时间内未按时解密的，视为无效投标。解密与加密投标文件须使用同一个 CA。</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 w:hAnsi="仿宋" w:eastAsia="仿宋"/>
          <w:b/>
          <w:color w:val="auto"/>
          <w:sz w:val="28"/>
        </w:rPr>
      </w:pPr>
      <w:r>
        <w:rPr>
          <w:rFonts w:hint="eastAsia" w:ascii="仿宋" w:hAnsi="仿宋" w:eastAsia="仿宋"/>
          <w:b/>
          <w:color w:val="auto"/>
          <w:sz w:val="28"/>
        </w:rPr>
        <w:t>七、对本次采购提出询问，请按以下方式联系</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1.采购人信息</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default" w:ascii="仿宋" w:hAnsi="仿宋" w:eastAsia="仿宋"/>
          <w:color w:val="auto"/>
          <w:sz w:val="28"/>
          <w:lang w:val="en-US" w:eastAsia="zh-CN"/>
        </w:rPr>
      </w:pPr>
      <w:r>
        <w:rPr>
          <w:rFonts w:ascii="仿宋" w:hAnsi="仿宋" w:eastAsia="仿宋"/>
          <w:color w:val="auto"/>
          <w:sz w:val="28"/>
        </w:rPr>
        <w:t>名 称：</w:t>
      </w:r>
      <w:r>
        <w:rPr>
          <w:rFonts w:hint="eastAsia" w:ascii="仿宋" w:hAnsi="仿宋" w:eastAsia="仿宋"/>
          <w:color w:val="auto"/>
          <w:sz w:val="28"/>
          <w:lang w:val="en-US" w:eastAsia="zh-CN"/>
        </w:rPr>
        <w:t>托克逊县人民医院</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ascii="仿宋" w:hAnsi="仿宋" w:eastAsia="仿宋"/>
          <w:color w:val="auto"/>
          <w:sz w:val="28"/>
        </w:rPr>
        <w:t>地 址：</w:t>
      </w:r>
      <w:r>
        <w:rPr>
          <w:rFonts w:ascii="仿宋" w:hAnsi="仿宋" w:eastAsia="仿宋" w:cs="仿宋"/>
          <w:i w:val="0"/>
          <w:iCs w:val="0"/>
          <w:caps w:val="0"/>
          <w:color w:val="000000"/>
          <w:spacing w:val="0"/>
          <w:sz w:val="27"/>
          <w:szCs w:val="27"/>
        </w:rPr>
        <w:t>托克逊县友好东路</w:t>
      </w:r>
      <w:r>
        <w:rPr>
          <w:rFonts w:hint="eastAsia" w:ascii="仿宋" w:hAnsi="仿宋" w:eastAsia="仿宋"/>
          <w:color w:val="auto"/>
          <w:sz w:val="28"/>
          <w:lang w:val="en-US" w:eastAsia="zh-CN"/>
        </w:rPr>
        <w:t xml:space="preserve"> </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ascii="仿宋" w:hAnsi="仿宋" w:eastAsia="仿宋"/>
          <w:color w:val="auto"/>
          <w:sz w:val="28"/>
        </w:rPr>
        <w:t>联系方式：</w:t>
      </w:r>
      <w:r>
        <w:rPr>
          <w:rFonts w:hint="eastAsia" w:ascii="仿宋" w:hAnsi="仿宋" w:eastAsia="仿宋"/>
          <w:color w:val="auto"/>
          <w:sz w:val="28"/>
          <w:lang w:val="en-US" w:eastAsia="zh-CN"/>
        </w:rPr>
        <w:t>0995-8828730</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2.采购代理机构信息</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名 称：新疆新之建工程咨询有限公司</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left="558" w:leftChars="266" w:firstLine="0" w:firstLineChars="0"/>
        <w:textAlignment w:val="auto"/>
        <w:rPr>
          <w:rFonts w:hint="eastAsia" w:ascii="仿宋" w:hAnsi="仿宋" w:eastAsia="仿宋"/>
          <w:color w:val="auto"/>
          <w:sz w:val="28"/>
          <w:lang w:val="en-US" w:eastAsia="zh-CN"/>
        </w:rPr>
      </w:pPr>
      <w:r>
        <w:rPr>
          <w:rFonts w:ascii="仿宋" w:hAnsi="仿宋" w:eastAsia="仿宋"/>
          <w:color w:val="auto"/>
          <w:sz w:val="28"/>
        </w:rPr>
        <w:t>地 址：</w:t>
      </w:r>
      <w:r>
        <w:rPr>
          <w:rFonts w:hint="eastAsia" w:ascii="仿宋" w:hAnsi="仿宋" w:eastAsia="仿宋"/>
          <w:color w:val="auto"/>
          <w:sz w:val="28"/>
          <w:lang w:val="en-US" w:eastAsia="zh-CN"/>
        </w:rPr>
        <w:t xml:space="preserve">新疆吐鲁番市高昌区新编15区文化路南侧滨湖花园小区对面3层 </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val="en-US" w:eastAsia="zh-CN"/>
        </w:rPr>
      </w:pPr>
      <w:r>
        <w:rPr>
          <w:rFonts w:ascii="仿宋" w:hAnsi="仿宋" w:eastAsia="仿宋"/>
          <w:color w:val="auto"/>
          <w:sz w:val="28"/>
        </w:rPr>
        <w:t>联系方式：</w:t>
      </w:r>
      <w:r>
        <w:rPr>
          <w:rFonts w:hint="eastAsia" w:ascii="仿宋" w:hAnsi="仿宋" w:eastAsia="仿宋"/>
          <w:color w:val="auto"/>
          <w:sz w:val="28"/>
          <w:lang w:val="en-US" w:eastAsia="zh-CN"/>
        </w:rPr>
        <w:t>13399958618</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3.项目联系方式</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hint="eastAsia" w:ascii="仿宋" w:hAnsi="仿宋" w:eastAsia="仿宋"/>
          <w:color w:val="auto"/>
          <w:sz w:val="28"/>
          <w:lang w:eastAsia="zh-CN"/>
        </w:rPr>
      </w:pPr>
      <w:r>
        <w:rPr>
          <w:rFonts w:ascii="仿宋" w:hAnsi="仿宋" w:eastAsia="仿宋"/>
          <w:color w:val="auto"/>
          <w:sz w:val="28"/>
        </w:rPr>
        <w:t>项目联系人：</w:t>
      </w:r>
      <w:r>
        <w:rPr>
          <w:rFonts w:hint="eastAsia" w:ascii="仿宋" w:hAnsi="仿宋" w:eastAsia="仿宋"/>
          <w:color w:val="auto"/>
          <w:sz w:val="28"/>
          <w:lang w:val="en-US" w:eastAsia="zh-CN"/>
        </w:rPr>
        <w:t>董蕊</w:t>
      </w:r>
    </w:p>
    <w:p>
      <w:pPr>
        <w:pStyle w:val="64"/>
        <w:keepNext w:val="0"/>
        <w:keepLines w:val="0"/>
        <w:pageBreakBefore w:val="0"/>
        <w:widowControl w:val="0"/>
        <w:kinsoku/>
        <w:wordWrap/>
        <w:overflowPunct/>
        <w:topLinePunct w:val="0"/>
        <w:autoSpaceDE w:val="0"/>
        <w:autoSpaceDN w:val="0"/>
        <w:bidi w:val="0"/>
        <w:adjustRightInd w:val="0"/>
        <w:snapToGrid/>
        <w:spacing w:line="440" w:lineRule="exact"/>
        <w:ind w:firstLine="560"/>
        <w:textAlignment w:val="auto"/>
        <w:rPr>
          <w:rFonts w:ascii="仿宋" w:hAnsi="仿宋" w:eastAsia="仿宋"/>
          <w:color w:val="auto"/>
          <w:sz w:val="28"/>
        </w:rPr>
      </w:pPr>
      <w:r>
        <w:rPr>
          <w:rFonts w:ascii="仿宋" w:hAnsi="仿宋" w:eastAsia="仿宋"/>
          <w:color w:val="auto"/>
          <w:sz w:val="28"/>
        </w:rPr>
        <w:t>电 话：</w:t>
      </w:r>
      <w:r>
        <w:rPr>
          <w:rFonts w:hint="eastAsia" w:ascii="仿宋" w:hAnsi="仿宋" w:eastAsia="仿宋"/>
          <w:color w:val="auto"/>
          <w:sz w:val="28"/>
          <w:lang w:val="en-US" w:eastAsia="zh-CN"/>
        </w:rPr>
        <w:t>13399958618</w:t>
      </w:r>
    </w:p>
    <w:p>
      <w:pPr>
        <w:pStyle w:val="42"/>
        <w:ind w:left="0" w:leftChars="0" w:firstLine="0" w:firstLineChars="0"/>
        <w:jc w:val="both"/>
        <w:rPr>
          <w:rFonts w:hint="eastAsia" w:ascii="仿宋" w:hAnsi="仿宋" w:eastAsia="仿宋"/>
          <w:sz w:val="36"/>
        </w:rPr>
      </w:pPr>
      <w:bookmarkStart w:id="2" w:name="_Toc114617426"/>
    </w:p>
    <w:p>
      <w:pPr>
        <w:pStyle w:val="42"/>
        <w:ind w:left="0" w:leftChars="0" w:firstLine="0" w:firstLineChars="0"/>
        <w:jc w:val="both"/>
        <w:rPr>
          <w:rFonts w:hint="eastAsia" w:ascii="仿宋" w:hAnsi="仿宋" w:eastAsia="仿宋"/>
          <w:sz w:val="36"/>
        </w:rPr>
      </w:pPr>
    </w:p>
    <w:p>
      <w:pPr>
        <w:pStyle w:val="42"/>
        <w:ind w:left="0" w:leftChars="0" w:firstLine="0" w:firstLineChars="0"/>
        <w:jc w:val="both"/>
        <w:rPr>
          <w:rFonts w:hint="eastAsia" w:ascii="仿宋" w:hAnsi="仿宋" w:eastAsia="仿宋"/>
          <w:sz w:val="36"/>
        </w:rPr>
      </w:pPr>
    </w:p>
    <w:p>
      <w:pPr>
        <w:pStyle w:val="42"/>
        <w:ind w:left="0" w:leftChars="0" w:firstLine="0" w:firstLineChars="0"/>
        <w:jc w:val="both"/>
        <w:rPr>
          <w:rFonts w:hint="eastAsia" w:ascii="仿宋" w:hAnsi="仿宋" w:eastAsia="仿宋"/>
          <w:sz w:val="36"/>
        </w:rPr>
      </w:pPr>
    </w:p>
    <w:p>
      <w:pPr>
        <w:pStyle w:val="42"/>
        <w:ind w:left="0" w:leftChars="0" w:firstLine="0" w:firstLineChars="0"/>
        <w:jc w:val="center"/>
        <w:rPr>
          <w:rFonts w:ascii="仿宋" w:hAnsi="仿宋" w:eastAsia="仿宋"/>
          <w:sz w:val="36"/>
        </w:rPr>
      </w:pPr>
      <w:r>
        <w:rPr>
          <w:rFonts w:hint="eastAsia" w:ascii="仿宋" w:hAnsi="仿宋" w:eastAsia="仿宋"/>
          <w:sz w:val="36"/>
        </w:rPr>
        <w:t>第二章  投 标 须 知</w:t>
      </w:r>
      <w:bookmarkEnd w:id="2"/>
    </w:p>
    <w:p>
      <w:pPr>
        <w:pStyle w:val="185"/>
        <w:spacing w:before="312" w:after="156"/>
        <w:rPr>
          <w:rFonts w:ascii="仿宋" w:hAnsi="仿宋" w:eastAsia="仿宋"/>
          <w:color w:val="auto"/>
        </w:rPr>
      </w:pPr>
      <w:r>
        <w:rPr>
          <w:rFonts w:hint="eastAsia" w:ascii="仿宋" w:hAnsi="仿宋" w:eastAsia="仿宋"/>
          <w:color w:val="auto"/>
          <w:sz w:val="32"/>
        </w:rPr>
        <w:t>一、总 则</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1. 合格的供应商</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64"/>
        <w:spacing w:line="540" w:lineRule="exact"/>
        <w:ind w:firstLine="562"/>
        <w:rPr>
          <w:rFonts w:ascii="仿宋" w:hAnsi="仿宋" w:eastAsia="仿宋"/>
          <w:b/>
          <w:color w:val="auto"/>
          <w:sz w:val="28"/>
        </w:rPr>
      </w:pPr>
      <w:r>
        <w:rPr>
          <w:rFonts w:hint="eastAsia" w:ascii="仿宋" w:hAnsi="仿宋" w:eastAsia="仿宋"/>
          <w:b/>
          <w:color w:val="auto"/>
          <w:sz w:val="28"/>
        </w:rPr>
        <w:t>1.2 凡参加投标的制造商必须具有国际或国内相应的招标货物制造资质等级，信誉可靠，且应具有履行本招标文件规定的有关义务的能力。</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1.3 供应商在本次招标活动中，必须遵循《中华人民共和国政府采购法》及其实施条例（658号令）、《政府采购货物和服务招标投标管理办法》（财政部87号令）。</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1.4 本项目不接受联合体投标。</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1.5 不符合1.1、1.2、1.3、1.4条款规定的供应商，其投标将被拒绝。</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2. 定义</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2.1“采购代理机构”系指新疆新之建工程咨询有限公司</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2.2“供应商”系指向采购代理机构提交投标文件的货物制造商、经销商。</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2.3“货物”系指卖方按合同要求，须向买方提供的设计文件、货物、机械、材料、备品、手册及其他技术资料和材料。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2.4“服务”系指按合同规定卖方须承担的运输、装卸、安装调试、技术协助、培训和交付使用后质保期内应履行的义务及售后服务等其他类似的义务。</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2.5“卖方”系指提供合同货物和服务的经济实体。本次招标指有关中标人。</w:t>
      </w:r>
    </w:p>
    <w:p>
      <w:pPr>
        <w:pStyle w:val="64"/>
        <w:spacing w:line="540" w:lineRule="exact"/>
        <w:ind w:firstLine="561"/>
        <w:jc w:val="both"/>
        <w:rPr>
          <w:rFonts w:ascii="仿宋" w:hAnsi="仿宋" w:eastAsia="仿宋"/>
          <w:color w:val="auto"/>
          <w:sz w:val="28"/>
        </w:rPr>
      </w:pPr>
      <w:r>
        <w:rPr>
          <w:rFonts w:hint="eastAsia" w:ascii="仿宋" w:hAnsi="仿宋" w:eastAsia="仿宋"/>
          <w:color w:val="auto"/>
          <w:sz w:val="28"/>
        </w:rPr>
        <w:t>2.6“买方”系指购买货物和服务的单位，即为本次招标的采购人。</w:t>
      </w:r>
    </w:p>
    <w:p>
      <w:pPr>
        <w:pStyle w:val="64"/>
        <w:spacing w:line="540" w:lineRule="exact"/>
        <w:ind w:firstLine="561"/>
        <w:jc w:val="both"/>
        <w:rPr>
          <w:rFonts w:ascii="仿宋" w:hAnsi="仿宋" w:eastAsia="仿宋"/>
          <w:color w:val="auto"/>
          <w:sz w:val="28"/>
        </w:rPr>
      </w:pPr>
      <w:r>
        <w:rPr>
          <w:rFonts w:hint="eastAsia" w:ascii="仿宋" w:hAnsi="仿宋" w:eastAsia="仿宋"/>
          <w:color w:val="auto"/>
          <w:sz w:val="28"/>
        </w:rPr>
        <w:t xml:space="preserve">2.7“节能产品”或者“环保产品”是指财政部发布的《节能产品政府采购清单》或者《环境标志产品政府采购清单》的产品。 </w:t>
      </w:r>
    </w:p>
    <w:p>
      <w:pPr>
        <w:pStyle w:val="64"/>
        <w:spacing w:line="540" w:lineRule="exact"/>
        <w:ind w:firstLine="561"/>
        <w:rPr>
          <w:rFonts w:ascii="仿宋" w:hAnsi="仿宋" w:eastAsia="仿宋"/>
          <w:color w:val="auto"/>
          <w:sz w:val="28"/>
        </w:rPr>
      </w:pPr>
      <w:r>
        <w:rPr>
          <w:rFonts w:hint="eastAsia" w:ascii="仿宋" w:hAnsi="仿宋" w:eastAsia="仿宋"/>
          <w:color w:val="auto"/>
          <w:sz w:val="28"/>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64"/>
        <w:spacing w:line="540" w:lineRule="exact"/>
        <w:ind w:firstLine="561"/>
        <w:rPr>
          <w:rFonts w:ascii="仿宋" w:hAnsi="仿宋" w:eastAsia="仿宋"/>
          <w:b/>
          <w:color w:val="auto"/>
          <w:sz w:val="28"/>
        </w:rPr>
      </w:pPr>
      <w:r>
        <w:rPr>
          <w:rFonts w:hint="eastAsia" w:ascii="仿宋" w:hAnsi="仿宋" w:eastAsia="仿宋"/>
          <w:b/>
          <w:color w:val="auto"/>
          <w:sz w:val="28"/>
        </w:rPr>
        <w:t>3. 其他要求</w:t>
      </w:r>
    </w:p>
    <w:p>
      <w:pPr>
        <w:pStyle w:val="64"/>
        <w:spacing w:line="540" w:lineRule="exact"/>
        <w:ind w:firstLine="561"/>
        <w:rPr>
          <w:rFonts w:ascii="仿宋" w:hAnsi="仿宋" w:eastAsia="仿宋"/>
          <w:color w:val="auto"/>
          <w:sz w:val="28"/>
        </w:rPr>
      </w:pPr>
      <w:r>
        <w:rPr>
          <w:rFonts w:hint="eastAsia" w:ascii="仿宋" w:hAnsi="仿宋" w:eastAsia="仿宋"/>
          <w:color w:val="auto"/>
          <w:sz w:val="28"/>
        </w:rPr>
        <w:t>3.1 供应商应自行承担所有与本次招标投标有关的费用，而不论投标的结果如何。</w:t>
      </w:r>
    </w:p>
    <w:p>
      <w:pPr>
        <w:pStyle w:val="64"/>
        <w:spacing w:line="540" w:lineRule="exact"/>
        <w:ind w:firstLine="561"/>
        <w:rPr>
          <w:rFonts w:ascii="仿宋" w:hAnsi="仿宋" w:eastAsia="仿宋"/>
          <w:color w:val="auto"/>
          <w:sz w:val="28"/>
        </w:rPr>
      </w:pPr>
      <w:r>
        <w:rPr>
          <w:rFonts w:hint="eastAsia" w:ascii="仿宋" w:hAnsi="仿宋" w:eastAsia="仿宋"/>
          <w:color w:val="auto"/>
          <w:sz w:val="28"/>
        </w:rPr>
        <w:t>3.2 政府采购政策支持</w:t>
      </w:r>
    </w:p>
    <w:p>
      <w:pPr>
        <w:pStyle w:val="64"/>
        <w:spacing w:line="540" w:lineRule="exact"/>
        <w:ind w:firstLine="561"/>
        <w:rPr>
          <w:rFonts w:ascii="仿宋" w:hAnsi="仿宋" w:eastAsia="仿宋"/>
          <w:color w:val="auto"/>
          <w:sz w:val="28"/>
        </w:rPr>
      </w:pPr>
      <w:r>
        <w:rPr>
          <w:rFonts w:hint="eastAsia" w:ascii="仿宋" w:hAnsi="仿宋" w:eastAsia="仿宋"/>
          <w:color w:val="auto"/>
          <w:sz w:val="28"/>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w:t>
      </w:r>
    </w:p>
    <w:p>
      <w:pPr>
        <w:pStyle w:val="64"/>
        <w:spacing w:line="540" w:lineRule="exact"/>
        <w:ind w:firstLine="561"/>
        <w:rPr>
          <w:rFonts w:ascii="仿宋" w:hAnsi="仿宋" w:eastAsia="仿宋"/>
          <w:color w:val="auto"/>
          <w:sz w:val="28"/>
        </w:rPr>
      </w:pPr>
      <w:r>
        <w:rPr>
          <w:rFonts w:hint="eastAsia" w:ascii="仿宋" w:hAnsi="仿宋" w:eastAsia="仿宋"/>
          <w:color w:val="auto"/>
          <w:sz w:val="28"/>
        </w:rPr>
        <w:t>3.2.2 同一项目中部分产品属于优先采购政策的，评审时只对该部分产品的报价实行价格优惠。</w:t>
      </w:r>
    </w:p>
    <w:p>
      <w:pPr>
        <w:pStyle w:val="64"/>
        <w:spacing w:line="540" w:lineRule="exact"/>
        <w:ind w:firstLine="561"/>
        <w:rPr>
          <w:rFonts w:ascii="仿宋" w:hAnsi="仿宋" w:eastAsia="仿宋"/>
          <w:color w:val="auto"/>
          <w:sz w:val="28"/>
        </w:rPr>
      </w:pPr>
      <w:r>
        <w:rPr>
          <w:rFonts w:hint="eastAsia" w:ascii="仿宋" w:hAnsi="仿宋" w:eastAsia="仿宋"/>
          <w:color w:val="auto"/>
          <w:sz w:val="28"/>
        </w:rPr>
        <w:t>3.2.3 为推进政府采购诚信体系建设，供应商在签署相关承诺，提供相关信息前，应认真阅读财政部门相关政策规定。</w:t>
      </w:r>
    </w:p>
    <w:p>
      <w:pPr>
        <w:pStyle w:val="64"/>
        <w:spacing w:line="540" w:lineRule="exact"/>
        <w:ind w:firstLine="561"/>
        <w:rPr>
          <w:rFonts w:ascii="仿宋" w:hAnsi="仿宋" w:eastAsia="仿宋"/>
          <w:color w:val="auto"/>
          <w:sz w:val="28"/>
        </w:rPr>
      </w:pPr>
    </w:p>
    <w:p>
      <w:pPr>
        <w:pStyle w:val="64"/>
        <w:spacing w:beforeLines="100" w:afterLines="50" w:line="540" w:lineRule="exact"/>
        <w:ind w:firstLine="562"/>
        <w:jc w:val="center"/>
        <w:rPr>
          <w:rFonts w:ascii="仿宋" w:hAnsi="仿宋" w:eastAsia="仿宋"/>
          <w:b/>
          <w:color w:val="auto"/>
          <w:sz w:val="28"/>
        </w:rPr>
      </w:pPr>
      <w:r>
        <w:rPr>
          <w:rFonts w:hint="eastAsia" w:ascii="仿宋" w:hAnsi="仿宋" w:eastAsia="仿宋"/>
          <w:b/>
          <w:color w:val="auto"/>
          <w:sz w:val="28"/>
        </w:rPr>
        <w:t>二、 招 标 文 件</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4. 招标文件</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 招标文件用以阐明所需货物和服务、招标投标程序和合同条款。包括：</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4.1.1 投标邀请</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4.1.2 投标须知前附表</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4.1.3 招标书</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4.1.4 投标须知</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4.1.5 招标内容及技术要求</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4.1.6 合同主要条款</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附件：（投标书格式）</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附件一 投标书</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附件二 法定代表人资格证明书（格式）/法定代表人授权委托书（格式）</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附件三 关于投标文件的声明函</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附件四 中小企业声明函（货物）</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附件五 诚信投标承诺书</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附件六 投标人（供应商）反商业贿赂承诺书</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附件七 开标一览表</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附件八 投标产品名称、数量、规格及报价明细表</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附件九 技术规格偏离表</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附件十 商务条款偏离表</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附件十一 供应商近三年同类产品销售业绩表</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4.2  供应商应认真阅读招标文件中所有的事项、格式、条款和规范等要求。如果没有按照招标文件要求提交全部资料或者投标文件没有对招标文件做出实质性响应，其投标将被拒绝。</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5. 招标文件的澄清和修改</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5.1 采购人如需对已发出的招标文件进行必要澄清或者修改的，澄清或者修改的的内容可能影响到投标文件编制的，采购代理机构应当在投标文件截止时间十五日前，并以书面形式通知所有获取招标文件的潜在供应商。该澄清或者修改的内容为招标文件的组成部分。</w:t>
      </w:r>
    </w:p>
    <w:p>
      <w:pPr>
        <w:pStyle w:val="64"/>
        <w:spacing w:beforeLines="100" w:afterLines="50" w:line="540" w:lineRule="exact"/>
        <w:ind w:firstLine="562"/>
        <w:jc w:val="center"/>
        <w:rPr>
          <w:rFonts w:ascii="仿宋" w:hAnsi="仿宋" w:eastAsia="仿宋"/>
          <w:b/>
          <w:color w:val="auto"/>
          <w:sz w:val="28"/>
        </w:rPr>
      </w:pPr>
      <w:r>
        <w:rPr>
          <w:rFonts w:hint="eastAsia" w:ascii="仿宋" w:hAnsi="仿宋" w:eastAsia="仿宋"/>
          <w:b/>
          <w:color w:val="auto"/>
          <w:sz w:val="28"/>
        </w:rPr>
        <w:t>三、投标文件的编制</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6. 投标文件的编写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6.1 供应商应仔细阅读招标文件,了解招标文件的要求，并在充分理解招标文件提出的货物技术规范、服务和商务条款后的基础上制作投标文件。</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7. 投标的语言及计量单位</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7.2 投标文件中所使用的计量单位除招标文件中有特殊规定外，一律使用法定计量单位。</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8. 投标文件构成</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8.1 供应商编写的投标文件应按下列顺序及内容提供:</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8.1.1 资格证明文件(以下文件必须在有效期内)</w:t>
      </w:r>
    </w:p>
    <w:p>
      <w:pPr>
        <w:pStyle w:val="64"/>
        <w:spacing w:line="540" w:lineRule="exact"/>
        <w:ind w:firstLine="548" w:firstLineChars="196"/>
        <w:jc w:val="both"/>
        <w:rPr>
          <w:rFonts w:ascii="仿宋" w:hAnsi="仿宋" w:eastAsia="仿宋"/>
          <w:b/>
          <w:snapToGrid w:val="0"/>
          <w:color w:val="auto"/>
          <w:sz w:val="28"/>
        </w:rPr>
      </w:pPr>
      <w:r>
        <w:rPr>
          <w:rFonts w:hint="eastAsia" w:ascii="仿宋" w:hAnsi="仿宋" w:eastAsia="仿宋"/>
          <w:b/>
          <w:snapToGrid w:val="0"/>
          <w:color w:val="auto"/>
          <w:sz w:val="28"/>
        </w:rPr>
        <w:t>(1) 企业营业执照（原件扫描件)。</w:t>
      </w:r>
    </w:p>
    <w:p>
      <w:pPr>
        <w:pStyle w:val="64"/>
        <w:spacing w:line="540" w:lineRule="exact"/>
        <w:ind w:firstLine="548" w:firstLineChars="196"/>
        <w:jc w:val="both"/>
        <w:rPr>
          <w:rFonts w:ascii="仿宋" w:hAnsi="仿宋" w:eastAsia="仿宋"/>
          <w:b/>
          <w:snapToGrid w:val="0"/>
          <w:color w:val="auto"/>
          <w:sz w:val="28"/>
        </w:rPr>
      </w:pPr>
      <w:r>
        <w:rPr>
          <w:rFonts w:hint="eastAsia" w:ascii="仿宋" w:hAnsi="仿宋" w:eastAsia="仿宋"/>
          <w:b/>
          <w:snapToGrid w:val="0"/>
          <w:color w:val="auto"/>
          <w:sz w:val="28"/>
        </w:rPr>
        <w:t>(2)</w:t>
      </w:r>
      <w:r>
        <w:rPr>
          <w:rFonts w:hint="eastAsia" w:ascii="仿宋" w:hAnsi="仿宋" w:eastAsia="仿宋" w:cs="宋体"/>
          <w:b/>
          <w:snapToGrid w:val="0"/>
          <w:color w:val="auto"/>
          <w:sz w:val="28"/>
          <w:szCs w:val="28"/>
        </w:rPr>
        <w:t>第2包所投产品属于第二类医疗器械的，提供有效的行政主管部门颁发的医疗器械经营备案凭证（或医疗器械生产许可证或医疗器械经营许可证或其他医疗器械生产经营许可证明文件）；所投产品属于第三类医疗器械的，提供有效的行政主管部门颁发的医疗器械生产许可证（或医疗器械经营许可证或其他医疗器械生产经营许可证明文件）</w:t>
      </w:r>
      <w:r>
        <w:rPr>
          <w:rFonts w:hint="eastAsia" w:ascii="仿宋" w:hAnsi="仿宋" w:eastAsia="仿宋"/>
          <w:b/>
          <w:snapToGrid w:val="0"/>
          <w:color w:val="auto"/>
          <w:sz w:val="28"/>
        </w:rPr>
        <w:t>（原件扫描件)。</w:t>
      </w:r>
    </w:p>
    <w:p>
      <w:pPr>
        <w:pStyle w:val="64"/>
        <w:spacing w:line="520" w:lineRule="exact"/>
        <w:ind w:firstLine="562"/>
        <w:jc w:val="both"/>
        <w:rPr>
          <w:rFonts w:ascii="仿宋" w:hAnsi="仿宋" w:eastAsia="仿宋"/>
          <w:b/>
          <w:bCs/>
          <w:snapToGrid w:val="0"/>
          <w:color w:val="auto"/>
          <w:sz w:val="28"/>
        </w:rPr>
      </w:pPr>
      <w:r>
        <w:rPr>
          <w:rFonts w:hint="eastAsia" w:ascii="仿宋" w:hAnsi="仿宋" w:eastAsia="仿宋"/>
          <w:b/>
          <w:snapToGrid w:val="0"/>
          <w:color w:val="auto"/>
          <w:sz w:val="28"/>
        </w:rPr>
        <w:t>(3)投标代表的授权委托书及被授权人身份证复印件。</w:t>
      </w:r>
      <w:r>
        <w:rPr>
          <w:rFonts w:hint="eastAsia" w:ascii="仿宋" w:hAnsi="仿宋" w:eastAsia="仿宋"/>
          <w:b/>
          <w:bCs/>
          <w:snapToGrid w:val="0"/>
          <w:color w:val="auto"/>
          <w:sz w:val="28"/>
        </w:rPr>
        <w:t>授权委托书应由</w:t>
      </w:r>
      <w:r>
        <w:rPr>
          <w:rFonts w:hint="eastAsia" w:ascii="仿宋" w:hAnsi="仿宋" w:eastAsia="仿宋"/>
          <w:b/>
          <w:bCs/>
          <w:snapToGrid w:val="0"/>
          <w:color w:val="auto"/>
          <w:sz w:val="28"/>
          <w:szCs w:val="28"/>
          <w:em w:val="dot"/>
        </w:rPr>
        <w:t>法定代表签名</w:t>
      </w:r>
      <w:r>
        <w:rPr>
          <w:rFonts w:hint="eastAsia" w:ascii="仿宋" w:hAnsi="仿宋" w:eastAsia="仿宋"/>
          <w:b/>
          <w:bCs/>
          <w:snapToGrid w:val="0"/>
          <w:color w:val="auto"/>
          <w:sz w:val="28"/>
        </w:rPr>
        <w:t>并加盖企业公章，</w:t>
      </w:r>
      <w:r>
        <w:rPr>
          <w:rFonts w:hint="eastAsia" w:ascii="仿宋" w:hAnsi="仿宋" w:eastAsia="仿宋"/>
          <w:b/>
          <w:bCs/>
          <w:snapToGrid w:val="0"/>
          <w:color w:val="auto"/>
          <w:sz w:val="28"/>
          <w:szCs w:val="28"/>
          <w:em w:val="dot"/>
        </w:rPr>
        <w:t>私章无效</w:t>
      </w:r>
      <w:r>
        <w:rPr>
          <w:rFonts w:hint="eastAsia" w:ascii="仿宋" w:hAnsi="仿宋" w:eastAsia="仿宋"/>
          <w:b/>
          <w:bCs/>
          <w:snapToGrid w:val="0"/>
          <w:color w:val="auto"/>
          <w:sz w:val="28"/>
        </w:rPr>
        <w:t>。</w:t>
      </w:r>
      <w:r>
        <w:rPr>
          <w:rFonts w:hint="eastAsia" w:ascii="仿宋" w:hAnsi="仿宋" w:eastAsia="仿宋"/>
          <w:b/>
          <w:snapToGrid w:val="0"/>
          <w:color w:val="auto"/>
          <w:sz w:val="28"/>
        </w:rPr>
        <w:t>（原件扫描件)</w:t>
      </w:r>
    </w:p>
    <w:p>
      <w:pPr>
        <w:pStyle w:val="64"/>
        <w:spacing w:line="520" w:lineRule="exact"/>
        <w:ind w:firstLine="562"/>
        <w:jc w:val="both"/>
        <w:rPr>
          <w:rFonts w:ascii="仿宋" w:hAnsi="仿宋" w:eastAsia="仿宋"/>
          <w:b/>
          <w:snapToGrid w:val="0"/>
          <w:color w:val="auto"/>
          <w:sz w:val="28"/>
        </w:rPr>
      </w:pPr>
      <w:r>
        <w:rPr>
          <w:rFonts w:hint="eastAsia" w:ascii="仿宋" w:hAnsi="仿宋" w:eastAsia="仿宋"/>
          <w:b/>
          <w:snapToGrid w:val="0"/>
          <w:color w:val="auto"/>
          <w:sz w:val="28"/>
        </w:rPr>
        <w:t>(4)参加政府采购活动近三年内在经营活动中没有重大违法记录的书面声明。（原件扫描件)</w:t>
      </w:r>
    </w:p>
    <w:p>
      <w:pPr>
        <w:pStyle w:val="64"/>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(5)供应商认为有必要提供的声明及文件资料。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8.1.2 商务投标书</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(1) 开标一览表</w:t>
      </w:r>
    </w:p>
    <w:p>
      <w:pPr>
        <w:pStyle w:val="64"/>
        <w:spacing w:line="540" w:lineRule="exact"/>
        <w:ind w:firstLine="562" w:firstLineChars="201"/>
        <w:jc w:val="both"/>
        <w:rPr>
          <w:rFonts w:ascii="仿宋" w:hAnsi="仿宋" w:eastAsia="仿宋"/>
          <w:b/>
          <w:color w:val="auto"/>
          <w:sz w:val="28"/>
        </w:rPr>
      </w:pPr>
      <w:r>
        <w:rPr>
          <w:rFonts w:hint="eastAsia" w:ascii="仿宋" w:hAnsi="仿宋" w:eastAsia="仿宋"/>
          <w:b/>
          <w:color w:val="auto"/>
          <w:sz w:val="28"/>
        </w:rPr>
        <w:t>(2) 投标货物名称、数量、规格及报价明细表</w:t>
      </w:r>
    </w:p>
    <w:p>
      <w:pPr>
        <w:pStyle w:val="64"/>
        <w:spacing w:line="540" w:lineRule="exact"/>
        <w:ind w:firstLine="548" w:firstLineChars="196"/>
        <w:jc w:val="both"/>
        <w:rPr>
          <w:rFonts w:ascii="仿宋" w:hAnsi="仿宋" w:eastAsia="仿宋"/>
          <w:b/>
          <w:color w:val="auto"/>
          <w:sz w:val="28"/>
        </w:rPr>
      </w:pPr>
      <w:r>
        <w:rPr>
          <w:rFonts w:hint="eastAsia" w:ascii="仿宋" w:hAnsi="仿宋" w:eastAsia="仿宋"/>
          <w:b/>
          <w:color w:val="auto"/>
          <w:sz w:val="28"/>
        </w:rPr>
        <w:t>(3) 商务条款偏离表</w:t>
      </w:r>
    </w:p>
    <w:p>
      <w:pPr>
        <w:pStyle w:val="64"/>
        <w:spacing w:line="540" w:lineRule="exact"/>
        <w:ind w:firstLine="562" w:firstLineChars="201"/>
        <w:jc w:val="both"/>
        <w:rPr>
          <w:rFonts w:ascii="仿宋" w:hAnsi="仿宋" w:eastAsia="仿宋"/>
          <w:bCs/>
          <w:color w:val="auto"/>
          <w:sz w:val="28"/>
        </w:rPr>
      </w:pPr>
      <w:r>
        <w:rPr>
          <w:rFonts w:hint="eastAsia" w:ascii="仿宋" w:hAnsi="仿宋" w:eastAsia="仿宋"/>
          <w:bCs/>
          <w:color w:val="auto"/>
          <w:sz w:val="28"/>
        </w:rPr>
        <w:t>(4) 供应商近三年同类产品销售业绩表（附合同或者中标通知书复印件）</w:t>
      </w:r>
    </w:p>
    <w:p>
      <w:pPr>
        <w:pStyle w:val="64"/>
        <w:spacing w:line="540" w:lineRule="exact"/>
        <w:ind w:firstLine="548" w:firstLineChars="196"/>
        <w:jc w:val="both"/>
        <w:rPr>
          <w:rFonts w:ascii="仿宋" w:hAnsi="仿宋" w:eastAsia="仿宋"/>
          <w:b/>
          <w:color w:val="auto"/>
          <w:sz w:val="28"/>
        </w:rPr>
      </w:pPr>
      <w:r>
        <w:rPr>
          <w:rFonts w:hint="eastAsia" w:ascii="仿宋" w:hAnsi="仿宋" w:eastAsia="仿宋"/>
          <w:b/>
          <w:color w:val="auto"/>
          <w:sz w:val="28"/>
        </w:rPr>
        <w:t>(5) 售后服务承诺书及培训计划</w:t>
      </w:r>
    </w:p>
    <w:p>
      <w:pPr>
        <w:pStyle w:val="116"/>
        <w:spacing w:line="520" w:lineRule="exact"/>
        <w:ind w:firstLine="548"/>
        <w:rPr>
          <w:rFonts w:ascii="仿宋" w:hAnsi="仿宋" w:eastAsia="仿宋"/>
          <w:spacing w:val="-3"/>
        </w:rPr>
      </w:pPr>
      <w:r>
        <w:rPr>
          <w:rFonts w:hint="eastAsia" w:ascii="仿宋" w:hAnsi="仿宋" w:eastAsia="仿宋"/>
          <w:bCs/>
          <w:spacing w:val="-3"/>
        </w:rPr>
        <w:t>(6) 若为进口产品（含主要配件），须提供</w:t>
      </w:r>
      <w:r>
        <w:rPr>
          <w:rFonts w:hint="eastAsia" w:ascii="仿宋" w:hAnsi="仿宋" w:eastAsia="仿宋"/>
          <w:szCs w:val="21"/>
        </w:rPr>
        <w:t>报关单和检验检疫证；</w:t>
      </w:r>
      <w:r>
        <w:rPr>
          <w:rFonts w:hint="eastAsia" w:ascii="仿宋" w:hAnsi="仿宋" w:eastAsia="仿宋"/>
          <w:bCs/>
          <w:spacing w:val="-3"/>
        </w:rPr>
        <w:t>所需的进口机电证（如需要），报关、商检、计量等相关事宜，由供应商负责办理，费用由供应商承担。</w:t>
      </w:r>
    </w:p>
    <w:p>
      <w:pPr>
        <w:pStyle w:val="116"/>
        <w:ind w:firstLine="548"/>
        <w:rPr>
          <w:rFonts w:ascii="仿宋" w:hAnsi="仿宋" w:eastAsia="仿宋"/>
          <w:spacing w:val="-3"/>
        </w:rPr>
      </w:pPr>
      <w:r>
        <w:rPr>
          <w:rFonts w:hint="eastAsia" w:ascii="仿宋" w:hAnsi="仿宋" w:eastAsia="仿宋"/>
          <w:spacing w:val="-3"/>
        </w:rPr>
        <w:t>(7) 供应商认为有必要提供的声明及文件资料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8.1.3 技术投标书</w:t>
      </w:r>
    </w:p>
    <w:p>
      <w:pPr>
        <w:pStyle w:val="64"/>
        <w:spacing w:line="520" w:lineRule="exact"/>
        <w:ind w:firstLine="420" w:firstLineChars="150"/>
        <w:jc w:val="both"/>
        <w:rPr>
          <w:rFonts w:ascii="仿宋" w:hAnsi="仿宋" w:eastAsia="仿宋"/>
          <w:b/>
          <w:color w:val="auto"/>
          <w:sz w:val="28"/>
        </w:rPr>
      </w:pPr>
      <w:r>
        <w:rPr>
          <w:rFonts w:hint="eastAsia" w:ascii="仿宋" w:hAnsi="仿宋" w:eastAsia="仿宋"/>
          <w:b/>
          <w:color w:val="auto"/>
          <w:sz w:val="28"/>
        </w:rPr>
        <w:t>(1) 产品的详细技术参数说明</w:t>
      </w:r>
    </w:p>
    <w:p>
      <w:pPr>
        <w:pStyle w:val="64"/>
        <w:snapToGrid w:val="0"/>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供应商所投产品必须提供国家权威部门出具的检验报告和对外印刷的宣传彩页作为其技术指标的支持资料（国家无需检测的设备可以不提供检验报告）。对未提供技术支持资料的，或参数与其提供的技术支持资料不一致的，均视为偏离。</w:t>
      </w:r>
    </w:p>
    <w:p>
      <w:pPr>
        <w:pStyle w:val="64"/>
        <w:snapToGrid w:val="0"/>
        <w:spacing w:line="540" w:lineRule="exact"/>
        <w:ind w:firstLine="560" w:firstLineChars="200"/>
        <w:rPr>
          <w:rFonts w:ascii="仿宋" w:hAnsi="仿宋" w:eastAsia="仿宋"/>
          <w:b/>
          <w:color w:val="auto"/>
          <w:sz w:val="28"/>
        </w:rPr>
      </w:pPr>
      <w:r>
        <w:rPr>
          <w:rFonts w:hint="eastAsia" w:ascii="仿宋" w:hAnsi="仿宋" w:eastAsia="仿宋"/>
          <w:b/>
          <w:color w:val="auto"/>
          <w:sz w:val="28"/>
        </w:rPr>
        <w:t>(2) 技术规格偏离表（供应商须对第三章所有技术参数条款逐条列明是否响应，如有偏离，须一一列明）</w:t>
      </w:r>
    </w:p>
    <w:p>
      <w:pPr>
        <w:pStyle w:val="64"/>
        <w:snapToGrid w:val="0"/>
        <w:spacing w:line="520" w:lineRule="exact"/>
        <w:ind w:firstLine="560" w:firstLineChars="200"/>
        <w:jc w:val="both"/>
        <w:rPr>
          <w:rFonts w:ascii="仿宋" w:hAnsi="仿宋" w:eastAsia="仿宋"/>
          <w:b/>
          <w:color w:val="auto"/>
          <w:sz w:val="28"/>
        </w:rPr>
      </w:pPr>
      <w:r>
        <w:rPr>
          <w:rFonts w:hint="eastAsia" w:ascii="仿宋" w:hAnsi="仿宋" w:eastAsia="仿宋"/>
          <w:b/>
          <w:color w:val="auto"/>
          <w:sz w:val="28"/>
        </w:rPr>
        <w:t>(3) 备品备件及专用工具清单</w:t>
      </w:r>
    </w:p>
    <w:p>
      <w:pPr>
        <w:pStyle w:val="64"/>
        <w:snapToGrid w:val="0"/>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(4) 产品样册、说明书、图纸技术资料及产品质量获奖荣誉证书复印件</w:t>
      </w:r>
    </w:p>
    <w:p>
      <w:pPr>
        <w:pStyle w:val="64"/>
        <w:snapToGrid w:val="0"/>
        <w:spacing w:line="520" w:lineRule="exact"/>
        <w:ind w:firstLine="560" w:firstLineChars="200"/>
        <w:jc w:val="both"/>
        <w:rPr>
          <w:rFonts w:ascii="仿宋" w:hAnsi="仿宋" w:eastAsia="仿宋"/>
          <w:color w:val="auto"/>
          <w:sz w:val="28"/>
        </w:rPr>
      </w:pPr>
      <w:r>
        <w:rPr>
          <w:rFonts w:hint="eastAsia" w:ascii="仿宋" w:hAnsi="仿宋" w:eastAsia="仿宋"/>
          <w:color w:val="auto"/>
          <w:sz w:val="28"/>
        </w:rPr>
        <w:t>(5) 供应商认为有必要提供的声明及文件资料</w:t>
      </w:r>
    </w:p>
    <w:p>
      <w:pPr>
        <w:pStyle w:val="64"/>
        <w:snapToGrid w:val="0"/>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8.2 第8.1.1条中第(1)(2)(3)(4)项，第8.1.2条中第(1)(2)(3)(5)项、第8.1.3条中第(1) (2)(3)项为必备项，供应商在投标文件中必须提供有关材料，如果缺项，或不符合要求，将导致投标无效。</w:t>
      </w:r>
    </w:p>
    <w:p>
      <w:pPr>
        <w:pStyle w:val="64"/>
        <w:snapToGrid w:val="0"/>
        <w:spacing w:line="520" w:lineRule="exact"/>
        <w:ind w:firstLine="560" w:firstLineChars="200"/>
        <w:jc w:val="both"/>
        <w:rPr>
          <w:rFonts w:ascii="仿宋" w:hAnsi="仿宋" w:eastAsia="仿宋"/>
          <w:color w:val="auto"/>
          <w:sz w:val="28"/>
        </w:rPr>
      </w:pPr>
      <w:r>
        <w:rPr>
          <w:rFonts w:hint="eastAsia" w:ascii="仿宋" w:hAnsi="仿宋" w:eastAsia="仿宋"/>
          <w:b/>
          <w:color w:val="auto"/>
          <w:sz w:val="28"/>
        </w:rPr>
        <w:t>8.3 供应商在投标中违反国家有关法律法规的强制性规定的，其投标按未满足招标文件实质性要求处理。</w:t>
      </w:r>
    </w:p>
    <w:p>
      <w:pPr>
        <w:pStyle w:val="64"/>
        <w:snapToGrid w:val="0"/>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9. 投标书格式</w:t>
      </w:r>
    </w:p>
    <w:p>
      <w:pPr>
        <w:pStyle w:val="64"/>
        <w:snapToGrid w:val="0"/>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9.1 供应商应按招标文件提供的格式完整地填写所提供的货物、服务、数量及价格。</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10. 投标报价</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10.1 供应商应按招标文件所附的《开标一览表》和《投标产品名称、数量、规格及报价明细表》中的项目，标明拟提供货物和服务的单价和总价。如单价和总价不符，以单价累计为准。</w:t>
      </w:r>
    </w:p>
    <w:p>
      <w:pPr>
        <w:pStyle w:val="64"/>
        <w:spacing w:line="540" w:lineRule="exact"/>
        <w:ind w:firstLine="567"/>
        <w:jc w:val="both"/>
        <w:rPr>
          <w:rFonts w:ascii="仿宋" w:hAnsi="仿宋" w:eastAsia="仿宋"/>
          <w:b/>
          <w:color w:val="auto"/>
          <w:sz w:val="28"/>
        </w:rPr>
      </w:pPr>
      <w:r>
        <w:rPr>
          <w:rFonts w:hint="eastAsia" w:ascii="仿宋" w:hAnsi="仿宋" w:eastAsia="仿宋"/>
          <w:b/>
          <w:color w:val="auto"/>
          <w:sz w:val="28"/>
        </w:rPr>
        <w:t>10.2 本标针对每种货物只接受一个报价，不接受备选方案，但不拒绝优惠声明，优惠声明需在《开标一览表》备注中填写。</w:t>
      </w:r>
    </w:p>
    <w:p>
      <w:pPr>
        <w:pStyle w:val="64"/>
        <w:spacing w:line="540" w:lineRule="exact"/>
        <w:ind w:firstLine="562"/>
        <w:rPr>
          <w:rFonts w:ascii="仿宋" w:hAnsi="仿宋" w:eastAsia="仿宋"/>
          <w:color w:val="auto"/>
          <w:sz w:val="28"/>
        </w:rPr>
      </w:pPr>
      <w:r>
        <w:rPr>
          <w:rFonts w:hint="eastAsia" w:ascii="仿宋" w:hAnsi="仿宋" w:eastAsia="仿宋"/>
          <w:color w:val="auto"/>
          <w:sz w:val="28"/>
        </w:rPr>
        <w:t>10.3 供应商应按招标文件的要求对有关设计、货物及其配套服务的全部内容进行报价。投标报价应包括：</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10.3.1 外购、外协、配套件、原材料及功能设计生产制造、检验、油漆、包装、保险、利税、管理、备品备件、专用工具、运杂、安装调试、人员培训等费用。</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10.3.2 招标文件中特别要求的零、备件费用。</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10.3.3 分项报价明细表中特别要求的安装、调试、运输及培训费用。</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10.3.4 所需的进口机电证（如需要），报关、商检、计量等相关事宜，由供应商负责办理，费用由供应商承担。</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11. 投标货币</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11.1 本次投标货币为人民币。</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12. 证明供应商合格和资格的文件</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12.1 按照第8条规定，供应商应提交证明其有资格参加投标和一旦其投标被接受则有能力履行合同的文件，并作为其投标文件的一部分。</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12.2 供应商应填写并提交招标文件所要求的资格证明类文件。</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13. 证明货物的合格性和符合招标文件规定的文件</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13.1 按照第8条规定，供应商应提交招标文件要求的货物及其服务的合格性及符合招标文件规定的证明文件。证明文件可以是手册、图纸和资料，并作为投标文件的一部分。</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13.2 供应商应逐条阅读招标文件要求的技术规格及商务条款要求，指出自己提供的货物和服务是否对招标文件做出响应，</w:t>
      </w:r>
      <w:r>
        <w:rPr>
          <w:rFonts w:hint="eastAsia" w:ascii="仿宋" w:hAnsi="仿宋" w:eastAsia="仿宋"/>
          <w:b/>
          <w:color w:val="auto"/>
          <w:sz w:val="28"/>
        </w:rPr>
        <w:t>并将不能响应之处在招标文件所附的“技术偏离表”和“商务偏离表”中一一列出。</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13.3 证明货物的合格性和符合招标文件规定的文件应包括下列内容：</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13.3.1 投标货物的试(检)验报告、鉴定证书（复印件）；</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13.3.2 执行的制造、验收标准；</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13.3.3 荣获产品质量、生产管理等方面的荣誉证书（复印件）；</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13.3.4 有关的产品样册、手册、图纸和资料；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13.3.5 供应商认为有必要提供的其它证明文件；</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14. 投标文件的有效期</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14.1 投标文件从实际开标之日起</w:t>
      </w:r>
      <w:r>
        <w:rPr>
          <w:rFonts w:hint="eastAsia" w:ascii="仿宋" w:hAnsi="仿宋" w:eastAsia="仿宋"/>
          <w:color w:val="auto"/>
          <w:sz w:val="28"/>
          <w:u w:val="single"/>
        </w:rPr>
        <w:t xml:space="preserve"> 90 </w:t>
      </w:r>
      <w:r>
        <w:rPr>
          <w:rFonts w:hint="eastAsia" w:ascii="仿宋" w:hAnsi="仿宋" w:eastAsia="仿宋"/>
          <w:color w:val="auto"/>
          <w:sz w:val="28"/>
        </w:rPr>
        <w:t>天内有效。</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14.2 在特殊情况下，在原投标有效期届满之前，采购代理机构可与投标单位协商延长投标文件的有效期，并经投标方确认。</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15. 投标文件的书写要求、签署及份数。</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15.1 投标文件正本须用不褪色的墨水笔书写或打印。</w:t>
      </w:r>
    </w:p>
    <w:p>
      <w:pPr>
        <w:spacing w:line="540" w:lineRule="exact"/>
        <w:ind w:firstLine="560"/>
        <w:rPr>
          <w:rFonts w:ascii="仿宋" w:hAnsi="仿宋" w:eastAsia="仿宋"/>
          <w:sz w:val="28"/>
        </w:rPr>
      </w:pPr>
      <w:r>
        <w:rPr>
          <w:rFonts w:hint="eastAsia" w:ascii="仿宋" w:hAnsi="仿宋" w:eastAsia="仿宋"/>
          <w:sz w:val="28"/>
        </w:rPr>
        <w:t>15.2 投标文件的书写应清楚工整，修改处应由供应商授权代表签字或盖章。</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15.3 未实质性响应招标文件、或者关键字迹潦草、关键内容表达不清、或者未按要求填写或可能导致非唯一理解的投标文件将不能通过符合性检查，按重大偏离处理。</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15.4 投标文件应由企业法人或法人授权代表在所有规定签章处逐一签署及加盖单位的公章。</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15.5 投标文件的份数：</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开标结束后2日内，各中标人须向招标代理机构递交纸质投标文件三份（正本一份，副本二份）、未加密的电子投标文件一份（U盘介质）</w:t>
      </w:r>
    </w:p>
    <w:p>
      <w:pPr>
        <w:pStyle w:val="64"/>
        <w:spacing w:line="540" w:lineRule="exact"/>
        <w:ind w:firstLine="560" w:firstLineChars="200"/>
        <w:jc w:val="both"/>
        <w:rPr>
          <w:rFonts w:ascii="仿宋" w:hAnsi="仿宋" w:eastAsia="仿宋" w:cs="仿宋"/>
          <w:color w:val="auto"/>
          <w:sz w:val="28"/>
          <w:szCs w:val="28"/>
        </w:rPr>
      </w:pPr>
      <w:r>
        <w:rPr>
          <w:rFonts w:hint="eastAsia" w:ascii="仿宋" w:hAnsi="仿宋" w:eastAsia="仿宋"/>
          <w:color w:val="auto"/>
          <w:sz w:val="28"/>
        </w:rPr>
        <w:t xml:space="preserve">15.7 </w:t>
      </w:r>
      <w:r>
        <w:rPr>
          <w:rFonts w:hint="eastAsia" w:ascii="仿宋" w:hAnsi="仿宋" w:eastAsia="仿宋"/>
          <w:snapToGrid w:val="0"/>
          <w:color w:val="auto"/>
          <w:sz w:val="28"/>
        </w:rPr>
        <w:t>投标文件应采用双面打印，</w:t>
      </w:r>
      <w:r>
        <w:rPr>
          <w:rFonts w:hint="eastAsia" w:ascii="仿宋" w:hAnsi="仿宋" w:eastAsia="仿宋" w:cs="仿宋"/>
          <w:color w:val="auto"/>
          <w:sz w:val="28"/>
          <w:szCs w:val="28"/>
        </w:rPr>
        <w:t>并胶装成册。</w:t>
      </w:r>
      <w:r>
        <w:rPr>
          <w:rFonts w:hint="eastAsia" w:ascii="仿宋" w:hAnsi="仿宋" w:eastAsia="仿宋"/>
          <w:snapToGrid w:val="0"/>
          <w:color w:val="auto"/>
          <w:sz w:val="28"/>
        </w:rPr>
        <w:t>不允许任何活页形式装订（非胶粘方式装订的投标书一律视同活页装订）。</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16. 投标保证金</w:t>
      </w:r>
    </w:p>
    <w:p>
      <w:pPr>
        <w:pStyle w:val="116"/>
        <w:spacing w:line="540" w:lineRule="exact"/>
        <w:ind w:firstLine="560"/>
        <w:rPr>
          <w:rFonts w:ascii="仿宋" w:hAnsi="仿宋" w:eastAsia="仿宋"/>
        </w:rPr>
      </w:pPr>
      <w:r>
        <w:rPr>
          <w:rFonts w:hint="eastAsia" w:ascii="仿宋" w:hAnsi="仿宋" w:eastAsia="仿宋"/>
        </w:rPr>
        <w:t>16.1 投标保证金金额：</w:t>
      </w:r>
      <w:r>
        <w:rPr>
          <w:rFonts w:hint="eastAsia" w:ascii="仿宋" w:hAnsi="仿宋" w:eastAsia="仿宋"/>
          <w:b/>
        </w:rPr>
        <w:t>详见“投标须知前附表”。</w:t>
      </w:r>
    </w:p>
    <w:p>
      <w:pPr>
        <w:pStyle w:val="116"/>
        <w:spacing w:line="540" w:lineRule="exact"/>
        <w:ind w:firstLine="560"/>
        <w:rPr>
          <w:rFonts w:ascii="仿宋" w:hAnsi="仿宋" w:eastAsia="仿宋"/>
        </w:rPr>
      </w:pPr>
      <w:r>
        <w:rPr>
          <w:rFonts w:hint="eastAsia" w:ascii="仿宋" w:hAnsi="仿宋" w:eastAsia="仿宋"/>
        </w:rPr>
        <w:t>16.2 投标保证金用于保护本次招标免受供应商的违规、违约行为而引起的风险。</w:t>
      </w:r>
    </w:p>
    <w:p>
      <w:pPr>
        <w:pStyle w:val="64"/>
        <w:spacing w:line="540" w:lineRule="exact"/>
        <w:ind w:firstLine="560" w:firstLineChars="200"/>
        <w:jc w:val="both"/>
        <w:rPr>
          <w:rFonts w:hint="eastAsia" w:ascii="仿宋" w:hAnsi="仿宋" w:eastAsia="仿宋" w:cs="Times New Roman"/>
          <w:b/>
          <w:color w:val="auto"/>
          <w:kern w:val="2"/>
          <w:sz w:val="28"/>
          <w:lang w:val="en-US" w:eastAsia="zh-CN" w:bidi="ar-SA"/>
        </w:rPr>
      </w:pPr>
      <w:r>
        <w:rPr>
          <w:rFonts w:hint="eastAsia" w:ascii="仿宋" w:hAnsi="仿宋" w:eastAsia="仿宋" w:cs="Times New Roman"/>
          <w:b/>
          <w:color w:val="auto"/>
          <w:kern w:val="2"/>
          <w:sz w:val="28"/>
          <w:lang w:val="en-US" w:eastAsia="zh-CN" w:bidi="ar-SA"/>
        </w:rPr>
        <w:t>16.3 投标保证金应用人民币，以非现金形式支付提交。由供应商按“投标须知前附表”中明确的银行、帐号、数额办理，投标保证金须于2023年5月3日16:00分前，交到新疆新之建工程咨询有限公司指定的帐户，公示期结束后予以退还。对未按要求提交投标保证金的，其投标无效。</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16.4 投标保证金的退还</w:t>
      </w:r>
    </w:p>
    <w:p>
      <w:pPr>
        <w:pStyle w:val="116"/>
        <w:ind w:firstLine="560"/>
        <w:rPr>
          <w:rFonts w:ascii="仿宋" w:hAnsi="仿宋" w:eastAsia="仿宋"/>
          <w:szCs w:val="28"/>
        </w:rPr>
      </w:pPr>
      <w:r>
        <w:rPr>
          <w:rFonts w:hint="eastAsia" w:ascii="仿宋" w:hAnsi="仿宋" w:eastAsia="仿宋"/>
          <w:szCs w:val="28"/>
        </w:rPr>
        <w:t>在该项目评标公示期满后，新疆新之建工程咨询有限公司收到由供应商提供的以下资料后五个工作日内退还：</w:t>
      </w:r>
    </w:p>
    <w:p>
      <w:pPr>
        <w:pStyle w:val="116"/>
        <w:ind w:firstLine="560"/>
        <w:rPr>
          <w:rFonts w:ascii="仿宋" w:hAnsi="仿宋" w:eastAsia="仿宋"/>
          <w:szCs w:val="28"/>
        </w:rPr>
      </w:pPr>
      <w:r>
        <w:rPr>
          <w:rFonts w:hint="eastAsia" w:ascii="仿宋" w:hAnsi="仿宋" w:eastAsia="仿宋"/>
          <w:szCs w:val="28"/>
        </w:rPr>
        <w:t>1）打印并加盖供应商公章的账户信息：</w:t>
      </w:r>
      <w:r>
        <w:rPr>
          <w:rFonts w:hint="eastAsia" w:ascii="仿宋" w:hAnsi="仿宋" w:eastAsia="仿宋"/>
          <w:b/>
          <w:szCs w:val="28"/>
        </w:rPr>
        <w:t>行名、行号、户名、账号；</w:t>
      </w:r>
    </w:p>
    <w:p>
      <w:pPr>
        <w:pStyle w:val="116"/>
        <w:ind w:firstLine="560"/>
        <w:rPr>
          <w:rFonts w:ascii="仿宋" w:hAnsi="仿宋" w:eastAsia="仿宋"/>
          <w:szCs w:val="28"/>
        </w:rPr>
      </w:pPr>
      <w:r>
        <w:rPr>
          <w:rFonts w:hint="eastAsia" w:ascii="仿宋" w:hAnsi="仿宋" w:eastAsia="仿宋"/>
          <w:szCs w:val="28"/>
        </w:rPr>
        <w:t>2）加盖投标人财务公章的第二联复写收据原件，收据中需写明项目名称及项目编号。</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 发生以下情况投标保证金可能被没收：</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16.5.1 如果供应商在投标有效期内撤销投标；</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16.5.2 如果供应商串通投标的；</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16.5.3 如果中标人未能做到：</w:t>
      </w:r>
    </w:p>
    <w:p>
      <w:pPr>
        <w:pStyle w:val="116"/>
        <w:spacing w:line="540" w:lineRule="exact"/>
        <w:ind w:firstLine="560"/>
        <w:rPr>
          <w:rFonts w:ascii="仿宋" w:hAnsi="仿宋" w:eastAsia="仿宋"/>
        </w:rPr>
      </w:pPr>
      <w:r>
        <w:rPr>
          <w:rFonts w:hint="eastAsia" w:ascii="仿宋" w:hAnsi="仿宋" w:eastAsia="仿宋"/>
        </w:rPr>
        <w:t>a. 按29条规定签定合同；</w:t>
      </w:r>
    </w:p>
    <w:p>
      <w:pPr>
        <w:pStyle w:val="116"/>
        <w:spacing w:line="540" w:lineRule="exact"/>
        <w:ind w:firstLine="560"/>
        <w:rPr>
          <w:rFonts w:ascii="仿宋" w:hAnsi="仿宋" w:eastAsia="仿宋"/>
        </w:rPr>
      </w:pPr>
      <w:r>
        <w:rPr>
          <w:rFonts w:hint="eastAsia" w:ascii="仿宋" w:hAnsi="仿宋" w:eastAsia="仿宋"/>
        </w:rPr>
        <w:t>b. 第32条有关缴纳中标服务费的规定；</w:t>
      </w:r>
    </w:p>
    <w:p>
      <w:pPr>
        <w:pStyle w:val="116"/>
        <w:spacing w:line="540" w:lineRule="exact"/>
        <w:ind w:firstLine="560"/>
        <w:rPr>
          <w:rFonts w:ascii="仿宋" w:hAnsi="仿宋" w:eastAsia="仿宋"/>
        </w:rPr>
      </w:pPr>
      <w:r>
        <w:rPr>
          <w:rFonts w:hint="eastAsia" w:ascii="仿宋" w:hAnsi="仿宋" w:eastAsia="仿宋"/>
        </w:rPr>
        <w:t>c. 按招标文件要求提交合同履约保证金的。</w:t>
      </w:r>
    </w:p>
    <w:p>
      <w:pPr>
        <w:pStyle w:val="64"/>
        <w:spacing w:beforeLines="100" w:afterLines="50" w:line="540" w:lineRule="exact"/>
        <w:jc w:val="center"/>
        <w:rPr>
          <w:rFonts w:ascii="仿宋" w:hAnsi="仿宋" w:eastAsia="仿宋"/>
          <w:color w:val="auto"/>
          <w:sz w:val="28"/>
        </w:rPr>
      </w:pPr>
      <w:r>
        <w:rPr>
          <w:rFonts w:hint="eastAsia" w:ascii="仿宋" w:hAnsi="仿宋" w:eastAsia="仿宋"/>
          <w:b/>
          <w:color w:val="auto"/>
          <w:sz w:val="28"/>
        </w:rPr>
        <w:t>四、投标文件的递交</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17. 投标文件的密封与标记</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电子投标文件的内容按要求进行签章。未按要求进行数字证书认证的投标文件，电子评标系统将无法接受,采购单位不予受理。</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18. 投标文件递交的截止日期</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18.1供应商应在招标文件规定的投标文件递交截止时间前将电子投标文件上传到指定新疆政府采购网政采云平台。未在投标文件递交截止时间前完成上传的电子投标文件视为逾期送达。逾期上传或未按规定方式上传的电子投标文件，采购单位不予受理。</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19. 投标文件的修改、撤回和撤销</w:t>
      </w:r>
    </w:p>
    <w:p>
      <w:pPr>
        <w:pStyle w:val="139"/>
        <w:spacing w:line="540" w:lineRule="exact"/>
        <w:ind w:firstLine="560"/>
        <w:rPr>
          <w:rFonts w:ascii="仿宋" w:hAnsi="仿宋" w:eastAsia="仿宋"/>
          <w:color w:val="auto"/>
          <w:sz w:val="28"/>
        </w:rPr>
      </w:pPr>
      <w:r>
        <w:rPr>
          <w:rFonts w:hint="eastAsia" w:ascii="仿宋" w:hAnsi="仿宋" w:eastAsia="仿宋"/>
          <w:color w:val="auto"/>
          <w:sz w:val="28"/>
        </w:rPr>
        <w:t>19.1供应商在招标文件规定的投标文件递交截止时间前，可以撤回已上传的投标文件。如要修改，必须在撤回并修改后在规定的投标文件递交截止时间之前将修改后的投标文件再重新上传。在投标文件递交截止时间之后，供应商不得对上传的投标文件撤销或修改。</w:t>
      </w:r>
    </w:p>
    <w:p>
      <w:pPr>
        <w:pStyle w:val="139"/>
        <w:spacing w:line="540" w:lineRule="exact"/>
        <w:ind w:firstLine="560"/>
        <w:rPr>
          <w:rFonts w:ascii="仿宋" w:hAnsi="仿宋" w:eastAsia="仿宋"/>
          <w:color w:val="auto"/>
          <w:sz w:val="28"/>
        </w:rPr>
      </w:pPr>
      <w:r>
        <w:rPr>
          <w:rFonts w:hint="eastAsia" w:ascii="仿宋" w:hAnsi="仿宋" w:eastAsia="仿宋"/>
          <w:color w:val="auto"/>
          <w:sz w:val="28"/>
        </w:rPr>
        <w:t>19.2供应商所提交的投标文件在评审结束后，无论中标与否都不退还。</w:t>
      </w:r>
    </w:p>
    <w:p>
      <w:pPr>
        <w:pStyle w:val="139"/>
        <w:spacing w:line="540" w:lineRule="exact"/>
        <w:ind w:firstLine="560"/>
        <w:jc w:val="both"/>
        <w:rPr>
          <w:rFonts w:ascii="仿宋" w:hAnsi="仿宋" w:eastAsia="仿宋"/>
          <w:color w:val="auto"/>
          <w:sz w:val="28"/>
        </w:rPr>
      </w:pPr>
      <w:r>
        <w:rPr>
          <w:rFonts w:hint="eastAsia" w:ascii="仿宋" w:hAnsi="仿宋" w:eastAsia="仿宋"/>
          <w:color w:val="auto"/>
          <w:sz w:val="28"/>
        </w:rPr>
        <w:t>19.3 投标截止时间以后，不允许对投标文件进行修改。</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20.</w:t>
      </w:r>
      <w:r>
        <w:rPr>
          <w:rFonts w:hint="eastAsia" w:ascii="仿宋" w:hAnsi="仿宋" w:eastAsia="仿宋"/>
          <w:b/>
          <w:color w:val="auto"/>
          <w:sz w:val="23"/>
          <w:szCs w:val="23"/>
        </w:rPr>
        <w:t xml:space="preserve"> </w:t>
      </w:r>
      <w:r>
        <w:rPr>
          <w:rFonts w:hint="eastAsia" w:ascii="仿宋" w:hAnsi="仿宋" w:eastAsia="仿宋"/>
          <w:b/>
          <w:color w:val="auto"/>
          <w:sz w:val="28"/>
        </w:rPr>
        <w:t>有下列情形之一的，视为供应商串通投标，其投标无效：</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⑴ 不同供应商的投标文件由同一单位或者个人编制;</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⑵ 不同供应商委托同一单位或者个人办理投标事宜;</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⑶ 不同供应商的投标文件载明的项目管理成员或者联系人员为同一人;</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⑷ 不同供应商的投标文件异常一致或者投标报价呈规律性差异;</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⑸ 不同供应商的投标文件相互混装;</w:t>
      </w:r>
    </w:p>
    <w:p>
      <w:pPr>
        <w:pStyle w:val="139"/>
        <w:spacing w:line="540" w:lineRule="exact"/>
        <w:ind w:firstLine="560"/>
        <w:jc w:val="both"/>
        <w:rPr>
          <w:rFonts w:ascii="仿宋" w:hAnsi="仿宋" w:eastAsia="仿宋"/>
          <w:b/>
          <w:color w:val="auto"/>
          <w:sz w:val="23"/>
          <w:szCs w:val="23"/>
        </w:rPr>
      </w:pPr>
      <w:r>
        <w:rPr>
          <w:rFonts w:hint="eastAsia" w:ascii="仿宋" w:hAnsi="仿宋" w:eastAsia="仿宋"/>
          <w:b/>
          <w:color w:val="auto"/>
          <w:sz w:val="28"/>
        </w:rPr>
        <w:t>⑹ 不同供应商的投标保证金从同一单位或者个人的账户转出</w:t>
      </w:r>
      <w:r>
        <w:rPr>
          <w:rFonts w:hint="eastAsia" w:ascii="仿宋" w:hAnsi="仿宋" w:eastAsia="仿宋"/>
          <w:b/>
          <w:color w:val="auto"/>
          <w:sz w:val="23"/>
          <w:szCs w:val="23"/>
        </w:rPr>
        <w:t>。</w:t>
      </w:r>
    </w:p>
    <w:p>
      <w:pPr>
        <w:pStyle w:val="64"/>
        <w:spacing w:beforeLines="100" w:afterLines="50" w:line="540" w:lineRule="exact"/>
        <w:jc w:val="center"/>
        <w:rPr>
          <w:rFonts w:ascii="仿宋" w:hAnsi="仿宋" w:eastAsia="仿宋"/>
          <w:b/>
          <w:color w:val="auto"/>
          <w:sz w:val="28"/>
        </w:rPr>
      </w:pPr>
      <w:r>
        <w:rPr>
          <w:rFonts w:hint="eastAsia" w:ascii="仿宋" w:hAnsi="仿宋" w:eastAsia="仿宋"/>
          <w:b/>
          <w:color w:val="auto"/>
          <w:sz w:val="28"/>
        </w:rPr>
        <w:t>五、开标</w:t>
      </w:r>
    </w:p>
    <w:p>
      <w:pPr>
        <w:pStyle w:val="139"/>
        <w:spacing w:line="540" w:lineRule="exact"/>
        <w:ind w:firstLine="560"/>
        <w:jc w:val="both"/>
        <w:rPr>
          <w:rFonts w:ascii="仿宋" w:hAnsi="仿宋" w:eastAsia="仿宋"/>
          <w:b/>
          <w:color w:val="auto"/>
          <w:sz w:val="28"/>
        </w:rPr>
      </w:pPr>
      <w:r>
        <w:rPr>
          <w:rFonts w:hint="eastAsia" w:ascii="仿宋" w:hAnsi="仿宋" w:eastAsia="仿宋"/>
          <w:b/>
          <w:color w:val="auto"/>
          <w:sz w:val="28"/>
        </w:rPr>
        <w:t>21. 开标</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21.1 除非采购代理机构另外书面通知，本项目将按本招标文件《投标须知前附表》中规定的时间和地点开标。</w:t>
      </w:r>
    </w:p>
    <w:p>
      <w:pPr>
        <w:pStyle w:val="64"/>
        <w:spacing w:line="540" w:lineRule="exact"/>
        <w:ind w:firstLine="560"/>
        <w:rPr>
          <w:rFonts w:ascii="仿宋" w:hAnsi="仿宋" w:eastAsia="仿宋"/>
          <w:color w:val="auto"/>
          <w:sz w:val="28"/>
        </w:rPr>
      </w:pPr>
      <w:r>
        <w:rPr>
          <w:rFonts w:hint="eastAsia" w:ascii="仿宋" w:hAnsi="仿宋" w:eastAsia="仿宋"/>
          <w:color w:val="auto"/>
          <w:sz w:val="28"/>
        </w:rPr>
        <w:t>21.2 本项目采用电子开标方式，投标人的法定代表人或其委托代理人无需到达开标现场，仅需在任意地点通过政采云电子开标系统，使用CA密钥完成远程解密、提疑澄清、开标唱标、结果公布等交互环节。</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21.3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64"/>
        <w:spacing w:beforeLines="100" w:afterLines="50" w:line="540" w:lineRule="exact"/>
        <w:jc w:val="center"/>
        <w:rPr>
          <w:rFonts w:ascii="仿宋" w:hAnsi="仿宋" w:eastAsia="仿宋"/>
          <w:b/>
          <w:color w:val="auto"/>
          <w:sz w:val="28"/>
        </w:rPr>
      </w:pPr>
      <w:r>
        <w:rPr>
          <w:rFonts w:hint="eastAsia" w:ascii="仿宋" w:hAnsi="仿宋" w:eastAsia="仿宋"/>
          <w:b/>
          <w:color w:val="auto"/>
          <w:sz w:val="28"/>
        </w:rPr>
        <w:t>六、资格审查</w:t>
      </w:r>
    </w:p>
    <w:p>
      <w:pPr>
        <w:pStyle w:val="64"/>
        <w:spacing w:line="540" w:lineRule="exact"/>
        <w:ind w:firstLine="561"/>
        <w:rPr>
          <w:rFonts w:ascii="仿宋" w:hAnsi="仿宋" w:eastAsia="仿宋"/>
          <w:b/>
          <w:color w:val="auto"/>
          <w:sz w:val="28"/>
        </w:rPr>
      </w:pPr>
      <w:r>
        <w:rPr>
          <w:rFonts w:hint="eastAsia" w:ascii="仿宋" w:hAnsi="仿宋" w:eastAsia="仿宋"/>
          <w:b/>
          <w:color w:val="auto"/>
          <w:sz w:val="28"/>
        </w:rPr>
        <w:t>22. 资格审查</w:t>
      </w:r>
    </w:p>
    <w:p>
      <w:pPr>
        <w:pStyle w:val="64"/>
        <w:spacing w:line="540" w:lineRule="exact"/>
        <w:ind w:firstLine="561"/>
        <w:rPr>
          <w:rFonts w:ascii="仿宋" w:hAnsi="仿宋" w:eastAsia="仿宋"/>
          <w:b/>
          <w:color w:val="auto"/>
          <w:sz w:val="28"/>
        </w:rPr>
      </w:pPr>
      <w:r>
        <w:rPr>
          <w:rFonts w:hint="eastAsia" w:ascii="仿宋" w:hAnsi="仿宋" w:eastAsia="仿宋"/>
          <w:b/>
          <w:color w:val="auto"/>
          <w:sz w:val="28"/>
        </w:rPr>
        <w:t>22.1 开标结束后，采购人按照以下内容对各供应商的投标文件进行资格审查。资格审查不合格的，其投标无效。</w:t>
      </w:r>
    </w:p>
    <w:p>
      <w:pPr>
        <w:pStyle w:val="64"/>
        <w:spacing w:line="540" w:lineRule="exact"/>
        <w:ind w:firstLine="561"/>
        <w:rPr>
          <w:rFonts w:ascii="仿宋" w:hAnsi="仿宋" w:eastAsia="仿宋"/>
          <w:b/>
          <w:color w:val="auto"/>
          <w:sz w:val="28"/>
        </w:rPr>
      </w:pPr>
      <w:r>
        <w:rPr>
          <w:rFonts w:ascii="仿宋" w:hAnsi="仿宋" w:eastAsia="仿宋"/>
          <w:b/>
          <w:color w:val="auto"/>
          <w:sz w:val="28"/>
        </w:rPr>
        <w:t>(1)供应商营业执照或其他组织资格证书，均为证件原件的扫描件</w:t>
      </w:r>
    </w:p>
    <w:p>
      <w:pPr>
        <w:pStyle w:val="64"/>
        <w:spacing w:line="540" w:lineRule="exact"/>
        <w:ind w:firstLine="561"/>
        <w:rPr>
          <w:rFonts w:ascii="仿宋" w:hAnsi="仿宋" w:eastAsia="仿宋" w:cs="Times New Roman"/>
          <w:b/>
          <w:color w:val="auto"/>
          <w:sz w:val="28"/>
        </w:rPr>
      </w:pPr>
      <w:r>
        <w:rPr>
          <w:rFonts w:hint="eastAsia" w:ascii="仿宋" w:hAnsi="仿宋" w:eastAsia="仿宋" w:cs="Times New Roman"/>
          <w:b/>
          <w:color w:val="auto"/>
          <w:sz w:val="28"/>
        </w:rPr>
        <w:t>(2) 第2包所投产品属于第二类医疗器械的，提供有效的行政主管部门颁发的医疗器械经营备案凭证（或医疗器械生产许可证或医疗器械经营许可证或其他医疗器械生产经营许可证明文件）；所投产品属于第三类医疗器械的，提供有效的行政主管部门颁发的医疗器械生产许可证（或医疗器械经营许可证或其他医疗器械生产经营许可证明文件）</w:t>
      </w:r>
      <w:r>
        <w:rPr>
          <w:rFonts w:ascii="仿宋" w:hAnsi="仿宋" w:eastAsia="仿宋" w:cs="Times New Roman"/>
          <w:b/>
          <w:color w:val="auto"/>
          <w:sz w:val="28"/>
        </w:rPr>
        <w:t>，均为证件原件的扫描件</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3</w:t>
      </w:r>
      <w:r>
        <w:rPr>
          <w:rFonts w:ascii="仿宋" w:hAnsi="仿宋" w:eastAsia="仿宋"/>
          <w:b/>
          <w:color w:val="auto"/>
          <w:sz w:val="28"/>
        </w:rPr>
        <w:t>)法定代表人资格证明书和法定代表人身份证，均为原件的扫描件</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4</w:t>
      </w:r>
      <w:r>
        <w:rPr>
          <w:rFonts w:ascii="仿宋" w:hAnsi="仿宋" w:eastAsia="仿宋"/>
          <w:b/>
          <w:color w:val="auto"/>
          <w:sz w:val="28"/>
        </w:rPr>
        <w:t>)法定代表人授权委托书及被授权人身份证，均为原件的扫描件</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5</w:t>
      </w:r>
      <w:r>
        <w:rPr>
          <w:rFonts w:ascii="仿宋" w:hAnsi="仿宋" w:eastAsia="仿宋"/>
          <w:b/>
          <w:color w:val="auto"/>
          <w:sz w:val="28"/>
        </w:rPr>
        <w:t>)供应商近三个月连续依法纳税及缴纳社会保险相关证明资料，扫描件加盖公章</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6</w:t>
      </w:r>
      <w:r>
        <w:rPr>
          <w:rFonts w:ascii="仿宋" w:hAnsi="仿宋" w:eastAsia="仿宋"/>
          <w:b/>
          <w:color w:val="auto"/>
          <w:sz w:val="28"/>
        </w:rPr>
        <w:t>)供应商经审计的202</w:t>
      </w:r>
      <w:r>
        <w:rPr>
          <w:rFonts w:hint="eastAsia" w:ascii="仿宋" w:hAnsi="仿宋" w:eastAsia="仿宋"/>
          <w:b/>
          <w:color w:val="auto"/>
          <w:sz w:val="28"/>
        </w:rPr>
        <w:t>1</w:t>
      </w:r>
      <w:r>
        <w:rPr>
          <w:rFonts w:ascii="仿宋" w:hAnsi="仿宋" w:eastAsia="仿宋"/>
          <w:b/>
          <w:color w:val="auto"/>
          <w:sz w:val="28"/>
        </w:rPr>
        <w:t>年度的财务报告（投标单位成立不满一年的不需提供），扫描件加盖公章</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7</w:t>
      </w:r>
      <w:r>
        <w:rPr>
          <w:rFonts w:ascii="仿宋" w:hAnsi="仿宋" w:eastAsia="仿宋"/>
          <w:b/>
          <w:color w:val="auto"/>
          <w:sz w:val="28"/>
        </w:rPr>
        <w:t>)供应商参加本次政府采购活动前3年内在经营活动中没有重大违法记录的书面声明，原件的扫描件</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8</w:t>
      </w:r>
      <w:r>
        <w:rPr>
          <w:rFonts w:ascii="仿宋" w:hAnsi="仿宋" w:eastAsia="仿宋"/>
          <w:b/>
          <w:color w:val="auto"/>
          <w:sz w:val="28"/>
        </w:rPr>
        <w:t>)投标保证金缴纳凭证（网上或网下支付凭证复印或打印件）</w:t>
      </w:r>
    </w:p>
    <w:p>
      <w:pPr>
        <w:pStyle w:val="64"/>
        <w:spacing w:line="540" w:lineRule="exact"/>
        <w:ind w:firstLine="561"/>
        <w:rPr>
          <w:rFonts w:ascii="仿宋" w:hAnsi="仿宋" w:eastAsia="仿宋"/>
          <w:b/>
          <w:color w:val="auto"/>
          <w:sz w:val="28"/>
        </w:rPr>
      </w:pPr>
      <w:r>
        <w:rPr>
          <w:rFonts w:ascii="仿宋" w:hAnsi="仿宋" w:eastAsia="仿宋"/>
          <w:b/>
          <w:color w:val="auto"/>
          <w:sz w:val="28"/>
        </w:rPr>
        <w:t>(</w:t>
      </w:r>
      <w:r>
        <w:rPr>
          <w:rFonts w:hint="eastAsia" w:ascii="仿宋" w:hAnsi="仿宋" w:eastAsia="仿宋"/>
          <w:b/>
          <w:color w:val="auto"/>
          <w:sz w:val="28"/>
        </w:rPr>
        <w:t>9</w:t>
      </w:r>
      <w:r>
        <w:rPr>
          <w:rFonts w:ascii="仿宋" w:hAnsi="仿宋" w:eastAsia="仿宋"/>
          <w:b/>
          <w:color w:val="auto"/>
          <w:sz w:val="28"/>
        </w:rPr>
        <w:t>)信用查询记录未出现违法或失信情形</w:t>
      </w:r>
      <w:r>
        <w:rPr>
          <w:rFonts w:hint="eastAsia" w:ascii="仿宋" w:hAnsi="仿宋" w:eastAsia="仿宋"/>
          <w:b/>
          <w:color w:val="auto"/>
          <w:sz w:val="28"/>
        </w:rPr>
        <w:t>(未列入“信用中国”网站“失信被执行人”、“政府采购严重违法失信行为记录名单”、“重大税收违法失信主体”、及“中国政府采购网”网站“政府采购严重违法失信行为记录名单”)</w:t>
      </w:r>
    </w:p>
    <w:p>
      <w:pPr>
        <w:pStyle w:val="64"/>
        <w:spacing w:line="540" w:lineRule="exact"/>
        <w:ind w:firstLine="561"/>
        <w:rPr>
          <w:rFonts w:ascii="仿宋" w:hAnsi="仿宋" w:eastAsia="仿宋"/>
          <w:b/>
          <w:color w:val="auto"/>
          <w:sz w:val="28"/>
        </w:rPr>
      </w:pPr>
      <w:r>
        <w:rPr>
          <w:rFonts w:hint="eastAsia" w:ascii="仿宋" w:hAnsi="仿宋" w:eastAsia="仿宋"/>
          <w:color w:val="auto"/>
          <w:sz w:val="28"/>
        </w:rPr>
        <w:t>22.2 合格供应商不足三家的，不进行评标。</w:t>
      </w:r>
    </w:p>
    <w:p>
      <w:pPr>
        <w:pStyle w:val="64"/>
        <w:spacing w:beforeLines="100" w:afterLines="50" w:line="540" w:lineRule="exact"/>
        <w:jc w:val="center"/>
        <w:rPr>
          <w:rFonts w:ascii="仿宋" w:hAnsi="仿宋" w:eastAsia="仿宋"/>
          <w:b/>
          <w:color w:val="auto"/>
          <w:sz w:val="28"/>
        </w:rPr>
      </w:pPr>
      <w:r>
        <w:rPr>
          <w:rFonts w:hint="eastAsia" w:ascii="仿宋" w:hAnsi="仿宋" w:eastAsia="仿宋"/>
          <w:b/>
          <w:color w:val="auto"/>
          <w:sz w:val="28"/>
        </w:rPr>
        <w:t>七、评标和定标</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23. 评标原则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23.1 本项目的评标遵循公平、公正、科学、择优的原则。</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23.2 评标委员会将严格按照《中华人民共和国政府采购法》及其实施条例（658号令）、《政府采购货物和服务招标投标管理办法》（财政部87号令）等相关法律法规的规定依法评标，维护招标投标各方当事人的合法权益。</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23.3 不徇私情，不明招暗定。</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23.4 资格审查合格的供应商，均有同等机会参加竞争。</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23.5 评标人员不得私自泄露评标内容，不得进行旨在影响评标结果公正、公平的任何活动。</w:t>
      </w:r>
    </w:p>
    <w:p>
      <w:pPr>
        <w:pStyle w:val="64"/>
        <w:spacing w:line="540" w:lineRule="exact"/>
        <w:ind w:firstLine="560"/>
        <w:jc w:val="both"/>
        <w:rPr>
          <w:rFonts w:ascii="仿宋" w:hAnsi="仿宋" w:eastAsia="仿宋"/>
          <w:b/>
          <w:color w:val="auto"/>
          <w:sz w:val="28"/>
        </w:rPr>
      </w:pPr>
      <w:r>
        <w:rPr>
          <w:rFonts w:hint="eastAsia" w:ascii="仿宋" w:hAnsi="仿宋" w:eastAsia="仿宋"/>
          <w:b/>
          <w:color w:val="auto"/>
          <w:sz w:val="28"/>
        </w:rPr>
        <w:t>24. 评标方法</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24.1 采购代理机构将根据有关法律法规的规定组建本次招标的评标委员会。评标委员会成员由本行业相关技术、经济等方面的专家组成。其中，技术、经济等方面的专家不少于成员总人数的三分之二。</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24.2 评标的依据为招标文件和投标文件。根据相关法律法规的规定，评标委员会不以任何外部证据作为其评标的依据或标准。</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24.3 评标过程将严格保密。开标后直到授予中标人合同止，凡是属于审查、澄清、评价和比较的有关评标资料以及授标建议等均不得向供应商或其他无关的人员透露。</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24.4 在评标的整个过程中，供应商所进行的旨在影响评标结果的活动，可能导致其投标被拒绝，或者被取消中标资格。</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24.5 本次招标采用综合评分法进行评标。评标分符合性审查和详细评审两个阶段。</w:t>
      </w:r>
    </w:p>
    <w:p>
      <w:pPr>
        <w:pStyle w:val="64"/>
        <w:spacing w:line="540" w:lineRule="exact"/>
        <w:ind w:firstLine="562"/>
        <w:jc w:val="both"/>
        <w:rPr>
          <w:rFonts w:ascii="仿宋" w:hAnsi="仿宋" w:eastAsia="仿宋"/>
          <w:b/>
          <w:color w:val="auto"/>
          <w:sz w:val="28"/>
        </w:rPr>
      </w:pPr>
      <w:r>
        <w:rPr>
          <w:rFonts w:hint="eastAsia" w:ascii="仿宋" w:hAnsi="仿宋" w:eastAsia="仿宋"/>
          <w:b/>
          <w:color w:val="auto"/>
          <w:sz w:val="28"/>
        </w:rPr>
        <w:t>24.5.1 只有通过符合性审查的投标文件才可进入详细评审阶段。</w:t>
      </w:r>
    </w:p>
    <w:p>
      <w:pPr>
        <w:pStyle w:val="64"/>
        <w:spacing w:line="540" w:lineRule="exact"/>
        <w:ind w:firstLine="562"/>
        <w:jc w:val="both"/>
        <w:rPr>
          <w:rFonts w:ascii="仿宋" w:hAnsi="仿宋" w:eastAsia="仿宋"/>
          <w:color w:val="auto"/>
          <w:sz w:val="28"/>
        </w:rPr>
      </w:pPr>
      <w:r>
        <w:rPr>
          <w:rFonts w:hint="eastAsia" w:ascii="仿宋" w:hAnsi="仿宋" w:eastAsia="仿宋"/>
          <w:b/>
          <w:color w:val="auto"/>
          <w:sz w:val="28"/>
        </w:rPr>
        <w:t>24.5.2 详细评审分为商务评审（含投标报价得分计算）和技术评审两个部分。</w:t>
      </w:r>
    </w:p>
    <w:p>
      <w:pPr>
        <w:pStyle w:val="64"/>
        <w:spacing w:line="540" w:lineRule="exact"/>
        <w:ind w:firstLine="560"/>
        <w:jc w:val="both"/>
        <w:rPr>
          <w:rFonts w:ascii="仿宋" w:hAnsi="仿宋" w:eastAsia="仿宋"/>
          <w:color w:val="auto"/>
          <w:sz w:val="28"/>
        </w:rPr>
      </w:pPr>
      <w:r>
        <w:rPr>
          <w:rFonts w:hint="eastAsia" w:ascii="仿宋" w:hAnsi="仿宋" w:eastAsia="仿宋"/>
          <w:color w:val="auto"/>
          <w:sz w:val="28"/>
        </w:rPr>
        <w:t>24.6 符合性审查</w:t>
      </w:r>
    </w:p>
    <w:p>
      <w:pPr>
        <w:pStyle w:val="64"/>
        <w:spacing w:line="540" w:lineRule="exact"/>
        <w:ind w:firstLine="560"/>
        <w:jc w:val="both"/>
        <w:rPr>
          <w:rFonts w:ascii="仿宋" w:hAnsi="仿宋" w:eastAsia="仿宋"/>
          <w:b/>
          <w:color w:val="auto"/>
          <w:sz w:val="28"/>
        </w:rPr>
      </w:pPr>
      <w:r>
        <w:rPr>
          <w:rFonts w:hint="eastAsia" w:ascii="仿宋" w:hAnsi="仿宋" w:eastAsia="仿宋"/>
          <w:color w:val="auto"/>
          <w:sz w:val="28"/>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auto"/>
          <w:sz w:val="28"/>
        </w:rPr>
        <w:t>与招标文件有重大偏离的投标文件将被拒绝，投标无效。具体评审内容系指：</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24.6.1 投标文件组成不完整，主要内容未能按招标文件规定的内容、格式填写、装订；</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24.6.2 投标文件的有效期不满足招标文件的规定；</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24.6.3 投标代表授权书未能由法定代表人签署</w:t>
      </w:r>
      <w:r>
        <w:rPr>
          <w:rFonts w:hint="eastAsia" w:ascii="仿宋" w:hAnsi="仿宋" w:eastAsia="仿宋"/>
          <w:b/>
          <w:sz w:val="28"/>
          <w:lang w:val="zh-CN"/>
        </w:rPr>
        <w:t>并加盖公章</w:t>
      </w:r>
      <w:r>
        <w:rPr>
          <w:rFonts w:hint="eastAsia" w:ascii="仿宋" w:hAnsi="仿宋" w:eastAsia="仿宋"/>
          <w:b/>
          <w:sz w:val="28"/>
        </w:rPr>
        <w:t>；</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24.6.4 投标文件没有按照规定在应由企业法人或法人授权代表在所有规定签章处逐一签署及加盖单位公章的；</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24.6.5 投标文件针对同一种货物出现了两个或两个以上的报价；</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24.6.6 明显不符合招标文件关于对招标货物技术规格和标准的要求；</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24.6.7 投标文件载明的招标项目交货期限超过招标文件规定的期限；</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24.6.8 投标文件载明的供货范围、货物包装方式、检验标准和方法等不符合招标文件的要求；</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24.6.9 供应商的报价超过最高限价；</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24.6.10 投标文件含有采购人不能接受的附加条件；</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b/>
          <w:sz w:val="28"/>
        </w:rPr>
        <w:t>24.6.11 不符合法律、法规和招标文件中规定的其他实质性要求。</w:t>
      </w:r>
    </w:p>
    <w:p>
      <w:pPr>
        <w:pStyle w:val="116"/>
        <w:spacing w:line="540" w:lineRule="exact"/>
        <w:ind w:firstLine="560"/>
        <w:rPr>
          <w:rFonts w:ascii="仿宋" w:hAnsi="仿宋" w:eastAsia="仿宋"/>
        </w:rPr>
      </w:pPr>
      <w:r>
        <w:rPr>
          <w:rFonts w:hint="eastAsia" w:ascii="仿宋" w:hAnsi="仿宋" w:eastAsia="仿宋"/>
        </w:rPr>
        <w:t>24.7 对通过符合性审查的投标文件，评标委员会将对其进行算术性修正。算术性修正是指对投标文件报价出现前后不一致的进行校核，并对其算术上和运算上的差错给予修正。修正的原则如下：</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24.7.1 投标文件中开标一览表内容与投标文件中相应内容不一致的，以开标一览表为准；</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24.7.2 投标文件的大写金额和小写金额不一致的，以大写金额为准；</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24.7.3 单价金额小数点或者百分比有明显错位的，以开标一览表的总价为准，并修改单价；</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24.7.4 总价金额与按单价汇总金额不一致的，以单价金额计算结果为准。</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24.7.5 同时出现两种以上不一致的，按照上述规定的顺序修正。</w:t>
      </w:r>
      <w:r>
        <w:rPr>
          <w:rFonts w:hint="eastAsia" w:ascii="仿宋" w:hAnsi="仿宋" w:eastAsia="仿宋"/>
          <w:b/>
          <w:sz w:val="28"/>
        </w:rPr>
        <w:t>修正后的报价须供应商确认，如果供应商拒绝确认，其投标无效。</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24.7.6 对不同文字文本投标文件的解释发生异议的，以中文文本为准。</w:t>
      </w:r>
    </w:p>
    <w:p>
      <w:pPr>
        <w:pStyle w:val="41"/>
        <w:spacing w:before="0" w:beforeAutospacing="0" w:after="0" w:afterAutospacing="0" w:line="540" w:lineRule="exact"/>
        <w:ind w:firstLine="560" w:firstLineChars="200"/>
        <w:rPr>
          <w:rFonts w:ascii="仿宋" w:hAnsi="仿宋" w:eastAsia="仿宋"/>
          <w:sz w:val="28"/>
        </w:rPr>
      </w:pPr>
      <w:r>
        <w:rPr>
          <w:rFonts w:hint="eastAsia" w:ascii="仿宋" w:hAnsi="仿宋" w:eastAsia="仿宋"/>
          <w:sz w:val="28"/>
        </w:rPr>
        <w:t>24.7.7 评标委员会将拒绝被定为实质上非响应性的投标，供应商不能通过修正或撤销不符之处而使其投标成为响应性投标。</w:t>
      </w:r>
    </w:p>
    <w:p>
      <w:pPr>
        <w:pStyle w:val="41"/>
        <w:spacing w:before="0" w:beforeAutospacing="0" w:after="0" w:afterAutospacing="0" w:line="540" w:lineRule="exact"/>
        <w:ind w:firstLine="560" w:firstLineChars="200"/>
        <w:rPr>
          <w:rFonts w:ascii="仿宋" w:hAnsi="仿宋" w:eastAsia="仿宋"/>
          <w:b/>
          <w:sz w:val="28"/>
        </w:rPr>
      </w:pPr>
      <w:r>
        <w:rPr>
          <w:rFonts w:hint="eastAsia" w:ascii="仿宋" w:hAnsi="仿宋" w:eastAsia="仿宋"/>
          <w:sz w:val="28"/>
        </w:rPr>
        <w:t>24.7.8 评标委员会将允许投标中有微小的不正规、不一致或不规则，而该微小之处不构成重大偏离。</w:t>
      </w:r>
    </w:p>
    <w:p>
      <w:pPr>
        <w:pStyle w:val="204"/>
        <w:spacing w:line="540" w:lineRule="exact"/>
        <w:ind w:firstLine="560"/>
        <w:jc w:val="both"/>
        <w:rPr>
          <w:rFonts w:ascii="仿宋" w:hAnsi="仿宋" w:eastAsia="仿宋"/>
          <w:b w:val="0"/>
          <w:kern w:val="0"/>
          <w:sz w:val="28"/>
        </w:rPr>
      </w:pPr>
      <w:r>
        <w:rPr>
          <w:rFonts w:hint="eastAsia" w:ascii="仿宋" w:hAnsi="仿宋" w:eastAsia="仿宋"/>
          <w:b w:val="0"/>
          <w:kern w:val="0"/>
          <w:sz w:val="28"/>
        </w:rPr>
        <w:t>24.8 详细评审</w:t>
      </w:r>
    </w:p>
    <w:p>
      <w:pPr>
        <w:pStyle w:val="204"/>
        <w:spacing w:line="540" w:lineRule="exact"/>
        <w:ind w:firstLine="560"/>
        <w:jc w:val="both"/>
        <w:rPr>
          <w:rFonts w:ascii="仿宋" w:hAnsi="仿宋" w:eastAsia="仿宋"/>
          <w:b w:val="0"/>
          <w:kern w:val="0"/>
          <w:sz w:val="28"/>
        </w:rPr>
      </w:pPr>
      <w:r>
        <w:rPr>
          <w:rFonts w:hint="eastAsia" w:ascii="仿宋" w:hAnsi="仿宋" w:eastAsia="仿宋"/>
          <w:b w:val="0"/>
          <w:kern w:val="0"/>
          <w:sz w:val="28"/>
        </w:rPr>
        <w:t>24.8.1 评标委员会对符合性审查合格的投标文件进行商务和技术评审，综合比较与评价。以投标文件能最大限度地满足招标文件中规定的各项评价标准为依据，独立地对各投标文件进行评审和打分。</w:t>
      </w:r>
    </w:p>
    <w:p>
      <w:pPr>
        <w:pStyle w:val="204"/>
        <w:spacing w:line="540" w:lineRule="exact"/>
        <w:ind w:firstLine="562"/>
        <w:jc w:val="left"/>
        <w:rPr>
          <w:rFonts w:ascii="仿宋" w:hAnsi="仿宋" w:eastAsia="仿宋"/>
          <w:sz w:val="28"/>
        </w:rPr>
      </w:pPr>
      <w:r>
        <w:rPr>
          <w:rFonts w:hint="eastAsia" w:ascii="仿宋" w:hAnsi="仿宋" w:eastAsia="仿宋"/>
          <w:sz w:val="28"/>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pPr>
        <w:pStyle w:val="204"/>
        <w:spacing w:line="540" w:lineRule="exact"/>
        <w:ind w:left="0" w:leftChars="0" w:firstLine="0" w:firstLineChars="0"/>
        <w:jc w:val="both"/>
        <w:rPr>
          <w:rFonts w:hint="eastAsia" w:ascii="仿宋" w:hAnsi="仿宋" w:eastAsia="仿宋"/>
          <w:sz w:val="28"/>
        </w:rPr>
      </w:pPr>
      <w:r>
        <w:rPr>
          <w:rFonts w:hint="eastAsia" w:ascii="仿宋" w:hAnsi="仿宋" w:eastAsia="仿宋"/>
          <w:sz w:val="28"/>
        </w:rPr>
        <w:t>具体分值见下表：</w:t>
      </w:r>
    </w:p>
    <w:p>
      <w:pPr>
        <w:pStyle w:val="204"/>
        <w:spacing w:line="540" w:lineRule="exact"/>
        <w:ind w:left="0" w:leftChars="0" w:firstLine="0" w:firstLineChars="0"/>
        <w:jc w:val="both"/>
        <w:rPr>
          <w:rFonts w:hint="eastAsia" w:ascii="仿宋" w:hAnsi="仿宋" w:eastAsia="仿宋"/>
          <w:sz w:val="28"/>
        </w:rPr>
      </w:pPr>
    </w:p>
    <w:tbl>
      <w:tblPr>
        <w:tblStyle w:val="43"/>
        <w:tblW w:w="938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708"/>
        <w:gridCol w:w="745"/>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noWrap/>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分项</w:t>
            </w: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评标内容</w:t>
            </w:r>
          </w:p>
        </w:tc>
        <w:tc>
          <w:tcPr>
            <w:tcW w:w="745" w:type="dxa"/>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满分分值</w:t>
            </w:r>
          </w:p>
        </w:tc>
        <w:tc>
          <w:tcPr>
            <w:tcW w:w="5501" w:type="dxa"/>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35" w:type="dxa"/>
            <w:noWrap/>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价格部分</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（30分）</w:t>
            </w:r>
          </w:p>
        </w:tc>
        <w:tc>
          <w:tcPr>
            <w:tcW w:w="2453" w:type="dxa"/>
            <w:gridSpan w:val="2"/>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30分</w:t>
            </w:r>
          </w:p>
        </w:tc>
        <w:tc>
          <w:tcPr>
            <w:tcW w:w="5501" w:type="dxa"/>
            <w:noWrap w:val="0"/>
            <w:tcMar>
              <w:top w:w="57" w:type="dxa"/>
              <w:bottom w:w="57" w:type="dxa"/>
            </w:tcMar>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采用低价优先法计算，即满足招标文件要求且投标价格最低的投标报价为评标基准价，其价格得分为满分。投标报价得分=(评标基准价／投标报价)×30%×100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35" w:type="dxa"/>
            <w:vMerge w:val="restart"/>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商务因素</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w:t>
            </w:r>
            <w:r>
              <w:rPr>
                <w:rFonts w:hint="eastAsia" w:ascii="仿宋" w:hAnsi="仿宋" w:eastAsia="仿宋" w:cs="宋体"/>
                <w:kern w:val="0"/>
                <w:sz w:val="24"/>
                <w:szCs w:val="24"/>
              </w:rPr>
              <w:t>分）</w:t>
            </w:r>
          </w:p>
        </w:tc>
        <w:tc>
          <w:tcPr>
            <w:tcW w:w="1708" w:type="dxa"/>
            <w:noWrap w:val="0"/>
            <w:tcMar>
              <w:top w:w="57" w:type="dxa"/>
              <w:bottom w:w="57" w:type="dxa"/>
            </w:tcMar>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仿宋"/>
                <w:color w:val="000000"/>
                <w:kern w:val="0"/>
                <w:sz w:val="24"/>
                <w:szCs w:val="24"/>
                <w:lang w:val="en-US" w:eastAsia="zh-CN" w:bidi="ar"/>
              </w:rPr>
              <w:t>交货期</w:t>
            </w:r>
          </w:p>
        </w:tc>
        <w:tc>
          <w:tcPr>
            <w:tcW w:w="745" w:type="dxa"/>
            <w:noWrap w:val="0"/>
            <w:tcMar>
              <w:top w:w="57" w:type="dxa"/>
              <w:bottom w:w="57" w:type="dxa"/>
            </w:tcMar>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仿宋"/>
                <w:color w:val="000000"/>
                <w:kern w:val="0"/>
                <w:sz w:val="24"/>
                <w:szCs w:val="24"/>
                <w:lang w:val="en-US" w:eastAsia="zh-CN" w:bidi="ar"/>
              </w:rPr>
              <w:t>1分</w:t>
            </w:r>
          </w:p>
        </w:tc>
        <w:tc>
          <w:tcPr>
            <w:tcW w:w="5501" w:type="dxa"/>
            <w:noWrap w:val="0"/>
            <w:tcMar>
              <w:top w:w="57" w:type="dxa"/>
              <w:bottom w:w="57" w:type="dxa"/>
            </w:tcMar>
            <w:vAlign w:val="center"/>
          </w:tcPr>
          <w:p>
            <w:pPr>
              <w:widowControl/>
              <w:jc w:val="left"/>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满足招标文件要求得</w:t>
            </w:r>
            <w:r>
              <w:rPr>
                <w:rFonts w:hint="eastAsia" w:ascii="仿宋" w:hAnsi="仿宋" w:eastAsia="仿宋" w:cs="仿宋"/>
                <w:color w:val="000000"/>
                <w:kern w:val="0"/>
                <w:sz w:val="24"/>
                <w:szCs w:val="24"/>
                <w:lang w:val="en-US" w:eastAsia="zh-CN" w:bidi="ar"/>
              </w:rPr>
              <w:t>0.5</w:t>
            </w:r>
            <w:r>
              <w:rPr>
                <w:rFonts w:hint="eastAsia" w:ascii="仿宋" w:hAnsi="仿宋" w:eastAsia="仿宋" w:cs="仿宋"/>
                <w:color w:val="000000"/>
                <w:kern w:val="0"/>
                <w:sz w:val="24"/>
                <w:szCs w:val="24"/>
                <w:lang w:bidi="ar"/>
              </w:rPr>
              <w:t>分，优于招标文件得</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企业综合实力</w:t>
            </w:r>
          </w:p>
        </w:tc>
        <w:tc>
          <w:tcPr>
            <w:tcW w:w="745" w:type="dxa"/>
            <w:noWrap w:val="0"/>
            <w:tcMar>
              <w:top w:w="57" w:type="dxa"/>
              <w:bottom w:w="57" w:type="dxa"/>
            </w:tcMar>
            <w:vAlign w:val="center"/>
          </w:tcPr>
          <w:p>
            <w:pPr>
              <w:widowControl/>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2分</w:t>
            </w:r>
          </w:p>
        </w:tc>
        <w:tc>
          <w:tcPr>
            <w:tcW w:w="5501" w:type="dxa"/>
            <w:noWrap w:val="0"/>
            <w:tcMar>
              <w:top w:w="57" w:type="dxa"/>
              <w:bottom w:w="57" w:type="dxa"/>
            </w:tcMar>
            <w:vAlign w:val="center"/>
          </w:tcPr>
          <w:p>
            <w:pPr>
              <w:widowControl/>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企业信用等级、商业信誉、用户履约评价等优良相关证明文件；并能提供相关证明文件进行综合打分；优得2分；一般得1分。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项目能力履行情况</w:t>
            </w:r>
          </w:p>
        </w:tc>
        <w:tc>
          <w:tcPr>
            <w:tcW w:w="745" w:type="dxa"/>
            <w:noWrap w:val="0"/>
            <w:tcMar>
              <w:top w:w="57" w:type="dxa"/>
              <w:bottom w:w="57" w:type="dxa"/>
            </w:tcMar>
            <w:vAlign w:val="center"/>
          </w:tcPr>
          <w:p>
            <w:pPr>
              <w:widowControl/>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3分</w:t>
            </w:r>
          </w:p>
        </w:tc>
        <w:tc>
          <w:tcPr>
            <w:tcW w:w="5501" w:type="dxa"/>
            <w:noWrap w:val="0"/>
            <w:tcMar>
              <w:top w:w="57" w:type="dxa"/>
              <w:bottom w:w="57" w:type="dxa"/>
            </w:tcMar>
            <w:vAlign w:val="center"/>
          </w:tcPr>
          <w:p>
            <w:pPr>
              <w:widowControl/>
              <w:jc w:val="both"/>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履行合同能力等资料综合评定，优得3分，良得2分，一般得1分。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仿宋"/>
                <w:color w:val="000000"/>
                <w:kern w:val="0"/>
                <w:sz w:val="24"/>
                <w:szCs w:val="24"/>
                <w:lang w:val="en-US" w:eastAsia="zh-CN" w:bidi="ar"/>
              </w:rPr>
            </w:pPr>
            <w:r>
              <w:rPr>
                <w:rFonts w:hint="eastAsia" w:ascii="仿宋" w:hAnsi="仿宋" w:eastAsia="仿宋" w:cs="宋体"/>
                <w:kern w:val="0"/>
                <w:sz w:val="24"/>
                <w:szCs w:val="24"/>
              </w:rPr>
              <w:t>质保年限</w:t>
            </w:r>
          </w:p>
        </w:tc>
        <w:tc>
          <w:tcPr>
            <w:tcW w:w="745" w:type="dxa"/>
            <w:noWrap w:val="0"/>
            <w:tcMar>
              <w:top w:w="57" w:type="dxa"/>
              <w:bottom w:w="57" w:type="dxa"/>
            </w:tcMar>
            <w:vAlign w:val="center"/>
          </w:tcPr>
          <w:p>
            <w:pPr>
              <w:widowControl/>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2分</w:t>
            </w:r>
          </w:p>
        </w:tc>
        <w:tc>
          <w:tcPr>
            <w:tcW w:w="5501" w:type="dxa"/>
            <w:noWrap w:val="0"/>
            <w:tcMar>
              <w:top w:w="57" w:type="dxa"/>
              <w:bottom w:w="57" w:type="dxa"/>
            </w:tcMar>
            <w:vAlign w:val="center"/>
          </w:tcPr>
          <w:p>
            <w:pPr>
              <w:widowControl/>
              <w:jc w:val="both"/>
              <w:rPr>
                <w:rFonts w:hint="eastAsia" w:ascii="仿宋" w:hAnsi="仿宋" w:eastAsia="仿宋" w:cs="仿宋"/>
                <w:color w:val="000000"/>
                <w:kern w:val="0"/>
                <w:sz w:val="24"/>
                <w:szCs w:val="24"/>
                <w:lang w:val="en-US" w:eastAsia="zh-CN" w:bidi="ar"/>
              </w:rPr>
            </w:pPr>
            <w:r>
              <w:rPr>
                <w:rFonts w:hint="eastAsia" w:ascii="仿宋" w:hAnsi="仿宋" w:eastAsia="仿宋" w:cs="宋体"/>
                <w:kern w:val="0"/>
                <w:sz w:val="24"/>
              </w:rPr>
              <w:t>满足招标文件质保年限的得基本分</w:t>
            </w:r>
            <w:r>
              <w:rPr>
                <w:rFonts w:hint="eastAsia" w:ascii="仿宋" w:hAnsi="仿宋" w:eastAsia="仿宋" w:cs="宋体"/>
                <w:kern w:val="0"/>
                <w:sz w:val="24"/>
                <w:lang w:val="en-US" w:eastAsia="zh-CN"/>
              </w:rPr>
              <w:t>1</w:t>
            </w:r>
            <w:r>
              <w:rPr>
                <w:rFonts w:hint="eastAsia" w:ascii="仿宋" w:hAnsi="仿宋" w:eastAsia="仿宋" w:cs="宋体"/>
                <w:kern w:val="0"/>
                <w:sz w:val="24"/>
              </w:rPr>
              <w:t>分，每增加一年加</w:t>
            </w:r>
            <w:r>
              <w:rPr>
                <w:rFonts w:hint="eastAsia" w:ascii="仿宋" w:hAnsi="仿宋" w:eastAsia="仿宋" w:cs="宋体"/>
                <w:kern w:val="0"/>
                <w:sz w:val="24"/>
                <w:lang w:val="en-US" w:eastAsia="zh-CN"/>
              </w:rPr>
              <w:t>0.5</w:t>
            </w:r>
            <w:r>
              <w:rPr>
                <w:rFonts w:hint="eastAsia" w:ascii="仿宋" w:hAnsi="仿宋" w:eastAsia="仿宋" w:cs="宋体"/>
                <w:kern w:val="0"/>
                <w:sz w:val="24"/>
              </w:rPr>
              <w:t>分，此项最高不超过2分；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业绩</w:t>
            </w:r>
          </w:p>
        </w:tc>
        <w:tc>
          <w:tcPr>
            <w:tcW w:w="745" w:type="dxa"/>
            <w:noWrap w:val="0"/>
            <w:tcMar>
              <w:top w:w="57" w:type="dxa"/>
              <w:bottom w:w="57" w:type="dxa"/>
            </w:tcMar>
            <w:vAlign w:val="center"/>
          </w:tcPr>
          <w:p>
            <w:pPr>
              <w:widowControl/>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2分</w:t>
            </w:r>
          </w:p>
        </w:tc>
        <w:tc>
          <w:tcPr>
            <w:tcW w:w="5501" w:type="dxa"/>
            <w:noWrap w:val="0"/>
            <w:tcMar>
              <w:top w:w="57" w:type="dxa"/>
              <w:bottom w:w="57" w:type="dxa"/>
            </w:tcMar>
            <w:vAlign w:val="center"/>
          </w:tcPr>
          <w:p>
            <w:pPr>
              <w:widowControl/>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投标人具有近三年类似项目相关业绩，每提供一个得1分，最高得2分（需提供中标通知书或采购合同关键页复印件，加盖投标人公章）。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restart"/>
            <w:noWrap/>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技术因素</w:t>
            </w:r>
          </w:p>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r>
              <w:rPr>
                <w:rFonts w:ascii="仿宋" w:hAnsi="仿宋" w:eastAsia="仿宋" w:cs="宋体"/>
                <w:kern w:val="0"/>
                <w:sz w:val="24"/>
                <w:szCs w:val="24"/>
              </w:rPr>
              <w:t>0</w:t>
            </w:r>
            <w:r>
              <w:rPr>
                <w:rFonts w:hint="eastAsia" w:ascii="仿宋" w:hAnsi="仿宋" w:eastAsia="仿宋" w:cs="宋体"/>
                <w:kern w:val="0"/>
                <w:sz w:val="24"/>
                <w:szCs w:val="24"/>
              </w:rPr>
              <w:t>分）</w:t>
            </w: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rPr>
              <w:t>技术参数响应</w:t>
            </w:r>
          </w:p>
        </w:tc>
        <w:tc>
          <w:tcPr>
            <w:tcW w:w="745" w:type="dxa"/>
            <w:noWrap w:val="0"/>
            <w:tcMar>
              <w:top w:w="57" w:type="dxa"/>
              <w:bottom w:w="57" w:type="dxa"/>
            </w:tcMar>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bidi="ar-SA"/>
              </w:rPr>
              <w:t>30分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rPr>
              <w:t>技术参数满足招标文件要求得30分；技术参数不满足*号条款的每偏离一条扣除3分；其他技术条款每偏离一条扣除1分，最低得0分。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rPr>
              <w:t>技术水平</w:t>
            </w:r>
          </w:p>
        </w:tc>
        <w:tc>
          <w:tcPr>
            <w:tcW w:w="745"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rPr>
            </w:pPr>
            <w:r>
              <w:rPr>
                <w:rFonts w:hint="eastAsia" w:ascii="仿宋" w:hAnsi="仿宋" w:eastAsia="仿宋" w:cs="宋体"/>
                <w:kern w:val="0"/>
                <w:sz w:val="24"/>
              </w:rPr>
              <w:t>投标产品的技术水平完全满足采购单位使用要求，且产品采用新技术、新工艺、新材料、节能环保等要求的；得4-</w:t>
            </w:r>
            <w:r>
              <w:rPr>
                <w:rFonts w:hint="eastAsia" w:ascii="仿宋" w:hAnsi="仿宋" w:eastAsia="仿宋" w:cs="宋体"/>
                <w:kern w:val="0"/>
                <w:sz w:val="24"/>
                <w:lang w:val="en-US" w:eastAsia="zh-CN"/>
              </w:rPr>
              <w:t>5</w:t>
            </w:r>
            <w:r>
              <w:rPr>
                <w:rFonts w:hint="eastAsia" w:ascii="仿宋" w:hAnsi="仿宋" w:eastAsia="仿宋" w:cs="宋体"/>
                <w:kern w:val="0"/>
                <w:sz w:val="24"/>
              </w:rPr>
              <w:t>分。投标产品的技术水平基本满足采购单位使用要求，且产品采用新技术、新工艺、新材料、节能环保等要求的；得2-</w:t>
            </w:r>
            <w:r>
              <w:rPr>
                <w:rFonts w:hint="eastAsia" w:ascii="仿宋" w:hAnsi="仿宋" w:eastAsia="仿宋" w:cs="宋体"/>
                <w:kern w:val="0"/>
                <w:sz w:val="24"/>
                <w:lang w:val="en-US" w:eastAsia="zh-CN"/>
              </w:rPr>
              <w:t>3</w:t>
            </w:r>
            <w:r>
              <w:rPr>
                <w:rFonts w:hint="eastAsia" w:ascii="仿宋" w:hAnsi="仿宋" w:eastAsia="仿宋" w:cs="宋体"/>
                <w:kern w:val="0"/>
                <w:sz w:val="24"/>
              </w:rPr>
              <w:t>分。投标产品的技术水平一般，且产品未采用新技术、新工艺、新材料、节能环保等要求的；得0-</w:t>
            </w:r>
            <w:r>
              <w:rPr>
                <w:rFonts w:hint="eastAsia" w:ascii="仿宋" w:hAnsi="仿宋" w:eastAsia="仿宋" w:cs="宋体"/>
                <w:kern w:val="0"/>
                <w:sz w:val="24"/>
                <w:lang w:val="en-US" w:eastAsia="zh-CN"/>
              </w:rPr>
              <w:t>1</w:t>
            </w:r>
            <w:r>
              <w:rPr>
                <w:rFonts w:hint="eastAsia" w:ascii="仿宋" w:hAnsi="仿宋" w:eastAsia="仿宋" w:cs="宋体"/>
                <w:kern w:val="0"/>
                <w:sz w:val="24"/>
              </w:rPr>
              <w:t>分。</w:t>
            </w:r>
            <w:r>
              <w:rPr>
                <w:rFonts w:hint="eastAsia" w:ascii="仿宋" w:hAnsi="仿宋" w:eastAsia="仿宋"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功能</w:t>
            </w:r>
          </w:p>
        </w:tc>
        <w:tc>
          <w:tcPr>
            <w:tcW w:w="745"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rPr>
            </w:pPr>
            <w:r>
              <w:rPr>
                <w:rFonts w:hint="eastAsia" w:ascii="仿宋" w:hAnsi="仿宋" w:eastAsia="仿宋" w:cs="宋体"/>
                <w:kern w:val="0"/>
                <w:sz w:val="24"/>
              </w:rPr>
              <w:t>投标产品整体配套性、经济性、先进性、稳定性全部符合或优于招标文件要求的；得4-</w:t>
            </w:r>
            <w:r>
              <w:rPr>
                <w:rFonts w:hint="eastAsia" w:ascii="仿宋" w:hAnsi="仿宋" w:eastAsia="仿宋" w:cs="宋体"/>
                <w:kern w:val="0"/>
                <w:sz w:val="24"/>
                <w:lang w:val="en-US" w:eastAsia="zh-CN"/>
              </w:rPr>
              <w:t>5</w:t>
            </w:r>
            <w:r>
              <w:rPr>
                <w:rFonts w:hint="eastAsia" w:ascii="仿宋" w:hAnsi="仿宋" w:eastAsia="仿宋" w:cs="宋体"/>
                <w:kern w:val="0"/>
                <w:sz w:val="24"/>
              </w:rPr>
              <w:t>分。投标产品整体配套性、经济性、先进性、稳定性基本满足招标文件要求的；得2-</w:t>
            </w:r>
            <w:r>
              <w:rPr>
                <w:rFonts w:hint="eastAsia" w:ascii="仿宋" w:hAnsi="仿宋" w:eastAsia="仿宋" w:cs="宋体"/>
                <w:kern w:val="0"/>
                <w:sz w:val="24"/>
                <w:lang w:val="en-US" w:eastAsia="zh-CN"/>
              </w:rPr>
              <w:t>3</w:t>
            </w:r>
            <w:r>
              <w:rPr>
                <w:rFonts w:hint="eastAsia" w:ascii="仿宋" w:hAnsi="仿宋" w:eastAsia="仿宋" w:cs="宋体"/>
                <w:kern w:val="0"/>
                <w:sz w:val="24"/>
              </w:rPr>
              <w:t>分。投标产品整体配套性、经济性、先进性、稳定性一般的；得0-</w:t>
            </w:r>
            <w:r>
              <w:rPr>
                <w:rFonts w:hint="eastAsia" w:ascii="仿宋" w:hAnsi="仿宋" w:eastAsia="仿宋" w:cs="宋体"/>
                <w:kern w:val="0"/>
                <w:sz w:val="24"/>
                <w:lang w:val="en-US" w:eastAsia="zh-CN"/>
              </w:rPr>
              <w:t>1</w:t>
            </w:r>
            <w:r>
              <w:rPr>
                <w:rFonts w:hint="eastAsia" w:ascii="仿宋" w:hAnsi="仿宋" w:eastAsia="仿宋"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rPr>
              <w:t>优惠承诺方案</w:t>
            </w:r>
          </w:p>
        </w:tc>
        <w:tc>
          <w:tcPr>
            <w:tcW w:w="745" w:type="dxa"/>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分</w:t>
            </w:r>
          </w:p>
        </w:tc>
        <w:tc>
          <w:tcPr>
            <w:tcW w:w="5501" w:type="dxa"/>
            <w:noWrap w:val="0"/>
            <w:tcMar>
              <w:top w:w="57" w:type="dxa"/>
              <w:bottom w:w="57" w:type="dxa"/>
            </w:tcMar>
            <w:vAlign w:val="center"/>
          </w:tcPr>
          <w:p>
            <w:pPr>
              <w:pStyle w:val="115"/>
              <w:widowControl/>
              <w:ind w:firstLine="0" w:firstLineChars="0"/>
              <w:jc w:val="left"/>
              <w:rPr>
                <w:rFonts w:hint="default" w:ascii="仿宋" w:hAnsi="仿宋" w:eastAsia="仿宋" w:cs="宋体"/>
                <w:kern w:val="0"/>
                <w:sz w:val="24"/>
                <w:lang w:val="en-US"/>
              </w:rPr>
            </w:pPr>
            <w:r>
              <w:rPr>
                <w:rFonts w:hint="eastAsia" w:ascii="仿宋_GB2312" w:hAnsi="宋体" w:eastAsia="仿宋_GB2312"/>
                <w:color w:val="000000"/>
                <w:kern w:val="0"/>
                <w:sz w:val="24"/>
                <w:szCs w:val="24"/>
              </w:rPr>
              <w:t>由评审委员会根据相应</w:t>
            </w:r>
            <w:r>
              <w:rPr>
                <w:rFonts w:hint="eastAsia" w:ascii="仿宋" w:hAnsi="仿宋" w:eastAsia="仿宋" w:cs="宋体"/>
                <w:kern w:val="0"/>
                <w:sz w:val="24"/>
              </w:rPr>
              <w:t>优惠承诺</w:t>
            </w:r>
            <w:r>
              <w:rPr>
                <w:rFonts w:hint="eastAsia" w:ascii="仿宋_GB2312" w:hAnsi="宋体" w:eastAsia="仿宋_GB2312"/>
                <w:color w:val="000000"/>
                <w:kern w:val="0"/>
                <w:sz w:val="24"/>
                <w:szCs w:val="24"/>
              </w:rPr>
              <w:t>方案给与评分。</w:t>
            </w:r>
            <w:r>
              <w:rPr>
                <w:rFonts w:hint="eastAsia" w:ascii="仿宋" w:hAnsi="仿宋" w:eastAsia="仿宋" w:cs="宋体"/>
                <w:kern w:val="0"/>
                <w:sz w:val="24"/>
              </w:rPr>
              <w:t>优惠承诺方案</w:t>
            </w:r>
            <w:r>
              <w:rPr>
                <w:rFonts w:hint="eastAsia" w:ascii="仿宋" w:hAnsi="仿宋" w:eastAsia="仿宋" w:cs="宋体"/>
                <w:kern w:val="0"/>
                <w:sz w:val="24"/>
                <w:lang w:val="en-US" w:eastAsia="zh-CN"/>
              </w:rPr>
              <w:t>内容优秀</w:t>
            </w:r>
            <w:r>
              <w:rPr>
                <w:rFonts w:hint="eastAsia" w:ascii="仿宋" w:hAnsi="仿宋" w:eastAsia="仿宋" w:cs="宋体"/>
                <w:kern w:val="0"/>
                <w:sz w:val="24"/>
              </w:rPr>
              <w:t>得</w:t>
            </w:r>
            <w:r>
              <w:rPr>
                <w:rFonts w:hint="eastAsia" w:ascii="仿宋" w:hAnsi="仿宋" w:eastAsia="仿宋" w:cs="宋体"/>
                <w:kern w:val="0"/>
                <w:sz w:val="24"/>
                <w:lang w:val="en-US" w:eastAsia="zh-CN"/>
              </w:rPr>
              <w:t>2</w:t>
            </w:r>
            <w:r>
              <w:rPr>
                <w:rFonts w:hint="eastAsia" w:ascii="仿宋" w:hAnsi="仿宋" w:eastAsia="仿宋" w:cs="宋体"/>
                <w:kern w:val="0"/>
                <w:sz w:val="24"/>
              </w:rPr>
              <w:t>分</w:t>
            </w:r>
            <w:r>
              <w:rPr>
                <w:rFonts w:hint="eastAsia" w:ascii="仿宋" w:hAnsi="仿宋" w:eastAsia="仿宋" w:cs="宋体"/>
                <w:kern w:val="0"/>
                <w:sz w:val="24"/>
                <w:lang w:eastAsia="zh-CN"/>
              </w:rPr>
              <w:t>；</w:t>
            </w:r>
            <w:r>
              <w:rPr>
                <w:rFonts w:hint="eastAsia" w:ascii="仿宋" w:hAnsi="仿宋" w:eastAsia="仿宋" w:cs="宋体"/>
                <w:kern w:val="0"/>
                <w:sz w:val="24"/>
              </w:rPr>
              <w:t>优惠承诺方案</w:t>
            </w:r>
            <w:r>
              <w:rPr>
                <w:rFonts w:hint="eastAsia" w:ascii="仿宋" w:hAnsi="仿宋" w:eastAsia="仿宋" w:cs="宋体"/>
                <w:kern w:val="0"/>
                <w:sz w:val="24"/>
                <w:lang w:val="en-US" w:eastAsia="zh-CN"/>
              </w:rPr>
              <w:t>内容</w:t>
            </w:r>
            <w:r>
              <w:rPr>
                <w:rFonts w:hint="eastAsia" w:ascii="仿宋" w:hAnsi="仿宋" w:eastAsia="仿宋" w:cs="宋体"/>
                <w:kern w:val="0"/>
                <w:sz w:val="24"/>
              </w:rPr>
              <w:t>一般得</w:t>
            </w:r>
            <w:r>
              <w:rPr>
                <w:rFonts w:hint="eastAsia" w:ascii="仿宋" w:hAnsi="仿宋" w:eastAsia="仿宋" w:cs="宋体"/>
                <w:kern w:val="0"/>
                <w:sz w:val="24"/>
                <w:lang w:val="en-US" w:eastAsia="zh-CN"/>
              </w:rPr>
              <w:t>1</w:t>
            </w:r>
            <w:r>
              <w:rPr>
                <w:rFonts w:hint="eastAsia" w:ascii="仿宋" w:hAnsi="仿宋" w:eastAsia="仿宋"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辅件</w:t>
            </w:r>
          </w:p>
        </w:tc>
        <w:tc>
          <w:tcPr>
            <w:tcW w:w="745"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rPr>
            </w:pPr>
            <w:r>
              <w:rPr>
                <w:rFonts w:hint="eastAsia" w:ascii="仿宋" w:hAnsi="仿宋" w:eastAsia="仿宋" w:cs="宋体"/>
                <w:kern w:val="0"/>
                <w:sz w:val="24"/>
              </w:rPr>
              <w:t>所配备的辅件、附件、零部件的供应情况及耐用性和使用寿命等满足招标项目需要得1分，优于得2分。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故障响应时间</w:t>
            </w:r>
          </w:p>
        </w:tc>
        <w:tc>
          <w:tcPr>
            <w:tcW w:w="745"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rPr>
            </w:pPr>
            <w:r>
              <w:rPr>
                <w:rFonts w:hint="eastAsia" w:ascii="仿宋" w:hAnsi="仿宋" w:eastAsia="仿宋" w:cs="宋体"/>
                <w:kern w:val="0"/>
                <w:sz w:val="24"/>
              </w:rPr>
              <w:t>故障响应时间、维修处理措施的承诺及内容符合招标文件要求得1分；优于其他投标人的得2分；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售后服务承诺</w:t>
            </w:r>
          </w:p>
        </w:tc>
        <w:tc>
          <w:tcPr>
            <w:tcW w:w="745" w:type="dxa"/>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rPr>
            </w:pPr>
            <w:r>
              <w:rPr>
                <w:rFonts w:hint="eastAsia" w:ascii="仿宋" w:hAnsi="仿宋" w:eastAsia="仿宋" w:cs="宋体"/>
                <w:color w:val="auto"/>
                <w:kern w:val="0"/>
                <w:sz w:val="24"/>
                <w:szCs w:val="24"/>
              </w:rPr>
              <w:t>供应商提供详细售后服务(包括</w:t>
            </w:r>
            <w:r>
              <w:rPr>
                <w:rFonts w:hint="eastAsia" w:ascii="仿宋" w:hAnsi="仿宋" w:eastAsia="仿宋" w:cs="宋体"/>
                <w:color w:val="auto"/>
                <w:kern w:val="0"/>
                <w:sz w:val="24"/>
                <w:szCs w:val="24"/>
                <w:lang w:eastAsia="zh-CN"/>
              </w:rPr>
              <w:t>但不限于</w:t>
            </w:r>
            <w:r>
              <w:rPr>
                <w:rFonts w:hint="eastAsia" w:ascii="仿宋" w:hAnsi="仿宋" w:eastAsia="仿宋" w:cs="宋体"/>
                <w:color w:val="auto"/>
                <w:kern w:val="0"/>
                <w:sz w:val="24"/>
                <w:szCs w:val="24"/>
              </w:rPr>
              <w:t>：服务承诺、服务原则与策略、技术服务优势、运维管理制度、服务指标与标准、服务相关提交文档、应急处理方案、运维服务方案</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培训服务</w:t>
            </w:r>
            <w:r>
              <w:rPr>
                <w:rFonts w:hint="eastAsia" w:ascii="仿宋" w:hAnsi="仿宋" w:eastAsia="仿宋" w:cs="宋体"/>
                <w:color w:val="auto"/>
                <w:kern w:val="0"/>
                <w:sz w:val="24"/>
                <w:szCs w:val="24"/>
              </w:rPr>
              <w:t>等)，根据方案完整性、全面性、合理性、可行性等方面，由评委进行横向评比。</w:t>
            </w:r>
            <w:r>
              <w:rPr>
                <w:rFonts w:hint="eastAsia" w:ascii="仿宋" w:hAnsi="仿宋" w:eastAsia="仿宋" w:cs="宋体"/>
                <w:color w:val="auto"/>
                <w:kern w:val="0"/>
                <w:sz w:val="24"/>
                <w:szCs w:val="24"/>
                <w:lang w:val="en-US" w:eastAsia="zh-Hans"/>
              </w:rPr>
              <w:t>方案描述详细</w:t>
            </w:r>
            <w:r>
              <w:rPr>
                <w:rFonts w:hint="eastAsia" w:ascii="仿宋" w:hAnsi="仿宋" w:eastAsia="仿宋" w:cs="宋体"/>
                <w:color w:val="auto"/>
                <w:kern w:val="0"/>
                <w:sz w:val="24"/>
                <w:szCs w:val="24"/>
                <w:lang w:val="en-US" w:eastAsia="zh-CN"/>
              </w:rPr>
              <w:t>内容全面能体现以上所要求内容</w:t>
            </w:r>
            <w:r>
              <w:rPr>
                <w:rFonts w:hint="eastAsia" w:ascii="仿宋" w:hAnsi="仿宋" w:eastAsia="仿宋" w:cs="宋体"/>
                <w:color w:val="auto"/>
                <w:kern w:val="0"/>
                <w:sz w:val="24"/>
                <w:szCs w:val="24"/>
                <w:lang w:val="en-US" w:eastAsia="zh-Hans"/>
              </w:rPr>
              <w:t>的得</w:t>
            </w:r>
            <w:r>
              <w:rPr>
                <w:rFonts w:hint="eastAsia" w:ascii="仿宋" w:hAnsi="仿宋" w:eastAsia="仿宋" w:cs="宋体"/>
                <w:color w:val="auto"/>
                <w:kern w:val="0"/>
                <w:sz w:val="24"/>
                <w:szCs w:val="24"/>
                <w:lang w:val="en-US" w:eastAsia="zh-CN"/>
              </w:rPr>
              <w:t>8</w:t>
            </w:r>
            <w:r>
              <w:rPr>
                <w:rFonts w:hint="eastAsia" w:ascii="仿宋" w:hAnsi="仿宋" w:eastAsia="仿宋" w:cs="宋体"/>
                <w:kern w:val="0"/>
                <w:sz w:val="24"/>
                <w:szCs w:val="24"/>
              </w:rPr>
              <w:t>-1</w:t>
            </w:r>
            <w:r>
              <w:rPr>
                <w:rFonts w:hint="eastAsia" w:ascii="仿宋" w:hAnsi="仿宋" w:eastAsia="仿宋" w:cs="宋体"/>
                <w:kern w:val="0"/>
                <w:sz w:val="24"/>
                <w:szCs w:val="24"/>
                <w:lang w:val="en-US" w:eastAsia="zh-CN"/>
              </w:rPr>
              <w:t>0</w:t>
            </w:r>
            <w:r>
              <w:rPr>
                <w:rFonts w:hint="eastAsia" w:ascii="仿宋" w:hAnsi="仿宋" w:eastAsia="仿宋" w:cs="宋体"/>
                <w:kern w:val="0"/>
                <w:sz w:val="24"/>
                <w:szCs w:val="24"/>
              </w:rPr>
              <w:t>分</w:t>
            </w:r>
            <w:r>
              <w:rPr>
                <w:rFonts w:hint="eastAsia" w:ascii="仿宋" w:hAnsi="仿宋" w:eastAsia="仿宋" w:cs="仿宋"/>
                <w:color w:val="000000"/>
                <w:kern w:val="0"/>
                <w:sz w:val="24"/>
                <w:szCs w:val="24"/>
                <w:lang w:bidi="ar"/>
              </w:rPr>
              <w:t>；方案较完整、合理、特点和承诺内容不</w:t>
            </w:r>
            <w:r>
              <w:rPr>
                <w:rFonts w:hint="eastAsia" w:ascii="仿宋" w:hAnsi="仿宋" w:eastAsia="仿宋" w:cs="仿宋"/>
                <w:color w:val="000000"/>
                <w:kern w:val="0"/>
                <w:sz w:val="24"/>
                <w:szCs w:val="24"/>
                <w:lang w:val="en-US" w:eastAsia="zh-CN" w:bidi="ar"/>
              </w:rPr>
              <w:t>够</w:t>
            </w:r>
            <w:r>
              <w:rPr>
                <w:rFonts w:hint="eastAsia" w:ascii="仿宋" w:hAnsi="仿宋" w:eastAsia="仿宋" w:cs="仿宋"/>
                <w:color w:val="000000"/>
                <w:kern w:val="0"/>
                <w:sz w:val="24"/>
                <w:szCs w:val="24"/>
                <w:lang w:bidi="ar"/>
              </w:rPr>
              <w:t>清晰</w:t>
            </w:r>
            <w:r>
              <w:rPr>
                <w:rFonts w:hint="eastAsia" w:ascii="仿宋" w:hAnsi="仿宋" w:eastAsia="仿宋" w:cs="仿宋"/>
                <w:color w:val="000000"/>
                <w:kern w:val="0"/>
                <w:sz w:val="24"/>
                <w:szCs w:val="24"/>
                <w:lang w:val="en-US" w:eastAsia="zh-CN" w:bidi="ar"/>
              </w:rPr>
              <w:t>的</w:t>
            </w:r>
            <w:r>
              <w:rPr>
                <w:rFonts w:hint="eastAsia" w:ascii="仿宋" w:hAnsi="仿宋" w:eastAsia="仿宋" w:cs="仿宋"/>
                <w:color w:val="000000"/>
                <w:kern w:val="0"/>
                <w:sz w:val="24"/>
                <w:szCs w:val="24"/>
                <w:lang w:bidi="ar"/>
              </w:rPr>
              <w:t>得</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7</w:t>
            </w:r>
            <w:r>
              <w:rPr>
                <w:rFonts w:hint="eastAsia" w:ascii="仿宋" w:hAnsi="仿宋" w:eastAsia="仿宋" w:cs="仿宋"/>
                <w:color w:val="000000"/>
                <w:kern w:val="0"/>
                <w:sz w:val="24"/>
                <w:szCs w:val="24"/>
                <w:lang w:bidi="ar"/>
              </w:rPr>
              <w:t>分；</w:t>
            </w:r>
            <w:r>
              <w:rPr>
                <w:rFonts w:ascii="仿宋" w:hAnsi="仿宋" w:eastAsia="仿宋" w:cs="仿宋"/>
                <w:color w:val="000000"/>
                <w:kern w:val="0"/>
                <w:sz w:val="24"/>
                <w:szCs w:val="24"/>
                <w:lang w:bidi="ar"/>
              </w:rPr>
              <w:t>方案</w:t>
            </w:r>
            <w:r>
              <w:rPr>
                <w:rFonts w:hint="eastAsia" w:ascii="仿宋" w:hAnsi="仿宋" w:eastAsia="仿宋" w:cs="仿宋"/>
                <w:color w:val="000000"/>
                <w:kern w:val="0"/>
                <w:sz w:val="24"/>
                <w:szCs w:val="24"/>
                <w:lang w:val="en-US" w:eastAsia="zh-CN" w:bidi="ar"/>
              </w:rPr>
              <w:t>内容</w:t>
            </w:r>
            <w:r>
              <w:rPr>
                <w:rFonts w:ascii="仿宋" w:hAnsi="仿宋" w:eastAsia="仿宋" w:cs="仿宋"/>
                <w:color w:val="000000"/>
                <w:kern w:val="0"/>
                <w:sz w:val="24"/>
                <w:szCs w:val="24"/>
                <w:lang w:bidi="ar"/>
              </w:rPr>
              <w:t>一般</w:t>
            </w:r>
            <w:r>
              <w:rPr>
                <w:rFonts w:hint="eastAsia" w:ascii="仿宋" w:hAnsi="仿宋" w:eastAsia="仿宋" w:cs="仿宋"/>
                <w:color w:val="000000"/>
                <w:kern w:val="0"/>
                <w:sz w:val="24"/>
                <w:szCs w:val="24"/>
                <w:lang w:val="en-US" w:eastAsia="zh-CN" w:bidi="ar"/>
              </w:rPr>
              <w:t>的</w:t>
            </w:r>
            <w:r>
              <w:rPr>
                <w:rFonts w:ascii="仿宋" w:hAnsi="仿宋" w:eastAsia="仿宋" w:cs="仿宋"/>
                <w:color w:val="000000"/>
                <w:kern w:val="0"/>
                <w:sz w:val="24"/>
                <w:szCs w:val="24"/>
                <w:lang w:bidi="ar"/>
              </w:rPr>
              <w:t>得</w:t>
            </w:r>
            <w:r>
              <w:rPr>
                <w:rFonts w:hint="eastAsia" w:ascii="仿宋" w:hAnsi="仿宋" w:eastAsia="仿宋" w:cs="仿宋"/>
                <w:color w:val="000000"/>
                <w:kern w:val="0"/>
                <w:sz w:val="24"/>
                <w:szCs w:val="24"/>
                <w:lang w:bidi="ar"/>
              </w:rPr>
              <w:t>0</w:t>
            </w:r>
            <w:r>
              <w:rPr>
                <w:rFonts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4</w:t>
            </w:r>
            <w:r>
              <w:rPr>
                <w:rFonts w:ascii="仿宋" w:hAnsi="仿宋" w:eastAsia="仿宋" w:cs="仿宋"/>
                <w:color w:val="000000"/>
                <w:kern w:val="0"/>
                <w:sz w:val="24"/>
                <w:szCs w:val="24"/>
                <w:lang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435" w:type="dxa"/>
            <w:vMerge w:val="continue"/>
            <w:noWrap w:val="0"/>
            <w:tcMar>
              <w:top w:w="57" w:type="dxa"/>
              <w:bottom w:w="57" w:type="dxa"/>
            </w:tcMar>
            <w:vAlign w:val="center"/>
          </w:tcPr>
          <w:p>
            <w:pPr>
              <w:widowControl/>
              <w:jc w:val="center"/>
              <w:rPr>
                <w:rFonts w:ascii="仿宋" w:hAnsi="仿宋" w:eastAsia="仿宋" w:cs="宋体"/>
                <w:kern w:val="0"/>
                <w:sz w:val="24"/>
                <w:szCs w:val="24"/>
              </w:rPr>
            </w:pPr>
          </w:p>
        </w:tc>
        <w:tc>
          <w:tcPr>
            <w:tcW w:w="1708" w:type="dxa"/>
            <w:noWrap w:val="0"/>
            <w:tcMar>
              <w:top w:w="57" w:type="dxa"/>
              <w:bottom w:w="57" w:type="dxa"/>
            </w:tcMar>
            <w:vAlign w:val="center"/>
          </w:tcPr>
          <w:p>
            <w:pPr>
              <w:widowControl/>
              <w:jc w:val="center"/>
              <w:rPr>
                <w:rFonts w:hint="eastAsia" w:ascii="仿宋" w:hAnsi="仿宋" w:eastAsia="仿宋" w:cs="宋体"/>
                <w:kern w:val="0"/>
                <w:sz w:val="24"/>
                <w:szCs w:val="24"/>
              </w:rPr>
            </w:pPr>
            <w:r>
              <w:rPr>
                <w:rFonts w:hint="eastAsia" w:ascii="仿宋" w:hAnsi="仿宋" w:eastAsia="仿宋"/>
                <w:b w:val="0"/>
                <w:kern w:val="0"/>
                <w:sz w:val="24"/>
                <w:szCs w:val="24"/>
              </w:rPr>
              <w:t>供货方案</w:t>
            </w:r>
          </w:p>
        </w:tc>
        <w:tc>
          <w:tcPr>
            <w:tcW w:w="745" w:type="dxa"/>
            <w:noWrap w:val="0"/>
            <w:tcMar>
              <w:top w:w="57" w:type="dxa"/>
              <w:bottom w:w="57" w:type="dxa"/>
            </w:tcMar>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分</w:t>
            </w:r>
          </w:p>
        </w:tc>
        <w:tc>
          <w:tcPr>
            <w:tcW w:w="5501" w:type="dxa"/>
            <w:noWrap w:val="0"/>
            <w:tcMar>
              <w:top w:w="57" w:type="dxa"/>
              <w:bottom w:w="57" w:type="dxa"/>
            </w:tcMar>
            <w:vAlign w:val="center"/>
          </w:tcPr>
          <w:p>
            <w:pPr>
              <w:pStyle w:val="115"/>
              <w:widowControl/>
              <w:ind w:firstLine="0" w:firstLineChars="0"/>
              <w:jc w:val="left"/>
              <w:rPr>
                <w:rFonts w:hint="eastAsia" w:ascii="仿宋" w:hAnsi="仿宋" w:eastAsia="仿宋" w:cs="宋体"/>
                <w:kern w:val="0"/>
                <w:sz w:val="24"/>
              </w:rPr>
            </w:pPr>
            <w:r>
              <w:rPr>
                <w:rFonts w:hint="eastAsia" w:ascii="仿宋" w:hAnsi="仿宋" w:eastAsia="仿宋" w:cs="宋体"/>
                <w:kern w:val="0"/>
                <w:sz w:val="24"/>
                <w:szCs w:val="24"/>
              </w:rPr>
              <w:t>供货方案安排完善、可行、实施人员配备合理得4分，计划安排方案可行，实施人员配备基本满足项目需求得2-3分，计划安排方案有欠缺，实施人员配备不得当1分，不符合要求不得分。</w:t>
            </w:r>
          </w:p>
        </w:tc>
      </w:tr>
    </w:tbl>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报价得分=(评标基准价／评标价格)×30%×100</w:t>
      </w:r>
    </w:p>
    <w:p>
      <w:pPr>
        <w:adjustRightInd w:val="0"/>
        <w:snapToGrid w:val="0"/>
        <w:spacing w:line="540" w:lineRule="exact"/>
        <w:ind w:firstLine="548" w:firstLineChars="200"/>
        <w:rPr>
          <w:rFonts w:ascii="仿宋" w:hAnsi="仿宋" w:eastAsia="仿宋"/>
          <w:b/>
          <w:spacing w:val="-3"/>
          <w:sz w:val="28"/>
        </w:rPr>
      </w:pPr>
      <w:r>
        <w:rPr>
          <w:rFonts w:hint="eastAsia" w:ascii="仿宋" w:hAnsi="仿宋" w:eastAsia="仿宋"/>
          <w:b/>
          <w:spacing w:val="-3"/>
          <w:sz w:val="28"/>
        </w:rPr>
        <w:t>本项目将对小型和微型企业产品的价格给予10%的扣除，用扣除后的价格参与评审打分。</w:t>
      </w:r>
    </w:p>
    <w:p>
      <w:pPr>
        <w:adjustRightInd w:val="0"/>
        <w:snapToGrid w:val="0"/>
        <w:spacing w:line="5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100%-10%）；否则，其评标价=投标报价。</w:t>
      </w:r>
    </w:p>
    <w:p>
      <w:pPr>
        <w:adjustRightInd w:val="0"/>
        <w:snapToGrid w:val="0"/>
        <w:spacing w:line="540" w:lineRule="exact"/>
        <w:ind w:firstLine="548" w:firstLineChars="200"/>
        <w:rPr>
          <w:rFonts w:ascii="仿宋" w:hAnsi="仿宋" w:eastAsia="仿宋" w:cs="仿宋_GB2312"/>
          <w:b/>
          <w:sz w:val="28"/>
          <w:szCs w:val="28"/>
        </w:rPr>
      </w:pPr>
      <w:r>
        <w:rPr>
          <w:rFonts w:hint="eastAsia" w:ascii="仿宋" w:hAnsi="仿宋" w:eastAsia="仿宋"/>
          <w:b/>
          <w:spacing w:val="-3"/>
          <w:sz w:val="28"/>
        </w:rPr>
        <w:t>24.8.2.2  在价格评审中，</w:t>
      </w:r>
      <w:r>
        <w:rPr>
          <w:rFonts w:hint="eastAsia" w:ascii="仿宋" w:hAnsi="仿宋" w:eastAsia="仿宋" w:cs="仿宋_GB2312"/>
          <w:b/>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540" w:lineRule="exact"/>
        <w:ind w:firstLine="560" w:firstLineChars="200"/>
        <w:rPr>
          <w:rFonts w:ascii="仿宋" w:hAnsi="仿宋" w:eastAsia="仿宋"/>
          <w:sz w:val="28"/>
        </w:rPr>
      </w:pPr>
      <w:r>
        <w:rPr>
          <w:rFonts w:hint="eastAsia" w:ascii="仿宋" w:hAnsi="仿宋" w:eastAsia="仿宋"/>
          <w:sz w:val="28"/>
        </w:rPr>
        <w:t xml:space="preserve">24.8.2.3 </w:t>
      </w:r>
      <w:r>
        <w:rPr>
          <w:rFonts w:hint="eastAsia" w:ascii="仿宋" w:hAnsi="仿宋" w:eastAsia="仿宋"/>
          <w:sz w:val="36"/>
        </w:rPr>
        <w:t xml:space="preserve"> </w:t>
      </w:r>
      <w:r>
        <w:rPr>
          <w:rFonts w:hint="eastAsia" w:ascii="仿宋" w:hAnsi="仿宋" w:eastAsia="仿宋"/>
          <w:sz w:val="28"/>
        </w:rPr>
        <w:t>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供应商近三年的类似销售业绩，以确定供应商类似项目的供货经验及组织管理能力等。</w:t>
      </w:r>
    </w:p>
    <w:p>
      <w:pPr>
        <w:spacing w:line="540" w:lineRule="exact"/>
        <w:ind w:firstLine="560" w:firstLineChars="200"/>
        <w:rPr>
          <w:rFonts w:ascii="仿宋" w:hAnsi="仿宋" w:eastAsia="仿宋"/>
          <w:sz w:val="28"/>
        </w:rPr>
      </w:pPr>
      <w:r>
        <w:rPr>
          <w:rFonts w:hint="eastAsia" w:ascii="仿宋" w:hAnsi="仿宋" w:eastAsia="仿宋"/>
          <w:sz w:val="28"/>
        </w:rPr>
        <w:t>涉及政府采购政策优惠的，按投标须知前附表规定调整供应商的技术、价格得分或总得分。</w:t>
      </w:r>
    </w:p>
    <w:p>
      <w:pPr>
        <w:spacing w:line="540" w:lineRule="exact"/>
        <w:ind w:firstLine="560" w:firstLineChars="200"/>
        <w:rPr>
          <w:rFonts w:ascii="仿宋" w:hAnsi="仿宋" w:eastAsia="仿宋"/>
          <w:sz w:val="28"/>
        </w:rPr>
      </w:pPr>
      <w:r>
        <w:rPr>
          <w:rFonts w:hint="eastAsia" w:ascii="仿宋" w:hAnsi="仿宋" w:eastAsia="仿宋"/>
          <w:sz w:val="28"/>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b/>
          <w:sz w:val="28"/>
        </w:rPr>
      </w:pPr>
      <w:r>
        <w:rPr>
          <w:rFonts w:hint="eastAsia" w:ascii="仿宋" w:hAnsi="仿宋" w:eastAsia="仿宋"/>
          <w:b/>
          <w:sz w:val="28"/>
        </w:rPr>
        <w:t>24.8.2.4  节能、环境标志产品评审优惠内容及加分幅度：</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同一合同包内的节能、环境标志政府采购产品部分加分只对属于品目内的非强制类产品进行加分，强制类产品已作为投标时强制性要求不再给予加分。若节能、环境标志品目内的产品仅是构成投标产品的部件、组件或零件的，则该投标产品不予加分。价格项加分具体方法详见技术评审表。供应商须按照招标文件格式要求在《环境标志产品明细表》、《节能标志产品明细表》中列明并附证书，否则，不予加分。</w:t>
      </w:r>
    </w:p>
    <w:p>
      <w:pPr>
        <w:adjustRightInd w:val="0"/>
        <w:snapToGrid w:val="0"/>
        <w:spacing w:line="540" w:lineRule="exact"/>
        <w:ind w:firstLine="560" w:firstLineChars="200"/>
        <w:rPr>
          <w:rFonts w:ascii="仿宋" w:hAnsi="仿宋" w:eastAsia="仿宋"/>
          <w:b/>
          <w:spacing w:val="-3"/>
          <w:sz w:val="28"/>
        </w:rPr>
      </w:pPr>
      <w:r>
        <w:rPr>
          <w:rFonts w:hint="eastAsia" w:ascii="仿宋" w:hAnsi="仿宋" w:eastAsia="仿宋"/>
          <w:b/>
          <w:sz w:val="28"/>
        </w:rPr>
        <w:t>24.8.2.5</w:t>
      </w:r>
      <w:r>
        <w:rPr>
          <w:rFonts w:hint="eastAsia" w:ascii="仿宋" w:hAnsi="仿宋" w:eastAsia="仿宋"/>
          <w:b/>
          <w:spacing w:val="-3"/>
          <w:sz w:val="28"/>
        </w:rPr>
        <w:t>属于中小企业评审优惠内容及价格扣除幅度：</w:t>
      </w:r>
    </w:p>
    <w:p>
      <w:pPr>
        <w:adjustRightInd w:val="0"/>
        <w:snapToGrid w:val="0"/>
        <w:spacing w:line="540" w:lineRule="exact"/>
        <w:ind w:firstLine="548" w:firstLineChars="200"/>
        <w:rPr>
          <w:rFonts w:ascii="仿宋" w:hAnsi="仿宋" w:eastAsia="仿宋"/>
          <w:b/>
          <w:spacing w:val="-3"/>
          <w:sz w:val="28"/>
        </w:rPr>
      </w:pPr>
      <w:r>
        <w:rPr>
          <w:rFonts w:hint="eastAsia" w:ascii="仿宋" w:hAnsi="仿宋" w:eastAsia="仿宋"/>
          <w:b/>
          <w:spacing w:val="-3"/>
          <w:sz w:val="28"/>
        </w:rPr>
        <w:t>本项目不专门面向中小企业预留采购份额。</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根据工信部等部委发布的《关于印发中小企业划型标准规定的通知》（工信部联企业〔2011〕300号）；财政部、工业和信息化部《政府采购促进中小企业发展管理办法》（财库[2020]46号文）；财政部《关于进一步加大政府采购支持中小企业力度的通知》（财库〔2022〕19号）规定，本次采购标的所属行业为工业（制造业），符合以下条件的中小微型企业应按照采购文件格式要求提供《中小企业声明函》。</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（3）根据上述文件规定，对满足上述（1）（2）两项条件的小微企业的投标总报价给予10%的扣除，用扣除后的价格参与评审。</w:t>
      </w:r>
    </w:p>
    <w:p>
      <w:pPr>
        <w:adjustRightInd w:val="0"/>
        <w:snapToGrid w:val="0"/>
        <w:spacing w:line="540" w:lineRule="exact"/>
        <w:ind w:firstLine="548" w:firstLineChars="200"/>
        <w:rPr>
          <w:rFonts w:ascii="仿宋" w:hAnsi="仿宋" w:eastAsia="仿宋"/>
          <w:spacing w:val="-3"/>
          <w:sz w:val="28"/>
        </w:rPr>
      </w:pPr>
      <w:r>
        <w:rPr>
          <w:rFonts w:hint="eastAsia" w:ascii="仿宋" w:hAnsi="仿宋" w:eastAsia="仿宋"/>
          <w:spacing w:val="-3"/>
          <w:sz w:val="28"/>
        </w:rPr>
        <w:t>（4）依据本办法规定享受扶持政策获得政府采购合同的，小微企业不得将合同分包给大中型企业，中型企业不得将合同分包给大型企业。</w:t>
      </w:r>
    </w:p>
    <w:p>
      <w:pPr>
        <w:spacing w:line="540" w:lineRule="exact"/>
        <w:ind w:firstLine="560" w:firstLineChars="200"/>
        <w:rPr>
          <w:rFonts w:ascii="仿宋" w:hAnsi="仿宋" w:eastAsia="仿宋"/>
          <w:b/>
          <w:sz w:val="28"/>
        </w:rPr>
      </w:pPr>
      <w:r>
        <w:rPr>
          <w:rFonts w:hint="eastAsia" w:ascii="仿宋" w:hAnsi="仿宋" w:eastAsia="仿宋"/>
          <w:b/>
          <w:sz w:val="28"/>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b/>
          <w:sz w:val="28"/>
        </w:rPr>
      </w:pPr>
      <w:r>
        <w:rPr>
          <w:rFonts w:hint="eastAsia" w:ascii="仿宋" w:hAnsi="仿宋" w:eastAsia="仿宋"/>
          <w:b/>
          <w:sz w:val="28"/>
        </w:rPr>
        <w:t>24.8.4  使用综合评分法的采购项目，提供相同品牌核心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投标人不作为中标候选人。</w:t>
      </w:r>
    </w:p>
    <w:p>
      <w:pPr>
        <w:spacing w:line="540" w:lineRule="exact"/>
        <w:ind w:firstLine="560" w:firstLineChars="200"/>
        <w:rPr>
          <w:rFonts w:ascii="仿宋" w:hAnsi="仿宋" w:eastAsia="仿宋"/>
          <w:b/>
          <w:sz w:val="28"/>
        </w:rPr>
      </w:pPr>
      <w:r>
        <w:rPr>
          <w:rFonts w:hint="eastAsia" w:ascii="仿宋" w:hAnsi="仿宋" w:eastAsia="仿宋"/>
          <w:b/>
          <w:sz w:val="28"/>
        </w:rPr>
        <w:t>24.8.5  最低报价不作为评标的唯一依据。采购人不承诺将合同授予报价最低的供应商。</w:t>
      </w:r>
    </w:p>
    <w:p>
      <w:pPr>
        <w:spacing w:line="540" w:lineRule="exact"/>
        <w:ind w:firstLine="560" w:firstLineChars="200"/>
        <w:rPr>
          <w:rFonts w:ascii="仿宋" w:hAnsi="仿宋" w:eastAsia="仿宋"/>
          <w:b/>
          <w:sz w:val="28"/>
        </w:rPr>
      </w:pPr>
      <w:r>
        <w:rPr>
          <w:rFonts w:hint="eastAsia" w:ascii="仿宋" w:hAnsi="仿宋" w:eastAsia="仿宋"/>
          <w:b/>
          <w:sz w:val="28"/>
        </w:rPr>
        <w:t>24.8.6  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b/>
          <w:sz w:val="28"/>
        </w:rPr>
      </w:pPr>
      <w:r>
        <w:rPr>
          <w:rFonts w:hint="eastAsia" w:ascii="仿宋" w:hAnsi="仿宋" w:eastAsia="仿宋"/>
          <w:b/>
          <w:sz w:val="28"/>
        </w:rPr>
        <w:t>25. 投标文件的澄清</w:t>
      </w:r>
    </w:p>
    <w:p>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25.1 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25.2  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25.3  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25.4  投标文件的澄清不得改变投标的实质内容。</w:t>
      </w:r>
    </w:p>
    <w:p>
      <w:pPr>
        <w:autoSpaceDE w:val="0"/>
        <w:autoSpaceDN w:val="0"/>
        <w:adjustRightInd w:val="0"/>
        <w:spacing w:line="540" w:lineRule="exact"/>
        <w:ind w:firstLine="560" w:firstLineChars="200"/>
        <w:rPr>
          <w:rFonts w:ascii="仿宋" w:hAnsi="仿宋" w:eastAsia="仿宋"/>
          <w:b/>
          <w:sz w:val="28"/>
        </w:rPr>
      </w:pPr>
      <w:r>
        <w:rPr>
          <w:rFonts w:hint="eastAsia" w:ascii="仿宋" w:hAnsi="仿宋" w:eastAsia="仿宋"/>
          <w:b/>
          <w:sz w:val="28"/>
        </w:rPr>
        <w:t>26．中标人的确定</w:t>
      </w:r>
    </w:p>
    <w:p>
      <w:pPr>
        <w:autoSpaceDE w:val="0"/>
        <w:autoSpaceDN w:val="0"/>
        <w:adjustRightInd w:val="0"/>
        <w:spacing w:line="540" w:lineRule="exact"/>
        <w:ind w:firstLine="560" w:firstLineChars="200"/>
        <w:rPr>
          <w:rFonts w:ascii="仿宋" w:hAnsi="仿宋" w:eastAsia="仿宋"/>
          <w:sz w:val="28"/>
        </w:rPr>
      </w:pPr>
      <w:r>
        <w:rPr>
          <w:rFonts w:hint="eastAsia" w:ascii="仿宋" w:hAnsi="仿宋" w:eastAsia="仿宋"/>
          <w:sz w:val="28"/>
        </w:rPr>
        <w:t>26.1  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b/>
          <w:kern w:val="0"/>
          <w:sz w:val="28"/>
        </w:rPr>
      </w:pPr>
      <w:r>
        <w:rPr>
          <w:rFonts w:hint="eastAsia" w:ascii="仿宋" w:hAnsi="仿宋" w:eastAsia="仿宋"/>
          <w:b/>
          <w:kern w:val="0"/>
          <w:sz w:val="28"/>
        </w:rPr>
        <w:t>26.2  中标供应商拒绝与采购人签订合同的，采购人可以按照评审报告推荐的中标人名单排序，确定下一候选人为中标人，也可以重新开展政府采购活动。</w:t>
      </w:r>
    </w:p>
    <w:p>
      <w:pPr>
        <w:pStyle w:val="64"/>
        <w:spacing w:line="540" w:lineRule="exact"/>
        <w:ind w:firstLine="560" w:firstLineChars="200"/>
        <w:jc w:val="both"/>
        <w:rPr>
          <w:rFonts w:ascii="仿宋" w:hAnsi="仿宋" w:eastAsia="仿宋"/>
          <w:b/>
          <w:color w:val="auto"/>
          <w:kern w:val="2"/>
          <w:sz w:val="28"/>
        </w:rPr>
      </w:pPr>
      <w:r>
        <w:rPr>
          <w:rFonts w:hint="eastAsia" w:ascii="仿宋" w:hAnsi="仿宋" w:eastAsia="仿宋"/>
          <w:b/>
          <w:color w:val="auto"/>
          <w:kern w:val="2"/>
          <w:sz w:val="28"/>
        </w:rPr>
        <w:t>27. 中标通知</w:t>
      </w:r>
    </w:p>
    <w:p>
      <w:pPr>
        <w:pStyle w:val="64"/>
        <w:spacing w:line="540" w:lineRule="exact"/>
        <w:ind w:firstLine="560" w:firstLineChars="200"/>
        <w:jc w:val="both"/>
        <w:rPr>
          <w:rFonts w:ascii="仿宋" w:hAnsi="仿宋" w:eastAsia="仿宋"/>
          <w:color w:val="auto"/>
          <w:kern w:val="2"/>
          <w:sz w:val="28"/>
        </w:rPr>
      </w:pPr>
      <w:r>
        <w:rPr>
          <w:rFonts w:hint="eastAsia" w:ascii="仿宋" w:hAnsi="仿宋" w:eastAsia="仿宋"/>
          <w:color w:val="auto"/>
          <w:kern w:val="2"/>
          <w:sz w:val="28"/>
        </w:rPr>
        <w:t>27.1 采购代理机构将在中标结果公示发布的同时，以书面形式向中标单位发出《中标通知书》。</w:t>
      </w:r>
    </w:p>
    <w:p>
      <w:pPr>
        <w:pStyle w:val="64"/>
        <w:spacing w:line="540" w:lineRule="exact"/>
        <w:ind w:firstLine="560" w:firstLineChars="200"/>
        <w:jc w:val="both"/>
        <w:rPr>
          <w:rFonts w:ascii="仿宋" w:hAnsi="仿宋" w:eastAsia="仿宋"/>
          <w:color w:val="auto"/>
          <w:kern w:val="2"/>
          <w:sz w:val="28"/>
        </w:rPr>
      </w:pPr>
      <w:r>
        <w:rPr>
          <w:rFonts w:hint="eastAsia" w:ascii="仿宋" w:hAnsi="仿宋" w:eastAsia="仿宋"/>
          <w:color w:val="auto"/>
          <w:kern w:val="2"/>
          <w:sz w:val="28"/>
        </w:rPr>
        <w:t xml:space="preserve">27.2 </w:t>
      </w:r>
      <w:r>
        <w:rPr>
          <w:rFonts w:hint="eastAsia" w:ascii="仿宋" w:hAnsi="仿宋" w:eastAsia="仿宋"/>
          <w:color w:val="auto"/>
          <w:sz w:val="28"/>
        </w:rPr>
        <w:t>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olor w:val="auto"/>
          <w:sz w:val="28"/>
          <w:shd w:val="clear" w:color="auto" w:fill="FFFFFF"/>
        </w:rPr>
        <w:t>不予以退还，但对其承担保密责任。</w:t>
      </w:r>
    </w:p>
    <w:p>
      <w:pPr>
        <w:pStyle w:val="64"/>
        <w:spacing w:line="540" w:lineRule="exact"/>
        <w:ind w:firstLine="560" w:firstLineChars="200"/>
        <w:jc w:val="both"/>
        <w:rPr>
          <w:rFonts w:ascii="仿宋" w:hAnsi="仿宋" w:eastAsia="仿宋"/>
          <w:b/>
          <w:color w:val="auto"/>
          <w:kern w:val="2"/>
          <w:sz w:val="28"/>
        </w:rPr>
      </w:pPr>
      <w:r>
        <w:rPr>
          <w:rFonts w:hint="eastAsia" w:ascii="仿宋" w:hAnsi="仿宋" w:eastAsia="仿宋"/>
          <w:b/>
          <w:color w:val="auto"/>
          <w:kern w:val="2"/>
          <w:sz w:val="28"/>
        </w:rPr>
        <w:t>28. 拒绝某些或所有投标的权力。</w:t>
      </w:r>
    </w:p>
    <w:p>
      <w:pPr>
        <w:pStyle w:val="64"/>
        <w:spacing w:line="540" w:lineRule="exact"/>
        <w:ind w:firstLine="560" w:firstLineChars="200"/>
        <w:jc w:val="both"/>
        <w:rPr>
          <w:rFonts w:ascii="仿宋" w:hAnsi="仿宋" w:eastAsia="仿宋"/>
          <w:color w:val="auto"/>
          <w:kern w:val="2"/>
          <w:sz w:val="28"/>
        </w:rPr>
      </w:pPr>
      <w:r>
        <w:rPr>
          <w:rFonts w:hint="eastAsia" w:ascii="仿宋" w:hAnsi="仿宋" w:eastAsia="仿宋"/>
          <w:color w:val="auto"/>
          <w:kern w:val="2"/>
          <w:sz w:val="28"/>
        </w:rPr>
        <w:t>28.1 采购人或采购代理机构有权在《中标通知书》发放之前的任何时候拒绝任何有不正当行为或扰乱正常招标工作的供应商，由此对相关供应商造成的损失不负责任。</w:t>
      </w:r>
    </w:p>
    <w:p>
      <w:pPr>
        <w:pStyle w:val="64"/>
        <w:spacing w:beforeLines="100" w:afterLines="50" w:line="540" w:lineRule="exact"/>
        <w:jc w:val="center"/>
        <w:rPr>
          <w:rFonts w:ascii="仿宋" w:hAnsi="仿宋" w:eastAsia="仿宋"/>
          <w:b/>
          <w:color w:val="auto"/>
          <w:sz w:val="28"/>
        </w:rPr>
      </w:pPr>
      <w:r>
        <w:rPr>
          <w:rFonts w:hint="eastAsia" w:ascii="仿宋" w:hAnsi="仿宋" w:eastAsia="仿宋"/>
          <w:b/>
          <w:color w:val="auto"/>
          <w:sz w:val="28"/>
        </w:rPr>
        <w:t>七、授予合同</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29. 签订合同</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29.1 中标人收到《中标通知书》后，须按有关规定与招标方签定经济合同。合同的签订一般在《中标通知书》发出后30天内进行，但采购人事先约定的情况除外。</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29.2 合同签订后，卖方应按合同的规定履行合同，未按规定履约的，采购人有权取消合同，并且不退还中标人的投标保证金。</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29.3 中标合同不得转让或分包。如需对合同的非主体部分进行转让或分包，供应商必须在投标文件中予以说明，并需经采购人同意。否则，采购人有权取消中标人的中标资格。</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29.4 如中标人未按有关规定与采购人签订合同或提交合同履约保证金的，采购人可以选择其他中标候选人为中标人，并组织中标人和采购人签订经济合同。</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29.5 合同履约保证金的形式为银行保函，另有约定的，按照约定条件执行。</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30. 合同的组成</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 下列文件均为经济合同不可分割的组成部分：</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30.1.1 招标文件及其附件、补遗文件；</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 xml:space="preserve">30.1.2 中标的投标文件及其他附件； </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30.1.3 经确认的答疑记录；</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30.1.4 中标通知书。</w:t>
      </w:r>
    </w:p>
    <w:p>
      <w:pPr>
        <w:pStyle w:val="64"/>
        <w:spacing w:beforeLines="100" w:afterLines="50" w:line="540" w:lineRule="exact"/>
        <w:jc w:val="center"/>
        <w:rPr>
          <w:rFonts w:ascii="仿宋" w:hAnsi="仿宋" w:eastAsia="仿宋"/>
          <w:b/>
          <w:color w:val="auto"/>
          <w:sz w:val="28"/>
        </w:rPr>
      </w:pPr>
      <w:r>
        <w:rPr>
          <w:rFonts w:hint="eastAsia" w:ascii="仿宋" w:hAnsi="仿宋" w:eastAsia="仿宋"/>
          <w:b/>
          <w:color w:val="auto"/>
          <w:sz w:val="28"/>
        </w:rPr>
        <w:t>八、买方授标时更改采购货物数量的权利</w:t>
      </w:r>
    </w:p>
    <w:p>
      <w:pPr>
        <w:pStyle w:val="116"/>
        <w:spacing w:before="100" w:after="50" w:line="500" w:lineRule="exact"/>
        <w:ind w:firstLine="560"/>
        <w:rPr>
          <w:rFonts w:ascii="仿宋" w:hAnsi="仿宋" w:eastAsia="仿宋"/>
        </w:rPr>
      </w:pPr>
      <w:r>
        <w:rPr>
          <w:rFonts w:hint="eastAsia" w:ascii="仿宋" w:hAnsi="仿宋" w:eastAsia="仿宋"/>
        </w:rPr>
        <w:t>31. 采购人在采购合同履行期间，有权按“投标须知前附表”第15项约定的内容对“货物需求表”中规定的货物数量和服务予以局部增加或减少，但不得对单价或其它实质性内容做任何改变，对增减的数量按同类型中标产品价结算货款。</w:t>
      </w:r>
    </w:p>
    <w:p>
      <w:pPr>
        <w:pStyle w:val="64"/>
        <w:spacing w:beforeLines="100" w:line="540" w:lineRule="exact"/>
        <w:jc w:val="center"/>
        <w:rPr>
          <w:rFonts w:ascii="仿宋" w:hAnsi="仿宋" w:eastAsia="仿宋"/>
          <w:b/>
          <w:color w:val="auto"/>
          <w:sz w:val="28"/>
        </w:rPr>
      </w:pPr>
      <w:r>
        <w:rPr>
          <w:rFonts w:hint="eastAsia" w:ascii="仿宋" w:hAnsi="仿宋" w:eastAsia="仿宋"/>
          <w:b/>
          <w:color w:val="auto"/>
          <w:sz w:val="28"/>
        </w:rPr>
        <w:t>九、其他事项</w:t>
      </w:r>
    </w:p>
    <w:p>
      <w:pPr>
        <w:pStyle w:val="64"/>
        <w:spacing w:line="500" w:lineRule="exact"/>
        <w:ind w:firstLine="560" w:firstLineChars="200"/>
        <w:jc w:val="both"/>
        <w:rPr>
          <w:rFonts w:ascii="仿宋" w:hAnsi="仿宋" w:eastAsia="仿宋"/>
          <w:b/>
          <w:color w:val="auto"/>
          <w:sz w:val="28"/>
        </w:rPr>
      </w:pPr>
      <w:r>
        <w:rPr>
          <w:rFonts w:hint="eastAsia" w:ascii="仿宋" w:hAnsi="仿宋" w:eastAsia="仿宋"/>
          <w:b/>
          <w:color w:val="auto"/>
          <w:sz w:val="28"/>
        </w:rPr>
        <w:t>32. 中标服务费</w:t>
      </w:r>
    </w:p>
    <w:p>
      <w:pPr>
        <w:pStyle w:val="64"/>
        <w:spacing w:line="500" w:lineRule="exact"/>
        <w:ind w:firstLine="560" w:firstLineChars="200"/>
        <w:jc w:val="both"/>
        <w:rPr>
          <w:rFonts w:ascii="仿宋" w:hAnsi="仿宋" w:eastAsia="仿宋"/>
          <w:color w:val="auto"/>
          <w:sz w:val="28"/>
        </w:rPr>
      </w:pPr>
      <w:r>
        <w:rPr>
          <w:rFonts w:hint="eastAsia" w:ascii="仿宋" w:hAnsi="仿宋" w:eastAsia="仿宋"/>
          <w:color w:val="auto"/>
          <w:sz w:val="28"/>
        </w:rPr>
        <w:t>32.1 中标人应按本招标文件的规定，在《中标通知书》核发时至核发后3天内，向采购代理机构支付中标服务费。其计算标准和方法参照计价格[2002]1980号及国家发改价格［2011］534号文件标准执行。</w:t>
      </w:r>
      <w:r>
        <w:rPr>
          <w:rFonts w:hint="eastAsia" w:ascii="仿宋" w:hAnsi="仿宋" w:eastAsia="仿宋"/>
          <w:color w:val="auto"/>
          <w:sz w:val="28"/>
          <w:lang w:val="en-US" w:eastAsia="zh-CN"/>
        </w:rPr>
        <w:t>支付方式电汇或转账</w:t>
      </w:r>
      <w:r>
        <w:rPr>
          <w:rFonts w:hint="eastAsia" w:ascii="仿宋" w:hAnsi="仿宋" w:eastAsia="仿宋"/>
          <w:color w:val="auto"/>
          <w:sz w:val="28"/>
        </w:rPr>
        <w:t>。</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32.2 中标服务费的计算基数是中标人投标报价的总金额，即中标通知书中载明的中标金额。</w:t>
      </w:r>
    </w:p>
    <w:p>
      <w:pPr>
        <w:pStyle w:val="64"/>
        <w:spacing w:line="540" w:lineRule="exact"/>
        <w:ind w:firstLine="560" w:firstLineChars="200"/>
        <w:jc w:val="both"/>
        <w:rPr>
          <w:rFonts w:ascii="仿宋" w:hAnsi="仿宋" w:eastAsia="仿宋"/>
          <w:color w:val="auto"/>
          <w:sz w:val="28"/>
        </w:rPr>
      </w:pPr>
      <w:r>
        <w:rPr>
          <w:rFonts w:hint="eastAsia" w:ascii="仿宋" w:hAnsi="仿宋" w:eastAsia="仿宋"/>
          <w:color w:val="auto"/>
          <w:sz w:val="28"/>
        </w:rPr>
        <w:t>33. 本招标文件是根据《中华人民共和国政府采购法》及其实施条例（658号令）及《政府采购货物和服务招标投标管理办法》（87号令）规定编制的，解释权属新疆新之建工程咨询有限公司。</w:t>
      </w:r>
    </w:p>
    <w:p>
      <w:pPr>
        <w:pStyle w:val="64"/>
        <w:spacing w:line="540" w:lineRule="exact"/>
        <w:ind w:firstLine="560" w:firstLineChars="200"/>
        <w:jc w:val="both"/>
        <w:rPr>
          <w:rFonts w:ascii="仿宋" w:hAnsi="仿宋" w:eastAsia="仿宋"/>
          <w:b/>
          <w:color w:val="auto"/>
          <w:sz w:val="28"/>
        </w:rPr>
      </w:pPr>
      <w:r>
        <w:rPr>
          <w:rFonts w:hint="eastAsia" w:ascii="仿宋" w:hAnsi="仿宋" w:eastAsia="仿宋"/>
          <w:b/>
          <w:color w:val="auto"/>
          <w:sz w:val="28"/>
        </w:rPr>
        <w:t>34. 为了做好投标工作，供应商应组织有关商务和技术人员，认真解答或澄清评标委员会在评标过程中提出的有关商务和技术问题。</w:t>
      </w:r>
    </w:p>
    <w:p>
      <w:pPr>
        <w:pStyle w:val="42"/>
        <w:keepNext w:val="0"/>
        <w:keepLines w:val="0"/>
        <w:pageBreakBefore w:val="0"/>
        <w:widowControl w:val="0"/>
        <w:kinsoku/>
        <w:wordWrap/>
        <w:overflowPunct/>
        <w:topLinePunct w:val="0"/>
        <w:autoSpaceDE/>
        <w:autoSpaceDN/>
        <w:bidi w:val="0"/>
        <w:adjustRightInd/>
        <w:snapToGrid/>
        <w:spacing w:line="500" w:lineRule="exact"/>
        <w:ind w:left="425" w:hanging="425"/>
        <w:textAlignment w:val="auto"/>
        <w:rPr>
          <w:rFonts w:hint="eastAsia" w:ascii="仿宋" w:hAnsi="仿宋" w:eastAsia="仿宋"/>
          <w:sz w:val="36"/>
        </w:rPr>
      </w:pPr>
      <w:r>
        <w:rPr>
          <w:rFonts w:hint="eastAsia" w:ascii="仿宋" w:hAnsi="仿宋" w:eastAsia="仿宋" w:cs="Times New Roman"/>
          <w:b w:val="0"/>
          <w:sz w:val="36"/>
          <w:szCs w:val="20"/>
        </w:rPr>
        <w:br w:type="page"/>
      </w:r>
      <w:r>
        <w:rPr>
          <w:rFonts w:hint="eastAsia" w:ascii="仿宋" w:hAnsi="仿宋" w:eastAsia="仿宋" w:cs="Times New Roman"/>
          <w:b w:val="0"/>
          <w:sz w:val="36"/>
          <w:szCs w:val="20"/>
        </w:rPr>
        <w:t xml:space="preserve"> </w:t>
      </w:r>
      <w:bookmarkStart w:id="3" w:name="_Toc114617427"/>
      <w:r>
        <w:rPr>
          <w:rFonts w:hint="eastAsia" w:ascii="仿宋" w:hAnsi="仿宋" w:eastAsia="仿宋"/>
          <w:sz w:val="36"/>
        </w:rPr>
        <w:t>第三章  招标内容及技术要求</w:t>
      </w:r>
      <w:bookmarkEnd w:id="3"/>
    </w:p>
    <w:p>
      <w:pPr>
        <w:pStyle w:val="42"/>
        <w:keepNext w:val="0"/>
        <w:keepLines w:val="0"/>
        <w:pageBreakBefore w:val="0"/>
        <w:widowControl w:val="0"/>
        <w:kinsoku/>
        <w:wordWrap/>
        <w:overflowPunct/>
        <w:topLinePunct w:val="0"/>
        <w:autoSpaceDE/>
        <w:autoSpaceDN/>
        <w:bidi w:val="0"/>
        <w:adjustRightInd/>
        <w:snapToGrid/>
        <w:spacing w:line="500" w:lineRule="exact"/>
        <w:ind w:left="425" w:hanging="425"/>
        <w:textAlignment w:val="auto"/>
        <w:rPr>
          <w:rFonts w:ascii="仿宋" w:hAnsi="仿宋" w:eastAsia="仿宋"/>
          <w:color w:val="auto"/>
          <w:sz w:val="28"/>
          <w:szCs w:val="28"/>
        </w:rPr>
      </w:pPr>
      <w:r>
        <w:rPr>
          <w:rFonts w:hint="eastAsia" w:ascii="仿宋" w:hAnsi="仿宋" w:eastAsia="仿宋"/>
          <w:b/>
          <w:color w:val="auto"/>
          <w:sz w:val="28"/>
        </w:rPr>
        <w:t>需求一览表</w:t>
      </w:r>
    </w:p>
    <w:p>
      <w:pPr>
        <w:jc w:val="center"/>
        <w:rPr>
          <w:rFonts w:ascii="仿宋" w:hAnsi="仿宋" w:eastAsia="仿宋" w:cs="宋体"/>
          <w:sz w:val="24"/>
          <w:szCs w:val="24"/>
        </w:rPr>
      </w:pPr>
    </w:p>
    <w:tbl>
      <w:tblPr>
        <w:tblStyle w:val="43"/>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090"/>
        <w:gridCol w:w="810"/>
        <w:gridCol w:w="210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包号</w:t>
            </w:r>
          </w:p>
        </w:tc>
        <w:tc>
          <w:tcPr>
            <w:tcW w:w="30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标的名称</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数量</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预算单价（万元）</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89" w:type="dxa"/>
            <w:noWrap w:val="0"/>
            <w:vAlign w:val="center"/>
          </w:tcPr>
          <w:p>
            <w:pPr>
              <w:spacing w:line="560" w:lineRule="exact"/>
              <w:jc w:val="center"/>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第2包</w:t>
            </w:r>
          </w:p>
        </w:tc>
        <w:tc>
          <w:tcPr>
            <w:tcW w:w="3090" w:type="dxa"/>
            <w:noWrap w:val="0"/>
            <w:vAlign w:val="center"/>
          </w:tcPr>
          <w:p>
            <w:pPr>
              <w:spacing w:line="560" w:lineRule="exact"/>
              <w:jc w:val="center"/>
              <w:rPr>
                <w:rFonts w:hint="eastAsia" w:ascii="仿宋" w:hAnsi="仿宋" w:eastAsia="仿宋" w:cs="Times New Roman"/>
                <w:b/>
                <w:kern w:val="2"/>
                <w:sz w:val="24"/>
                <w:lang w:val="en-US" w:eastAsia="zh-CN" w:bidi="ar-SA"/>
              </w:rPr>
            </w:pPr>
            <w:r>
              <w:rPr>
                <w:rFonts w:hint="eastAsia" w:ascii="仿宋" w:hAnsi="仿宋" w:eastAsia="仿宋" w:cs="Times New Roman"/>
                <w:b/>
                <w:sz w:val="24"/>
                <w:lang w:val="en-US" w:eastAsia="zh-CN"/>
              </w:rPr>
              <w:t>检验流水线</w:t>
            </w:r>
          </w:p>
        </w:tc>
        <w:tc>
          <w:tcPr>
            <w:tcW w:w="810" w:type="dxa"/>
            <w:noWrap w:val="0"/>
            <w:vAlign w:val="center"/>
          </w:tcPr>
          <w:p>
            <w:pPr>
              <w:spacing w:line="560" w:lineRule="exact"/>
              <w:jc w:val="center"/>
              <w:rPr>
                <w:rFonts w:hint="eastAsia" w:ascii="仿宋" w:hAnsi="仿宋" w:eastAsia="仿宋" w:cs="Times New Roman"/>
                <w:b/>
                <w:kern w:val="2"/>
                <w:sz w:val="24"/>
                <w:lang w:val="en-US" w:eastAsia="zh-CN" w:bidi="ar-SA"/>
              </w:rPr>
            </w:pPr>
            <w:r>
              <w:rPr>
                <w:rFonts w:hint="eastAsia" w:ascii="仿宋" w:hAnsi="仿宋" w:eastAsia="仿宋" w:cs="Times New Roman"/>
                <w:b/>
                <w:sz w:val="24"/>
                <w:lang w:val="en-US" w:eastAsia="zh-CN"/>
              </w:rPr>
              <w:t>1</w:t>
            </w:r>
          </w:p>
        </w:tc>
        <w:tc>
          <w:tcPr>
            <w:tcW w:w="2100" w:type="dxa"/>
            <w:noWrap w:val="0"/>
            <w:vAlign w:val="center"/>
          </w:tcPr>
          <w:p>
            <w:pPr>
              <w:spacing w:line="560" w:lineRule="exact"/>
              <w:jc w:val="center"/>
              <w:rPr>
                <w:rFonts w:hint="default" w:ascii="仿宋" w:hAnsi="仿宋" w:eastAsia="仿宋" w:cs="Times New Roman"/>
                <w:b/>
                <w:kern w:val="2"/>
                <w:sz w:val="24"/>
                <w:lang w:val="en-US" w:eastAsia="zh-CN" w:bidi="ar-SA"/>
              </w:rPr>
            </w:pPr>
            <w:r>
              <w:rPr>
                <w:rFonts w:hint="eastAsia" w:ascii="仿宋" w:hAnsi="仿宋" w:eastAsia="仿宋" w:cs="Times New Roman"/>
                <w:b/>
                <w:sz w:val="24"/>
                <w:lang w:val="en-US" w:eastAsia="zh-CN"/>
              </w:rPr>
              <w:t>470</w:t>
            </w:r>
          </w:p>
        </w:tc>
        <w:tc>
          <w:tcPr>
            <w:tcW w:w="1544" w:type="dxa"/>
            <w:noWrap w:val="0"/>
            <w:vAlign w:val="center"/>
          </w:tcPr>
          <w:p>
            <w:pPr>
              <w:spacing w:line="560" w:lineRule="exact"/>
              <w:jc w:val="center"/>
              <w:rPr>
                <w:rFonts w:hint="default" w:ascii="仿宋" w:hAnsi="仿宋" w:eastAsia="仿宋" w:cs="Times New Roman"/>
                <w:b/>
                <w:kern w:val="2"/>
                <w:sz w:val="24"/>
                <w:lang w:val="en-US" w:eastAsia="zh-CN" w:bidi="ar-SA"/>
              </w:rPr>
            </w:pPr>
            <w:r>
              <w:rPr>
                <w:rFonts w:hint="eastAsia" w:ascii="仿宋" w:hAnsi="仿宋" w:eastAsia="仿宋" w:cs="Times New Roman"/>
                <w:b/>
                <w:sz w:val="24"/>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89" w:type="dxa"/>
            <w:vMerge w:val="restart"/>
            <w:noWrap w:val="0"/>
            <w:vAlign w:val="center"/>
          </w:tcPr>
          <w:p>
            <w:pPr>
              <w:spacing w:line="560" w:lineRule="exact"/>
              <w:jc w:val="center"/>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第7包</w:t>
            </w:r>
          </w:p>
        </w:tc>
        <w:tc>
          <w:tcPr>
            <w:tcW w:w="3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云桌面系统（300点位）</w:t>
            </w:r>
          </w:p>
        </w:tc>
        <w:tc>
          <w:tcPr>
            <w:tcW w:w="810" w:type="dxa"/>
            <w:noWrap w:val="0"/>
            <w:vAlign w:val="center"/>
          </w:tcPr>
          <w:p>
            <w:pPr>
              <w:spacing w:line="560" w:lineRule="exact"/>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1</w:t>
            </w:r>
          </w:p>
        </w:tc>
        <w:tc>
          <w:tcPr>
            <w:tcW w:w="2100" w:type="dxa"/>
            <w:noWrap w:val="0"/>
            <w:vAlign w:val="center"/>
          </w:tcPr>
          <w:p>
            <w:pPr>
              <w:spacing w:line="560" w:lineRule="exact"/>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182</w:t>
            </w:r>
          </w:p>
        </w:tc>
        <w:tc>
          <w:tcPr>
            <w:tcW w:w="1544" w:type="dxa"/>
            <w:noWrap w:val="0"/>
            <w:vAlign w:val="center"/>
          </w:tcPr>
          <w:p>
            <w:pPr>
              <w:spacing w:line="560" w:lineRule="exact"/>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89" w:type="dxa"/>
            <w:vMerge w:val="continue"/>
            <w:noWrap w:val="0"/>
            <w:vAlign w:val="center"/>
          </w:tcPr>
          <w:p>
            <w:pPr>
              <w:spacing w:line="560" w:lineRule="exact"/>
              <w:jc w:val="center"/>
              <w:rPr>
                <w:rFonts w:hint="default" w:ascii="仿宋" w:hAnsi="仿宋" w:eastAsia="仿宋" w:cs="Times New Roman"/>
                <w:b/>
                <w:sz w:val="24"/>
                <w:lang w:val="en-US" w:eastAsia="zh-CN"/>
              </w:rPr>
            </w:pPr>
          </w:p>
        </w:tc>
        <w:tc>
          <w:tcPr>
            <w:tcW w:w="30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移动护理系统</w:t>
            </w:r>
          </w:p>
        </w:tc>
        <w:tc>
          <w:tcPr>
            <w:tcW w:w="810" w:type="dxa"/>
            <w:noWrap w:val="0"/>
            <w:vAlign w:val="center"/>
          </w:tcPr>
          <w:p>
            <w:pPr>
              <w:spacing w:line="560" w:lineRule="exact"/>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1</w:t>
            </w:r>
          </w:p>
        </w:tc>
        <w:tc>
          <w:tcPr>
            <w:tcW w:w="2100" w:type="dxa"/>
            <w:noWrap w:val="0"/>
            <w:vAlign w:val="center"/>
          </w:tcPr>
          <w:p>
            <w:pPr>
              <w:spacing w:line="560" w:lineRule="exact"/>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157</w:t>
            </w:r>
          </w:p>
        </w:tc>
        <w:tc>
          <w:tcPr>
            <w:tcW w:w="1544" w:type="dxa"/>
            <w:noWrap w:val="0"/>
            <w:vAlign w:val="center"/>
          </w:tcPr>
          <w:p>
            <w:pPr>
              <w:spacing w:line="560" w:lineRule="exact"/>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633" w:type="dxa"/>
            <w:gridSpan w:val="5"/>
            <w:noWrap w:val="0"/>
            <w:vAlign w:val="center"/>
          </w:tcPr>
          <w:p>
            <w:pPr>
              <w:spacing w:line="560" w:lineRule="exact"/>
              <w:jc w:val="left"/>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备注：单项报价不能超过预算单价，</w:t>
            </w:r>
            <w:r>
              <w:rPr>
                <w:rFonts w:hint="eastAsia" w:ascii="仿宋" w:hAnsi="仿宋" w:eastAsia="仿宋" w:cs="宋体"/>
                <w:b/>
                <w:bCs/>
                <w:color w:val="auto"/>
                <w:kern w:val="0"/>
                <w:sz w:val="24"/>
                <w:szCs w:val="24"/>
                <w:lang w:val="en-US" w:eastAsia="zh-CN"/>
              </w:rPr>
              <w:t>否则投标文件将被否决</w:t>
            </w:r>
          </w:p>
        </w:tc>
      </w:tr>
    </w:tbl>
    <w:p>
      <w:pPr>
        <w:widowControl/>
        <w:jc w:val="center"/>
        <w:rPr>
          <w:rFonts w:hint="eastAsia" w:ascii="仿宋" w:hAnsi="仿宋" w:eastAsia="仿宋" w:cs="仿宋"/>
          <w:b/>
          <w:kern w:val="0"/>
          <w:sz w:val="32"/>
          <w:szCs w:val="32"/>
        </w:rPr>
      </w:pPr>
    </w:p>
    <w:p>
      <w:pPr>
        <w:pStyle w:val="2"/>
        <w:rPr>
          <w:rFonts w:hint="eastAsia"/>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p>
    <w:p>
      <w:pPr>
        <w:widowControl/>
        <w:jc w:val="center"/>
        <w:rPr>
          <w:rFonts w:hint="eastAsia" w:ascii="仿宋" w:hAnsi="仿宋" w:eastAsia="仿宋" w:cs="仿宋"/>
          <w:b/>
          <w:kern w:val="0"/>
          <w:sz w:val="32"/>
          <w:szCs w:val="32"/>
        </w:rPr>
      </w:pPr>
      <w:r>
        <w:rPr>
          <w:rFonts w:hint="eastAsia" w:ascii="仿宋" w:hAnsi="仿宋" w:eastAsia="仿宋" w:cs="仿宋"/>
          <w:b/>
          <w:kern w:val="0"/>
          <w:sz w:val="32"/>
          <w:szCs w:val="32"/>
        </w:rPr>
        <w:t>详细技术参数</w:t>
      </w:r>
    </w:p>
    <w:p>
      <w:pPr>
        <w:pStyle w:val="2"/>
        <w:jc w:val="center"/>
        <w:rPr>
          <w:rFonts w:hint="default" w:ascii="仿宋" w:hAnsi="仿宋" w:eastAsia="仿宋" w:cs="仿宋"/>
          <w:b/>
          <w:kern w:val="44"/>
          <w:sz w:val="30"/>
          <w:szCs w:val="20"/>
          <w:lang w:val="en-US" w:eastAsia="zh-CN" w:bidi="ar-SA"/>
        </w:rPr>
      </w:pPr>
      <w:r>
        <w:rPr>
          <w:rFonts w:hint="eastAsia" w:ascii="仿宋" w:hAnsi="仿宋" w:eastAsia="仿宋" w:cs="仿宋"/>
          <w:b/>
          <w:kern w:val="44"/>
          <w:sz w:val="30"/>
          <w:szCs w:val="20"/>
          <w:lang w:val="en-US" w:eastAsia="zh-CN" w:bidi="ar-SA"/>
        </w:rPr>
        <w:t>第2包：检验流水线技术参数</w:t>
      </w:r>
    </w:p>
    <w:p>
      <w:pPr>
        <w:jc w:val="center"/>
        <w:rPr>
          <w:rFonts w:hint="eastAsia" w:ascii="仿宋" w:hAnsi="仿宋" w:eastAsia="仿宋" w:cs="仿宋"/>
          <w:sz w:val="24"/>
          <w:szCs w:val="24"/>
        </w:rPr>
      </w:pPr>
      <w:r>
        <w:rPr>
          <w:rFonts w:hint="eastAsia" w:ascii="仿宋" w:hAnsi="仿宋" w:eastAsia="仿宋" w:cs="仿宋"/>
          <w:sz w:val="24"/>
          <w:szCs w:val="24"/>
        </w:rPr>
        <w:t>生化免疫流水线（国产）</w:t>
      </w:r>
    </w:p>
    <w:tbl>
      <w:tblPr>
        <w:tblStyle w:val="43"/>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3"/>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1样本前处理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5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指标名称</w:t>
            </w:r>
          </w:p>
        </w:tc>
        <w:tc>
          <w:tcPr>
            <w:tcW w:w="6059" w:type="dxa"/>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仪器组成</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样本前处理分析系统整机为模块化设计，含样品投入单元，离心单元，开栓单元，样品收纳单元，能链接国产主流全自动生化分析仪及国产主流化学发光仪器。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投入单元</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投入单元最大同时可接受样本数≥300份样本，投入单元最大处理能力≥800份样本/小时。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离心单元</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离心单元最大处理能力 ≥250份样本/小时（离心时间为5分钟时），离心单元同时可离心样本数≥40个，一份样本也可以单独离心，离心单元离心机具有冷藏功能，温度可根据需要设定。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开栓单元</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开栓单元最大处理能力≥400个样本/小时，开栓单元可适用的试管：13mmX75mm、13mmX100mm、16mmX75mm、16mmX100mm，开栓单元具有三种规格盖子的开栓功能（橡胶盖、塑料盖或贴纸盖）。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样品收纳单元</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样品收纳单元最大处理能力 ≥800个样本/小时，样品收纳单元最大同时可收纳样本数 ≥600个样本。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进样方式</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采用轨道架式进样，每个架子可容纳5个样本。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扩展性</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免疫接口开放，可连接与前处理不同品牌免疫设备。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1.新疆省内有投标设备制造商直接设立的维修站。</w:t>
            </w:r>
          </w:p>
          <w:p>
            <w:pPr>
              <w:jc w:val="left"/>
              <w:rPr>
                <w:rFonts w:hint="eastAsia" w:ascii="仿宋" w:hAnsi="仿宋" w:eastAsia="仿宋" w:cs="仿宋"/>
                <w:sz w:val="24"/>
                <w:szCs w:val="24"/>
              </w:rPr>
            </w:pPr>
            <w:r>
              <w:rPr>
                <w:rFonts w:hint="eastAsia" w:ascii="仿宋" w:hAnsi="仿宋" w:eastAsia="仿宋" w:cs="仿宋"/>
                <w:sz w:val="24"/>
                <w:szCs w:val="24"/>
              </w:rPr>
              <w:t>2.整机终生质保，由生产厂家及代理商提供双重售后服务及技术支援。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2自动生化分析仪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9" w:type="dxa"/>
            <w:vMerge w:val="restart"/>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sz w:val="24"/>
                <w:szCs w:val="24"/>
              </w:rPr>
              <w:t>序号</w:t>
            </w:r>
          </w:p>
        </w:tc>
        <w:tc>
          <w:tcPr>
            <w:tcW w:w="1559" w:type="dxa"/>
            <w:vMerge w:val="restart"/>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sz w:val="24"/>
                <w:szCs w:val="24"/>
              </w:rPr>
              <w:t>指标名称</w:t>
            </w:r>
          </w:p>
        </w:tc>
        <w:tc>
          <w:tcPr>
            <w:tcW w:w="6059" w:type="dxa"/>
            <w:vMerge w:val="restart"/>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59" w:type="dxa"/>
            <w:vMerge w:val="continue"/>
            <w:shd w:val="clear" w:color="auto" w:fill="auto"/>
            <w:vAlign w:val="center"/>
          </w:tcPr>
          <w:p>
            <w:pPr>
              <w:autoSpaceDE w:val="0"/>
              <w:autoSpaceDN w:val="0"/>
              <w:adjustRightInd w:val="0"/>
              <w:spacing w:line="360" w:lineRule="auto"/>
              <w:jc w:val="center"/>
              <w:rPr>
                <w:rFonts w:hint="eastAsia" w:ascii="仿宋" w:hAnsi="仿宋" w:eastAsia="仿宋" w:cs="仿宋"/>
                <w:sz w:val="24"/>
                <w:szCs w:val="24"/>
              </w:rPr>
            </w:pPr>
          </w:p>
        </w:tc>
        <w:tc>
          <w:tcPr>
            <w:tcW w:w="1559" w:type="dxa"/>
            <w:vMerge w:val="continue"/>
            <w:shd w:val="clear" w:color="auto" w:fill="auto"/>
            <w:vAlign w:val="center"/>
          </w:tcPr>
          <w:p>
            <w:pPr>
              <w:autoSpaceDE w:val="0"/>
              <w:autoSpaceDN w:val="0"/>
              <w:adjustRightInd w:val="0"/>
              <w:spacing w:line="360" w:lineRule="auto"/>
              <w:jc w:val="center"/>
              <w:rPr>
                <w:rFonts w:hint="eastAsia" w:ascii="仿宋" w:hAnsi="仿宋" w:eastAsia="仿宋" w:cs="仿宋"/>
                <w:sz w:val="24"/>
                <w:szCs w:val="24"/>
              </w:rPr>
            </w:pPr>
          </w:p>
        </w:tc>
        <w:tc>
          <w:tcPr>
            <w:tcW w:w="6059" w:type="dxa"/>
            <w:vMerge w:val="continue"/>
            <w:shd w:val="clear" w:color="auto" w:fill="auto"/>
            <w:vAlign w:val="center"/>
          </w:tcPr>
          <w:p>
            <w:pPr>
              <w:autoSpaceDE w:val="0"/>
              <w:autoSpaceDN w:val="0"/>
              <w:adjustRightInd w:val="0"/>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设备要求</w:t>
            </w:r>
          </w:p>
        </w:tc>
        <w:tc>
          <w:tcPr>
            <w:tcW w:w="60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国内知名品牌，全自动分立式生化分析仪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测量速度</w:t>
            </w:r>
            <w:r>
              <w:rPr>
                <w:rFonts w:hint="eastAsia" w:ascii="仿宋" w:hAnsi="仿宋" w:eastAsia="仿宋" w:cs="仿宋"/>
                <w:sz w:val="24"/>
                <w:szCs w:val="24"/>
              </w:rPr>
              <w:tab/>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单模块恒速≥2000测试/小时，离子模块≥740项测试/小时，支持全血糖化功能,无需手工处理全血即可完成HbA1c测定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2.3</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测量方法</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要求具备终点法，两点法，速率法等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2.4</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急诊检测能力</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急诊样本优先检测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2.5</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分光方式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光栅后分光方式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波长数量及范围</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波长数量≥16个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吸光度线性范围</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0 Abs -4.0Abs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2.8</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温控方式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恒温循环水浴方式，控温精度要求达到37</w:t>
            </w:r>
            <w:r>
              <w:rPr>
                <w:rFonts w:hint="eastAsia" w:ascii="仿宋" w:hAnsi="仿宋" w:eastAsia="仿宋" w:cs="仿宋"/>
                <w:sz w:val="24"/>
                <w:szCs w:val="24"/>
              </w:rPr>
              <w:sym w:font="Symbol" w:char="F0B0"/>
            </w:r>
            <w:r>
              <w:rPr>
                <w:rFonts w:hint="eastAsia" w:ascii="仿宋" w:hAnsi="仿宋" w:eastAsia="仿宋" w:cs="仿宋"/>
                <w:sz w:val="24"/>
                <w:szCs w:val="24"/>
              </w:rPr>
              <w:t>C</w:t>
            </w:r>
            <w:r>
              <w:rPr>
                <w:rFonts w:hint="eastAsia" w:ascii="仿宋" w:hAnsi="仿宋" w:eastAsia="仿宋" w:cs="仿宋"/>
                <w:sz w:val="24"/>
                <w:szCs w:val="24"/>
              </w:rPr>
              <w:sym w:font="Symbol" w:char="F0B1"/>
            </w:r>
            <w:r>
              <w:rPr>
                <w:rFonts w:hint="eastAsia" w:ascii="仿宋" w:hAnsi="仿宋" w:eastAsia="仿宋" w:cs="仿宋"/>
                <w:sz w:val="24"/>
                <w:szCs w:val="24"/>
              </w:rPr>
              <w:t>0.1</w:t>
            </w:r>
            <w:r>
              <w:rPr>
                <w:rFonts w:hint="eastAsia" w:ascii="仿宋" w:hAnsi="仿宋" w:eastAsia="仿宋" w:cs="仿宋"/>
                <w:sz w:val="24"/>
                <w:szCs w:val="24"/>
              </w:rPr>
              <w:sym w:font="Symbol" w:char="F0B0"/>
            </w:r>
            <w:r>
              <w:rPr>
                <w:rFonts w:hint="eastAsia" w:ascii="仿宋" w:hAnsi="仿宋" w:eastAsia="仿宋" w:cs="仿宋"/>
                <w:sz w:val="24"/>
                <w:szCs w:val="24"/>
              </w:rPr>
              <w:t>C有效避免环境冷热空气及对流因素对控温稳定性的干扰.（不接受其它恒温方式）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2.9</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制冷方式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压缩机制冷方式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2.10</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进样方式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轨道式进样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样本针功能</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具有凝块检测功能，液面探测功能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2.12</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样本量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 xml:space="preserve">最小样本加样量≤1.1ul，0.1 ul步进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2.13</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样本加样机构</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 xml:space="preserve">单模块采用≥2个独立的加样针臂和≥2个独立的加样针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2.14</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试剂量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 xml:space="preserve">最小加样量≤11ul，0.5 ul步进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2.15</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同时在线分析项目</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单模块同时在线最多分析项目≥156个项目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color w:val="000000" w:themeColor="text1"/>
                <w:sz w:val="24"/>
                <w:szCs w:val="24"/>
              </w:rPr>
            </w:pPr>
            <w:r>
              <w:rPr>
                <w:rFonts w:hint="eastAsia" w:ascii="仿宋" w:hAnsi="仿宋" w:eastAsia="仿宋" w:cs="宋体"/>
                <w:kern w:val="0"/>
                <w:sz w:val="24"/>
                <w:szCs w:val="24"/>
              </w:rPr>
              <w:t>*</w:t>
            </w:r>
            <w:r>
              <w:rPr>
                <w:rFonts w:hint="eastAsia" w:ascii="仿宋" w:hAnsi="仿宋" w:eastAsia="仿宋" w:cs="仿宋"/>
                <w:color w:val="000000" w:themeColor="text1"/>
                <w:sz w:val="24"/>
                <w:szCs w:val="24"/>
              </w:rPr>
              <w:t>试剂冷藏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24小时2-8℃/5-15℃，两种温控模式可选。（提供证明文件）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反应位</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单模块≥418个，无需扩展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2.18</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反应杯材质</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可重复使用的硬质塑料比色杯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2.19</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反应杯清洗</w:t>
            </w:r>
            <w:r>
              <w:rPr>
                <w:rFonts w:hint="eastAsia" w:ascii="仿宋" w:hAnsi="仿宋" w:eastAsia="仿宋" w:cs="仿宋"/>
                <w:color w:val="000000"/>
                <w:kern w:val="0"/>
                <w:sz w:val="24"/>
                <w:szCs w:val="24"/>
              </w:rPr>
              <w:t xml:space="preserve"> </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单模块</w:t>
            </w:r>
            <w:r>
              <w:rPr>
                <w:rFonts w:hint="eastAsia" w:ascii="仿宋" w:hAnsi="仿宋" w:eastAsia="仿宋" w:cs="仿宋"/>
                <w:color w:val="000000"/>
                <w:kern w:val="0"/>
                <w:sz w:val="24"/>
                <w:szCs w:val="24"/>
              </w:rPr>
              <w:t xml:space="preserve">≥9阶14步，自动清洗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2.20</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分注定量系统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高耐磨陶瓷芯分注泵（需提供样品图片）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搅拌系统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单模块≥11个，加入试剂后立即混匀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2.22</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工作软件</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 xml:space="preserve">配备中文软件系统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2.23</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装机配套试剂</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配备装机试剂一套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2.24</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工作站</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品牌电脑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2.25</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安装培训</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免费安装、调试、人员培训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2.26</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服务响应</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工程师2小时内响应，24小时到位服务。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2.27</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仿宋" w:hAnsi="仿宋" w:eastAsia="仿宋" w:cs="仿宋"/>
                <w:sz w:val="24"/>
                <w:szCs w:val="24"/>
              </w:rPr>
            </w:pPr>
            <w:r>
              <w:rPr>
                <w:rFonts w:hint="eastAsia" w:ascii="仿宋" w:hAnsi="仿宋" w:eastAsia="仿宋" w:cs="仿宋"/>
                <w:sz w:val="24"/>
                <w:szCs w:val="24"/>
              </w:rPr>
              <w:t>免费质保期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整机质保壹年；终身免费维修，保证配件5年以上供应期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质量评价系统要求</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投标产品生产厂家须提供自建免费的EQA（室间质量评价）和IQC（室内质量控制）平台系统，为采购方提供主动式的质量保障，确保采购方实验室检测结果的一致性，准确性。需提供厂家宣传彩页和系统平台截图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系统配套性要求</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仿宋" w:hAnsi="仿宋" w:eastAsia="仿宋" w:cs="仿宋"/>
                <w:sz w:val="24"/>
                <w:szCs w:val="24"/>
              </w:rPr>
            </w:pPr>
            <w:r>
              <w:rPr>
                <w:rFonts w:hint="eastAsia" w:ascii="仿宋" w:hAnsi="仿宋" w:eastAsia="仿宋" w:cs="仿宋"/>
                <w:sz w:val="24"/>
                <w:szCs w:val="24"/>
              </w:rPr>
              <w:t>具有原厂配套</w:t>
            </w:r>
            <w:r>
              <w:rPr>
                <w:rFonts w:hint="eastAsia" w:ascii="仿宋" w:hAnsi="仿宋" w:eastAsia="仿宋" w:cs="仿宋"/>
                <w:sz w:val="24"/>
                <w:szCs w:val="24"/>
                <w:lang w:eastAsia="zh-Hans"/>
              </w:rPr>
              <w:t>生化</w:t>
            </w:r>
            <w:r>
              <w:rPr>
                <w:rFonts w:hint="eastAsia" w:ascii="仿宋" w:hAnsi="仿宋" w:eastAsia="仿宋" w:cs="仿宋"/>
                <w:sz w:val="24"/>
                <w:szCs w:val="24"/>
              </w:rPr>
              <w:t>试剂、校准品和质控品；提供同</w:t>
            </w:r>
            <w:r>
              <w:rPr>
                <w:rFonts w:hint="eastAsia" w:ascii="仿宋" w:hAnsi="仿宋" w:eastAsia="仿宋" w:cs="仿宋"/>
                <w:sz w:val="24"/>
                <w:szCs w:val="24"/>
                <w:lang w:eastAsia="zh-Hans"/>
              </w:rPr>
              <w:t>品牌生化</w:t>
            </w:r>
            <w:r>
              <w:rPr>
                <w:rFonts w:hint="eastAsia" w:ascii="仿宋" w:hAnsi="仿宋" w:eastAsia="仿宋" w:cs="仿宋"/>
                <w:sz w:val="24"/>
                <w:szCs w:val="24"/>
              </w:rPr>
              <w:t>试剂配套项目≥100项，并提供原厂体外诊断</w:t>
            </w:r>
            <w:r>
              <w:rPr>
                <w:rFonts w:hint="eastAsia" w:ascii="仿宋" w:hAnsi="仿宋" w:eastAsia="仿宋" w:cs="仿宋"/>
                <w:sz w:val="24"/>
                <w:szCs w:val="24"/>
                <w:lang w:eastAsia="zh-Hans"/>
              </w:rPr>
              <w:t>生化</w:t>
            </w:r>
            <w:r>
              <w:rPr>
                <w:rFonts w:hint="eastAsia" w:ascii="仿宋" w:hAnsi="仿宋" w:eastAsia="仿宋" w:cs="仿宋"/>
                <w:sz w:val="24"/>
                <w:szCs w:val="24"/>
              </w:rPr>
              <w:t>试剂朔源资料证明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3国产化学发光免疫分析仪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仪器要求</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磁微粒吖啶酯直接化学发光免疫分析仪。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分析系统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仪器整机为同一品牌，采用模块化设计，具有拓展功能。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项目拓展</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能检测甲状腺激素、生殖激素、贫血系统、心血管系统、肿瘤标志物、感染性疾病、骨代谢、EB病毒、自身免疫疾病（自身免疫疾病包括：</w:t>
            </w:r>
            <w:r>
              <w:rPr>
                <w:rFonts w:hint="eastAsia" w:ascii="仿宋" w:hAnsi="仿宋" w:eastAsia="仿宋" w:cs="仿宋"/>
                <w:sz w:val="22"/>
              </w:rPr>
              <w:t>系统性红斑狼疮、抗磷脂综合征、自免肝、I型糖尿病、血管炎、类风湿关节炎相关测试项目</w:t>
            </w:r>
            <w:r>
              <w:rPr>
                <w:rFonts w:hint="eastAsia" w:ascii="仿宋" w:hAnsi="仿宋" w:eastAsia="仿宋" w:cs="仿宋"/>
                <w:sz w:val="24"/>
                <w:szCs w:val="24"/>
              </w:rPr>
              <w:t>）等，可检测PGI，PGII，G17，Anti-TSHR，</w:t>
            </w:r>
            <w:r>
              <w:rPr>
                <w:rFonts w:hint="eastAsia" w:ascii="仿宋" w:hAnsi="仿宋" w:eastAsia="仿宋" w:cs="仿宋"/>
                <w:sz w:val="24"/>
                <w:szCs w:val="24"/>
                <w:lang w:val="es-PA"/>
              </w:rPr>
              <w:t>AMH，抑制素A，</w:t>
            </w:r>
            <w:r>
              <w:rPr>
                <w:rFonts w:hint="eastAsia" w:ascii="仿宋" w:hAnsi="仿宋" w:eastAsia="仿宋" w:cs="仿宋"/>
                <w:sz w:val="24"/>
                <w:szCs w:val="24"/>
              </w:rPr>
              <w:t>抑制素B，</w:t>
            </w:r>
            <w:r>
              <w:rPr>
                <w:rFonts w:hint="eastAsia" w:ascii="仿宋" w:hAnsi="仿宋" w:eastAsia="仿宋" w:cs="仿宋"/>
                <w:sz w:val="24"/>
                <w:szCs w:val="24"/>
                <w:lang w:val="es-PA"/>
              </w:rPr>
              <w:t>PCT</w:t>
            </w:r>
            <w:r>
              <w:rPr>
                <w:rFonts w:hint="eastAsia" w:ascii="仿宋" w:hAnsi="仿宋" w:eastAsia="仿宋" w:cs="仿宋"/>
                <w:sz w:val="24"/>
                <w:szCs w:val="24"/>
              </w:rPr>
              <w:t>等，检测项目数≥130项。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检测速度</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单模块检测速度≥600测试/小时。后期可根据实验室发展在原仪器模块上拓展，最大可拓展2400测试/小时。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样本位</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样本位≥480个，支持原始管上机及随时加载。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试剂位</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单模块≥40个，支持在线更换试剂。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反应杯</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单模块可一次性装载≥3000个反应杯，反应杯为倾倒式加载，可在线随机加杯，全程跟踪，具备反应杯不足报警提醒功能。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最快检测速度</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急诊项目首个出结果时间：最快≤12分钟。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孵育孔数量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≥245个。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携带污染率</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color w:val="000000"/>
                <w:sz w:val="24"/>
                <w:szCs w:val="24"/>
              </w:rPr>
              <w:t>携带污染率：≤0.1PPM。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校准品</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试剂盒内包含校准品，无需额外购买，且校准品满足溯源要求。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宋体"/>
                <w:kern w:val="0"/>
                <w:sz w:val="24"/>
                <w:szCs w:val="24"/>
              </w:rPr>
              <w:t>*</w:t>
            </w:r>
            <w:r>
              <w:rPr>
                <w:rFonts w:hint="eastAsia" w:ascii="仿宋" w:hAnsi="仿宋" w:eastAsia="仿宋" w:cs="仿宋"/>
                <w:sz w:val="24"/>
                <w:szCs w:val="24"/>
              </w:rPr>
              <w:t>加样系统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加样系统具备液面、气泡、空吸、堵针检测及防撞功能，</w:t>
            </w:r>
          </w:p>
          <w:p>
            <w:pPr>
              <w:rPr>
                <w:rFonts w:hint="eastAsia" w:ascii="仿宋" w:hAnsi="仿宋" w:eastAsia="仿宋" w:cs="仿宋"/>
                <w:sz w:val="24"/>
                <w:szCs w:val="24"/>
              </w:rPr>
            </w:pPr>
            <w:r>
              <w:rPr>
                <w:rFonts w:hint="eastAsia" w:ascii="仿宋" w:hAnsi="仿宋" w:eastAsia="仿宋" w:cs="仿宋"/>
                <w:sz w:val="24"/>
                <w:szCs w:val="24"/>
              </w:rPr>
              <w:t>不使用一次性Tip头。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试剂系统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具备试剂冷藏装置（2-8℃），试剂可在机冷藏存储，具备试剂不足报警提醒功能。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急诊功能</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具备急诊功能，急诊样本随时插入，优先处理。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混匀方式</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非接触式混匀，避免交叉污染。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操作系统</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中文操作系统，可与LIS系统双向通讯。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仪器功能</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设备可24小时待机，设备对仪器状态、测试状态、试剂耗材可进行实时监测，设备具有实时故障报警、反馈日志记录功能。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3.18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605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仿宋" w:hAnsi="仿宋" w:eastAsia="仿宋" w:cs="仿宋"/>
                <w:sz w:val="24"/>
                <w:szCs w:val="24"/>
              </w:rPr>
            </w:pPr>
            <w:r>
              <w:rPr>
                <w:rFonts w:hint="eastAsia" w:ascii="仿宋" w:hAnsi="仿宋" w:eastAsia="仿宋" w:cs="仿宋"/>
                <w:sz w:val="24"/>
                <w:szCs w:val="24"/>
              </w:rPr>
              <w:t>仪器终生免费保修。</w:t>
            </w:r>
          </w:p>
        </w:tc>
      </w:tr>
    </w:tbl>
    <w:p>
      <w:pPr>
        <w:rPr>
          <w:rFonts w:hint="eastAsia" w:ascii="仿宋" w:hAnsi="仿宋" w:eastAsia="仿宋" w:cs="仿宋"/>
        </w:rPr>
      </w:pPr>
    </w:p>
    <w:p/>
    <w:p/>
    <w:p/>
    <w:p/>
    <w:p>
      <w:pPr>
        <w:jc w:val="center"/>
        <w:rPr>
          <w:rFonts w:ascii="等线" w:hAnsi="等线" w:eastAsia="等线"/>
          <w:sz w:val="22"/>
        </w:rPr>
      </w:pPr>
    </w:p>
    <w:p>
      <w:pPr>
        <w:rPr>
          <w:rFonts w:ascii="等线" w:hAnsi="等线" w:eastAsia="等线"/>
          <w:sz w:val="2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5"/>
        <w:bidi w:val="0"/>
        <w:jc w:val="center"/>
        <w:rPr>
          <w:rFonts w:hint="eastAsia" w:ascii="仿宋" w:hAnsi="仿宋" w:eastAsia="仿宋" w:cs="仿宋"/>
          <w:b/>
          <w:kern w:val="44"/>
          <w:sz w:val="30"/>
          <w:lang w:val="en-US" w:eastAsia="zh-CN" w:bidi="ar-SA"/>
        </w:rPr>
      </w:pPr>
      <w:r>
        <w:rPr>
          <w:rFonts w:hint="eastAsia" w:ascii="仿宋" w:hAnsi="仿宋" w:eastAsia="仿宋" w:cs="仿宋"/>
          <w:b/>
          <w:kern w:val="44"/>
          <w:sz w:val="30"/>
          <w:lang w:val="en-US" w:eastAsia="zh-CN" w:bidi="ar-SA"/>
        </w:rPr>
        <w:t>第7包：云桌面系统技术参数</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900"/>
        <w:gridCol w:w="5026"/>
        <w:gridCol w:w="942"/>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序号</w:t>
            </w:r>
          </w:p>
        </w:tc>
        <w:tc>
          <w:tcPr>
            <w:tcW w:w="96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名称</w:t>
            </w:r>
          </w:p>
        </w:tc>
        <w:tc>
          <w:tcPr>
            <w:tcW w:w="2550"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技术参数</w:t>
            </w:r>
          </w:p>
        </w:tc>
        <w:tc>
          <w:tcPr>
            <w:tcW w:w="478"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数量</w:t>
            </w:r>
          </w:p>
        </w:tc>
        <w:tc>
          <w:tcPr>
            <w:tcW w:w="502"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50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964"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桌面云一体机</w:t>
            </w:r>
          </w:p>
        </w:tc>
        <w:tc>
          <w:tcPr>
            <w:tcW w:w="2550" w:type="pct"/>
            <w:noWrap w:val="0"/>
            <w:vAlign w:val="top"/>
          </w:tcPr>
          <w:p>
            <w:p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硬件要求：</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1.为了保障桌面资源满足使用+需求，桌面云一体机配置要求为：高度2U机架式服务器，标配原厂滑轨。两颗主频≥2.9GHz，核心数≥16的X86架构CPU。</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2.支持≥2块后置热插拔（2.5寸）系统盘位，≥12个（3.5寸）热插拔盘位。配置内存≥320G DDR4，≥2块240G SSD系统盘，≥2块960G SSD缓存盘，≥4块6T数据盘。</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3.配置≥4个千兆电口，≥2个万兆光口，满配万兆光模块，≥2根多模光纤线缆。</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4.配置双风扇，双电源。</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5.故障定位：标配BMC诊断模块，可实现对CPU/内存/硬盘/网卡/风扇/温度/电源等关键部件的故障诊断</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6.为保障售后服务的及时性，所投设备的稳定性、可靠性，必须提供设备生产厂家售后服务承诺保证文件以及投标授权书。</w:t>
            </w:r>
          </w:p>
          <w:p>
            <w:p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软件要求：</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7.要求服务器必须配备存储虚拟化软件模块，并不限制存储容量，提供低成本、高可靠的存储方案。</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8.为确保业务连续性，虚拟化平台需支持平滑滚动升级，支持群集不停机情况下的服务器逐台升级，升级时将自动迁移虚拟机至其他主机，不影响业务运行。</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9.支持虚拟机集中备份与恢复，可按需选择多个虚拟机或全部虚拟机备份至外置服务器，支持设置备份策略，实现全自动化备份。（提供第三方检测报告证明可对虚拟机备份并恢复，需提供报告首页及结论所在页）</w:t>
            </w:r>
          </w:p>
        </w:tc>
        <w:tc>
          <w:tcPr>
            <w:tcW w:w="478"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w:t>
            </w:r>
          </w:p>
        </w:tc>
        <w:tc>
          <w:tcPr>
            <w:tcW w:w="502"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964"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瘦终端</w:t>
            </w:r>
          </w:p>
        </w:tc>
        <w:tc>
          <w:tcPr>
            <w:tcW w:w="2550" w:type="pct"/>
            <w:noWrap w:val="0"/>
            <w:vAlign w:val="top"/>
          </w:tcPr>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1.为保证整体方案的兼容性，要求与桌面云一体机同一品牌。</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2.ARM架构CPU≥1.6GHz，≥1G内存，≥4G存储。</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3.提供≥1个以太网口，≥6个USB口。</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4.采用嵌入式操作系统，若使用windows操作系统作为云终端底层操作系统，则需提供正版授权。</w:t>
            </w:r>
          </w:p>
          <w:p>
            <w:pPr>
              <w:rPr>
                <w:rFonts w:hint="eastAsia" w:ascii="仿宋" w:hAnsi="仿宋" w:eastAsia="仿宋" w:cs="仿宋"/>
                <w:sz w:val="24"/>
                <w:szCs w:val="24"/>
                <w:vertAlign w:val="baseline"/>
              </w:rPr>
            </w:pPr>
            <w:r>
              <w:rPr>
                <w:rFonts w:hint="eastAsia" w:ascii="仿宋" w:hAnsi="仿宋" w:eastAsia="仿宋" w:cs="宋体"/>
                <w:kern w:val="0"/>
                <w:sz w:val="24"/>
                <w:szCs w:val="24"/>
              </w:rPr>
              <w:t>*</w:t>
            </w:r>
            <w:r>
              <w:rPr>
                <w:rFonts w:hint="eastAsia" w:ascii="仿宋" w:hAnsi="仿宋" w:eastAsia="仿宋" w:cs="仿宋"/>
                <w:sz w:val="24"/>
                <w:szCs w:val="24"/>
                <w:vertAlign w:val="baseline"/>
              </w:rPr>
              <w:t>5.为了方便管理，管理方式为虚拟机和瘦终端统一管理，降低管理难度。（提供产品功能截图）</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6.考虑到接入安全，需支持修改云终端配置和登录信息时需要密码，可限制未接入过环境的瘦终端的接入或者接入桌面环境需要输入密码。</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rPr>
              <w:t>7.通过CCC产品质量管理认证、节能环保认证。</w:t>
            </w:r>
            <w:r>
              <w:rPr>
                <w:rFonts w:hint="eastAsia" w:ascii="仿宋" w:hAnsi="仿宋" w:eastAsia="仿宋" w:cs="仿宋"/>
                <w:sz w:val="24"/>
                <w:szCs w:val="24"/>
                <w:vertAlign w:val="baseline"/>
                <w:lang w:val="en-US" w:eastAsia="zh-CN"/>
              </w:rPr>
              <w:t>包含21.5寸液晶显示器和键盘鼠标套装</w:t>
            </w:r>
          </w:p>
        </w:tc>
        <w:tc>
          <w:tcPr>
            <w:tcW w:w="478"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w:t>
            </w:r>
          </w:p>
        </w:tc>
        <w:tc>
          <w:tcPr>
            <w:tcW w:w="502" w:type="pct"/>
            <w:noWrap w:val="0"/>
            <w:vAlign w:val="center"/>
          </w:tcPr>
          <w:p>
            <w:pPr>
              <w:jc w:val="center"/>
              <w:rPr>
                <w:rFonts w:hint="eastAsia" w:ascii="仿宋" w:hAnsi="仿宋" w:eastAsia="仿宋" w:cs="仿宋"/>
                <w:vertAlign w:val="baseline"/>
              </w:rPr>
            </w:pPr>
            <w:r>
              <w:rPr>
                <w:rFonts w:hint="eastAsia" w:ascii="仿宋" w:hAnsi="仿宋" w:eastAsia="仿宋" w:cs="仿宋"/>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964"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桌面云接入授权</w:t>
            </w:r>
          </w:p>
        </w:tc>
        <w:tc>
          <w:tcPr>
            <w:tcW w:w="2550"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1.本项目要求提供300个VDI并发用户连接授权，支持发布专有桌面、还原桌面（包括池化桌面）、共享桌面、远程应用和TCI终端至少6种桌面资源，满足不同场景的应用需求。</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2.支持多种类型终端登录桌面云，支持PC、笔记本（含Windows操作系统和MAC笔记本）、云终端（含ARM和X86）、iPad、iPhone、Android移动终端等设备接入访问虚拟桌面。</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3.为了保障医院外设兼容性及稳定性，所投产品需支持USB映射，兼容主流使用外设，如高拍仪、扫描枪、扫描仪、摄像头、密码小键盘、指纹收集器、身份证读卡器、手写板、打印机、USB-key等不同外设。</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4.在多应用办公场景下，可针对当下使用频率较高的软件做进程加速，管理员也可自定义需做进程加速应用，以保障应用使用体验。（提供功能配置截图）</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支持多种认证方式随需组合，包括本地账号密码、usb-key认证、短信认证、硬件特征绑定、动态口令、ldap认证、raduis认证、AD域认证、瘦终端客户机认证、802.1x等多种方式，满足不同级别用户的安全接入需求。（提供功能截图及第三方检测报告，需提供报告首页及结论所在页）</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6.为了满足用户安全性的需求，所投产品需满足在不使用第三方产品的情况下，在虚拟化管理平台可配置基于ip、虚拟机、用户的ACL策略访问控制，以解决网络隔离配置的复杂性以及实现虚拟机直接的隔离安全。（提供功能配置截图）</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7.支持客户端准入检测，可根据用户接入的终端类型、操作系统版本、接入IP和时间、软件安装情况等条件设置接入访问策略，如客户端不满足安全检测要求则不允许接入。（提供功能截图及第三方检测报告，提供报告首页及结论所在页）</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8.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提供第三方检测报告，需提供报告首页及结论所在页）</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在瘦终端的管理方面，需支持分组管理、批量移动、删除、关闭瘦终端，支持配置定时开关机计划及加电自启动功能，支持自定义开机画面、支持联动关机功能、配置自动登录和保存密码。（提供功能截图及第三方检测报告证明）</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10.本项目要求所投桌面云产品厂商具备CMMI5资质，确保桌面云软件开发成熟度。提供证书复印件。</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11.为满足用户的业务使用需求，所投产品需支持临时权限，管理员为部分用户临时在某个时间段内放通usb和pc剪切板等权限，并在到期后自动回收该权限，保证数据安全。（提供第三方检测报告）</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12.支持短信和邮件告警，在管理平台可以设置邮件服务器和短信服务器。</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13.支持管理平台监控和统计用户流量和并发用户趋势，以方便管理员及时调整网络带宽。</w:t>
            </w:r>
          </w:p>
          <w:p>
            <w:pPr>
              <w:rPr>
                <w:rFonts w:hint="eastAsia" w:ascii="仿宋" w:hAnsi="仿宋" w:eastAsia="仿宋" w:cs="仿宋"/>
                <w:sz w:val="24"/>
                <w:szCs w:val="24"/>
                <w:vertAlign w:val="baseline"/>
                <w:lang w:val="en-US" w:eastAsia="zh-CN"/>
              </w:rPr>
            </w:pPr>
            <w:r>
              <w:rPr>
                <w:rFonts w:hint="eastAsia" w:ascii="仿宋" w:hAnsi="仿宋" w:eastAsia="仿宋" w:cs="宋体"/>
                <w:kern w:val="0"/>
                <w:sz w:val="24"/>
                <w:szCs w:val="24"/>
              </w:rPr>
              <w:t>*</w:t>
            </w:r>
            <w:r>
              <w:rPr>
                <w:rFonts w:hint="eastAsia" w:ascii="仿宋" w:hAnsi="仿宋" w:eastAsia="仿宋" w:cs="仿宋"/>
                <w:sz w:val="24"/>
                <w:szCs w:val="24"/>
                <w:vertAlign w:val="baseline"/>
                <w:lang w:val="en-US" w:eastAsia="zh-CN"/>
              </w:rPr>
              <w:t>14.为了快速满足用户对桌面资源的诉求，所投产品需支持用户可自助申请虚拟机配置变更，由管理员审核，管理员可以选择审批通过、修改申请配置后申请通过、驳回操作，审核通过资源自动加到用户虚拟机上。并且用户申请虚拟机配置变更可以直接指定给部门资产管理员审批，既符合规定又提高效率。（需提供功能截图）</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15.为保证产品成熟度，要求所投产品连续两年入围Gartner魔力象限。</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支持根据接入环境不同匹配不同安全级别的策略，场景可基于IP范围、终端类型等，实现用户从不同接入地点、接入终端，匹配不同安全等级的认证策略及桌面策略。如用户从内网、外网访问桌面时获取不同策略，内网登录时可以使用U盘，外网登录时禁用所有外设；如用户在外网登陆时需要叠加辅助认证。（提供功能截图）</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17.提供分布式防火墙能力，实现虚拟桌面（东西向）之间的访问隔离，还可以实现虚拟桌面访问目标系统的南北向访问控制。</w:t>
            </w:r>
          </w:p>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18.支持主机集群迁移虚拟机建议，通过主机监控、虚拟机监控数据，当某个主机负载达到一定阈值，监控平台能够建议管理员做迁移动作，以保障用户体验（提供功能截图）</w:t>
            </w:r>
          </w:p>
        </w:tc>
        <w:tc>
          <w:tcPr>
            <w:tcW w:w="478"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502"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964"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业务及管理交换机</w:t>
            </w:r>
          </w:p>
        </w:tc>
        <w:tc>
          <w:tcPr>
            <w:tcW w:w="2550" w:type="pct"/>
            <w:noWrap w:val="0"/>
            <w:vAlign w:val="top"/>
          </w:tcPr>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1.性能：交换容量≥</w:t>
            </w:r>
            <w:r>
              <w:rPr>
                <w:rFonts w:hint="eastAsia" w:ascii="仿宋" w:hAnsi="仿宋" w:eastAsia="仿宋" w:cs="仿宋"/>
                <w:sz w:val="24"/>
                <w:szCs w:val="24"/>
                <w:vertAlign w:val="baseline"/>
                <w:lang w:val="en-US" w:eastAsia="zh-CN"/>
              </w:rPr>
              <w:t>432G</w:t>
            </w:r>
            <w:r>
              <w:rPr>
                <w:rFonts w:hint="eastAsia" w:ascii="仿宋" w:hAnsi="仿宋" w:eastAsia="仿宋" w:cs="仿宋"/>
                <w:sz w:val="24"/>
                <w:szCs w:val="24"/>
                <w:vertAlign w:val="baseline"/>
              </w:rPr>
              <w:t>bps，包转发率≥</w:t>
            </w:r>
            <w:r>
              <w:rPr>
                <w:rFonts w:hint="eastAsia" w:ascii="仿宋" w:hAnsi="仿宋" w:eastAsia="仿宋" w:cs="仿宋"/>
                <w:sz w:val="24"/>
                <w:szCs w:val="24"/>
                <w:vertAlign w:val="baseline"/>
                <w:lang w:val="en-US" w:eastAsia="zh-CN"/>
              </w:rPr>
              <w:t>156</w:t>
            </w:r>
            <w:r>
              <w:rPr>
                <w:rFonts w:hint="eastAsia" w:ascii="仿宋" w:hAnsi="仿宋" w:eastAsia="仿宋" w:cs="仿宋"/>
                <w:sz w:val="24"/>
                <w:szCs w:val="24"/>
                <w:vertAlign w:val="baseline"/>
              </w:rPr>
              <w:t>Mpps。</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2.接口：配置≥</w:t>
            </w:r>
            <w:r>
              <w:rPr>
                <w:rFonts w:hint="eastAsia" w:ascii="仿宋" w:hAnsi="仿宋" w:eastAsia="仿宋" w:cs="仿宋"/>
                <w:sz w:val="24"/>
                <w:szCs w:val="24"/>
                <w:vertAlign w:val="baseline"/>
                <w:lang w:val="en-US" w:eastAsia="zh-CN"/>
              </w:rPr>
              <w:t>24</w:t>
            </w:r>
            <w:r>
              <w:rPr>
                <w:rFonts w:hint="eastAsia" w:ascii="仿宋" w:hAnsi="仿宋" w:eastAsia="仿宋" w:cs="仿宋"/>
                <w:sz w:val="24"/>
                <w:szCs w:val="24"/>
                <w:vertAlign w:val="baseline"/>
              </w:rPr>
              <w:t>个</w:t>
            </w:r>
            <w:r>
              <w:rPr>
                <w:rFonts w:hint="eastAsia" w:ascii="仿宋" w:hAnsi="仿宋" w:eastAsia="仿宋" w:cs="仿宋"/>
                <w:sz w:val="24"/>
                <w:szCs w:val="24"/>
                <w:vertAlign w:val="baseline"/>
                <w:lang w:val="en-US" w:eastAsia="zh-CN"/>
              </w:rPr>
              <w:t>千兆电</w:t>
            </w:r>
            <w:r>
              <w:rPr>
                <w:rFonts w:hint="eastAsia" w:ascii="仿宋" w:hAnsi="仿宋" w:eastAsia="仿宋" w:cs="仿宋"/>
                <w:sz w:val="24"/>
                <w:szCs w:val="24"/>
                <w:vertAlign w:val="baseline"/>
              </w:rPr>
              <w:t>口，≥</w:t>
            </w:r>
            <w:r>
              <w:rPr>
                <w:rFonts w:hint="eastAsia" w:ascii="仿宋" w:hAnsi="仿宋" w:eastAsia="仿宋" w:cs="仿宋"/>
                <w:sz w:val="24"/>
                <w:szCs w:val="24"/>
                <w:vertAlign w:val="baseline"/>
                <w:lang w:val="en-US" w:eastAsia="zh-CN"/>
              </w:rPr>
              <w:t>4万兆光口</w:t>
            </w:r>
            <w:r>
              <w:rPr>
                <w:rFonts w:hint="eastAsia" w:ascii="仿宋" w:hAnsi="仿宋" w:eastAsia="仿宋" w:cs="仿宋"/>
                <w:sz w:val="24"/>
                <w:szCs w:val="24"/>
                <w:vertAlign w:val="baseline"/>
              </w:rPr>
              <w:t>。</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3.为保证实施效果，配置≥</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rPr>
              <w:t>个万兆多模光模块，≥1根堆叠所需线缆。</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4.为实现智能化管理，要求交换机可根据需要支持智能交换机和普通交换机两种工作模式，两种模式可在控制器平台灵活的进行切换。</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5.支持通过控制器平台查看交换机端口负载情况；</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6.支持流量端口镜像及重定向功能；</w:t>
            </w:r>
          </w:p>
        </w:tc>
        <w:tc>
          <w:tcPr>
            <w:tcW w:w="478"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502" w:type="pct"/>
            <w:noWrap w:val="0"/>
            <w:vAlign w:val="center"/>
          </w:tcPr>
          <w:p>
            <w:pPr>
              <w:jc w:val="center"/>
              <w:rPr>
                <w:rFonts w:hint="eastAsia" w:ascii="仿宋" w:hAnsi="仿宋" w:eastAsia="仿宋" w:cs="仿宋"/>
                <w:vertAlign w:val="baseline"/>
              </w:rPr>
            </w:pPr>
            <w:r>
              <w:rPr>
                <w:rFonts w:hint="eastAsia" w:ascii="仿宋" w:hAnsi="仿宋" w:eastAsia="仿宋" w:cs="仿宋"/>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pct"/>
            <w:noWrap w:val="0"/>
            <w:vAlign w:val="top"/>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964" w:type="pct"/>
            <w:noWrap w:val="0"/>
            <w:vAlign w:val="top"/>
          </w:tcPr>
          <w:p>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存储网交换机</w:t>
            </w:r>
          </w:p>
        </w:tc>
        <w:tc>
          <w:tcPr>
            <w:tcW w:w="2550" w:type="pct"/>
            <w:noWrap w:val="0"/>
            <w:vAlign w:val="top"/>
          </w:tcPr>
          <w:p>
            <w:pPr>
              <w:rPr>
                <w:rFonts w:hint="eastAsia" w:ascii="仿宋" w:hAnsi="仿宋" w:eastAsia="仿宋" w:cs="仿宋"/>
                <w:sz w:val="24"/>
                <w:szCs w:val="24"/>
                <w:vertAlign w:val="baseline"/>
              </w:rPr>
            </w:pPr>
            <w:r>
              <w:rPr>
                <w:rFonts w:hint="eastAsia" w:ascii="仿宋" w:hAnsi="仿宋" w:eastAsia="仿宋" w:cs="宋体"/>
                <w:kern w:val="0"/>
                <w:sz w:val="24"/>
                <w:szCs w:val="24"/>
              </w:rPr>
              <w:t>*</w:t>
            </w:r>
            <w:r>
              <w:rPr>
                <w:rFonts w:hint="eastAsia" w:ascii="仿宋" w:hAnsi="仿宋" w:eastAsia="仿宋" w:cs="仿宋"/>
                <w:sz w:val="24"/>
                <w:szCs w:val="24"/>
                <w:vertAlign w:val="baseline"/>
              </w:rPr>
              <w:t>1.性能：交换容量≥12Tbps，包转发率≥480Mpps。</w:t>
            </w:r>
          </w:p>
          <w:p>
            <w:pPr>
              <w:rPr>
                <w:rFonts w:hint="eastAsia" w:ascii="仿宋" w:hAnsi="仿宋" w:eastAsia="仿宋" w:cs="仿宋"/>
                <w:sz w:val="24"/>
                <w:szCs w:val="24"/>
                <w:vertAlign w:val="baseline"/>
              </w:rPr>
            </w:pPr>
            <w:r>
              <w:rPr>
                <w:rFonts w:hint="eastAsia" w:ascii="仿宋" w:hAnsi="仿宋" w:eastAsia="仿宋" w:cs="宋体"/>
                <w:kern w:val="0"/>
                <w:sz w:val="24"/>
                <w:szCs w:val="24"/>
              </w:rPr>
              <w:t>*</w:t>
            </w:r>
            <w:r>
              <w:rPr>
                <w:rFonts w:hint="eastAsia" w:ascii="仿宋" w:hAnsi="仿宋" w:eastAsia="仿宋" w:cs="仿宋"/>
                <w:sz w:val="24"/>
                <w:szCs w:val="24"/>
                <w:vertAlign w:val="baseline"/>
              </w:rPr>
              <w:t>2.接口：配置≥12个万兆光口，≥12个千兆电口。</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3.为保证实施效果，配置≥</w:t>
            </w:r>
            <w:r>
              <w:rPr>
                <w:rFonts w:hint="eastAsia" w:ascii="仿宋" w:hAnsi="仿宋" w:eastAsia="仿宋" w:cs="仿宋"/>
                <w:sz w:val="24"/>
                <w:szCs w:val="24"/>
                <w:vertAlign w:val="baseline"/>
                <w:lang w:val="en-US" w:eastAsia="zh-CN"/>
              </w:rPr>
              <w:t>9</w:t>
            </w:r>
            <w:r>
              <w:rPr>
                <w:rFonts w:hint="eastAsia" w:ascii="仿宋" w:hAnsi="仿宋" w:eastAsia="仿宋" w:cs="仿宋"/>
                <w:sz w:val="24"/>
                <w:szCs w:val="24"/>
                <w:vertAlign w:val="baseline"/>
              </w:rPr>
              <w:t>个万兆多模光模块，≥1根堆叠所需线缆。</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4.为实现智能化管理，要求交换机可根据需要支持智能交换机和普通交换机两种工作模式，两种模式可在控制器平台灵活的进行切换。</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5.支持通过控制器平台查看交换机端口负载情况，提供平台功能截图证明；</w:t>
            </w:r>
          </w:p>
          <w:p>
            <w:pPr>
              <w:rPr>
                <w:rFonts w:hint="eastAsia" w:ascii="仿宋" w:hAnsi="仿宋" w:eastAsia="仿宋" w:cs="仿宋"/>
                <w:sz w:val="24"/>
                <w:szCs w:val="24"/>
                <w:vertAlign w:val="baseline"/>
              </w:rPr>
            </w:pPr>
            <w:r>
              <w:rPr>
                <w:rFonts w:hint="eastAsia" w:ascii="仿宋" w:hAnsi="仿宋" w:eastAsia="仿宋" w:cs="仿宋"/>
                <w:sz w:val="24"/>
                <w:szCs w:val="24"/>
                <w:vertAlign w:val="baseline"/>
              </w:rPr>
              <w:t>6.支持流量端口镜像及重定向功能；</w:t>
            </w:r>
          </w:p>
        </w:tc>
        <w:tc>
          <w:tcPr>
            <w:tcW w:w="478" w:type="pct"/>
            <w:noWrap w:val="0"/>
            <w:vAlign w:val="center"/>
          </w:tcPr>
          <w:p>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502" w:type="pct"/>
            <w:noWrap w:val="0"/>
            <w:vAlign w:val="center"/>
          </w:tcPr>
          <w:p>
            <w:pPr>
              <w:jc w:val="center"/>
              <w:rPr>
                <w:rFonts w:hint="eastAsia" w:ascii="仿宋" w:hAnsi="仿宋" w:eastAsia="仿宋" w:cs="仿宋"/>
                <w:vertAlign w:val="baseline"/>
              </w:rPr>
            </w:pPr>
            <w:r>
              <w:rPr>
                <w:rFonts w:hint="eastAsia" w:ascii="仿宋" w:hAnsi="仿宋" w:eastAsia="仿宋" w:cs="仿宋"/>
                <w:vertAlign w:val="baseline"/>
                <w:lang w:val="en-US" w:eastAsia="zh-CN"/>
              </w:rPr>
              <w:t>台</w:t>
            </w:r>
          </w:p>
        </w:tc>
      </w:tr>
    </w:tbl>
    <w:p>
      <w:pPr>
        <w:rPr>
          <w:rFonts w:hint="eastAsia" w:ascii="仿宋" w:hAnsi="仿宋" w:eastAsia="仿宋" w:cs="仿宋"/>
          <w:lang w:val="en-US" w:eastAsia="zh-CN"/>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4"/>
        <w:numPr>
          <w:ilvl w:val="0"/>
          <w:numId w:val="0"/>
        </w:numPr>
        <w:spacing w:before="156" w:beforeLines="0" w:after="156" w:afterLines="0" w:line="360" w:lineRule="auto"/>
        <w:ind w:leftChars="0"/>
        <w:jc w:val="center"/>
        <w:rPr>
          <w:rFonts w:hint="default" w:ascii="仿宋" w:hAnsi="仿宋" w:eastAsia="仿宋" w:cs="仿宋"/>
          <w:lang w:val="en-US" w:eastAsia="zh-CN"/>
        </w:rPr>
      </w:pPr>
      <w:r>
        <w:rPr>
          <w:rFonts w:hint="eastAsia" w:ascii="仿宋" w:hAnsi="仿宋" w:eastAsia="仿宋" w:cs="仿宋"/>
          <w:lang w:val="en-US" w:eastAsia="zh-CN"/>
        </w:rPr>
        <w:t>移动护理系统技术要求</w:t>
      </w:r>
    </w:p>
    <w:p>
      <w:pPr>
        <w:pStyle w:val="4"/>
        <w:numPr>
          <w:ilvl w:val="0"/>
          <w:numId w:val="0"/>
        </w:numPr>
        <w:spacing w:before="156" w:beforeLines="0" w:after="156" w:afterLines="0" w:line="360" w:lineRule="auto"/>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建设内容</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本次招标内容包括系统软件的开发、安装、技术支持、运行维护、项目验收、培训及售后服务等。</w:t>
      </w:r>
    </w:p>
    <w:tbl>
      <w:tblPr>
        <w:tblStyle w:val="43"/>
        <w:tblW w:w="7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66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182"/>
              <w:rPr>
                <w:rFonts w:hint="eastAsia" w:ascii="仿宋" w:hAnsi="仿宋" w:eastAsia="仿宋" w:cs="仿宋"/>
                <w:sz w:val="24"/>
                <w:szCs w:val="24"/>
              </w:rPr>
            </w:pPr>
            <w:r>
              <w:rPr>
                <w:rFonts w:hint="eastAsia" w:ascii="仿宋" w:hAnsi="仿宋" w:eastAsia="仿宋" w:cs="仿宋"/>
                <w:sz w:val="24"/>
                <w:szCs w:val="24"/>
              </w:rPr>
              <w:t>序号</w:t>
            </w:r>
          </w:p>
        </w:tc>
        <w:tc>
          <w:tcPr>
            <w:tcW w:w="4666" w:type="dxa"/>
            <w:noWrap w:val="0"/>
            <w:vAlign w:val="center"/>
          </w:tcPr>
          <w:p>
            <w:pPr>
              <w:pStyle w:val="182"/>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2070" w:type="dxa"/>
            <w:noWrap w:val="0"/>
            <w:vAlign w:val="center"/>
          </w:tcPr>
          <w:p>
            <w:pPr>
              <w:pStyle w:val="182"/>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1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666" w:type="dxa"/>
            <w:noWrap w:val="0"/>
            <w:vAlign w:val="center"/>
          </w:tcPr>
          <w:p>
            <w:pPr>
              <w:pStyle w:val="182"/>
              <w:jc w:val="center"/>
              <w:rPr>
                <w:rFonts w:hint="eastAsia" w:ascii="仿宋" w:hAnsi="仿宋" w:eastAsia="仿宋" w:cs="仿宋"/>
                <w:sz w:val="24"/>
                <w:szCs w:val="24"/>
              </w:rPr>
            </w:pPr>
            <w:r>
              <w:rPr>
                <w:rFonts w:hint="eastAsia" w:ascii="仿宋" w:hAnsi="仿宋" w:eastAsia="仿宋" w:cs="仿宋"/>
                <w:kern w:val="2"/>
                <w:sz w:val="24"/>
                <w:szCs w:val="24"/>
              </w:rPr>
              <w:t>移动护理信息系统</w:t>
            </w:r>
          </w:p>
        </w:tc>
        <w:tc>
          <w:tcPr>
            <w:tcW w:w="2070" w:type="dxa"/>
            <w:noWrap w:val="0"/>
            <w:vAlign w:val="center"/>
          </w:tcPr>
          <w:p>
            <w:pPr>
              <w:pStyle w:val="182"/>
              <w:jc w:val="center"/>
              <w:rPr>
                <w:rFonts w:hint="eastAsia" w:ascii="仿宋" w:hAnsi="仿宋" w:eastAsia="仿宋" w:cs="仿宋"/>
                <w:sz w:val="24"/>
                <w:szCs w:val="24"/>
              </w:rPr>
            </w:pPr>
            <w:r>
              <w:rPr>
                <w:rFonts w:hint="eastAsia" w:ascii="仿宋" w:hAnsi="仿宋" w:eastAsia="仿宋" w:cs="仿宋"/>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1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666" w:type="dxa"/>
            <w:noWrap w:val="0"/>
            <w:vAlign w:val="center"/>
          </w:tcPr>
          <w:p>
            <w:pPr>
              <w:pStyle w:val="1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手持移动终端(PDA)</w:t>
            </w:r>
          </w:p>
        </w:tc>
        <w:tc>
          <w:tcPr>
            <w:tcW w:w="2070" w:type="dxa"/>
            <w:noWrap w:val="0"/>
            <w:vAlign w:val="center"/>
          </w:tcPr>
          <w:p>
            <w:pPr>
              <w:pStyle w:val="182"/>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18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4666" w:type="dxa"/>
            <w:noWrap w:val="0"/>
            <w:vAlign w:val="center"/>
          </w:tcPr>
          <w:p>
            <w:pPr>
              <w:pStyle w:val="1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瓶签、腕带打印机(含腕带)</w:t>
            </w:r>
          </w:p>
        </w:tc>
        <w:tc>
          <w:tcPr>
            <w:tcW w:w="2070" w:type="dxa"/>
            <w:noWrap w:val="0"/>
            <w:vAlign w:val="center"/>
          </w:tcPr>
          <w:p>
            <w:pPr>
              <w:pStyle w:val="182"/>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pPr>
              <w:pStyle w:val="18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666" w:type="dxa"/>
            <w:noWrap w:val="0"/>
            <w:vAlign w:val="center"/>
          </w:tcPr>
          <w:p>
            <w:pPr>
              <w:pStyle w:val="1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腕带</w:t>
            </w:r>
          </w:p>
        </w:tc>
        <w:tc>
          <w:tcPr>
            <w:tcW w:w="2070" w:type="dxa"/>
            <w:noWrap w:val="0"/>
            <w:vAlign w:val="center"/>
          </w:tcPr>
          <w:p>
            <w:pPr>
              <w:pStyle w:val="1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100卷</w:t>
            </w:r>
          </w:p>
        </w:tc>
      </w:tr>
    </w:tbl>
    <w:p>
      <w:pPr>
        <w:pStyle w:val="4"/>
        <w:numPr>
          <w:ilvl w:val="0"/>
          <w:numId w:val="0"/>
        </w:numPr>
        <w:spacing w:before="156" w:beforeLines="0" w:after="156" w:afterLines="0" w:line="360" w:lineRule="auto"/>
        <w:ind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技术规格和配置要求</w:t>
      </w:r>
    </w:p>
    <w:p>
      <w:pPr>
        <w:pStyle w:val="5"/>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系统设计要求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1）先进性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采用先进的基于构件/构架的设计思想和开发方法，支持大用户量并发访问，包括大并发下的缓存技术，页面异步数据交换，支持htm5等新的互联网技术。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2）安全性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统采用分级管理模式，对不同级别用户的操作权限和数据访问范围有严格的限制，系统管理员可以根据情况灵活设置安全策略。系统级安全：定期备份、应急（支持脱机程序及相应的应急预案、支持智能客户端）及恢复、灾备解决方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3）兼容性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技术上按照国际标准，同时符合国家标准，支持多种主流浏览器访问，自适应移动设备在线浏览，实现良好的跨平台能力，便于与不同系统间的数据交互。</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4）开发技术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系统采用B/S、C/S或C/M/S架构，数据库支持Oracle、SQL Server等大型数据库，支持主流的应用服务器、集群及负载等。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5）可扩展性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采用模块化的设计框架，模块之间相对独立又可相互关联。在已有功能基础上添加新模块或新功能，都非常方便。而且系统采用对象化设计理念，程序接口和数据接口都要清晰，便于二次开发。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6）易维护性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用代码维护、公式调整、参数配置等手段，确保管理员可自维护系统基础设置数据项。系统升级和日常维护只需要在服务器进行即可。系统为管理员有系统设置和维护功能，包括用户和权限设置、字段维护、代码表维护、日志监控、数据批量处理、远程备份、数据同步等等。系统维护期满后，采购人有权要求投标人提供应用系统相关技术文档。开放数据库规格描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7）可操作性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设计方案符合业务流程，不是停留理论框架，而是切实可行，并具有成功案例。</w:t>
      </w:r>
    </w:p>
    <w:p>
      <w:pPr>
        <w:pStyle w:val="5"/>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系统总体要求</w:t>
      </w:r>
    </w:p>
    <w:p>
      <w:pPr>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rPr>
        <w:t>1）要求移动护理信息系统采用C/S(客户机/服务器)架构模式。基于真正的SOA三层架构体系（用户界面层-业务逻辑层-数据库层）。</w:t>
      </w:r>
    </w:p>
    <w:p>
      <w:pPr>
        <w:numPr>
          <w:ilvl w:val="0"/>
          <w:numId w:val="0"/>
        </w:numPr>
        <w:spacing w:line="360" w:lineRule="auto"/>
        <w:ind w:leftChars="0"/>
        <w:rPr>
          <w:rFonts w:hint="eastAsia" w:ascii="仿宋" w:hAnsi="仿宋" w:eastAsia="仿宋" w:cs="仿宋"/>
          <w:sz w:val="24"/>
          <w:szCs w:val="24"/>
        </w:rPr>
      </w:pPr>
      <w:r>
        <w:rPr>
          <w:rFonts w:hint="eastAsia" w:ascii="仿宋" w:hAnsi="仿宋" w:eastAsia="仿宋" w:cs="仿宋"/>
          <w:sz w:val="24"/>
          <w:szCs w:val="24"/>
        </w:rPr>
        <w:t>2）系统应遵循《医院信息系统基本功能规范》、《电子病历基本规范》、《电子病历系统功能规范（试行）》及国家有关护理规章制度。系统需满足</w:t>
      </w:r>
      <w:r>
        <w:rPr>
          <w:rFonts w:hint="eastAsia" w:ascii="仿宋" w:hAnsi="仿宋" w:eastAsia="仿宋" w:cs="仿宋"/>
          <w:sz w:val="24"/>
          <w:szCs w:val="24"/>
          <w:lang w:val="en-US" w:eastAsia="zh-CN"/>
        </w:rPr>
        <w:t>二</w:t>
      </w:r>
      <w:r>
        <w:rPr>
          <w:rFonts w:hint="eastAsia" w:ascii="仿宋" w:hAnsi="仿宋" w:eastAsia="仿宋" w:cs="仿宋"/>
          <w:sz w:val="24"/>
          <w:szCs w:val="24"/>
        </w:rPr>
        <w:t>级医院优质护理服务的评审要求。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3）系统需要支持主流数据库系统，如：Oracle 11g等；服务器操作系统支持Unix、Linux、Windows；中间层应用服务器和开发工具必须通过J2EE规范认证。</w:t>
      </w:r>
    </w:p>
    <w:p>
      <w:pPr>
        <w:spacing w:line="360" w:lineRule="auto"/>
        <w:rPr>
          <w:rFonts w:hint="eastAsia" w:ascii="仿宋" w:hAnsi="仿宋" w:eastAsia="仿宋" w:cs="仿宋"/>
          <w:sz w:val="24"/>
          <w:szCs w:val="24"/>
        </w:rPr>
      </w:pPr>
      <w:r>
        <w:rPr>
          <w:rFonts w:hint="eastAsia" w:ascii="仿宋" w:hAnsi="仿宋" w:eastAsia="仿宋" w:cs="仿宋"/>
          <w:sz w:val="24"/>
          <w:szCs w:val="24"/>
        </w:rPr>
        <w:t>4）移动护理信息系统必须拥有结构化的护理文书系统，具有丰富的全科护理记录模板，单病种健康宣教模板，症状学护理措施模板。</w:t>
      </w:r>
    </w:p>
    <w:p>
      <w:pPr>
        <w:spacing w:line="360" w:lineRule="auto"/>
        <w:rPr>
          <w:rFonts w:hint="eastAsia" w:ascii="仿宋" w:hAnsi="仿宋" w:eastAsia="仿宋" w:cs="仿宋"/>
          <w:sz w:val="24"/>
          <w:szCs w:val="24"/>
        </w:rPr>
      </w:pPr>
      <w:r>
        <w:rPr>
          <w:rFonts w:hint="eastAsia" w:ascii="仿宋" w:hAnsi="仿宋" w:eastAsia="仿宋" w:cs="仿宋"/>
          <w:sz w:val="24"/>
          <w:szCs w:val="24"/>
        </w:rPr>
        <w:t>5）系统要求与院方的HIS、LIS、PACS等系统无缝集成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甲方无需承担费用</w:t>
      </w:r>
      <w:r>
        <w:rPr>
          <w:rFonts w:hint="eastAsia" w:ascii="仿宋" w:hAnsi="仿宋" w:eastAsia="仿宋" w:cs="仿宋"/>
          <w:sz w:val="24"/>
          <w:szCs w:val="24"/>
          <w:lang w:eastAsia="zh-CN"/>
        </w:rPr>
        <w:t>）</w:t>
      </w:r>
      <w:r>
        <w:rPr>
          <w:rFonts w:hint="eastAsia" w:ascii="仿宋" w:hAnsi="仿宋" w:eastAsia="仿宋" w:cs="仿宋"/>
          <w:sz w:val="24"/>
          <w:szCs w:val="24"/>
        </w:rPr>
        <w:t>，并应提供标准的数据交换接口，支持被医院其他信息系统的应用集成。</w:t>
      </w:r>
    </w:p>
    <w:p>
      <w:pPr>
        <w:pStyle w:val="5"/>
        <w:keepNext/>
        <w:keepLines/>
        <w:pageBreakBefore w:val="0"/>
        <w:widowControl w:val="0"/>
        <w:kinsoku/>
        <w:wordWrap/>
        <w:overflowPunct/>
        <w:topLinePunct w:val="0"/>
        <w:autoSpaceDE/>
        <w:autoSpaceDN/>
        <w:bidi w:val="0"/>
        <w:adjustRightInd/>
        <w:snapToGrid/>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移动护理信息系统性能要求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78"/>
        <w:gridCol w:w="1852"/>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1" w:type="pct"/>
            <w:gridSpan w:val="2"/>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功能分类</w:t>
            </w:r>
          </w:p>
        </w:tc>
        <w:tc>
          <w:tcPr>
            <w:tcW w:w="939" w:type="pc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功能模块</w:t>
            </w:r>
          </w:p>
        </w:tc>
        <w:tc>
          <w:tcPr>
            <w:tcW w:w="3038" w:type="pc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21" w:type="pct"/>
            <w:gridSpan w:val="2"/>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系统管理</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用户账户管理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创建/注销用户；用户角色设置；用户登录密码设置，支持密码输入长度控制、密码强度校验；用户图片签名设置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角色管理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可根据科室或者病区创建对应的角色（如护士、护士长、管理员等），对角色进行权限设置。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权限管理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管理不同用户权限，可直接套用相应角色权限，支持单独权限添加/删除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科室病区管理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科室、病区的添加、删除、修改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病区用户权限关联配置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提供按病区配置病区下所有用户权限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自定义菜单配置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用户可自定配置病区功能菜单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宣教知识库配置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创建/修改/删除健康宣教模板，管理适用病区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标签条码打印配置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提供可视化配置工具配置输液条码，腕带，床头卡打印样式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特殊字符配置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文书录入提供特殊字符快捷录入工具，并支持特殊字符新增，修改，删除功能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自定义快捷访问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用户可设置2-3个常用功能，放置在快捷访问工具栏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安全登录</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时间同步</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用户登录时，客户端自动同步服务器时间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权限登录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用户根据所赋予的权限，进行系统登录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021" w:type="pct"/>
            <w:gridSpan w:val="2"/>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辅助功能</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异常操作记录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记录用户使用系统过程中的异常操作，如：医嘱执行过程中，选错了执行对象，系统会记录下来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系统升级提醒</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系统版本升级后，对于已经打开在用的客户端进行提醒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提醒管理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PC客户端上维护好相应的提醒事件及时间，用户在PDA上选择相应提醒事件，当PDA到达预设的时间点后能够通过消息和振铃提醒用户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屏幕锁定功能</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登录后超过一定时间未操作，客户端退出到登录界面，时间可设定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患者全过程管理</w:t>
            </w:r>
          </w:p>
        </w:tc>
        <w:tc>
          <w:tcPr>
            <w:tcW w:w="939" w:type="pct"/>
            <w:vMerge w:val="restar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患者信息</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根据医院第三方系统能提供的字段显示患者基本信息，包括：姓名、性别、床号、护理级别、联系方式、住址、身份证号、主治医生、诊断、饮食、过敏史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color w:val="000000"/>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从护理系统提取数据，并在患者简卡上以图标的形式显示患者状态：显示高温、过敏史、新病人、新医嘱、手术标识、欠费标志、高危、病重、压疮、坠床/跌倒、疼痛、DVT、VTE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转科患者查询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提供患者转科流转记录查询（需第三方接口支持），包括：床号、姓名、住院号、病历号、性别、年龄、转入病区、转入时间、转出病区、转出时间。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床位分组管理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将本病区床位分配给相应的责任组，护士可通过所在责任组，开展临床护理工作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我的病人</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护士可以筛选出属于自己所管的的患者，并分配到我的病人里，开展临床护理工作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腕带打印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通过本系统在病区/住院处打印患者腕带，不含打印频次记录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床头卡打印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患者床头卡打印，支持病区打印模式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患者流转核对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扫描患者腕带，核对患者信息， 并记录患者流转信息，记录患者出院、入院、外出检查、入手术室、出手术室、回病房 这些流转信息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患者流转查询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提供患者出院、入院、外出检查、入手术室、出手术室、回病房的流转记录的查询，也可查 记录时间、记录人。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等级护理巡视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扫描患者腕带或床头卡，记录护理等级巡视情况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危重患者转运交接单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涉及危重患者的交接单，转运交接时，由患者所在的前一个科室先填写内容，由患者所在的后一个科室检查并核对内容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血透转运交接单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针对血透患者的转运交接单，在血透治疗转运交接时，由患者所在的前一个科室先填写内容，由患者所在的后一个科室检查并核对内容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介入治疗交接单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针对介入治疗患者的转运交接单，在介入治疗转运交接时，由患者所在的前一个科室先填写内容，由患者所在的后一个科室检查并核对内容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普通患者转运交接单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普通病区之间患者的交接，转运交接时，由患者所在的前一个科室先填写内容，由患者所在的后一个科室检查并核对内容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手术患者转运交接单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针对手术患者的转运交接单，转运交接时，由患者所在的前一个科室先填写内容，由患者所在的后一个科室检查并核对内容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患者转运交接流程</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针对危重、血透、急诊、介入治疗、手术和普通患者在临床治疗转运交接时，填写的转运交接文书，由患者所在的前一个科室先填写内容，由患者所在的后一个科室检查并核对内容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出院患者查询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可根据病历号、姓名、时间查阅已经出院的患者，双击出院记录可进入患者病历操作界面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患者护理病历归档</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对于出院的患者，程序可在设定时间后对患者病历自动归档，也可手动进行病历归档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归档病历解锁</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对于已归档的患者病历，可进行解锁操作，解锁后可操作其病历，操作完成后自动/手动归档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医嘱闭环管理</w:t>
            </w:r>
          </w:p>
        </w:tc>
        <w:tc>
          <w:tcPr>
            <w:tcW w:w="597" w:type="pct"/>
            <w:vMerge w:val="restart"/>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医嘱管理</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原始医嘱查看</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查看医生在电子医生站中下达并且已经审核的原始医嘱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新医嘱提示</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医生下达新医嘱后，在护理系统患者一览界面上提示，提醒护士有新医嘱下达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医嘱拆分</w:t>
            </w:r>
          </w:p>
        </w:tc>
        <w:tc>
          <w:tcPr>
            <w:tcW w:w="3038" w:type="pct"/>
            <w:noWrap w:val="0"/>
            <w:vAlign w:val="center"/>
          </w:tcPr>
          <w:p>
            <w:pPr>
              <w:widowControl/>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1)根据医嘱频次、计划执行时间对结构化医嘱进行拆分，支持根据医院要求产生统一样式的医嘱瓶贴并打印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涉及药物医嘱瓶贴包含患者及药物所有关键信息：患者姓名、年龄、住院号、科别、病区、床位号、过敏史、诊断、体重、用药方式、频度代码、计划用药时间、药物名称、药物剂量、单位、规格、滴速、医嘱条码、当天第几次用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医嘱执行记录查看、打印 </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在PC和移动端查看护士对于医嘱执行的相关记录，用于责任追溯医嘱执行记录包括执行时间、执行人、异常记录，支持PC端打印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医嘱巡视单查询、打印 </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在PC端查看患者已执行医嘱的操作明细情况，支持PC端打印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医嘱补执行 </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因某种原因（比如手术室外出用药、血透室用药等），护士对患者未能通过PDA执行医嘱，在PC端进行补录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输液医嘱闭环</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医嘱拆分之输液瓶签打印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输液准备之护士站收药核对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护士对患者输液用药成组药品的扫描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输液准备之配药扫描</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护士对患者输液配药的扫描操作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输液准备之复核扫描</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护士对患者输液配药的复核扫描操作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输液执行之用药核对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护理人员在输液类医嘱执行前首先扫描输液瓶签上的条码，再扫描患者腕带条码，当两者匹配后继续用药（同时记录用药时间和用药人）；如不匹配，则给出提示并记录异常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医嘱执行巡视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对执行用药患者情况的查看及一般情况的基本操作，包括暂停，继续，终止，录入滴速和异常情况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执行结果回写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将输液医嘱执行时间和执行人按医院需要回写至第三方系统中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输液量导入护理记录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可将医嘱名称，量，单位导入护理记录单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静配中心配药输液闭环</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病区收药</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静配中心配药的模式中，护理系统和静配系统对接，病区按静配中心配送批次接收药品，并记录接收批次、批次实际药品总数、接收人、接收时间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医嘱执行之输液用药核对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在输液类医嘱执行前首先扫描输液瓶签上的条码，再扫描患者腕带条码，当两者匹配后继续用药（同时记录用药时间和用药人）；如不匹配，则在输液的开始和结束均进行扫描进行提醒，数字化记录两者的真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医嘱执行巡视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对执行用药患者情况的查看及一般情况的基本操作，包括暂停，继续，终止，录入滴速和异常情况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执行结果回写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将输液医嘱执行时间和执行人回写至第三方系统中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输液量导入护理记录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可将医嘱名称，量，单位导入护理记录单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针剂用药医嘱闭环</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医嘱拆分之针剂标签打印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针剂医嘱执行</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护理人员在针剂类医嘱执行前首先扫描针剂签上的条码，再扫描患者腕带条码，当两者匹配后继续用药（同时记录用药时间和用药人）；如不匹配进行提醒针剂由于执行时间较短，不需要记录结束时间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针剂医嘱执行结果回写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将针剂医嘱执行时间和执行人回写至第三方系统中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口服药闭环</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病区收药</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在药房自动包药机包装口服药的模式中，护理系统和自动包药机系统对接，病区按配送批次接收药品，并记录接收批次、批次实际药品总数、接收人、接收时间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医嘱执行之口服药用药核对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护理人员在口服药医嘱执行前首先扫描口服药签上的条码，再扫描患者腕带条码，当两者匹配后继续用药（同时记录用药时间和用药人）；如不匹配进行提醒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口服药执行结果回写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将口服药执行时间和执行人回写至第三方系统中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检验医嘱闭环</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标本采集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护理人员在检验样本采集前首先扫描检验条码，再扫描患者腕带条码，当两者匹配后继续采集，记录采集人、采集时间；如不匹配进行提醒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标本送检</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护理人员完成采集后，由护工批量送检至检验科，记录送检人和送检时间，检验科提供样本接收信息，可追溯整个检验过程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采集信息回写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将标本采集时间和采集人回写至第三方系统中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输血医嘱执行</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取血</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护工或护士根据输血申请单至输血科完成取血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收血</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护工或护士将从输血科取过的血进行交接收取，记录收血人和收血时间及注意事项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输血前核对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输血前由两名医护人员核对交叉配血报告单及血袋标签各项内容，检查血袋有无破损渗漏，血液颜色是否正常，准确无误后，护理系统记录输血前核对人、核对时间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输血执行核对</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并可提醒用户进行巡视；如不匹配进行提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输血巡视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对执行输血患者情况的查看及一般情况的基本操作，包括暂停，继续，终止，录入异常情况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血袋回收</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可按病区对病区内血袋进行批量回收，记录回收人和时间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输血执行结果回写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将输血医嘱执行时间和执行人回写至第三方系统中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护理医嘱执行</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护理医嘱执行</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护理人员扫描患者腕带，列出该患者需要执行的护理医嘱（小治疗），护理人员点选其中一条，表明已经执行，可计入工作量（护理医嘱一般不打印条码）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护理医嘱执行结果回写</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将护理医嘱执行时间和执行人回写至第三方系统中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医嘱执行提示</w:t>
            </w:r>
          </w:p>
        </w:tc>
        <w:tc>
          <w:tcPr>
            <w:tcW w:w="939"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高危药品执行提示</w:t>
            </w:r>
          </w:p>
        </w:tc>
        <w:tc>
          <w:tcPr>
            <w:tcW w:w="3038"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护理人员在执行高危药品时，系统能智能提醒，可强制双人核对后才能执行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配置药品过期提示</w:t>
            </w:r>
          </w:p>
        </w:tc>
        <w:tc>
          <w:tcPr>
            <w:tcW w:w="3038"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护理人员在执行配置超过特定时间（如4小时）的无菌药品时，系统会智能提示拦截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执行超时提示</w:t>
            </w:r>
          </w:p>
        </w:tc>
        <w:tc>
          <w:tcPr>
            <w:tcW w:w="3038"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系统能对超过计划执行时间2小时（具体时间可以根据医院管理要求配置）的医嘱记录进行智能提示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医嘱执行统计管理</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合理给药统计</w:t>
            </w:r>
          </w:p>
        </w:tc>
        <w:tc>
          <w:tcPr>
            <w:tcW w:w="3038"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系统对提前（或者延后）计划执行时间特定时间的医嘱执行记录进行智能汇总统计，并计算病区特定时段里给药时间符合率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医嘱执行工作量统计</w:t>
            </w:r>
          </w:p>
        </w:tc>
        <w:tc>
          <w:tcPr>
            <w:tcW w:w="3038"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统计病区、病区各护理人员特定时段内完成医嘱执行数量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生命体征管理</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体征录入</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患者体征信息的床旁实时采集，采集体征信息包括:  体温、脉搏、呼吸、心率、出入液量、血氧饱和度、血压、血糖、身高、疼痛、各种引流管、体重、排便次数等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体征批量录入</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根据同一时间段采集的多个患者的体征信息，批量录入到系统中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体温单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针对录入的体征信息，按卫生部规定的体温单格式输出，可进行修改、预览、打印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体温单打印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支持全部打印、单页打印、奇偶页打印和选择页码打印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对外接口</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提供数据接口，供第三方系统调用，以使第三方系统获取体温单体征数据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体征异常查询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查询时间段内体征异常的患者信息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体征趋势图</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动态查询患者生命体征、能显示单个生命体征某时段的趋势图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漏测查询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查询大便，体重，血压，体温等体征的漏测信息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待测体征查询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按照体征待测规则生成相应的体征待测时间点，方便并及时提醒护士做体征测量记录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录入数据有效性校验</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判别录入数据是否符合要求（如体温只能录入数字）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体征异常警示范围</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可设定单个体征的异常值上下限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满页提醒</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当患者的体温单满页时，提供满页提醒标志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体征异常提醒</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查询时间段内体征异常的患者，包括体温、疼痛、血压、排便次数异常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健康宣教</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健康教育</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提供标准的健康教育知识库，针对患者的不同病症，实现床旁宣教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021" w:type="pct"/>
            <w:gridSpan w:val="2"/>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临床报告</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检查检验报告查看</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查看住院患者的检查检验报告对异常值进行标记（由于无线网络传输速度问题，不进行pacs图形展示）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021" w:type="pct"/>
            <w:gridSpan w:val="2"/>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病室报告</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交班统计项目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默认按班次时间段统计病区原有患者数、现有患者数、特级护理、一级护理、二级护理、三级护理、病危、病重、手术、转入、转出、体温异常、血压异常、血糖异常人数。并且可以根据科室自身实际情况添加科室内关注的交班统计项目，比如产科可以添加分娩个数统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交班病人查询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支持按统计项目，按班次分别查看该类患者的床位、姓名、年龄、诊断、描述和备注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交班班次时间设置</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支持配置多种交班班次模板供各个科室选择，如三班制，两班制登。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交班报告打印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PC端支持按天汇总交班信息，并按一定格式打印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交班引用信息</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交班描述支持引用病人检验检查报告、诊断、护理记录单信息、体征信息、特殊字符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交班数据导入</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支持在病人文书编写时按照指定规则将文书内容导入交班信息中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PDA端查看交班信息</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支持pda端按天查看科室内交班信息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23"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护理文书</w:t>
            </w: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常用评估单/评估工具</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入院评估单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患者入院当天《入院评估单》相关信息的录入结构化的入院评估单，可配置，易维护符合国家护理电子病历文书标准，通过勾选的方式，方便护士操作，减轻护士工作量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疼痛评估工具</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适用于患者住院期间疼痛评估，支持数字评分法、面部表情测量法，可录入、修改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自理能力评估工具</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适用于患者住院期间自理能力评估，表单结构化，通过勾选的方式完成，自动计算评分及等级，支持单表单内一定逻辑设置；可录入、修改、预览、打印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restar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压力性损伤风险评估工具</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适用于患者住院期间压力性损伤风险评估，表单结构化，通过勾选的方式完成，自动计算评分及风险等级，支持单表单内一定逻辑设置；可录入、修改、预览、打印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color w:val="000000"/>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可选择Braden评分表、Norton评分表、Waterlow评分表之一，和Braden-Q评分表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restar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跌倒/坠床风险评估工具</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适用于患者住院期间跌倒/坠床风险评估，表单结构化，通过勾选的方式完成，自动计算评分及风险等级，支持单表单内一定逻辑设置；可录入、修改、预览、打印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color w:val="000000"/>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可选择Morse跌倒（坠床）风险评估量表、约翰霍普金斯跌倒（坠床）风险评估量表、托马斯跌倒（坠床）风险评估工具、Hendrich跌倒（坠床）风险评估表之一，和改良版Humpty Dumpty 儿童跌倒（坠床）风险量表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restar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镇静评估工具</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适用于患者住院期间镇静评估，表单结构化，通过勾选的方式完成，自动计算评分，支持单表单内一定逻辑设置；可录入、修改、预览、打印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color w:val="000000"/>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可选择RASS(Richmond躁动-镇静评分)、SAS(镇静-躁动评分)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GLASGOW评分</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适用于患者住院期间昏迷程度评估，表单结构化，通过勾选的方式完成，自动计算评分，支持单表单内一定逻辑设置；可录入、修改、预览、打印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restar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VTE风险评估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适用于患者住院期间静脉血栓栓塞症的风险评估，表单结构化，通过勾选的方式完成，自动计算评分及风险等级，支持单表单内一定逻辑设置；可录入、修改、预览、打印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可选择VTE-Caprini、VTE-Padua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restar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营养状况评估工具</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适用于患者住院期间营养状况评估，表单结构化，通过勾选的方式完成，自动计算评分，支持单表单内一定逻辑设置；可录入、修改、预览、打印。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color w:val="000000"/>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可选择营养风险筛查量表-2002（NRS-2002）、STRONGkids量表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restart"/>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早期预警评估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适用于患者住院期间早期预警评估，表单结构化，通过勾选的方式完成，自动计算评分及风险等级，支持单表单内一定逻辑设置；可录入、修改、预览、打印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vMerge w:val="continue"/>
            <w:noWrap w:val="0"/>
            <w:vAlign w:val="center"/>
          </w:tcPr>
          <w:p>
            <w:pPr>
              <w:widowControl/>
              <w:jc w:val="left"/>
              <w:rPr>
                <w:rFonts w:hint="eastAsia" w:ascii="仿宋" w:hAnsi="仿宋" w:eastAsia="仿宋" w:cs="仿宋"/>
                <w:kern w:val="0"/>
                <w:sz w:val="24"/>
                <w:szCs w:val="24"/>
              </w:rPr>
            </w:pP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可选择NEWS或MEWS，和PEWS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导管滑脱风险评估</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适用于患者住院期间导管滑脱风险评估，表单结构化，通过勾选的方式完成，自动计算评分，支持单表单内一定逻辑设置；可录入、修改、预览、打印。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出院评估与指导</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支持出院评估单录入、修改、预览、打印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评分趋势图</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针对不同评分的图形展示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护理评分查询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查询患者评分异常数据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护理评分汇总（患者）</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汇总患者的所有评分记录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常用记录单</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一般护理记录单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适用于患者住院期间一般护理记录，表单结构化，通过勾选、数据共享、简单文字描述的方式完成，支持套用随笔；可录入、修改、预览、打印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危重护理记录单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适用于患者住院期间危重护理记录，表单结构化，通过勾选、数据共享、简单文字描述的方式完成，支持套用随笔；可录入、修改、预览、打印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出入量记录单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适用于患者住院期间出入量的详细记录，通过录入、数据共享的方式完成；可录入、修改、预览、打印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血压测量记录单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适用于患者住院期间较频繁血压监测的记录，通过录入、数据共享的方式完成；可录入、修改、预览、打印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皮试记录单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患者住院期间皮试结果信息的录入、修改，预览，打印，支持皮试医嘱执行后自动记录皮试结果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手术护理记录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适用于患者住院期间手术护理记录，表单结构化，通过勾选、数据共享、简单文字描述的方式完成，支持套用随笔；可录入、修改、预览、打印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血糖单</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患者住院期间《血糖单》文书信息的录入、删除、修改、预览、打印 注：文书不涉及不包含血糖批量录入功能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血糖批量录入</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根据同一时间段采集的复数患者指测血糖信息，批量录入到系统中，生成到该批次录入患者个人的指测血糖记录单中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血糖趋势图</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动态查询患者血糖信息，显示某时段的血糖趋势图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常用告知书</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压力性损伤风险告知书</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根据压力性损伤风险评估，提供患者压力性损伤风险告知书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跌倒/坠床风险告知书</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根据跌倒/坠床风险评分，提供患者跌倒/坠床风险告知书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VTE风险告知书</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根据VTE风险评分，提供患者VTE风险告知书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非计划拔管风险告知书</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根据非计划拔管风险评分，提供患者非计划拔管风险告知书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文书集成</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共享给第三方调阅</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通过web形式将移动护理体温单和文书共享给第三方系统调阅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文书统计质控</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护理文书工作量统计</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统计病区、病区各护理人员特定时段内完成护理电子病历数量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护理文书耗时统计</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根据医院定义的关于不同患者的电子病历，评估规则，针对患者住院过程的护理记录文书耗时进行统计管理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质控、审评</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针对患者住院过程的护理记录文书，进行评分，由护士长和护理部进行审核，未审核的护理文书进行颜色区分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文书通用功能</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文书必填项校验</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可指定文书中必须填写的项目，漏填项目保存时标红提醒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文书暂存</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支持文书临时保存不校验必填项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文书快速录入</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支持一次性录入相同时间不同病人的同一份文书记录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23"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护理临床决策支持</w:t>
            </w:r>
          </w:p>
        </w:tc>
        <w:tc>
          <w:tcPr>
            <w:tcW w:w="597" w:type="pct"/>
            <w:vMerge w:val="restart"/>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评估类联动</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高温智能联动</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体温单保存时，若体温大于等于38度，则弹出降温措施，选择措施点击确认，自动生成护理计划并向护理记录单中导入措施记录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压疮智能联动</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成人压疮评估保存时，若小于等于18分，或者儿童压疮评分小于等于23分时，则弹出对应措施，选择措施点击确认，自动生成护理计划并向护理记录单中导入措施记录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跌倒智能联动</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跌倒评分单保存时，若分数≥4分，则弹出对应措施，选择措施点击确认，自动生成护理计划并向护理记录单中导入措施记录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23" w:type="pct"/>
            <w:vMerge w:val="continue"/>
            <w:noWrap w:val="0"/>
            <w:vAlign w:val="center"/>
          </w:tcPr>
          <w:p>
            <w:pPr>
              <w:widowControl/>
              <w:jc w:val="left"/>
              <w:rPr>
                <w:rFonts w:hint="eastAsia" w:ascii="仿宋" w:hAnsi="仿宋" w:eastAsia="仿宋" w:cs="仿宋"/>
                <w:color w:val="000000"/>
                <w:kern w:val="0"/>
                <w:sz w:val="24"/>
                <w:szCs w:val="24"/>
              </w:rPr>
            </w:pPr>
          </w:p>
        </w:tc>
        <w:tc>
          <w:tcPr>
            <w:tcW w:w="597" w:type="pct"/>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疼痛智能联动</w:t>
            </w:r>
          </w:p>
        </w:tc>
        <w:tc>
          <w:tcPr>
            <w:tcW w:w="3038" w:type="pct"/>
            <w:noWrap w:val="0"/>
            <w:vAlign w:val="bottom"/>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疼痛评估保存时，总分1-3分时，弹出提示框：轻度疼痛，继续观察；总分4-6分时，弹出提示框：中毒疼痛，通知医生；总分大于等于7分时，弹出提示框：重度疼痛，通知医生，自动打开护理计划，并自动定位到护理问题：疼痛（选择相应的预期目标和护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restart"/>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护理任务清单</w:t>
            </w: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待执行医嘱查询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查看患者每日待执行医嘱情况（药物医嘱执行、非药物医嘱执行、检验医嘱执行）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待测体征提醒</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根据医院的体征测量规则，自动提醒测量时机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待写护理电子病历查询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根据医院护理电子病历书写规范，提醒书写时机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vMerge w:val="continue"/>
            <w:noWrap w:val="0"/>
            <w:vAlign w:val="center"/>
          </w:tcPr>
          <w:p>
            <w:pPr>
              <w:widowControl/>
              <w:jc w:val="left"/>
              <w:rPr>
                <w:rFonts w:hint="eastAsia" w:ascii="仿宋" w:hAnsi="仿宋" w:eastAsia="仿宋" w:cs="仿宋"/>
                <w:color w:val="000000"/>
                <w:kern w:val="0"/>
                <w:sz w:val="24"/>
                <w:szCs w:val="24"/>
              </w:rPr>
            </w:pPr>
          </w:p>
        </w:tc>
        <w:tc>
          <w:tcPr>
            <w:tcW w:w="939"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待评测护理评分查询</w:t>
            </w:r>
          </w:p>
        </w:tc>
        <w:tc>
          <w:tcPr>
            <w:tcW w:w="3038" w:type="pct"/>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根据最近一次护理评分的结果和规则，提醒评测时机，如疼痛评分大于4分，每天复评一次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21" w:type="pct"/>
            <w:gridSpan w:val="2"/>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宋体"/>
                <w:kern w:val="0"/>
                <w:sz w:val="24"/>
                <w:szCs w:val="24"/>
              </w:rPr>
              <w:t>*</w:t>
            </w:r>
            <w:r>
              <w:rPr>
                <w:rFonts w:hint="eastAsia" w:ascii="仿宋" w:hAnsi="仿宋" w:eastAsia="仿宋" w:cs="仿宋"/>
                <w:color w:val="000000"/>
                <w:kern w:val="0"/>
                <w:sz w:val="24"/>
                <w:szCs w:val="24"/>
                <w:lang w:val="en-US" w:eastAsia="zh-CN"/>
              </w:rPr>
              <w:t>接口</w:t>
            </w:r>
          </w:p>
        </w:tc>
        <w:tc>
          <w:tcPr>
            <w:tcW w:w="939" w:type="pct"/>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宋体"/>
                <w:kern w:val="0"/>
                <w:sz w:val="24"/>
                <w:szCs w:val="24"/>
              </w:rPr>
              <w:t>*</w:t>
            </w:r>
            <w:r>
              <w:rPr>
                <w:rFonts w:hint="eastAsia" w:ascii="仿宋" w:hAnsi="仿宋" w:eastAsia="仿宋" w:cs="仿宋"/>
                <w:color w:val="000000"/>
                <w:kern w:val="0"/>
                <w:sz w:val="24"/>
                <w:szCs w:val="24"/>
                <w:lang w:val="en-US" w:eastAsia="zh-CN"/>
              </w:rPr>
              <w:t>系统对接</w:t>
            </w:r>
          </w:p>
        </w:tc>
        <w:tc>
          <w:tcPr>
            <w:tcW w:w="3038" w:type="pct"/>
            <w:noWrap w:val="0"/>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zh-CN"/>
              </w:rPr>
              <w:t>中标人负责所供设备（若有）、软件的安装、调试及上线，招标单位予以配合，中标人负责</w:t>
            </w:r>
            <w:r>
              <w:rPr>
                <w:rFonts w:hint="eastAsia" w:ascii="仿宋" w:hAnsi="仿宋" w:eastAsia="仿宋" w:cs="仿宋"/>
                <w:color w:val="000000"/>
                <w:kern w:val="0"/>
                <w:sz w:val="24"/>
                <w:szCs w:val="24"/>
                <w:lang w:val="en-US" w:eastAsia="zh-CN"/>
              </w:rPr>
              <w:t>所有接口产生的费用，招标单位不予承担</w:t>
            </w:r>
            <w:r>
              <w:rPr>
                <w:rFonts w:hint="eastAsia" w:ascii="仿宋" w:hAnsi="仿宋" w:eastAsia="仿宋" w:cs="仿宋"/>
                <w:color w:val="000000"/>
                <w:kern w:val="0"/>
                <w:sz w:val="24"/>
                <w:szCs w:val="24"/>
                <w:lang w:val="zh-CN"/>
              </w:rPr>
              <w:t>。</w:t>
            </w:r>
          </w:p>
        </w:tc>
      </w:tr>
    </w:tbl>
    <w:p>
      <w:pPr>
        <w:pStyle w:val="2"/>
        <w:ind w:left="0" w:leftChars="0" w:firstLine="0" w:firstLineChars="0"/>
        <w:rPr>
          <w:rFonts w:hint="eastAsia" w:ascii="仿宋" w:hAnsi="仿宋" w:eastAsia="仿宋" w:cs="仿宋"/>
          <w:sz w:val="24"/>
          <w:szCs w:val="24"/>
        </w:rPr>
      </w:pPr>
    </w:p>
    <w:p>
      <w:pPr>
        <w:pStyle w:val="5"/>
        <w:rPr>
          <w:rFonts w:hint="eastAsia" w:ascii="仿宋" w:hAnsi="仿宋" w:eastAsia="仿宋" w:cs="仿宋"/>
          <w:b/>
          <w:sz w:val="24"/>
          <w:szCs w:val="24"/>
        </w:rPr>
      </w:pPr>
      <w:r>
        <w:rPr>
          <w:rFonts w:hint="eastAsia" w:ascii="仿宋" w:hAnsi="仿宋" w:eastAsia="仿宋" w:cs="仿宋"/>
          <w:sz w:val="24"/>
          <w:szCs w:val="24"/>
          <w:lang w:val="en-US" w:eastAsia="zh-CN"/>
        </w:rPr>
        <w:t>4.PDA</w:t>
      </w:r>
      <w:r>
        <w:rPr>
          <w:rFonts w:hint="eastAsia" w:ascii="仿宋" w:hAnsi="仿宋" w:eastAsia="仿宋" w:cs="仿宋"/>
          <w:sz w:val="24"/>
          <w:szCs w:val="24"/>
        </w:rPr>
        <w:t>性能要求</w:t>
      </w:r>
    </w:p>
    <w:tbl>
      <w:tblPr>
        <w:tblStyle w:val="4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37"/>
        <w:gridCol w:w="1459"/>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0" w:type="dxa"/>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137" w:type="dxa"/>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类别</w:t>
            </w:r>
          </w:p>
        </w:tc>
        <w:tc>
          <w:tcPr>
            <w:tcW w:w="1459" w:type="dxa"/>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指标项目</w:t>
            </w:r>
          </w:p>
        </w:tc>
        <w:tc>
          <w:tcPr>
            <w:tcW w:w="6324" w:type="dxa"/>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37" w:type="dxa"/>
            <w:vMerge w:val="restart"/>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性能参数</w:t>
            </w:r>
          </w:p>
        </w:tc>
        <w:tc>
          <w:tcPr>
            <w:tcW w:w="1459" w:type="dxa"/>
            <w:noWrap w:val="0"/>
            <w:vAlign w:val="center"/>
          </w:tcPr>
          <w:p>
            <w:pPr>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CPU处理器</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8核处理器，频率2.</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 xml:space="preserve">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both"/>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运行内存</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GB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both"/>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储存内存</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64</w:t>
            </w:r>
            <w:r>
              <w:rPr>
                <w:rFonts w:hint="eastAsia" w:ascii="仿宋" w:hAnsi="仿宋" w:eastAsia="仿宋" w:cs="仿宋"/>
                <w:kern w:val="0"/>
                <w:sz w:val="24"/>
                <w:szCs w:val="24"/>
              </w:rPr>
              <w:t>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both"/>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操作系统</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Android </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或以上操作系统，</w:t>
            </w:r>
            <w:bookmarkStart w:id="4" w:name="_Hlk56433466"/>
            <w:r>
              <w:rPr>
                <w:rFonts w:hint="eastAsia" w:ascii="仿宋" w:hAnsi="仿宋" w:eastAsia="仿宋" w:cs="仿宋"/>
                <w:kern w:val="0"/>
                <w:sz w:val="24"/>
                <w:szCs w:val="24"/>
              </w:rPr>
              <w:t>专用移动医疗操作系统</w:t>
            </w:r>
            <w:bookmarkEnd w:id="4"/>
            <w:r>
              <w:rPr>
                <w:rFonts w:hint="eastAsia" w:ascii="仿宋" w:hAnsi="仿宋" w:eastAsia="仿宋" w:cs="仿宋"/>
                <w:kern w:val="0"/>
                <w:sz w:val="24"/>
                <w:szCs w:val="24"/>
              </w:rPr>
              <w:t>（需提供带有“移动医疗操作系统”关键字样的软著证书</w:t>
            </w:r>
            <w:r>
              <w:rPr>
                <w:rFonts w:hint="eastAsia" w:ascii="仿宋" w:hAnsi="仿宋" w:eastAsia="仿宋" w:cs="仿宋"/>
                <w:kern w:val="0"/>
                <w:sz w:val="24"/>
                <w:szCs w:val="24"/>
                <w:lang w:val="en-US" w:eastAsia="zh-CN"/>
              </w:rPr>
              <w:t>及测试报告</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同时</w:t>
            </w:r>
            <w:r>
              <w:rPr>
                <w:rFonts w:hint="eastAsia" w:ascii="仿宋" w:hAnsi="仿宋" w:eastAsia="仿宋" w:cs="仿宋"/>
                <w:kern w:val="0"/>
                <w:sz w:val="24"/>
                <w:szCs w:val="24"/>
              </w:rPr>
              <w:t>具备物联网终端安全系统（需提供软件著作权证书）。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137" w:type="dxa"/>
            <w:vMerge w:val="restart"/>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基础参数</w:t>
            </w:r>
          </w:p>
        </w:tc>
        <w:tc>
          <w:tcPr>
            <w:tcW w:w="1459" w:type="dxa"/>
            <w:noWrap w:val="0"/>
            <w:vAlign w:val="center"/>
          </w:tcPr>
          <w:p>
            <w:pPr>
              <w:jc w:val="both"/>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电池</w:t>
            </w:r>
          </w:p>
        </w:tc>
        <w:tc>
          <w:tcPr>
            <w:tcW w:w="6324" w:type="dxa"/>
            <w:noWrap w:val="0"/>
            <w:vAlign w:val="center"/>
          </w:tcPr>
          <w:p>
            <w:pPr>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容量4</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00mAh（可充电的锂离子电池，电池</w:t>
            </w:r>
            <w:r>
              <w:rPr>
                <w:rFonts w:hint="eastAsia" w:ascii="仿宋" w:hAnsi="仿宋" w:eastAsia="仿宋" w:cs="仿宋"/>
                <w:kern w:val="0"/>
                <w:sz w:val="24"/>
                <w:szCs w:val="24"/>
                <w:lang w:val="en-US" w:eastAsia="zh-CN"/>
              </w:rPr>
              <w:t>不借助工具</w:t>
            </w:r>
            <w:r>
              <w:rPr>
                <w:rFonts w:hint="eastAsia" w:ascii="仿宋" w:hAnsi="仿宋" w:eastAsia="仿宋" w:cs="仿宋"/>
                <w:kern w:val="0"/>
                <w:sz w:val="24"/>
                <w:szCs w:val="24"/>
              </w:rPr>
              <w:t>可徒手拆卸）</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支持缺电保用功能。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both"/>
              <w:rPr>
                <w:rFonts w:hint="eastAsia" w:ascii="仿宋" w:hAnsi="仿宋" w:eastAsia="仿宋" w:cs="仿宋"/>
                <w:kern w:val="0"/>
                <w:sz w:val="24"/>
                <w:szCs w:val="24"/>
              </w:rPr>
            </w:pPr>
            <w:r>
              <w:rPr>
                <w:rFonts w:hint="eastAsia" w:ascii="仿宋" w:hAnsi="仿宋" w:eastAsia="仿宋" w:cs="仿宋"/>
                <w:kern w:val="0"/>
                <w:sz w:val="24"/>
                <w:szCs w:val="24"/>
              </w:rPr>
              <w:t>卡槽</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2个SIM卡槽，1个MICRO SD卡槽（最大支持128G）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both"/>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屏幕</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英寸，分辨率1</w:t>
            </w:r>
            <w:r>
              <w:rPr>
                <w:rFonts w:hint="eastAsia" w:ascii="仿宋" w:hAnsi="仿宋" w:eastAsia="仿宋" w:cs="仿宋"/>
                <w:kern w:val="0"/>
                <w:sz w:val="24"/>
                <w:szCs w:val="24"/>
                <w:lang w:val="en-US" w:eastAsia="zh-CN"/>
              </w:rPr>
              <w:t>440</w:t>
            </w:r>
            <w:r>
              <w:rPr>
                <w:rFonts w:hint="eastAsia" w:ascii="仿宋" w:hAnsi="仿宋" w:eastAsia="仿宋" w:cs="仿宋"/>
                <w:kern w:val="0"/>
                <w:sz w:val="24"/>
                <w:szCs w:val="24"/>
              </w:rPr>
              <w:t>*720；电容式触控，支持湿手或戴手套输入；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both"/>
              <w:rPr>
                <w:rFonts w:hint="eastAsia" w:ascii="仿宋" w:hAnsi="仿宋" w:eastAsia="仿宋" w:cs="仿宋"/>
                <w:kern w:val="0"/>
                <w:sz w:val="24"/>
                <w:szCs w:val="24"/>
              </w:rPr>
            </w:pPr>
            <w:r>
              <w:rPr>
                <w:rFonts w:hint="eastAsia" w:ascii="仿宋" w:hAnsi="仿宋" w:eastAsia="仿宋" w:cs="仿宋"/>
                <w:kern w:val="0"/>
                <w:sz w:val="24"/>
                <w:szCs w:val="24"/>
              </w:rPr>
              <w:t>摄像头</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前置摄像头500万像素；后置摄像头</w:t>
            </w:r>
            <w:r>
              <w:rPr>
                <w:rFonts w:hint="eastAsia" w:ascii="仿宋" w:hAnsi="仿宋" w:eastAsia="仿宋" w:cs="仿宋"/>
                <w:kern w:val="0"/>
                <w:sz w:val="24"/>
                <w:szCs w:val="24"/>
              </w:rPr>
              <w:t>1300万像素，自动对焦，支持手电筒模式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both"/>
              <w:rPr>
                <w:rFonts w:hint="eastAsia" w:ascii="仿宋" w:hAnsi="仿宋" w:eastAsia="仿宋" w:cs="仿宋"/>
                <w:kern w:val="0"/>
                <w:sz w:val="24"/>
                <w:szCs w:val="24"/>
              </w:rPr>
            </w:pPr>
            <w:r>
              <w:rPr>
                <w:rFonts w:hint="eastAsia" w:ascii="仿宋" w:hAnsi="仿宋" w:eastAsia="仿宋" w:cs="仿宋"/>
                <w:kern w:val="0"/>
                <w:sz w:val="24"/>
                <w:szCs w:val="24"/>
              </w:rPr>
              <w:t>提醒模式</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提示音;多颜色LED;振动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both"/>
              <w:rPr>
                <w:rFonts w:hint="eastAsia" w:ascii="仿宋" w:hAnsi="仿宋" w:eastAsia="仿宋" w:cs="仿宋"/>
                <w:kern w:val="0"/>
                <w:sz w:val="24"/>
                <w:szCs w:val="24"/>
              </w:rPr>
            </w:pPr>
            <w:r>
              <w:rPr>
                <w:rFonts w:hint="eastAsia" w:ascii="仿宋" w:hAnsi="仿宋" w:eastAsia="仿宋" w:cs="仿宋"/>
                <w:kern w:val="0"/>
                <w:sz w:val="24"/>
                <w:szCs w:val="24"/>
              </w:rPr>
              <w:t>重量</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52</w:t>
            </w:r>
            <w:r>
              <w:rPr>
                <w:rFonts w:hint="eastAsia" w:ascii="仿宋" w:hAnsi="仿宋" w:eastAsia="仿宋" w:cs="仿宋"/>
                <w:kern w:val="0"/>
                <w:sz w:val="24"/>
                <w:szCs w:val="24"/>
              </w:rPr>
              <w:t>g 含标准电池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both"/>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防摔抗震</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可承受1.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m高处到混凝土地面的多次跌落，至少500次0.5米滚动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机身</w:t>
            </w:r>
          </w:p>
        </w:tc>
        <w:tc>
          <w:tcPr>
            <w:tcW w:w="6324" w:type="dxa"/>
            <w:noWrap w:val="0"/>
            <w:vAlign w:val="center"/>
          </w:tcPr>
          <w:p>
            <w:pPr>
              <w:contextualSpacing/>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医用机身，具备抑菌涂层，可耐受消毒剂擦拭。</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提供抑菌检测报告</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传感器</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支持重力加速度传感器，光线传感器，近距离传感器，地磁传感器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通讯接口</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Type-C  支持OTG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音频</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麦克风、扬声器、听筒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IP防护等级</w:t>
            </w:r>
          </w:p>
        </w:tc>
        <w:tc>
          <w:tcPr>
            <w:tcW w:w="6324" w:type="dxa"/>
            <w:noWrap w:val="0"/>
            <w:vAlign w:val="center"/>
          </w:tcPr>
          <w:p>
            <w:pPr>
              <w:contextualSpacing/>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IP6</w:t>
            </w:r>
            <w:r>
              <w:rPr>
                <w:rFonts w:hint="eastAsia" w:ascii="仿宋" w:hAnsi="仿宋" w:eastAsia="仿宋" w:cs="仿宋"/>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137" w:type="dxa"/>
            <w:vMerge w:val="continue"/>
            <w:noWrap w:val="0"/>
            <w:vAlign w:val="center"/>
          </w:tcPr>
          <w:p>
            <w:pPr>
              <w:ind w:firstLine="420"/>
              <w:jc w:val="center"/>
              <w:rPr>
                <w:rFonts w:hint="eastAsia" w:ascii="仿宋" w:hAnsi="仿宋" w:eastAsia="仿宋" w:cs="仿宋"/>
                <w:kern w:val="0"/>
                <w:sz w:val="24"/>
                <w:szCs w:val="24"/>
              </w:rPr>
            </w:pPr>
          </w:p>
        </w:tc>
        <w:tc>
          <w:tcPr>
            <w:tcW w:w="1459" w:type="dxa"/>
            <w:noWrap w:val="0"/>
            <w:vAlign w:val="center"/>
          </w:tcPr>
          <w:p>
            <w:pPr>
              <w:contextualSpacing/>
              <w:jc w:val="left"/>
              <w:rPr>
                <w:rFonts w:hint="eastAsia" w:ascii="仿宋" w:hAnsi="仿宋" w:eastAsia="仿宋" w:cs="仿宋"/>
                <w:kern w:val="0"/>
                <w:sz w:val="24"/>
                <w:szCs w:val="24"/>
                <w:lang w:eastAsia="zh-CN"/>
              </w:rPr>
            </w:pPr>
            <w:r>
              <w:rPr>
                <w:rFonts w:hint="eastAsia" w:ascii="仿宋" w:hAnsi="仿宋" w:eastAsia="仿宋" w:cs="宋体"/>
                <w:kern w:val="0"/>
                <w:sz w:val="24"/>
                <w:szCs w:val="24"/>
              </w:rPr>
              <w:t>*</w:t>
            </w:r>
            <w:r>
              <w:rPr>
                <w:rFonts w:hint="eastAsia" w:ascii="仿宋" w:hAnsi="仿宋" w:eastAsia="仿宋" w:cs="仿宋"/>
                <w:kern w:val="0"/>
                <w:sz w:val="24"/>
                <w:szCs w:val="24"/>
              </w:rPr>
              <w:t>测温功能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选配</w:t>
            </w:r>
            <w:r>
              <w:rPr>
                <w:rFonts w:hint="eastAsia" w:ascii="仿宋" w:hAnsi="仿宋" w:eastAsia="仿宋" w:cs="仿宋"/>
                <w:kern w:val="0"/>
                <w:sz w:val="24"/>
                <w:szCs w:val="24"/>
                <w:lang w:eastAsia="zh-CN"/>
              </w:rPr>
              <w:t>）</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设备一体化具备测量人体温度功能，测量精度±0.3℃。</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测量部位：人体额头/物体；</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测量方法：非接触式/红外；</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测量距离：0~6cm；</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测温时间：≤1S；测量范围：</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人体模式：32~42.9℃ </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物体模式：0~100℃；</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分辨率：0.01°C；</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测量精度：人体模式 35℃~42℃ ±0.2℃，其他范围 ±0.3℃ 物体模式 ±1.0℃；</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临床复用性：±0.3℃；</w:t>
            </w:r>
          </w:p>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操作环境：温度0~40℃，相对湿度≤85%Rh，气压60-110Kpa； </w:t>
            </w:r>
          </w:p>
          <w:p>
            <w:pPr>
              <w:contextualSpacing/>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w:t>
            </w:r>
            <w:r>
              <w:rPr>
                <w:rFonts w:hint="eastAsia" w:ascii="仿宋" w:hAnsi="仿宋" w:eastAsia="仿宋" w:cs="仿宋"/>
                <w:kern w:val="0"/>
                <w:sz w:val="24"/>
                <w:szCs w:val="24"/>
              </w:rPr>
              <w:t>测</w:t>
            </w:r>
            <w:r>
              <w:rPr>
                <w:rFonts w:hint="eastAsia" w:ascii="仿宋" w:hAnsi="仿宋" w:eastAsia="仿宋" w:cs="仿宋"/>
                <w:kern w:val="0"/>
                <w:sz w:val="24"/>
                <w:szCs w:val="24"/>
                <w:lang w:val="en-US" w:eastAsia="zh-CN"/>
              </w:rPr>
              <w:t>测温专利证书）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137" w:type="dxa"/>
            <w:vMerge w:val="restart"/>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网络参数</w:t>
            </w:r>
          </w:p>
        </w:tc>
        <w:tc>
          <w:tcPr>
            <w:tcW w:w="1459" w:type="dxa"/>
            <w:noWrap w:val="0"/>
            <w:vAlign w:val="center"/>
          </w:tcPr>
          <w:p>
            <w:pPr>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WIFI网络</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支持802.11a/b/g/n/ac</w:t>
            </w:r>
            <w:r>
              <w:rPr>
                <w:rFonts w:hint="eastAsia" w:ascii="仿宋" w:hAnsi="仿宋" w:eastAsia="仿宋" w:cs="仿宋"/>
                <w:kern w:val="0"/>
                <w:sz w:val="24"/>
                <w:szCs w:val="24"/>
                <w:lang w:val="en-US" w:eastAsia="zh-CN"/>
              </w:rPr>
              <w:t>/r</w:t>
            </w:r>
            <w:r>
              <w:rPr>
                <w:rFonts w:hint="eastAsia" w:ascii="仿宋" w:hAnsi="仿宋" w:eastAsia="仿宋" w:cs="仿宋"/>
                <w:kern w:val="0"/>
                <w:sz w:val="24"/>
                <w:szCs w:val="24"/>
              </w:rPr>
              <w:t>协议，支持2.4G/5G双频，不借助第三方软件即可实现黑白名单设置。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3G/4G网络</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支持3G/4G全网通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蓝牙网络</w:t>
            </w:r>
          </w:p>
        </w:tc>
        <w:tc>
          <w:tcPr>
            <w:tcW w:w="6324" w:type="dxa"/>
            <w:noWrap w:val="0"/>
            <w:vAlign w:val="center"/>
          </w:tcPr>
          <w:p>
            <w:pPr>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Bluetooth </w:t>
            </w:r>
            <w:r>
              <w:rPr>
                <w:rFonts w:hint="eastAsia" w:ascii="仿宋" w:hAnsi="仿宋" w:eastAsia="仿宋" w:cs="仿宋"/>
                <w:kern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定位</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支持GPS，Beidou，Glonass，Galileo定位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137" w:type="dxa"/>
            <w:vMerge w:val="restart"/>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数据采集</w:t>
            </w:r>
          </w:p>
        </w:tc>
        <w:tc>
          <w:tcPr>
            <w:tcW w:w="1459"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条码扫描</w:t>
            </w:r>
          </w:p>
        </w:tc>
        <w:tc>
          <w:tcPr>
            <w:tcW w:w="6324" w:type="dxa"/>
            <w:noWrap w:val="0"/>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使用知名品牌扫描头，行业领先的等多种扫描引擎。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连续扫描</w:t>
            </w:r>
          </w:p>
        </w:tc>
        <w:tc>
          <w:tcPr>
            <w:tcW w:w="6324" w:type="dxa"/>
            <w:noWrap w:val="0"/>
            <w:vAlign w:val="center"/>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使用品牌扫描头；支持多种一维、二维条码扫描；并可支持一键扫描采集10个或以上条码的功能。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lang w:val="en-US" w:eastAsia="zh-CN"/>
              </w:rPr>
            </w:pPr>
            <w:r>
              <w:rPr>
                <w:rFonts w:hint="eastAsia" w:ascii="仿宋" w:hAnsi="仿宋" w:eastAsia="仿宋" w:cs="宋体"/>
                <w:kern w:val="0"/>
                <w:sz w:val="24"/>
                <w:szCs w:val="24"/>
              </w:rPr>
              <w:t>*</w:t>
            </w:r>
            <w:r>
              <w:rPr>
                <w:rFonts w:hint="eastAsia" w:ascii="仿宋" w:hAnsi="仿宋" w:eastAsia="仿宋" w:cs="仿宋"/>
                <w:kern w:val="0"/>
                <w:sz w:val="24"/>
                <w:szCs w:val="24"/>
              </w:rPr>
              <w:t>RFID数据采集</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选配</w:t>
            </w:r>
            <w:r>
              <w:rPr>
                <w:rFonts w:hint="eastAsia" w:ascii="仿宋" w:hAnsi="仿宋" w:eastAsia="仿宋" w:cs="仿宋"/>
                <w:kern w:val="0"/>
                <w:sz w:val="24"/>
                <w:szCs w:val="24"/>
                <w:lang w:eastAsia="zh-CN"/>
              </w:rPr>
              <w:t>）</w:t>
            </w:r>
          </w:p>
        </w:tc>
        <w:tc>
          <w:tcPr>
            <w:tcW w:w="6324" w:type="dxa"/>
            <w:noWrap w:val="0"/>
            <w:vAlign w:val="center"/>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可扩展RFID 数据采集功能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工作频段 US：902-928MHz，4-30dBm（EIRP）；EP:865-868MHZ，4-30dBm（EIRP）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w:t>
            </w:r>
          </w:p>
        </w:tc>
        <w:tc>
          <w:tcPr>
            <w:tcW w:w="1137" w:type="dxa"/>
            <w:vMerge w:val="restart"/>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工作环境</w:t>
            </w: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工作温度</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至少满足-20℃至50℃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6</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工作湿度</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至少满足5%至85%(无冷凝)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7</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静电防护</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+/- 10kv空气放电; +/-6kv接触电;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28</w:t>
            </w:r>
          </w:p>
        </w:tc>
        <w:tc>
          <w:tcPr>
            <w:tcW w:w="1137" w:type="dxa"/>
            <w:vMerge w:val="restart"/>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软件系统</w:t>
            </w: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应用软件管理</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支持隐藏或冻结不常用的应用软件，通过管理员权限可使用该应用软件，限制操作人员工作外的不安全操作。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29</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设备极速配置</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通过扫描二维码或无线热点快速实现1对多，复制其他设备参数设置，如条码扫描、密码、WiFi等设置（需提供功能截图证明文件）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内存管理</w:t>
            </w:r>
          </w:p>
        </w:tc>
        <w:tc>
          <w:tcPr>
            <w:tcW w:w="6324" w:type="dxa"/>
            <w:noWrap w:val="0"/>
            <w:vAlign w:val="center"/>
          </w:tcPr>
          <w:p>
            <w:pPr>
              <w:contextualSpacing/>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一键清理设备缓存垃圾，提高设备运行速度，提升续航时间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提供截图</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时间同步</w:t>
            </w:r>
          </w:p>
        </w:tc>
        <w:tc>
          <w:tcPr>
            <w:tcW w:w="6324" w:type="dxa"/>
            <w:noWrap w:val="0"/>
            <w:vAlign w:val="center"/>
          </w:tcPr>
          <w:p>
            <w:pPr>
              <w:contextualSpacing/>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不借助第三方软件可实现局域网时间同步，可在PDA中绑定时间服务器</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提供截图</w:t>
            </w:r>
            <w:r>
              <w:rPr>
                <w:rFonts w:hint="eastAsia" w:ascii="仿宋" w:hAnsi="仿宋" w:eastAsia="仿宋" w:cs="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w:t>
            </w:r>
          </w:p>
        </w:tc>
        <w:tc>
          <w:tcPr>
            <w:tcW w:w="1137" w:type="dxa"/>
            <w:vMerge w:val="continue"/>
            <w:noWrap w:val="0"/>
            <w:vAlign w:val="center"/>
          </w:tcPr>
          <w:p>
            <w:pPr>
              <w:jc w:val="center"/>
              <w:rPr>
                <w:rFonts w:hint="eastAsia" w:ascii="仿宋" w:hAnsi="仿宋" w:eastAsia="仿宋" w:cs="仿宋"/>
                <w:kern w:val="0"/>
                <w:sz w:val="24"/>
                <w:szCs w:val="24"/>
              </w:rPr>
            </w:pP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宋体"/>
                <w:kern w:val="0"/>
                <w:sz w:val="24"/>
                <w:szCs w:val="24"/>
              </w:rPr>
              <w:t>*</w:t>
            </w:r>
            <w:r>
              <w:rPr>
                <w:rFonts w:hint="eastAsia" w:ascii="仿宋" w:hAnsi="仿宋" w:eastAsia="仿宋" w:cs="仿宋"/>
                <w:kern w:val="0"/>
                <w:sz w:val="24"/>
                <w:szCs w:val="24"/>
              </w:rPr>
              <w:t>设备安全管理</w:t>
            </w:r>
          </w:p>
        </w:tc>
        <w:tc>
          <w:tcPr>
            <w:tcW w:w="6324" w:type="dxa"/>
            <w:noWrap w:val="0"/>
            <w:vAlign w:val="center"/>
          </w:tcPr>
          <w:p>
            <w:pPr>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提供设备安全管理方案，对软件的安装/卸载、设置、进行密码保护。（需提供功能截图证明文件）、可远程管理设备，OTA升级、软件分发、批量系统设置、维护等（需配合服务器端）（需提供功能截图证明文件</w:t>
            </w:r>
            <w:r>
              <w:rPr>
                <w:rFonts w:hint="eastAsia" w:ascii="仿宋" w:hAnsi="仿宋" w:eastAsia="仿宋" w:cs="仿宋"/>
                <w:kern w:val="0"/>
                <w:sz w:val="24"/>
                <w:szCs w:val="24"/>
                <w:lang w:val="en-US" w:eastAsia="zh-CN"/>
              </w:rPr>
              <w:t>及软件著作权证书</w:t>
            </w:r>
            <w:r>
              <w:rPr>
                <w:rFonts w:hint="eastAsia" w:ascii="仿宋" w:hAnsi="仿宋" w:eastAsia="仿宋" w:cs="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33</w:t>
            </w:r>
          </w:p>
        </w:tc>
        <w:tc>
          <w:tcPr>
            <w:tcW w:w="1137" w:type="dxa"/>
            <w:noWrap w:val="0"/>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产品资质</w:t>
            </w:r>
          </w:p>
        </w:tc>
        <w:tc>
          <w:tcPr>
            <w:tcW w:w="1459" w:type="dxa"/>
            <w:noWrap w:val="0"/>
            <w:vAlign w:val="center"/>
          </w:tcPr>
          <w:p>
            <w:pPr>
              <w:contextualSpacing/>
              <w:jc w:val="center"/>
              <w:rPr>
                <w:rFonts w:hint="eastAsia" w:ascii="仿宋" w:hAnsi="仿宋" w:eastAsia="仿宋" w:cs="仿宋"/>
                <w:kern w:val="0"/>
                <w:sz w:val="24"/>
                <w:szCs w:val="24"/>
              </w:rPr>
            </w:pPr>
            <w:r>
              <w:rPr>
                <w:rFonts w:hint="eastAsia" w:ascii="仿宋" w:hAnsi="仿宋" w:eastAsia="仿宋" w:cs="仿宋"/>
                <w:kern w:val="0"/>
                <w:sz w:val="24"/>
                <w:szCs w:val="24"/>
              </w:rPr>
              <w:t>产品资质</w:t>
            </w:r>
          </w:p>
        </w:tc>
        <w:tc>
          <w:tcPr>
            <w:tcW w:w="6324" w:type="dxa"/>
            <w:noWrap w:val="0"/>
            <w:vAlign w:val="center"/>
          </w:tcPr>
          <w:p>
            <w:pPr>
              <w:contextualSpacing/>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3C，CE，RoHS 、</w:t>
            </w:r>
            <w:r>
              <w:rPr>
                <w:rFonts w:hint="eastAsia" w:ascii="仿宋" w:hAnsi="仿宋" w:eastAsia="仿宋" w:cs="仿宋"/>
                <w:kern w:val="0"/>
                <w:sz w:val="24"/>
                <w:szCs w:val="24"/>
                <w:lang w:val="en-US" w:eastAsia="zh-CN"/>
              </w:rPr>
              <w:t>环境体系认证、质量体系认证、提供医用质量体系认证。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1137" w:type="dxa"/>
            <w:noWrap w:val="0"/>
            <w:vAlign w:val="center"/>
          </w:tcPr>
          <w:p>
            <w:pPr>
              <w:jc w:val="center"/>
              <w:rPr>
                <w:rFonts w:hint="eastAsia" w:ascii="仿宋" w:hAnsi="仿宋" w:eastAsia="仿宋" w:cs="仿宋"/>
                <w:kern w:val="0"/>
                <w:sz w:val="24"/>
                <w:szCs w:val="24"/>
                <w:lang w:val="en-US" w:eastAsia="zh-CN"/>
              </w:rPr>
            </w:pPr>
            <w:r>
              <w:rPr>
                <w:rFonts w:hint="eastAsia" w:ascii="仿宋" w:hAnsi="仿宋" w:eastAsia="仿宋" w:cs="宋体"/>
                <w:kern w:val="0"/>
                <w:sz w:val="24"/>
                <w:szCs w:val="24"/>
              </w:rPr>
              <w:t>*</w:t>
            </w:r>
            <w:r>
              <w:rPr>
                <w:rFonts w:hint="eastAsia" w:ascii="仿宋" w:hAnsi="仿宋" w:eastAsia="仿宋" w:cs="仿宋"/>
                <w:kern w:val="0"/>
                <w:sz w:val="24"/>
                <w:szCs w:val="24"/>
                <w:lang w:val="en-US" w:eastAsia="zh-CN"/>
              </w:rPr>
              <w:t>物联网</w:t>
            </w:r>
          </w:p>
        </w:tc>
        <w:tc>
          <w:tcPr>
            <w:tcW w:w="1459" w:type="dxa"/>
            <w:noWrap w:val="0"/>
            <w:vAlign w:val="center"/>
          </w:tcPr>
          <w:p>
            <w:pPr>
              <w:contextualSpacing/>
              <w:jc w:val="center"/>
              <w:rPr>
                <w:rFonts w:hint="eastAsia" w:ascii="仿宋" w:hAnsi="仿宋" w:eastAsia="仿宋" w:cs="仿宋"/>
                <w:kern w:val="0"/>
                <w:sz w:val="24"/>
                <w:szCs w:val="24"/>
                <w:lang w:val="en-US" w:eastAsia="zh-CN"/>
              </w:rPr>
            </w:pPr>
            <w:r>
              <w:rPr>
                <w:rFonts w:hint="eastAsia" w:ascii="仿宋" w:hAnsi="仿宋" w:eastAsia="仿宋" w:cs="宋体"/>
                <w:kern w:val="0"/>
                <w:sz w:val="24"/>
                <w:szCs w:val="24"/>
              </w:rPr>
              <w:t>*</w:t>
            </w:r>
            <w:r>
              <w:rPr>
                <w:rFonts w:hint="eastAsia" w:ascii="仿宋" w:hAnsi="仿宋" w:eastAsia="仿宋" w:cs="仿宋"/>
                <w:kern w:val="0"/>
                <w:sz w:val="24"/>
                <w:szCs w:val="24"/>
                <w:lang w:val="en-US" w:eastAsia="zh-CN"/>
              </w:rPr>
              <w:t>物联网</w:t>
            </w:r>
          </w:p>
        </w:tc>
        <w:tc>
          <w:tcPr>
            <w:tcW w:w="6324" w:type="dxa"/>
            <w:noWrap w:val="0"/>
            <w:vAlign w:val="center"/>
          </w:tcPr>
          <w:p>
            <w:pPr>
              <w:contextualSpacing/>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含当地运营商签订2年PDA专用物联网费用</w:t>
            </w:r>
          </w:p>
        </w:tc>
      </w:tr>
    </w:tbl>
    <w:p>
      <w:pPr>
        <w:rPr>
          <w:rFonts w:hint="eastAsia" w:ascii="仿宋" w:hAnsi="仿宋" w:eastAsia="仿宋" w:cs="仿宋"/>
          <w:sz w:val="24"/>
          <w:szCs w:val="24"/>
        </w:rPr>
      </w:pPr>
    </w:p>
    <w:p>
      <w:pPr>
        <w:pStyle w:val="5"/>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5.瓶签、腕带打印机及腕带参数</w:t>
      </w:r>
    </w:p>
    <w:tbl>
      <w:tblPr>
        <w:tblStyle w:val="43"/>
        <w:tblW w:w="96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633"/>
        <w:gridCol w:w="7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功能</w:t>
            </w:r>
          </w:p>
        </w:tc>
        <w:tc>
          <w:tcPr>
            <w:tcW w:w="70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打印方式</w:t>
            </w:r>
          </w:p>
        </w:tc>
        <w:tc>
          <w:tcPr>
            <w:tcW w:w="706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热转印、</w:t>
            </w:r>
            <w:r>
              <w:rPr>
                <w:rStyle w:val="219"/>
                <w:rFonts w:hint="eastAsia" w:ascii="仿宋" w:hAnsi="仿宋" w:eastAsia="仿宋" w:cs="仿宋"/>
                <w:sz w:val="24"/>
                <w:szCs w:val="24"/>
                <w:lang w:val="en-US" w:eastAsia="zh-CN" w:bidi="ar"/>
              </w:rPr>
              <w:t>热敏打印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分辨率</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203dpi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内存</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256MB内存、128MB SDRAM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处理器</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32位RISC处理器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最打印宽度</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4.09英寸/104mm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最打印长度</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39英寸/991mm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最高打印速度</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152mm/s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介质传感器</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通信</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USB2.0接口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介质类型</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卷筒纸或折叠纸；带缺口的标签（模切纸、热敏）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宋体"/>
                <w:kern w:val="0"/>
                <w:sz w:val="24"/>
                <w:szCs w:val="24"/>
              </w:rPr>
              <w:t>*</w:t>
            </w:r>
            <w:r>
              <w:rPr>
                <w:rFonts w:hint="eastAsia" w:ascii="仿宋" w:hAnsi="仿宋" w:eastAsia="仿宋" w:cs="仿宋"/>
                <w:i w:val="0"/>
                <w:iCs w:val="0"/>
                <w:color w:val="000000"/>
                <w:kern w:val="0"/>
                <w:sz w:val="24"/>
                <w:szCs w:val="24"/>
                <w:u w:val="none"/>
                <w:lang w:val="en-US" w:eastAsia="zh-CN" w:bidi="ar"/>
              </w:rPr>
              <w:t>腕带</w:t>
            </w:r>
          </w:p>
        </w:tc>
        <w:tc>
          <w:tcPr>
            <w:tcW w:w="706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区分成人及儿童两种规格，必须符合医疗规范，亲肤柔软舒适，医用抗菌、耐受酒精，安全无刺激，有效防水，不可对病人（尤其是婴儿）皮肤造成损伤</w:t>
            </w:r>
          </w:p>
        </w:tc>
      </w:tr>
    </w:tbl>
    <w:p>
      <w:pPr>
        <w:pStyle w:val="3"/>
        <w:rPr>
          <w:rFonts w:hint="eastAsia" w:ascii="仿宋" w:hAnsi="仿宋" w:eastAsia="仿宋" w:cs="仿宋"/>
          <w:sz w:val="24"/>
          <w:szCs w:val="24"/>
          <w:lang w:val="en-US" w:eastAsia="zh-CN"/>
        </w:rPr>
      </w:pPr>
    </w:p>
    <w:p>
      <w:pPr>
        <w:pStyle w:val="3"/>
        <w:rPr>
          <w:rFonts w:hint="eastAsia" w:ascii="仿宋" w:hAnsi="仿宋" w:eastAsia="仿宋" w:cs="仿宋"/>
          <w:sz w:val="24"/>
          <w:szCs w:val="24"/>
        </w:rPr>
      </w:pPr>
    </w:p>
    <w:p>
      <w:pPr>
        <w:pStyle w:val="4"/>
        <w:numPr>
          <w:ilvl w:val="0"/>
          <w:numId w:val="0"/>
        </w:numPr>
        <w:spacing w:before="156" w:beforeLines="0" w:after="156" w:afterLines="0" w:line="360" w:lineRule="auto"/>
        <w:ind w:left="210"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系统、设备的安装、调试及上线</w:t>
      </w:r>
    </w:p>
    <w:p>
      <w:pPr>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、设备（若有）、软件的安装、调试所需的工具、仪表及安装材料等应由投标人自行解决。</w:t>
      </w:r>
    </w:p>
    <w:p>
      <w:pPr>
        <w:spacing w:line="360" w:lineRule="auto"/>
        <w:ind w:firstLine="48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、中标人在实施前提供详细的实施方案，并提交招标人认可。中标人应根据招标人的需要，在规定的时间内，保证质量，完成系统建设。实施过程中应科学、合理地掌握与其他工作界面的协调、交叉。</w:t>
      </w:r>
    </w:p>
    <w:p>
      <w:pPr>
        <w:pStyle w:val="4"/>
        <w:numPr>
          <w:ilvl w:val="0"/>
          <w:numId w:val="0"/>
        </w:numPr>
        <w:spacing w:before="156" w:beforeLines="0" w:after="156" w:afterLines="0" w:line="360" w:lineRule="auto"/>
        <w:ind w:left="210" w:leftChars="0"/>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售后服务及培训</w:t>
      </w:r>
    </w:p>
    <w:p>
      <w:pPr>
        <w:spacing w:line="360" w:lineRule="auto"/>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rPr>
        <w:t>1、本次项目中涉及的系统软件须至少提供原厂</w:t>
      </w:r>
      <w:bookmarkStart w:id="5" w:name="_Hlk90630139"/>
      <w:r>
        <w:rPr>
          <w:rFonts w:hint="eastAsia" w:ascii="仿宋" w:hAnsi="仿宋" w:eastAsia="仿宋" w:cs="仿宋"/>
          <w:sz w:val="24"/>
          <w:szCs w:val="24"/>
          <w:lang w:val="en-US" w:eastAsia="zh-CN"/>
        </w:rPr>
        <w:t>两</w:t>
      </w:r>
      <w:r>
        <w:rPr>
          <w:rFonts w:hint="eastAsia" w:ascii="仿宋" w:hAnsi="仿宋" w:eastAsia="仿宋" w:cs="仿宋"/>
          <w:sz w:val="24"/>
          <w:szCs w:val="24"/>
        </w:rPr>
        <w:t>年</w:t>
      </w:r>
      <w:bookmarkEnd w:id="5"/>
      <w:r>
        <w:rPr>
          <w:rFonts w:hint="eastAsia" w:ascii="仿宋" w:hAnsi="仿宋" w:eastAsia="仿宋" w:cs="仿宋"/>
          <w:sz w:val="24"/>
          <w:szCs w:val="24"/>
        </w:rPr>
        <w:t>质保服务；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2、投标方应在投标文件中说明在保修期内提供的服务计划，维护范围包括（包括但不限于）软、硬件安装，调试、维修，接口、集成等内容。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3、在系统的服务期内，投标方应确保系统的正常使用。在接到用户服务要求后应立即做出回应，并在承诺的服务时间内实施服务。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4、投标人有良好的售后服务能力，并提供</w:t>
      </w:r>
      <w:r>
        <w:rPr>
          <w:rFonts w:hint="eastAsia" w:ascii="仿宋" w:hAnsi="仿宋" w:eastAsia="仿宋" w:cs="仿宋"/>
          <w:sz w:val="24"/>
          <w:szCs w:val="24"/>
          <w:lang w:val="en-US" w:eastAsia="zh-CN"/>
        </w:rPr>
        <w:t>两</w:t>
      </w:r>
      <w:r>
        <w:rPr>
          <w:rFonts w:hint="eastAsia" w:ascii="仿宋" w:hAnsi="仿宋" w:eastAsia="仿宋" w:cs="仿宋"/>
          <w:sz w:val="24"/>
          <w:szCs w:val="24"/>
        </w:rPr>
        <w:t>年免费服务及软件升级，需提供全年7天24小时服务（电话、远程或现场），并在接到招标人通知后8小时内到达现场。项目验收合格后，每年不低于4次的例行维护及巡检。例行维护内容包括：软件的功能增强性维护等应用软件系统扩充升级（其中包括系统维护、跟踪检测），保证投标方所开发的软件正常运行；硬件的现场巡检、调整优化，并对设备进行保养和正常维护并提交维护报告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、培训：培训对象包括系统管理员、医院管理人员、操作员，系统管理人员培训内容为系统中涉及的相关技术内容；医院管理人员培训内容为系统流程和相关管理思想；操作员为系统的操作培训。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、根据医院的情况制定相关培训方案，课程设置等。包括培训资料、讲义等。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、所有的培训费用必须计入投标总价。</w:t>
      </w:r>
    </w:p>
    <w:p>
      <w:pPr>
        <w:pStyle w:val="2"/>
        <w:rPr>
          <w:rFonts w:hint="eastAsia" w:ascii="仿宋" w:hAnsi="仿宋" w:eastAsia="仿宋" w:cs="仿宋"/>
          <w:b/>
          <w:kern w:val="0"/>
          <w:sz w:val="24"/>
          <w:szCs w:val="24"/>
        </w:rPr>
      </w:pPr>
    </w:p>
    <w:p>
      <w:pPr>
        <w:pStyle w:val="2"/>
        <w:rPr>
          <w:rFonts w:hint="eastAsia" w:ascii="仿宋" w:hAnsi="仿宋" w:eastAsia="仿宋" w:cs="仿宋"/>
          <w:b/>
          <w:kern w:val="0"/>
          <w:sz w:val="24"/>
          <w:szCs w:val="24"/>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spacing w:line="500" w:lineRule="exact"/>
        <w:ind w:firstLine="720" w:firstLineChars="200"/>
        <w:jc w:val="center"/>
        <w:rPr>
          <w:rStyle w:val="82"/>
          <w:rFonts w:hint="eastAsia" w:ascii="仿宋" w:hAnsi="仿宋" w:eastAsia="仿宋"/>
          <w:sz w:val="36"/>
        </w:rPr>
      </w:pPr>
      <w:bookmarkStart w:id="6" w:name="_Toc114617428"/>
    </w:p>
    <w:p>
      <w:pPr>
        <w:spacing w:line="500" w:lineRule="exact"/>
        <w:ind w:firstLine="720" w:firstLineChars="200"/>
        <w:jc w:val="center"/>
        <w:rPr>
          <w:rStyle w:val="82"/>
          <w:rFonts w:hint="eastAsia" w:ascii="仿宋" w:hAnsi="仿宋" w:eastAsia="仿宋"/>
          <w:sz w:val="36"/>
        </w:rPr>
      </w:pPr>
    </w:p>
    <w:p>
      <w:pPr>
        <w:spacing w:line="500" w:lineRule="exact"/>
        <w:ind w:firstLine="720" w:firstLineChars="200"/>
        <w:jc w:val="center"/>
        <w:rPr>
          <w:rStyle w:val="82"/>
          <w:rFonts w:hint="eastAsia" w:ascii="仿宋" w:hAnsi="仿宋" w:eastAsia="仿宋"/>
          <w:sz w:val="36"/>
        </w:rPr>
      </w:pPr>
    </w:p>
    <w:p>
      <w:pPr>
        <w:spacing w:line="500" w:lineRule="exact"/>
        <w:ind w:firstLine="720" w:firstLineChars="200"/>
        <w:jc w:val="center"/>
        <w:rPr>
          <w:rStyle w:val="82"/>
          <w:rFonts w:hint="eastAsia" w:ascii="仿宋" w:hAnsi="仿宋" w:eastAsia="仿宋"/>
          <w:sz w:val="36"/>
        </w:rPr>
      </w:pPr>
    </w:p>
    <w:p>
      <w:pPr>
        <w:spacing w:line="500" w:lineRule="exact"/>
        <w:ind w:firstLine="720" w:firstLineChars="200"/>
        <w:jc w:val="center"/>
        <w:rPr>
          <w:rStyle w:val="82"/>
          <w:rFonts w:hint="eastAsia" w:ascii="仿宋" w:hAnsi="仿宋" w:eastAsia="仿宋"/>
          <w:sz w:val="36"/>
        </w:rPr>
      </w:pPr>
    </w:p>
    <w:p>
      <w:pPr>
        <w:spacing w:line="500" w:lineRule="exact"/>
        <w:ind w:firstLine="720" w:firstLineChars="200"/>
        <w:jc w:val="center"/>
        <w:rPr>
          <w:rStyle w:val="82"/>
          <w:rFonts w:hint="eastAsia" w:ascii="仿宋" w:hAnsi="仿宋" w:eastAsia="仿宋"/>
          <w:sz w:val="36"/>
        </w:rPr>
      </w:pPr>
    </w:p>
    <w:p>
      <w:pPr>
        <w:pStyle w:val="2"/>
        <w:ind w:left="0" w:leftChars="0" w:firstLine="0" w:firstLineChars="0"/>
        <w:rPr>
          <w:rStyle w:val="82"/>
          <w:rFonts w:hint="eastAsia" w:ascii="仿宋" w:hAnsi="仿宋" w:eastAsia="仿宋"/>
          <w:sz w:val="36"/>
        </w:rPr>
      </w:pPr>
    </w:p>
    <w:p>
      <w:pPr>
        <w:spacing w:line="500" w:lineRule="exact"/>
        <w:ind w:firstLine="720" w:firstLineChars="200"/>
        <w:jc w:val="center"/>
        <w:rPr>
          <w:rStyle w:val="82"/>
          <w:rFonts w:ascii="仿宋" w:hAnsi="仿宋" w:eastAsia="仿宋"/>
          <w:sz w:val="36"/>
        </w:rPr>
      </w:pPr>
      <w:r>
        <w:rPr>
          <w:rStyle w:val="82"/>
          <w:rFonts w:hint="eastAsia" w:ascii="仿宋" w:hAnsi="仿宋" w:eastAsia="仿宋"/>
          <w:sz w:val="36"/>
        </w:rPr>
        <w:t>第四章  合同主要条款</w:t>
      </w:r>
      <w:bookmarkEnd w:id="6"/>
      <w:r>
        <w:rPr>
          <w:rStyle w:val="82"/>
          <w:rFonts w:hint="eastAsia" w:ascii="仿宋" w:hAnsi="仿宋" w:eastAsia="仿宋"/>
          <w:sz w:val="36"/>
        </w:rPr>
        <w:t>（</w:t>
      </w:r>
      <w:r>
        <w:rPr>
          <w:rStyle w:val="82"/>
          <w:rFonts w:hint="eastAsia" w:ascii="仿宋" w:hAnsi="仿宋" w:eastAsia="仿宋"/>
          <w:sz w:val="36"/>
          <w:lang w:val="en-US"/>
        </w:rPr>
        <w:t>仅供参考</w:t>
      </w:r>
      <w:r>
        <w:rPr>
          <w:rStyle w:val="82"/>
          <w:rFonts w:hint="eastAsia" w:ascii="仿宋" w:hAnsi="仿宋" w:eastAsia="仿宋"/>
          <w:sz w:val="36"/>
        </w:rPr>
        <w:t>）</w:t>
      </w:r>
    </w:p>
    <w:p>
      <w:pPr>
        <w:pStyle w:val="116"/>
        <w:spacing w:line="520" w:lineRule="exact"/>
        <w:ind w:firstLine="560"/>
        <w:rPr>
          <w:rFonts w:ascii="仿宋" w:hAnsi="仿宋" w:eastAsia="仿宋"/>
        </w:rPr>
      </w:pP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甲方（采购方）：</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乙方（供应商）：</w:t>
      </w:r>
      <w:r>
        <w:rPr>
          <w:rFonts w:ascii="仿宋" w:hAnsi="仿宋" w:eastAsia="仿宋" w:cs="宋体"/>
          <w:sz w:val="28"/>
          <w:szCs w:val="28"/>
        </w:rPr>
        <w:t xml:space="preserve"> </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b/>
          <w:bCs/>
          <w:sz w:val="28"/>
          <w:szCs w:val="28"/>
        </w:rPr>
        <w:t>项目名称</w:t>
      </w:r>
      <w:r>
        <w:rPr>
          <w:rFonts w:ascii="仿宋" w:hAnsi="仿宋" w:eastAsia="仿宋" w:cs="宋体"/>
          <w:sz w:val="28"/>
          <w:szCs w:val="28"/>
        </w:rPr>
        <w:t xml:space="preserve">: </w:t>
      </w:r>
    </w:p>
    <w:p>
      <w:pPr>
        <w:pStyle w:val="2"/>
        <w:adjustRightInd w:val="0"/>
        <w:snapToGrid w:val="0"/>
        <w:spacing w:line="312" w:lineRule="auto"/>
        <w:ind w:firstLine="560" w:firstLineChars="200"/>
        <w:rPr>
          <w:rFonts w:ascii="仿宋" w:hAnsi="仿宋" w:eastAsia="仿宋"/>
          <w:sz w:val="28"/>
          <w:szCs w:val="28"/>
        </w:rPr>
      </w:pPr>
      <w:r>
        <w:rPr>
          <w:rFonts w:hint="eastAsia" w:ascii="仿宋" w:hAnsi="仿宋" w:eastAsia="仿宋" w:cs="宋体"/>
          <w:b/>
          <w:bCs/>
          <w:sz w:val="28"/>
          <w:szCs w:val="28"/>
        </w:rPr>
        <w:t>项目编号</w:t>
      </w:r>
      <w:r>
        <w:rPr>
          <w:rFonts w:hint="eastAsia" w:ascii="仿宋" w:hAnsi="仿宋" w:eastAsia="仿宋" w:cs="宋体"/>
          <w:sz w:val="28"/>
          <w:szCs w:val="28"/>
        </w:rPr>
        <w:t>：</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甲乙双方根据政府采购的有关规定，和中标通知书的要求，经双方友好协商，一致同意达成如下内容，特订立本合同，以便共同遵守。</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第一条：合同标的</w:t>
      </w:r>
    </w:p>
    <w:p>
      <w:pPr>
        <w:pStyle w:val="2"/>
        <w:adjustRightInd w:val="0"/>
        <w:snapToGrid w:val="0"/>
        <w:spacing w:line="312" w:lineRule="auto"/>
        <w:ind w:firstLine="280"/>
        <w:rPr>
          <w:rFonts w:ascii="仿宋" w:hAnsi="仿宋" w:eastAsia="仿宋"/>
          <w:sz w:val="28"/>
          <w:szCs w:val="28"/>
        </w:rPr>
      </w:pPr>
      <w:r>
        <w:rPr>
          <w:rFonts w:hint="eastAsia" w:ascii="仿宋" w:hAnsi="仿宋" w:eastAsia="仿宋" w:cs="宋体"/>
          <w:sz w:val="28"/>
          <w:szCs w:val="28"/>
        </w:rPr>
        <w:t>乙方根据甲方需求提供下列货物：</w:t>
      </w:r>
    </w:p>
    <w:tbl>
      <w:tblPr>
        <w:tblStyle w:val="43"/>
        <w:tblW w:w="10201" w:type="dxa"/>
        <w:tblInd w:w="0" w:type="dxa"/>
        <w:tblLayout w:type="fixed"/>
        <w:tblCellMar>
          <w:top w:w="0" w:type="dxa"/>
          <w:left w:w="0" w:type="dxa"/>
          <w:bottom w:w="0" w:type="dxa"/>
          <w:right w:w="0" w:type="dxa"/>
        </w:tblCellMar>
      </w:tblPr>
      <w:tblGrid>
        <w:gridCol w:w="2519"/>
        <w:gridCol w:w="1646"/>
        <w:gridCol w:w="1472"/>
        <w:gridCol w:w="985"/>
        <w:gridCol w:w="1299"/>
        <w:gridCol w:w="936"/>
        <w:gridCol w:w="1344"/>
      </w:tblGrid>
      <w:tr>
        <w:tblPrEx>
          <w:tblCellMar>
            <w:top w:w="0" w:type="dxa"/>
            <w:left w:w="0" w:type="dxa"/>
            <w:bottom w:w="0" w:type="dxa"/>
            <w:right w:w="0" w:type="dxa"/>
          </w:tblCellMar>
        </w:tblPrEx>
        <w:trPr>
          <w:trHeight w:val="422" w:hRule="atLeast"/>
        </w:trPr>
        <w:tc>
          <w:tcPr>
            <w:tcW w:w="251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货物名称</w:t>
            </w:r>
          </w:p>
        </w:tc>
        <w:tc>
          <w:tcPr>
            <w:tcW w:w="164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规格型号</w:t>
            </w:r>
          </w:p>
        </w:tc>
        <w:tc>
          <w:tcPr>
            <w:tcW w:w="1472"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单价（元）</w:t>
            </w:r>
          </w:p>
        </w:tc>
        <w:tc>
          <w:tcPr>
            <w:tcW w:w="9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数量</w:t>
            </w: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金额（元）</w:t>
            </w:r>
          </w:p>
        </w:tc>
        <w:tc>
          <w:tcPr>
            <w:tcW w:w="93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质保期</w:t>
            </w:r>
          </w:p>
        </w:tc>
        <w:tc>
          <w:tcPr>
            <w:tcW w:w="134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备注</w:t>
            </w:r>
          </w:p>
        </w:tc>
      </w:tr>
      <w:tr>
        <w:tblPrEx>
          <w:tblCellMar>
            <w:top w:w="0" w:type="dxa"/>
            <w:left w:w="0" w:type="dxa"/>
            <w:bottom w:w="0" w:type="dxa"/>
            <w:right w:w="0" w:type="dxa"/>
          </w:tblCellMar>
        </w:tblPrEx>
        <w:trPr>
          <w:trHeight w:val="422" w:hRule="atLeast"/>
        </w:trPr>
        <w:tc>
          <w:tcPr>
            <w:tcW w:w="251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472"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22" w:hRule="atLeast"/>
        </w:trPr>
        <w:tc>
          <w:tcPr>
            <w:tcW w:w="251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472"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22" w:hRule="atLeast"/>
        </w:trPr>
        <w:tc>
          <w:tcPr>
            <w:tcW w:w="251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472"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r>
      <w:tr>
        <w:tblPrEx>
          <w:tblCellMar>
            <w:top w:w="0" w:type="dxa"/>
            <w:left w:w="0" w:type="dxa"/>
            <w:bottom w:w="0" w:type="dxa"/>
            <w:right w:w="0" w:type="dxa"/>
          </w:tblCellMar>
        </w:tblPrEx>
        <w:trPr>
          <w:trHeight w:val="422" w:hRule="atLeast"/>
        </w:trPr>
        <w:tc>
          <w:tcPr>
            <w:tcW w:w="251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472"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85"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noWrap/>
            <w:tcMar>
              <w:top w:w="0" w:type="dxa"/>
              <w:left w:w="108" w:type="dxa"/>
              <w:bottom w:w="0" w:type="dxa"/>
              <w:right w:w="108" w:type="dxa"/>
            </w:tcMar>
            <w:vAlign w:val="center"/>
          </w:tcPr>
          <w:p>
            <w:pPr>
              <w:widowControl/>
              <w:adjustRightInd w:val="0"/>
              <w:snapToGrid w:val="0"/>
              <w:jc w:val="center"/>
              <w:rPr>
                <w:rFonts w:ascii="仿宋" w:hAnsi="仿宋" w:eastAsia="仿宋" w:cs="宋体"/>
                <w:kern w:val="0"/>
                <w:sz w:val="24"/>
                <w:szCs w:val="24"/>
              </w:rPr>
            </w:pPr>
          </w:p>
        </w:tc>
      </w:tr>
    </w:tbl>
    <w:p>
      <w:pPr>
        <w:overflowPunct w:val="0"/>
        <w:adjustRightInd w:val="0"/>
        <w:snapToGrid w:val="0"/>
        <w:spacing w:line="312" w:lineRule="auto"/>
        <w:ind w:firstLine="560" w:firstLineChars="200"/>
        <w:rPr>
          <w:rFonts w:ascii="仿宋" w:hAnsi="仿宋" w:eastAsia="仿宋" w:cs="宋体"/>
          <w:sz w:val="28"/>
          <w:szCs w:val="28"/>
        </w:rPr>
      </w:pP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第二条：合同价格</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1、货物总价为人民币（大写）：</w:t>
      </w:r>
      <w:r>
        <w:rPr>
          <w:rFonts w:hint="eastAsia" w:ascii="仿宋" w:hAnsi="仿宋" w:eastAsia="仿宋" w:cs="宋体"/>
          <w:sz w:val="28"/>
          <w:szCs w:val="28"/>
          <w:u w:val="single"/>
        </w:rPr>
        <w:t xml:space="preserve">            </w:t>
      </w:r>
      <w:r>
        <w:rPr>
          <w:rFonts w:hint="eastAsia" w:ascii="仿宋" w:hAnsi="仿宋" w:eastAsia="仿宋" w:cs="宋体"/>
          <w:sz w:val="28"/>
          <w:szCs w:val="28"/>
        </w:rPr>
        <w:t>元整。</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2、总价中包括货物金额、安装费、包装费、软件接口费、运输费及运输途中保险费、装卸费及税金。本合同价格一般不得做任何变更与调整。</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第三条：付款方式</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1、甲乙双方确认的货款结算依据：投标文件、中标通知书，采购合同书，乙方开具的发票，甲方出具的验收结算书等。</w:t>
      </w:r>
    </w:p>
    <w:p>
      <w:pPr>
        <w:overflowPunct w:val="0"/>
        <w:adjustRightInd w:val="0"/>
        <w:snapToGrid w:val="0"/>
        <w:spacing w:line="312"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w:t>
      </w:r>
      <w:r>
        <w:rPr>
          <w:rFonts w:hint="eastAsia" w:ascii="仿宋" w:hAnsi="仿宋" w:eastAsia="仿宋" w:cs="宋体"/>
          <w:sz w:val="28"/>
          <w:szCs w:val="28"/>
          <w:lang w:val="en-US" w:eastAsia="zh-CN"/>
        </w:rPr>
        <w:t xml:space="preserve">合同签订后支付30%，设备到现场付50%，安装调试完成验收合格后支付20%。   </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第四条：交货、包装与验收</w:t>
      </w:r>
    </w:p>
    <w:p>
      <w:pPr>
        <w:overflowPunct w:val="0"/>
        <w:adjustRightInd w:val="0"/>
        <w:snapToGrid w:val="0"/>
        <w:spacing w:line="312" w:lineRule="auto"/>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rPr>
        <w:t>1、交货地点：</w:t>
      </w:r>
      <w:r>
        <w:rPr>
          <w:rFonts w:hint="eastAsia" w:ascii="仿宋" w:hAnsi="仿宋" w:eastAsia="仿宋" w:cs="宋体"/>
          <w:sz w:val="28"/>
          <w:szCs w:val="28"/>
          <w:lang w:val="en-US" w:eastAsia="zh-CN"/>
        </w:rPr>
        <w:t>托克逊县人民医院</w:t>
      </w:r>
    </w:p>
    <w:p>
      <w:pPr>
        <w:overflowPunct w:val="0"/>
        <w:adjustRightInd w:val="0"/>
        <w:snapToGrid w:val="0"/>
        <w:spacing w:line="312" w:lineRule="auto"/>
        <w:ind w:firstLine="560" w:firstLineChars="200"/>
        <w:rPr>
          <w:rFonts w:hint="default" w:ascii="仿宋" w:hAnsi="仿宋" w:eastAsia="仿宋" w:cs="宋体"/>
          <w:sz w:val="28"/>
          <w:szCs w:val="28"/>
          <w:lang w:val="en-US" w:eastAsia="zh-CN"/>
        </w:rPr>
      </w:pPr>
      <w:r>
        <w:rPr>
          <w:rFonts w:hint="eastAsia" w:ascii="仿宋" w:hAnsi="仿宋" w:eastAsia="仿宋" w:cs="宋体"/>
          <w:sz w:val="28"/>
          <w:szCs w:val="28"/>
        </w:rPr>
        <w:t>2、交货时间：</w:t>
      </w:r>
      <w:r>
        <w:rPr>
          <w:rFonts w:hint="eastAsia" w:ascii="仿宋" w:hAnsi="仿宋" w:eastAsia="仿宋" w:cs="宋体"/>
          <w:sz w:val="28"/>
          <w:szCs w:val="28"/>
          <w:lang w:val="en-US" w:eastAsia="zh-CN"/>
        </w:rPr>
        <w:t>90天</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3、货物包装应符合国家标准，以保证货物在运输过程中不受损伤。货物在运输或邮寄途中发生毁损或丢失，由乙方负责。在运输途中、交货前、卸货中发生人身伤害或货物受损的，由乙方负责承担。</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4、货物到达后，甲乙双方均须在场并确认包装的完好性后，安装后由甲方验货。并对货物进行清点验收，共同签字确认。如验收不合格，乙方应退货，预缴押金的要全额退还，一切损失由乙方承担。</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第五条：本合同的有效组成文件：</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1、投标文件。</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2、中标通知书。</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3、甲方出具的验货结算书。</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4、乙方所提供的其他承诺。</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第六条：质量保证和售后服务：</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乙方应保证所提供的货物是全新、未使用过的原装合格正品，并完全符合国家标准和行业的相关标准。所有货物乙方质保期</w:t>
      </w:r>
      <w:r>
        <w:rPr>
          <w:rFonts w:hint="eastAsia" w:ascii="仿宋" w:hAnsi="仿宋" w:eastAsia="仿宋" w:cs="宋体"/>
          <w:sz w:val="28"/>
          <w:szCs w:val="28"/>
          <w:u w:val="single"/>
        </w:rPr>
        <w:t xml:space="preserve">  </w:t>
      </w:r>
      <w:r>
        <w:rPr>
          <w:rFonts w:hint="eastAsia" w:ascii="仿宋" w:hAnsi="仿宋" w:eastAsia="仿宋" w:cs="宋体"/>
          <w:sz w:val="28"/>
          <w:szCs w:val="28"/>
        </w:rPr>
        <w:t>年，</w:t>
      </w:r>
      <w:r>
        <w:rPr>
          <w:rFonts w:hint="eastAsia" w:ascii="仿宋" w:hAnsi="仿宋" w:eastAsia="仿宋" w:cs="宋体"/>
          <w:sz w:val="28"/>
          <w:szCs w:val="28"/>
          <w:u w:val="single"/>
        </w:rPr>
        <w:t xml:space="preserve">  </w:t>
      </w:r>
      <w:r>
        <w:rPr>
          <w:rFonts w:hint="eastAsia" w:ascii="仿宋" w:hAnsi="仿宋" w:eastAsia="仿宋" w:cs="宋体"/>
          <w:sz w:val="28"/>
          <w:szCs w:val="28"/>
        </w:rPr>
        <w:t>年内如不是甲方人为原因损坏，乙方负责维修。质保期过后，乙方负责维修，维修材料费用由甲方负责承担。</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第七条：违约责任：</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1、乙方不能按期按约交货或部分交货的，甲方有权不予支付乙方货款，</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并有权解除合同，乙方并应向甲方偿付相当于不能交货部分货款5%的违约金。</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2、乙方所提供货物品种、数量、质量不符合国家法律法规和本合同规定的，甲方有权拒收，由乙方负责包换或退货，并承担由此而支付的实际费用。</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3、乙方逾期交货的，按逾期缴货部分货款计算，向甲方偿付每日千分之五的违约金，并承担甲方因此所受的损失费用。</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4、乙方违反本合同相关约定的，除应当承担违约责任外，因乙方违约导致甲方产生其他相关损失的，乙方应当赔偿甲方因此产生的经济损失。</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5、甲方未按合同约定逾期付款的，应按照每日千分之五的比例向乙方偿付逾期货款的违约金。</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6、甲方违反本合同规定拒绝接货的，应当承担由此对乙方造成的损失。</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7、双方必须严格执行《中华人民共和国</w:t>
      </w:r>
      <w:r>
        <w:rPr>
          <w:rFonts w:hint="eastAsia" w:ascii="仿宋" w:hAnsi="仿宋" w:eastAsia="仿宋" w:cs="宋体"/>
          <w:sz w:val="28"/>
          <w:szCs w:val="28"/>
          <w:lang w:val="en-US" w:eastAsia="zh-CN"/>
        </w:rPr>
        <w:t>民法典</w:t>
      </w:r>
      <w:r>
        <w:rPr>
          <w:rFonts w:hint="eastAsia" w:ascii="仿宋" w:hAnsi="仿宋" w:eastAsia="仿宋" w:cs="宋体"/>
          <w:sz w:val="28"/>
          <w:szCs w:val="28"/>
        </w:rPr>
        <w:t>》的有关违约责任规定。</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第八条：不可抗力</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1、本合同生效后发生不可抗力的，发生不可抗力的一方应立即通知对方和政府采购办，并在不可抗力发生之日起五天内提供不可抗力的详情及有关证明文件送交对方和政府采购办。</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2、发生不可抗力事件时，双方应协商以寻找一个合理的解决方法，并尽一切努力减轻不可抗力产生的后果。如不可抗力影响双方合同正常执行的，双方应友好协商解决本合同是否继续履行或终止。</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3、一方因不可抗力不能按本合同约定履行的，可以减轻或免除一方的违约责任，一方不能证明不能按本合同约定履行是因不可抗力的，应当承担本合同约定的违约和赔偿责任。</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第九条：合同的解除和变更</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当合同一方要求变更或解除合同时，在新协议未达成前，原合同仍然有效。要求变更的一方应及时书面通知对方政府采购办，对方在接到通知15日内书面给予答复，逾期未答复则视为已同意。双方达成协议的，按新协议执行，并报政府采购办备案。</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第十条：争议解决方式</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甲乙双方在合同执行中发生争议，由甲乙双方协商解决，协商解决不了的，甲乙双方均有权向政府采购办投诉或向合同签署所在地人民法院提起诉讼。</w:t>
      </w:r>
    </w:p>
    <w:p>
      <w:pPr>
        <w:overflowPunct w:val="0"/>
        <w:adjustRightInd w:val="0"/>
        <w:snapToGrid w:val="0"/>
        <w:spacing w:line="312" w:lineRule="auto"/>
        <w:ind w:firstLine="560" w:firstLineChars="200"/>
        <w:rPr>
          <w:rFonts w:ascii="仿宋" w:hAnsi="仿宋" w:eastAsia="仿宋" w:cs="宋体"/>
          <w:b/>
          <w:sz w:val="28"/>
          <w:szCs w:val="28"/>
        </w:rPr>
      </w:pPr>
      <w:r>
        <w:rPr>
          <w:rFonts w:hint="eastAsia" w:ascii="仿宋" w:hAnsi="仿宋" w:eastAsia="仿宋" w:cs="宋体"/>
          <w:b/>
          <w:sz w:val="28"/>
          <w:szCs w:val="28"/>
        </w:rPr>
        <w:t>第十一条：合同生效及其他</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1、本合同经甲乙双方盖章和代表签字日期，即为本合同生效日期。如双方盖章签字日期不一致时，以最后盖章签字方的盖章签字日期为合同的生效日期。</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2、本合同一式陆份，甲</w:t>
      </w:r>
      <w:r>
        <w:rPr>
          <w:rFonts w:hint="eastAsia" w:ascii="仿宋" w:hAnsi="仿宋" w:eastAsia="仿宋" w:cs="宋体"/>
          <w:sz w:val="28"/>
          <w:szCs w:val="28"/>
          <w:lang w:val="en-US" w:eastAsia="zh-CN"/>
        </w:rPr>
        <w:t>方</w:t>
      </w:r>
      <w:r>
        <w:rPr>
          <w:rFonts w:hint="eastAsia" w:ascii="仿宋" w:hAnsi="仿宋" w:eastAsia="仿宋" w:cs="宋体"/>
          <w:sz w:val="28"/>
          <w:szCs w:val="28"/>
        </w:rPr>
        <w:t>伍份，乙方一份，政府采购办、招标代理公司各一套</w:t>
      </w:r>
    </w:p>
    <w:p>
      <w:pPr>
        <w:overflowPunct w:val="0"/>
        <w:adjustRightInd w:val="0"/>
        <w:snapToGrid w:val="0"/>
        <w:spacing w:line="312" w:lineRule="auto"/>
        <w:ind w:firstLine="560" w:firstLineChars="200"/>
        <w:rPr>
          <w:rFonts w:ascii="仿宋" w:hAnsi="仿宋" w:eastAsia="仿宋" w:cs="宋体"/>
          <w:sz w:val="28"/>
          <w:szCs w:val="28"/>
        </w:rPr>
      </w:pPr>
      <w:r>
        <w:rPr>
          <w:rFonts w:hint="eastAsia" w:ascii="仿宋" w:hAnsi="仿宋" w:eastAsia="仿宋" w:cs="宋体"/>
          <w:sz w:val="28"/>
          <w:szCs w:val="28"/>
        </w:rPr>
        <w:t>3、本合同的未尽事项，必要时由甲乙双方另订补充协议，经甲乙双方盖章和双方授权代表签字后与本合同具有同等法律效力，补充协议必须交政府采购办备案。</w:t>
      </w:r>
    </w:p>
    <w:p>
      <w:pPr>
        <w:pStyle w:val="2"/>
        <w:ind w:firstLine="210"/>
      </w:pP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甲方：</w:t>
            </w:r>
          </w:p>
        </w:tc>
        <w:tc>
          <w:tcPr>
            <w:tcW w:w="4501"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地址：</w:t>
            </w:r>
          </w:p>
        </w:tc>
        <w:tc>
          <w:tcPr>
            <w:tcW w:w="4501"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经办人：</w:t>
            </w:r>
          </w:p>
        </w:tc>
        <w:tc>
          <w:tcPr>
            <w:tcW w:w="4501"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电话：</w:t>
            </w:r>
          </w:p>
        </w:tc>
        <w:tc>
          <w:tcPr>
            <w:tcW w:w="4501"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日期：</w:t>
            </w:r>
          </w:p>
        </w:tc>
        <w:tc>
          <w:tcPr>
            <w:tcW w:w="4501" w:type="dxa"/>
          </w:tcPr>
          <w:p>
            <w:pPr>
              <w:overflowPunct w:val="0"/>
              <w:adjustRightInd w:val="0"/>
              <w:snapToGrid w:val="0"/>
              <w:spacing w:line="312" w:lineRule="auto"/>
              <w:rPr>
                <w:rFonts w:ascii="仿宋" w:hAnsi="仿宋" w:eastAsia="仿宋" w:cs="宋体"/>
                <w:sz w:val="28"/>
                <w:szCs w:val="28"/>
              </w:rPr>
            </w:pPr>
            <w:r>
              <w:rPr>
                <w:rFonts w:hint="eastAsia" w:ascii="仿宋" w:hAnsi="仿宋" w:eastAsia="仿宋" w:cs="宋体"/>
                <w:sz w:val="28"/>
                <w:szCs w:val="28"/>
              </w:rPr>
              <w:t>日期：</w:t>
            </w:r>
          </w:p>
        </w:tc>
      </w:tr>
    </w:tbl>
    <w:p>
      <w:pPr>
        <w:spacing w:line="520" w:lineRule="exact"/>
        <w:rPr>
          <w:rFonts w:ascii="仿宋" w:hAnsi="仿宋" w:eastAsia="仿宋"/>
          <w:b/>
        </w:rPr>
      </w:pPr>
      <w:r>
        <w:rPr>
          <w:rFonts w:hint="eastAsia" w:ascii="仿宋" w:hAnsi="仿宋" w:eastAsia="仿宋"/>
          <w:b/>
          <w:sz w:val="36"/>
        </w:rPr>
        <w:t>附件：投标书格式</w:t>
      </w:r>
    </w:p>
    <w:p>
      <w:pPr>
        <w:pStyle w:val="139"/>
        <w:spacing w:line="360" w:lineRule="auto"/>
        <w:ind w:firstLine="1400" w:firstLineChars="200"/>
        <w:jc w:val="both"/>
        <w:rPr>
          <w:rFonts w:ascii="仿宋" w:hAnsi="仿宋" w:eastAsia="仿宋"/>
          <w:color w:val="auto"/>
          <w:sz w:val="70"/>
        </w:rPr>
      </w:pPr>
    </w:p>
    <w:p>
      <w:pPr>
        <w:pStyle w:val="139"/>
        <w:spacing w:line="360" w:lineRule="auto"/>
        <w:ind w:firstLine="1400" w:firstLineChars="200"/>
        <w:jc w:val="both"/>
        <w:rPr>
          <w:rFonts w:ascii="仿宋" w:hAnsi="仿宋" w:eastAsia="仿宋"/>
          <w:color w:val="auto"/>
          <w:sz w:val="70"/>
        </w:rPr>
      </w:pPr>
    </w:p>
    <w:p>
      <w:pPr>
        <w:pStyle w:val="139"/>
        <w:spacing w:line="360" w:lineRule="auto"/>
        <w:ind w:firstLine="1400" w:firstLineChars="200"/>
        <w:jc w:val="both"/>
        <w:rPr>
          <w:rFonts w:ascii="仿宋" w:hAnsi="仿宋" w:eastAsia="仿宋"/>
          <w:color w:val="auto"/>
          <w:sz w:val="70"/>
        </w:rPr>
      </w:pPr>
    </w:p>
    <w:p>
      <w:pPr>
        <w:pStyle w:val="139"/>
        <w:spacing w:line="360" w:lineRule="auto"/>
        <w:ind w:firstLine="1400" w:firstLineChars="200"/>
        <w:jc w:val="both"/>
        <w:rPr>
          <w:rFonts w:ascii="仿宋" w:hAnsi="仿宋" w:eastAsia="仿宋"/>
          <w:color w:val="auto"/>
          <w:sz w:val="70"/>
        </w:rPr>
      </w:pPr>
    </w:p>
    <w:p>
      <w:pPr>
        <w:spacing w:line="360" w:lineRule="atLeast"/>
        <w:jc w:val="center"/>
        <w:rPr>
          <w:rFonts w:ascii="仿宋" w:hAnsi="仿宋" w:eastAsia="仿宋"/>
          <w:b/>
          <w:sz w:val="72"/>
        </w:rPr>
      </w:pPr>
      <w:r>
        <w:rPr>
          <w:rFonts w:hint="eastAsia" w:ascii="仿宋" w:hAnsi="仿宋" w:eastAsia="仿宋"/>
          <w:b/>
          <w:sz w:val="52"/>
          <w:szCs w:val="52"/>
          <w:u w:val="single"/>
        </w:rPr>
        <w:t xml:space="preserve"> </w:t>
      </w:r>
      <w:r>
        <w:rPr>
          <w:rFonts w:hint="eastAsia" w:ascii="仿宋" w:hAnsi="仿宋" w:eastAsia="仿宋"/>
          <w:b/>
          <w:sz w:val="72"/>
          <w:u w:val="single"/>
        </w:rPr>
        <w:t xml:space="preserve">              </w:t>
      </w:r>
      <w:r>
        <w:rPr>
          <w:rFonts w:hint="eastAsia" w:ascii="仿宋" w:hAnsi="仿宋" w:eastAsia="仿宋"/>
          <w:b/>
          <w:sz w:val="72"/>
        </w:rPr>
        <w:t>项目</w:t>
      </w:r>
    </w:p>
    <w:p>
      <w:pPr>
        <w:spacing w:line="360" w:lineRule="atLeast"/>
        <w:jc w:val="center"/>
        <w:rPr>
          <w:rFonts w:ascii="仿宋" w:hAnsi="仿宋" w:eastAsia="仿宋"/>
          <w:b/>
          <w:sz w:val="72"/>
        </w:rPr>
      </w:pPr>
    </w:p>
    <w:p>
      <w:pPr>
        <w:spacing w:line="360" w:lineRule="atLeast"/>
        <w:jc w:val="center"/>
        <w:rPr>
          <w:rFonts w:ascii="仿宋" w:hAnsi="仿宋" w:eastAsia="仿宋"/>
        </w:rPr>
      </w:pPr>
      <w:r>
        <w:rPr>
          <w:rFonts w:hint="eastAsia" w:ascii="仿宋" w:hAnsi="仿宋" w:eastAsia="仿宋"/>
          <w:b/>
          <w:sz w:val="72"/>
        </w:rPr>
        <w:t>投标书</w:t>
      </w:r>
    </w:p>
    <w:p>
      <w:pPr>
        <w:spacing w:line="360" w:lineRule="atLeast"/>
        <w:rPr>
          <w:rFonts w:ascii="仿宋" w:hAnsi="仿宋" w:eastAsia="仿宋"/>
        </w:rPr>
      </w:pPr>
    </w:p>
    <w:p>
      <w:pPr>
        <w:spacing w:line="360" w:lineRule="atLeast"/>
        <w:ind w:firstLine="420"/>
        <w:rPr>
          <w:rFonts w:ascii="仿宋" w:hAnsi="仿宋" w:eastAsia="仿宋"/>
        </w:rPr>
      </w:pPr>
    </w:p>
    <w:p>
      <w:pPr>
        <w:spacing w:line="360" w:lineRule="atLeast"/>
        <w:ind w:firstLine="880"/>
        <w:rPr>
          <w:rFonts w:ascii="仿宋" w:hAnsi="仿宋" w:eastAsia="仿宋"/>
          <w:sz w:val="44"/>
        </w:rPr>
      </w:pPr>
    </w:p>
    <w:p>
      <w:pPr>
        <w:spacing w:line="360" w:lineRule="atLeast"/>
        <w:ind w:firstLine="880"/>
        <w:rPr>
          <w:rFonts w:ascii="仿宋" w:hAnsi="仿宋" w:eastAsia="仿宋"/>
          <w:sz w:val="44"/>
        </w:rPr>
      </w:pPr>
      <w:r>
        <w:rPr>
          <w:rFonts w:hint="eastAsia" w:ascii="仿宋" w:hAnsi="仿宋" w:eastAsia="仿宋"/>
          <w:sz w:val="44"/>
        </w:rPr>
        <w:t>招 标 项 目 名 称：</w:t>
      </w:r>
    </w:p>
    <w:p>
      <w:pPr>
        <w:spacing w:line="360" w:lineRule="atLeast"/>
        <w:ind w:firstLine="880"/>
        <w:rPr>
          <w:rFonts w:ascii="仿宋" w:hAnsi="仿宋" w:eastAsia="仿宋"/>
          <w:sz w:val="44"/>
        </w:rPr>
      </w:pPr>
    </w:p>
    <w:p>
      <w:pPr>
        <w:spacing w:line="360" w:lineRule="atLeast"/>
        <w:ind w:firstLine="880"/>
        <w:rPr>
          <w:rFonts w:ascii="仿宋" w:hAnsi="仿宋" w:eastAsia="仿宋"/>
          <w:sz w:val="44"/>
        </w:rPr>
      </w:pPr>
      <w:r>
        <w:rPr>
          <w:rFonts w:hint="eastAsia" w:ascii="仿宋" w:hAnsi="仿宋" w:eastAsia="仿宋"/>
          <w:sz w:val="44"/>
        </w:rPr>
        <w:t>投   标   单   位：</w:t>
      </w:r>
    </w:p>
    <w:p>
      <w:pPr>
        <w:spacing w:line="360" w:lineRule="atLeast"/>
        <w:ind w:firstLine="880"/>
        <w:rPr>
          <w:rFonts w:ascii="仿宋" w:hAnsi="仿宋" w:eastAsia="仿宋"/>
          <w:sz w:val="44"/>
        </w:rPr>
      </w:pPr>
    </w:p>
    <w:p>
      <w:pPr>
        <w:spacing w:line="360" w:lineRule="atLeast"/>
        <w:ind w:firstLine="880"/>
        <w:rPr>
          <w:rFonts w:ascii="仿宋" w:hAnsi="仿宋" w:eastAsia="仿宋"/>
        </w:rPr>
      </w:pPr>
      <w:r>
        <w:rPr>
          <w:rFonts w:hint="eastAsia" w:ascii="仿宋" w:hAnsi="仿宋" w:eastAsia="仿宋"/>
          <w:sz w:val="44"/>
        </w:rPr>
        <w:t>投标单位全权代表：</w:t>
      </w:r>
    </w:p>
    <w:p>
      <w:pPr>
        <w:spacing w:line="360" w:lineRule="atLeast"/>
        <w:ind w:firstLine="640"/>
        <w:rPr>
          <w:rFonts w:ascii="仿宋" w:hAnsi="仿宋" w:eastAsia="仿宋"/>
          <w:sz w:val="32"/>
        </w:rPr>
      </w:pPr>
    </w:p>
    <w:p>
      <w:pPr>
        <w:spacing w:line="360" w:lineRule="atLeast"/>
        <w:ind w:firstLine="640"/>
        <w:rPr>
          <w:rFonts w:ascii="仿宋" w:hAnsi="仿宋" w:eastAsia="仿宋"/>
          <w:sz w:val="32"/>
        </w:rPr>
      </w:pPr>
    </w:p>
    <w:p>
      <w:pPr>
        <w:spacing w:line="360" w:lineRule="atLeast"/>
        <w:ind w:firstLine="720"/>
        <w:jc w:val="center"/>
        <w:rPr>
          <w:rFonts w:ascii="仿宋" w:hAnsi="仿宋" w:eastAsia="仿宋"/>
          <w:sz w:val="36"/>
        </w:rPr>
      </w:pPr>
      <w:r>
        <w:rPr>
          <w:rFonts w:hint="eastAsia" w:ascii="仿宋" w:hAnsi="仿宋" w:eastAsia="仿宋"/>
          <w:sz w:val="36"/>
        </w:rPr>
        <w:t>年      月      日</w:t>
      </w:r>
    </w:p>
    <w:p>
      <w:pPr>
        <w:spacing w:line="360" w:lineRule="atLeast"/>
        <w:ind w:firstLine="720"/>
        <w:jc w:val="right"/>
        <w:rPr>
          <w:rFonts w:ascii="仿宋" w:hAnsi="仿宋" w:eastAsia="仿宋"/>
          <w:sz w:val="28"/>
        </w:rPr>
      </w:pPr>
      <w:r>
        <w:rPr>
          <w:rFonts w:hint="eastAsia" w:ascii="仿宋" w:hAnsi="仿宋" w:eastAsia="仿宋"/>
          <w:sz w:val="36"/>
        </w:rPr>
        <w:br w:type="page"/>
      </w:r>
      <w:r>
        <w:rPr>
          <w:rFonts w:hint="eastAsia" w:ascii="仿宋" w:hAnsi="仿宋" w:eastAsia="仿宋"/>
          <w:sz w:val="28"/>
        </w:rPr>
        <w:t>附件一</w:t>
      </w:r>
    </w:p>
    <w:p>
      <w:pPr>
        <w:jc w:val="center"/>
        <w:rPr>
          <w:rFonts w:ascii="仿宋" w:hAnsi="仿宋" w:eastAsia="仿宋"/>
          <w:b/>
          <w:sz w:val="36"/>
        </w:rPr>
      </w:pPr>
      <w:r>
        <w:rPr>
          <w:rFonts w:hint="eastAsia" w:ascii="仿宋" w:hAnsi="仿宋" w:eastAsia="仿宋"/>
          <w:b/>
          <w:sz w:val="36"/>
        </w:rPr>
        <w:t>投标书</w:t>
      </w:r>
    </w:p>
    <w:p>
      <w:pPr>
        <w:pStyle w:val="204"/>
        <w:ind w:firstLine="0" w:firstLineChars="0"/>
        <w:jc w:val="both"/>
        <w:rPr>
          <w:rFonts w:ascii="仿宋" w:hAnsi="仿宋" w:eastAsia="仿宋"/>
          <w:sz w:val="28"/>
          <w:szCs w:val="28"/>
        </w:rPr>
      </w:pPr>
      <w:r>
        <w:rPr>
          <w:rFonts w:hint="eastAsia" w:ascii="仿宋" w:hAnsi="仿宋" w:eastAsia="仿宋"/>
          <w:sz w:val="28"/>
          <w:szCs w:val="28"/>
        </w:rPr>
        <w:t>新疆新之建工程咨询有限公司：</w:t>
      </w:r>
    </w:p>
    <w:p>
      <w:pPr>
        <w:spacing w:line="360" w:lineRule="atLeast"/>
        <w:ind w:firstLine="420"/>
        <w:rPr>
          <w:rFonts w:ascii="仿宋" w:hAnsi="仿宋" w:eastAsia="仿宋"/>
        </w:rPr>
      </w:pPr>
    </w:p>
    <w:p>
      <w:pPr>
        <w:spacing w:line="360" w:lineRule="atLeast"/>
        <w:ind w:firstLine="560"/>
        <w:rPr>
          <w:rFonts w:ascii="仿宋" w:hAnsi="仿宋" w:eastAsia="仿宋"/>
          <w:sz w:val="28"/>
        </w:rPr>
      </w:pPr>
      <w:r>
        <w:rPr>
          <w:rFonts w:hint="eastAsia" w:ascii="仿宋" w:hAnsi="仿宋" w:eastAsia="仿宋"/>
          <w:sz w:val="28"/>
        </w:rPr>
        <w:t>我们收到你们</w:t>
      </w:r>
      <w:r>
        <w:rPr>
          <w:rFonts w:hint="eastAsia" w:ascii="仿宋" w:hAnsi="仿宋" w:eastAsia="仿宋"/>
          <w:sz w:val="28"/>
          <w:u w:val="single"/>
        </w:rPr>
        <w:t xml:space="preserve">             </w:t>
      </w:r>
      <w:r>
        <w:rPr>
          <w:rFonts w:hint="eastAsia" w:ascii="仿宋" w:hAnsi="仿宋" w:eastAsia="仿宋"/>
          <w:sz w:val="28"/>
        </w:rPr>
        <w:t xml:space="preserve"> 号招标文件，经认真研究，我们决定参加投标。</w:t>
      </w:r>
    </w:p>
    <w:p>
      <w:pPr>
        <w:spacing w:line="360" w:lineRule="atLeast"/>
        <w:ind w:firstLine="560"/>
        <w:rPr>
          <w:rFonts w:ascii="仿宋" w:hAnsi="仿宋" w:eastAsia="仿宋"/>
          <w:sz w:val="28"/>
        </w:rPr>
      </w:pPr>
      <w:r>
        <w:rPr>
          <w:rFonts w:hint="eastAsia" w:ascii="仿宋" w:hAnsi="仿宋" w:eastAsia="仿宋"/>
          <w:sz w:val="28"/>
        </w:rPr>
        <w:t xml:space="preserve">⒈按照招标文件中的一切要求，提供招标货物、安装及技术服务，投标总价 </w:t>
      </w:r>
      <w:r>
        <w:rPr>
          <w:rFonts w:hint="eastAsia" w:ascii="仿宋" w:hAnsi="仿宋" w:eastAsia="仿宋"/>
          <w:sz w:val="28"/>
          <w:u w:val="single"/>
        </w:rPr>
        <w:t xml:space="preserve">                 </w:t>
      </w:r>
      <w:r>
        <w:rPr>
          <w:rFonts w:hint="eastAsia" w:ascii="仿宋" w:hAnsi="仿宋" w:eastAsia="仿宋"/>
          <w:sz w:val="28"/>
          <w:u w:val="single"/>
          <w:lang w:val="en-US" w:eastAsia="zh-CN"/>
        </w:rPr>
        <w:t>万</w:t>
      </w:r>
      <w:r>
        <w:rPr>
          <w:rFonts w:hint="eastAsia" w:ascii="仿宋" w:hAnsi="仿宋" w:eastAsia="仿宋"/>
          <w:sz w:val="28"/>
        </w:rPr>
        <w:t>元（人民币大写）￥：</w:t>
      </w:r>
      <w:r>
        <w:rPr>
          <w:rFonts w:hint="eastAsia" w:ascii="仿宋" w:hAnsi="仿宋" w:eastAsia="仿宋"/>
          <w:sz w:val="28"/>
          <w:u w:val="single"/>
        </w:rPr>
        <w:t xml:space="preserve">         </w:t>
      </w:r>
      <w:r>
        <w:rPr>
          <w:rFonts w:hint="eastAsia" w:ascii="仿宋" w:hAnsi="仿宋" w:eastAsia="仿宋"/>
          <w:sz w:val="28"/>
          <w:u w:val="single"/>
          <w:lang w:val="en-US" w:eastAsia="zh-CN"/>
        </w:rPr>
        <w:t>万</w:t>
      </w:r>
      <w:r>
        <w:rPr>
          <w:rFonts w:hint="eastAsia" w:ascii="仿宋" w:hAnsi="仿宋" w:eastAsia="仿宋"/>
          <w:sz w:val="28"/>
        </w:rPr>
        <w:t>元（用阿拉伯数字书写）人民币，明细见投标产品名称数量报价表。</w:t>
      </w:r>
    </w:p>
    <w:p>
      <w:pPr>
        <w:spacing w:line="360" w:lineRule="atLeast"/>
        <w:ind w:firstLine="560"/>
        <w:rPr>
          <w:rFonts w:ascii="仿宋" w:hAnsi="仿宋" w:eastAsia="仿宋"/>
          <w:sz w:val="28"/>
        </w:rPr>
      </w:pPr>
      <w:r>
        <w:rPr>
          <w:rFonts w:hint="eastAsia" w:ascii="仿宋" w:hAnsi="仿宋" w:eastAsia="仿宋"/>
          <w:sz w:val="28"/>
        </w:rPr>
        <w:t>⒉如果我们的投标书被接受，我们将履行招标文件中规定的每一项要求，按期、按质、按量完成交货和完工任务。</w:t>
      </w:r>
    </w:p>
    <w:p>
      <w:pPr>
        <w:spacing w:line="360" w:lineRule="atLeast"/>
        <w:ind w:firstLine="560"/>
        <w:rPr>
          <w:rFonts w:ascii="仿宋" w:hAnsi="仿宋" w:eastAsia="仿宋"/>
          <w:sz w:val="28"/>
        </w:rPr>
      </w:pPr>
      <w:r>
        <w:rPr>
          <w:rFonts w:hint="eastAsia" w:ascii="仿宋" w:hAnsi="仿宋" w:eastAsia="仿宋"/>
          <w:sz w:val="28"/>
        </w:rPr>
        <w:t>⒊我们同意按招标文件的规定，本投标书的有效期为开标后</w:t>
      </w:r>
      <w:r>
        <w:rPr>
          <w:rFonts w:hint="eastAsia" w:ascii="仿宋" w:hAnsi="仿宋" w:eastAsia="仿宋"/>
          <w:sz w:val="28"/>
          <w:u w:val="single"/>
        </w:rPr>
        <w:t xml:space="preserve"> </w:t>
      </w:r>
      <w:r>
        <w:rPr>
          <w:rFonts w:hint="eastAsia" w:ascii="仿宋" w:hAnsi="仿宋" w:eastAsia="仿宋"/>
          <w:b/>
          <w:sz w:val="28"/>
          <w:u w:val="single"/>
        </w:rPr>
        <w:t>90</w:t>
      </w:r>
      <w:r>
        <w:rPr>
          <w:rFonts w:hint="eastAsia" w:ascii="仿宋" w:hAnsi="仿宋" w:eastAsia="仿宋"/>
          <w:sz w:val="28"/>
          <w:u w:val="single"/>
        </w:rPr>
        <w:t xml:space="preserve"> </w:t>
      </w:r>
      <w:r>
        <w:rPr>
          <w:rFonts w:hint="eastAsia" w:ascii="仿宋" w:hAnsi="仿宋" w:eastAsia="仿宋"/>
          <w:sz w:val="28"/>
        </w:rPr>
        <w:t>天。</w:t>
      </w:r>
    </w:p>
    <w:p>
      <w:pPr>
        <w:spacing w:line="360" w:lineRule="atLeast"/>
        <w:ind w:firstLine="560"/>
        <w:rPr>
          <w:rFonts w:ascii="仿宋" w:hAnsi="仿宋" w:eastAsia="仿宋"/>
          <w:sz w:val="28"/>
        </w:rPr>
      </w:pPr>
      <w:r>
        <w:rPr>
          <w:rFonts w:hint="eastAsia" w:ascii="仿宋" w:hAnsi="仿宋" w:eastAsia="仿宋"/>
          <w:sz w:val="28"/>
        </w:rPr>
        <w:t>⒋我们愿意提供采购人在招标文件中要求的所有资料。</w:t>
      </w:r>
    </w:p>
    <w:p>
      <w:pPr>
        <w:spacing w:line="360" w:lineRule="atLeast"/>
        <w:ind w:firstLine="560"/>
        <w:rPr>
          <w:rFonts w:ascii="仿宋" w:hAnsi="仿宋" w:eastAsia="仿宋"/>
          <w:sz w:val="28"/>
        </w:rPr>
      </w:pPr>
      <w:r>
        <w:rPr>
          <w:rFonts w:hint="eastAsia" w:ascii="仿宋" w:hAnsi="仿宋" w:eastAsia="仿宋"/>
          <w:sz w:val="28"/>
        </w:rPr>
        <w:t>⒌我们认为你们有选择或拒绝任何投标者中标的权力。我们理解，最低报价不是中标的唯一条件。</w:t>
      </w:r>
    </w:p>
    <w:p>
      <w:pPr>
        <w:spacing w:line="360" w:lineRule="atLeast"/>
        <w:ind w:firstLine="560"/>
        <w:rPr>
          <w:rFonts w:ascii="仿宋" w:hAnsi="仿宋" w:eastAsia="仿宋"/>
          <w:sz w:val="28"/>
        </w:rPr>
      </w:pPr>
      <w:r>
        <w:rPr>
          <w:rFonts w:hint="eastAsia" w:ascii="仿宋" w:hAnsi="仿宋" w:eastAsia="仿宋"/>
          <w:sz w:val="28"/>
        </w:rPr>
        <w:t>⒍我们愿按合同法履行自己的全部责任。</w:t>
      </w:r>
    </w:p>
    <w:p>
      <w:pPr>
        <w:spacing w:line="360" w:lineRule="atLeast"/>
        <w:ind w:firstLine="560"/>
        <w:rPr>
          <w:rFonts w:ascii="仿宋" w:hAnsi="仿宋" w:eastAsia="仿宋"/>
          <w:sz w:val="28"/>
        </w:rPr>
      </w:pPr>
      <w:r>
        <w:rPr>
          <w:rFonts w:hint="eastAsia" w:ascii="仿宋" w:hAnsi="仿宋" w:eastAsia="仿宋"/>
          <w:sz w:val="28"/>
        </w:rPr>
        <w:t>⒎我方愿意遵守国家有关规定及招标文件中规定的收费标准，承付中标服务费。</w:t>
      </w:r>
    </w:p>
    <w:p>
      <w:pPr>
        <w:spacing w:line="360" w:lineRule="atLeast"/>
        <w:ind w:firstLine="560"/>
        <w:rPr>
          <w:rFonts w:ascii="仿宋" w:hAnsi="仿宋" w:eastAsia="仿宋"/>
          <w:sz w:val="28"/>
        </w:rPr>
      </w:pPr>
      <w:r>
        <w:rPr>
          <w:rFonts w:hint="eastAsia" w:ascii="仿宋" w:hAnsi="仿宋" w:eastAsia="仿宋"/>
          <w:sz w:val="28"/>
        </w:rPr>
        <w:t>⒏该项投标在开标后的全过程中保持有效，不作任何更改和变动。</w:t>
      </w:r>
    </w:p>
    <w:p>
      <w:pPr>
        <w:spacing w:line="360" w:lineRule="atLeast"/>
        <w:ind w:firstLine="560"/>
        <w:rPr>
          <w:rFonts w:ascii="仿宋" w:hAnsi="仿宋" w:eastAsia="仿宋"/>
          <w:sz w:val="28"/>
        </w:rPr>
      </w:pPr>
      <w:r>
        <w:rPr>
          <w:rFonts w:hint="eastAsia" w:ascii="仿宋" w:hAnsi="仿宋" w:eastAsia="仿宋"/>
          <w:sz w:val="28"/>
        </w:rPr>
        <w:t>⒐我们同意按招标文件规定，交纳</w:t>
      </w:r>
      <w:r>
        <w:rPr>
          <w:rFonts w:hint="eastAsia" w:ascii="仿宋" w:hAnsi="仿宋" w:eastAsia="仿宋"/>
          <w:sz w:val="28"/>
          <w:u w:val="single"/>
        </w:rPr>
        <w:t xml:space="preserve">             </w:t>
      </w:r>
      <w:r>
        <w:rPr>
          <w:rFonts w:hint="eastAsia" w:ascii="仿宋" w:hAnsi="仿宋" w:eastAsia="仿宋"/>
          <w:sz w:val="28"/>
        </w:rPr>
        <w:t>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ascii="仿宋" w:hAnsi="仿宋" w:eastAsia="仿宋"/>
          <w:sz w:val="28"/>
        </w:rPr>
      </w:pPr>
      <w:r>
        <w:rPr>
          <w:rFonts w:hint="eastAsia" w:ascii="仿宋" w:hAnsi="仿宋" w:eastAsia="仿宋"/>
          <w:sz w:val="28"/>
        </w:rPr>
        <w:t>⒑综合说明：</w:t>
      </w:r>
    </w:p>
    <w:p>
      <w:pPr>
        <w:spacing w:line="360" w:lineRule="atLeast"/>
        <w:ind w:firstLine="560"/>
        <w:rPr>
          <w:rFonts w:ascii="仿宋" w:hAnsi="仿宋" w:eastAsia="仿宋"/>
          <w:sz w:val="28"/>
        </w:rPr>
      </w:pPr>
      <w:r>
        <w:rPr>
          <w:rFonts w:hint="eastAsia" w:ascii="仿宋" w:hAnsi="仿宋" w:eastAsia="仿宋"/>
          <w:sz w:val="28"/>
        </w:rPr>
        <w:t>（1）材料的详细技术参数、技术条件、技术标准、拟达到的质量标准和保险期限。</w:t>
      </w:r>
    </w:p>
    <w:p>
      <w:pPr>
        <w:spacing w:line="360" w:lineRule="atLeast"/>
        <w:ind w:firstLine="560"/>
        <w:rPr>
          <w:rFonts w:ascii="仿宋" w:hAnsi="仿宋" w:eastAsia="仿宋"/>
          <w:sz w:val="28"/>
        </w:rPr>
      </w:pPr>
      <w:r>
        <w:rPr>
          <w:rFonts w:hint="eastAsia" w:ascii="仿宋" w:hAnsi="仿宋" w:eastAsia="仿宋"/>
          <w:sz w:val="28"/>
        </w:rPr>
        <w:t>（2）易损件、配件及供应方式。</w:t>
      </w:r>
    </w:p>
    <w:p>
      <w:pPr>
        <w:spacing w:line="360" w:lineRule="atLeast"/>
        <w:ind w:firstLine="560"/>
        <w:rPr>
          <w:rFonts w:ascii="仿宋" w:hAnsi="仿宋" w:eastAsia="仿宋"/>
          <w:sz w:val="28"/>
        </w:rPr>
      </w:pPr>
      <w:r>
        <w:rPr>
          <w:rFonts w:hint="eastAsia" w:ascii="仿宋" w:hAnsi="仿宋" w:eastAsia="仿宋"/>
          <w:sz w:val="28"/>
        </w:rPr>
        <w:t>（3）工程安装计划、组织机构及人员安排。</w:t>
      </w:r>
    </w:p>
    <w:p>
      <w:pPr>
        <w:spacing w:line="360" w:lineRule="atLeast"/>
        <w:ind w:firstLine="560"/>
        <w:rPr>
          <w:rFonts w:ascii="仿宋" w:hAnsi="仿宋" w:eastAsia="仿宋"/>
          <w:sz w:val="28"/>
        </w:rPr>
      </w:pPr>
      <w:r>
        <w:rPr>
          <w:rFonts w:hint="eastAsia" w:ascii="仿宋" w:hAnsi="仿宋" w:eastAsia="仿宋"/>
          <w:sz w:val="28"/>
        </w:rPr>
        <w:t>（5）技术服务。</w:t>
      </w:r>
    </w:p>
    <w:p>
      <w:pPr>
        <w:spacing w:line="360" w:lineRule="atLeast"/>
        <w:ind w:firstLine="560"/>
        <w:rPr>
          <w:rFonts w:ascii="仿宋" w:hAnsi="仿宋" w:eastAsia="仿宋"/>
          <w:sz w:val="28"/>
        </w:rPr>
      </w:pPr>
      <w:r>
        <w:rPr>
          <w:rFonts w:hint="eastAsia" w:ascii="仿宋" w:hAnsi="仿宋" w:eastAsia="仿宋"/>
          <w:sz w:val="28"/>
        </w:rPr>
        <w:t>（6）运输方式。</w:t>
      </w:r>
    </w:p>
    <w:p>
      <w:pPr>
        <w:spacing w:line="360" w:lineRule="atLeast"/>
        <w:ind w:firstLine="560"/>
        <w:rPr>
          <w:rFonts w:ascii="仿宋" w:hAnsi="仿宋" w:eastAsia="仿宋"/>
          <w:sz w:val="28"/>
        </w:rPr>
      </w:pPr>
      <w:r>
        <w:rPr>
          <w:rFonts w:hint="eastAsia" w:ascii="仿宋" w:hAnsi="仿宋" w:eastAsia="仿宋"/>
          <w:sz w:val="28"/>
        </w:rPr>
        <w:t>（7）要求项目单位提供的配合。</w:t>
      </w:r>
    </w:p>
    <w:p>
      <w:pPr>
        <w:spacing w:line="360" w:lineRule="atLeast"/>
        <w:ind w:firstLine="560"/>
        <w:rPr>
          <w:rFonts w:ascii="仿宋" w:hAnsi="仿宋" w:eastAsia="仿宋"/>
          <w:sz w:val="28"/>
        </w:rPr>
      </w:pPr>
      <w:r>
        <w:rPr>
          <w:rFonts w:hint="eastAsia" w:ascii="仿宋" w:hAnsi="仿宋" w:eastAsia="仿宋"/>
          <w:sz w:val="28"/>
        </w:rPr>
        <w:t>（8）对招标文件内容有不同意见的偏离说明。</w:t>
      </w:r>
    </w:p>
    <w:p>
      <w:pPr>
        <w:spacing w:line="360" w:lineRule="atLeast"/>
        <w:ind w:firstLine="560"/>
        <w:rPr>
          <w:rFonts w:ascii="仿宋" w:hAnsi="仿宋" w:eastAsia="仿宋"/>
          <w:sz w:val="28"/>
        </w:rPr>
      </w:pPr>
      <w:r>
        <w:rPr>
          <w:rFonts w:hint="eastAsia" w:ascii="仿宋" w:hAnsi="仿宋" w:eastAsia="仿宋"/>
          <w:sz w:val="28"/>
        </w:rPr>
        <w:t>（9）其它。</w:t>
      </w:r>
    </w:p>
    <w:p>
      <w:pPr>
        <w:spacing w:line="360" w:lineRule="atLeast"/>
        <w:ind w:firstLine="560"/>
        <w:rPr>
          <w:rFonts w:ascii="仿宋" w:hAnsi="仿宋" w:eastAsia="仿宋"/>
          <w:sz w:val="28"/>
        </w:rPr>
      </w:pPr>
      <w:r>
        <w:rPr>
          <w:rFonts w:hint="eastAsia" w:ascii="仿宋" w:hAnsi="仿宋" w:eastAsia="仿宋"/>
          <w:sz w:val="28"/>
        </w:rPr>
        <w:t>11.所有有关本标书的函电，请按下列地址联系：</w:t>
      </w:r>
    </w:p>
    <w:p>
      <w:pPr>
        <w:spacing w:line="360" w:lineRule="atLeast"/>
        <w:ind w:firstLine="560"/>
        <w:rPr>
          <w:rFonts w:ascii="仿宋" w:hAnsi="仿宋" w:eastAsia="仿宋"/>
          <w:sz w:val="28"/>
        </w:rPr>
      </w:pPr>
      <w:r>
        <w:rPr>
          <w:rFonts w:hint="eastAsia" w:ascii="仿宋" w:hAnsi="仿宋" w:eastAsia="仿宋"/>
          <w:sz w:val="28"/>
        </w:rPr>
        <w:t>单       位：</w:t>
      </w:r>
    </w:p>
    <w:p>
      <w:pPr>
        <w:spacing w:line="360" w:lineRule="atLeast"/>
        <w:ind w:firstLine="560"/>
        <w:rPr>
          <w:rFonts w:ascii="仿宋" w:hAnsi="仿宋" w:eastAsia="仿宋"/>
          <w:sz w:val="28"/>
        </w:rPr>
      </w:pPr>
      <w:r>
        <w:rPr>
          <w:rFonts w:hint="eastAsia" w:ascii="仿宋" w:hAnsi="仿宋" w:eastAsia="仿宋"/>
          <w:sz w:val="28"/>
        </w:rPr>
        <w:t>地       址：</w:t>
      </w:r>
    </w:p>
    <w:p>
      <w:pPr>
        <w:spacing w:line="360" w:lineRule="atLeast"/>
        <w:ind w:firstLine="560"/>
        <w:rPr>
          <w:rFonts w:ascii="仿宋" w:hAnsi="仿宋" w:eastAsia="仿宋"/>
          <w:sz w:val="28"/>
        </w:rPr>
      </w:pPr>
      <w:r>
        <w:rPr>
          <w:rFonts w:hint="eastAsia" w:ascii="仿宋" w:hAnsi="仿宋" w:eastAsia="仿宋"/>
          <w:sz w:val="28"/>
        </w:rPr>
        <w:t>电       话：</w:t>
      </w:r>
    </w:p>
    <w:p>
      <w:pPr>
        <w:spacing w:line="360" w:lineRule="atLeast"/>
        <w:ind w:firstLine="560"/>
        <w:rPr>
          <w:rFonts w:ascii="仿宋" w:hAnsi="仿宋" w:eastAsia="仿宋"/>
          <w:sz w:val="28"/>
        </w:rPr>
      </w:pPr>
      <w:r>
        <w:rPr>
          <w:rFonts w:hint="eastAsia" w:ascii="仿宋" w:hAnsi="仿宋" w:eastAsia="仿宋"/>
          <w:sz w:val="28"/>
        </w:rPr>
        <w:t>传       真：</w:t>
      </w:r>
    </w:p>
    <w:p>
      <w:pPr>
        <w:spacing w:line="360" w:lineRule="atLeast"/>
        <w:ind w:firstLine="560"/>
        <w:rPr>
          <w:rFonts w:ascii="仿宋" w:hAnsi="仿宋" w:eastAsia="仿宋"/>
          <w:sz w:val="28"/>
        </w:rPr>
      </w:pPr>
      <w:r>
        <w:rPr>
          <w:rFonts w:hint="eastAsia" w:ascii="仿宋" w:hAnsi="仿宋" w:eastAsia="仿宋"/>
          <w:sz w:val="28"/>
        </w:rPr>
        <w:t>邮 政 编 码：</w:t>
      </w:r>
    </w:p>
    <w:p>
      <w:pPr>
        <w:spacing w:line="360" w:lineRule="atLeast"/>
        <w:ind w:firstLine="560"/>
        <w:rPr>
          <w:rFonts w:ascii="仿宋" w:hAnsi="仿宋" w:eastAsia="仿宋"/>
          <w:sz w:val="28"/>
        </w:rPr>
      </w:pPr>
      <w:r>
        <w:rPr>
          <w:rFonts w:hint="eastAsia" w:ascii="仿宋" w:hAnsi="仿宋" w:eastAsia="仿宋"/>
          <w:sz w:val="28"/>
        </w:rPr>
        <w:t>联  系  人：</w:t>
      </w:r>
    </w:p>
    <w:p>
      <w:pPr>
        <w:spacing w:line="360" w:lineRule="atLeast"/>
        <w:ind w:firstLine="560"/>
        <w:rPr>
          <w:rFonts w:ascii="仿宋" w:hAnsi="仿宋" w:eastAsia="仿宋"/>
          <w:sz w:val="28"/>
        </w:rPr>
      </w:pPr>
      <w:r>
        <w:rPr>
          <w:rFonts w:hint="eastAsia" w:ascii="仿宋" w:hAnsi="仿宋" w:eastAsia="仿宋"/>
          <w:sz w:val="28"/>
        </w:rPr>
        <w:t>投标单位：（公章）</w:t>
      </w:r>
    </w:p>
    <w:p>
      <w:pPr>
        <w:spacing w:line="360" w:lineRule="atLeast"/>
        <w:ind w:firstLine="560"/>
        <w:rPr>
          <w:rFonts w:ascii="仿宋" w:hAnsi="仿宋" w:eastAsia="仿宋"/>
          <w:sz w:val="28"/>
        </w:rPr>
      </w:pPr>
      <w:r>
        <w:rPr>
          <w:rFonts w:hint="eastAsia" w:ascii="仿宋" w:hAnsi="仿宋" w:eastAsia="仿宋"/>
          <w:sz w:val="28"/>
        </w:rPr>
        <w:t>授权代表签字：</w:t>
      </w:r>
    </w:p>
    <w:p>
      <w:pPr>
        <w:spacing w:line="360" w:lineRule="atLeast"/>
        <w:ind w:firstLine="560"/>
        <w:rPr>
          <w:rFonts w:ascii="仿宋" w:hAnsi="仿宋" w:eastAsia="仿宋"/>
          <w:sz w:val="28"/>
        </w:rPr>
      </w:pPr>
    </w:p>
    <w:p>
      <w:pPr>
        <w:spacing w:line="360" w:lineRule="atLeast"/>
        <w:ind w:firstLine="4877" w:firstLineChars="1742"/>
        <w:rPr>
          <w:rFonts w:ascii="仿宋" w:hAnsi="仿宋" w:eastAsia="仿宋"/>
          <w:sz w:val="28"/>
        </w:rPr>
      </w:pPr>
      <w:r>
        <w:rPr>
          <w:rFonts w:hint="eastAsia" w:ascii="仿宋" w:hAnsi="仿宋" w:eastAsia="仿宋"/>
          <w:sz w:val="28"/>
        </w:rPr>
        <w:t>年   月    日</w:t>
      </w:r>
    </w:p>
    <w:p>
      <w:pPr>
        <w:ind w:firstLine="562"/>
        <w:jc w:val="right"/>
        <w:rPr>
          <w:rFonts w:ascii="仿宋" w:hAnsi="仿宋" w:eastAsia="仿宋"/>
          <w:b/>
          <w:sz w:val="28"/>
        </w:rPr>
      </w:pPr>
      <w:r>
        <w:rPr>
          <w:rFonts w:hint="eastAsia" w:ascii="仿宋" w:hAnsi="仿宋" w:eastAsia="仿宋"/>
          <w:b/>
          <w:sz w:val="28"/>
        </w:rPr>
        <w:br w:type="page"/>
      </w:r>
      <w:r>
        <w:rPr>
          <w:rFonts w:hint="eastAsia" w:ascii="仿宋" w:hAnsi="仿宋" w:eastAsia="仿宋"/>
          <w:sz w:val="28"/>
        </w:rPr>
        <w:t>附件二</w:t>
      </w:r>
    </w:p>
    <w:p>
      <w:pPr>
        <w:shd w:val="clear"/>
        <w:wordWrap w:val="0"/>
        <w:spacing w:before="312" w:after="312"/>
        <w:jc w:val="center"/>
        <w:rPr>
          <w:rFonts w:ascii="仿宋" w:hAnsi="仿宋" w:eastAsia="仿宋" w:cs="仿宋"/>
          <w:b/>
          <w:bCs/>
          <w:sz w:val="36"/>
          <w:szCs w:val="36"/>
        </w:rPr>
      </w:pPr>
      <w:r>
        <w:rPr>
          <w:rFonts w:hint="eastAsia" w:ascii="仿宋" w:hAnsi="仿宋" w:eastAsia="仿宋" w:cs="仿宋"/>
          <w:b/>
          <w:bCs/>
          <w:sz w:val="36"/>
          <w:szCs w:val="36"/>
        </w:rPr>
        <w:t>法定代表人资格证明书</w:t>
      </w:r>
    </w:p>
    <w:p>
      <w:pPr>
        <w:shd w:val="clear" w:color="auto"/>
        <w:spacing w:line="440" w:lineRule="exact"/>
        <w:rPr>
          <w:rFonts w:ascii="仿宋" w:hAnsi="仿宋" w:eastAsia="仿宋"/>
          <w:sz w:val="24"/>
        </w:rPr>
      </w:pPr>
    </w:p>
    <w:p>
      <w:pPr>
        <w:pStyle w:val="226"/>
        <w:shd w:val="clear"/>
        <w:snapToGrid w:val="0"/>
        <w:spacing w:line="312" w:lineRule="auto"/>
        <w:rPr>
          <w:rFonts w:ascii="仿宋" w:hAnsi="仿宋" w:eastAsia="仿宋"/>
          <w:sz w:val="28"/>
          <w:szCs w:val="28"/>
        </w:rPr>
      </w:pPr>
      <w:r>
        <w:rPr>
          <w:rFonts w:hint="eastAsia" w:ascii="仿宋" w:hAnsi="仿宋" w:eastAsia="仿宋"/>
          <w:sz w:val="28"/>
          <w:szCs w:val="28"/>
          <w:u w:val="single"/>
        </w:rPr>
        <w:t>（代理机构名称）</w:t>
      </w:r>
      <w:r>
        <w:rPr>
          <w:rFonts w:hint="eastAsia" w:ascii="仿宋" w:hAnsi="仿宋" w:eastAsia="仿宋"/>
          <w:sz w:val="28"/>
          <w:szCs w:val="28"/>
        </w:rPr>
        <w:t>：</w:t>
      </w:r>
    </w:p>
    <w:p>
      <w:pPr>
        <w:pStyle w:val="226"/>
        <w:shd w:val="clea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兹有</w:t>
      </w:r>
      <w:r>
        <w:rPr>
          <w:rFonts w:ascii="仿宋" w:hAnsi="仿宋" w:eastAsia="仿宋"/>
          <w:sz w:val="28"/>
          <w:szCs w:val="28"/>
          <w:u w:val="single"/>
        </w:rPr>
        <w:t xml:space="preserve">          </w:t>
      </w:r>
      <w:r>
        <w:rPr>
          <w:rFonts w:hint="eastAsia" w:ascii="仿宋" w:hAnsi="仿宋" w:eastAsia="仿宋"/>
          <w:sz w:val="28"/>
          <w:szCs w:val="28"/>
        </w:rPr>
        <w:t>同志为</w:t>
      </w:r>
      <w:r>
        <w:rPr>
          <w:rFonts w:ascii="仿宋" w:hAnsi="仿宋" w:eastAsia="仿宋"/>
          <w:sz w:val="28"/>
          <w:szCs w:val="28"/>
          <w:u w:val="single"/>
        </w:rPr>
        <w:t xml:space="preserve">             </w:t>
      </w:r>
      <w:r>
        <w:rPr>
          <w:rFonts w:hint="eastAsia" w:ascii="仿宋" w:hAnsi="仿宋" w:eastAsia="仿宋"/>
          <w:sz w:val="28"/>
          <w:szCs w:val="28"/>
        </w:rPr>
        <w:t>公司法定代表人，代表我公司办理一切社会公务事宜，具有法律效力。</w:t>
      </w:r>
      <w:r>
        <w:rPr>
          <w:rFonts w:ascii="仿宋" w:hAnsi="仿宋" w:eastAsia="仿宋"/>
          <w:sz w:val="28"/>
          <w:szCs w:val="28"/>
        </w:rPr>
        <w:t xml:space="preserve"> </w:t>
      </w:r>
    </w:p>
    <w:p>
      <w:pPr>
        <w:pStyle w:val="226"/>
        <w:shd w:val="clea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附法定代表人基本情况：</w:t>
      </w:r>
      <w:r>
        <w:rPr>
          <w:rFonts w:ascii="仿宋" w:hAnsi="仿宋" w:eastAsia="仿宋"/>
          <w:sz w:val="28"/>
          <w:szCs w:val="28"/>
        </w:rPr>
        <w:t xml:space="preserve"> </w:t>
      </w:r>
    </w:p>
    <w:p>
      <w:pPr>
        <w:pStyle w:val="226"/>
        <w:shd w:val="clear"/>
        <w:snapToGrid w:val="0"/>
        <w:spacing w:line="312" w:lineRule="auto"/>
        <w:ind w:firstLine="560" w:firstLineChars="200"/>
        <w:rPr>
          <w:rFonts w:ascii="仿宋" w:hAnsi="仿宋" w:eastAsia="仿宋"/>
          <w:sz w:val="28"/>
          <w:szCs w:val="28"/>
          <w:u w:val="single"/>
        </w:rPr>
      </w:pPr>
      <w:r>
        <w:rPr>
          <w:rFonts w:hint="eastAsia" w:ascii="仿宋" w:hAnsi="仿宋" w:eastAsia="仿宋"/>
          <w:sz w:val="28"/>
          <w:szCs w:val="28"/>
        </w:rPr>
        <w:t>姓名：</w:t>
      </w:r>
      <w:r>
        <w:rPr>
          <w:rFonts w:ascii="仿宋" w:hAnsi="仿宋" w:eastAsia="仿宋"/>
          <w:sz w:val="28"/>
          <w:szCs w:val="28"/>
          <w:u w:val="single"/>
        </w:rPr>
        <w:t xml:space="preserve">          </w:t>
      </w:r>
      <w:r>
        <w:rPr>
          <w:rFonts w:hint="eastAsia" w:ascii="仿宋" w:hAnsi="仿宋" w:eastAsia="仿宋"/>
          <w:sz w:val="28"/>
          <w:szCs w:val="28"/>
        </w:rPr>
        <w:t>性别：</w:t>
      </w:r>
      <w:r>
        <w:rPr>
          <w:rFonts w:ascii="仿宋" w:hAnsi="仿宋" w:eastAsia="仿宋"/>
          <w:sz w:val="28"/>
          <w:szCs w:val="28"/>
          <w:u w:val="single"/>
        </w:rPr>
        <w:t xml:space="preserve">     </w:t>
      </w:r>
      <w:r>
        <w:rPr>
          <w:rFonts w:hint="eastAsia" w:ascii="仿宋" w:hAnsi="仿宋" w:eastAsia="仿宋"/>
          <w:sz w:val="28"/>
          <w:szCs w:val="28"/>
        </w:rPr>
        <w:t>年龄：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p>
    <w:p>
      <w:pPr>
        <w:pStyle w:val="226"/>
        <w:shd w:val="clea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身份证号码：</w:t>
      </w:r>
      <w:r>
        <w:rPr>
          <w:rFonts w:ascii="仿宋" w:hAnsi="仿宋" w:eastAsia="仿宋"/>
          <w:sz w:val="28"/>
          <w:szCs w:val="28"/>
          <w:u w:val="single"/>
        </w:rPr>
        <w:t xml:space="preserve">                     </w:t>
      </w:r>
    </w:p>
    <w:p>
      <w:pPr>
        <w:pStyle w:val="226"/>
        <w:shd w:val="clear"/>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通讯地址：</w:t>
      </w:r>
      <w:r>
        <w:rPr>
          <w:rFonts w:ascii="仿宋" w:hAnsi="仿宋" w:eastAsia="仿宋"/>
          <w:sz w:val="28"/>
          <w:szCs w:val="28"/>
          <w:u w:val="single"/>
        </w:rPr>
        <w:t xml:space="preserve">                       </w:t>
      </w:r>
    </w:p>
    <w:p>
      <w:pPr>
        <w:shd w:val="clear" w:color="auto"/>
        <w:snapToGrid w:val="0"/>
        <w:spacing w:line="312" w:lineRule="auto"/>
        <w:ind w:firstLine="560" w:firstLineChars="200"/>
        <w:rPr>
          <w:rFonts w:ascii="仿宋" w:hAnsi="仿宋" w:eastAsia="仿宋"/>
          <w:sz w:val="28"/>
          <w:szCs w:val="28"/>
          <w:u w:val="single"/>
        </w:rPr>
      </w:pPr>
      <w:r>
        <w:rPr>
          <w:rFonts w:hint="eastAsia" w:ascii="仿宋" w:hAnsi="仿宋" w:eastAsia="仿宋"/>
          <w:sz w:val="28"/>
          <w:szCs w:val="28"/>
        </w:rPr>
        <w:t>电话号码：</w:t>
      </w:r>
      <w:r>
        <w:rPr>
          <w:rFonts w:ascii="仿宋" w:hAnsi="仿宋" w:eastAsia="仿宋"/>
          <w:sz w:val="28"/>
          <w:szCs w:val="28"/>
          <w:u w:val="single"/>
        </w:rPr>
        <w:t xml:space="preserve">                   </w:t>
      </w:r>
    </w:p>
    <w:p>
      <w:pPr>
        <w:pStyle w:val="226"/>
        <w:shd w:val="clear" w:color="auto"/>
        <w:snapToGrid w:val="0"/>
        <w:spacing w:line="312" w:lineRule="auto"/>
        <w:ind w:firstLine="560" w:firstLineChars="200"/>
        <w:rPr>
          <w:rFonts w:ascii="仿宋" w:hAnsi="仿宋" w:eastAsia="仿宋"/>
          <w:sz w:val="28"/>
          <w:szCs w:val="28"/>
        </w:rPr>
      </w:pPr>
    </w:p>
    <w:tbl>
      <w:tblPr>
        <w:tblStyle w:val="43"/>
        <w:tblW w:w="9514" w:type="dxa"/>
        <w:jc w:val="center"/>
        <w:tblLayout w:type="autofit"/>
        <w:tblCellMar>
          <w:top w:w="0" w:type="dxa"/>
          <w:left w:w="108" w:type="dxa"/>
          <w:bottom w:w="0" w:type="dxa"/>
          <w:right w:w="108" w:type="dxa"/>
        </w:tblCellMar>
      </w:tblPr>
      <w:tblGrid>
        <w:gridCol w:w="4616"/>
        <w:gridCol w:w="281"/>
        <w:gridCol w:w="4617"/>
      </w:tblGrid>
      <w:tr>
        <w:tblPrEx>
          <w:tblCellMar>
            <w:top w:w="0" w:type="dxa"/>
            <w:left w:w="108" w:type="dxa"/>
            <w:bottom w:w="0" w:type="dxa"/>
            <w:right w:w="108" w:type="dxa"/>
          </w:tblCellMar>
        </w:tblPrEx>
        <w:trPr>
          <w:trHeight w:val="3062" w:hRule="atLeast"/>
          <w:jc w:val="center"/>
        </w:trPr>
        <w:tc>
          <w:tcPr>
            <w:tcW w:w="461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sz w:val="28"/>
                <w:szCs w:val="28"/>
              </w:rPr>
            </w:pPr>
            <w:r>
              <w:rPr>
                <w:rFonts w:hint="eastAsia" w:ascii="仿宋" w:hAnsi="仿宋" w:eastAsia="仿宋"/>
                <w:sz w:val="28"/>
                <w:szCs w:val="28"/>
              </w:rPr>
              <w:t>法定代表人身份证原件扫描件</w:t>
            </w:r>
          </w:p>
          <w:p>
            <w:pPr>
              <w:shd w:val="clear"/>
              <w:jc w:val="center"/>
              <w:rPr>
                <w:rFonts w:ascii="仿宋" w:hAnsi="仿宋" w:eastAsia="仿宋"/>
                <w:sz w:val="28"/>
                <w:szCs w:val="28"/>
              </w:rPr>
            </w:pPr>
            <w:r>
              <w:rPr>
                <w:rFonts w:hint="eastAsia" w:ascii="仿宋" w:hAnsi="仿宋" w:eastAsia="仿宋"/>
                <w:sz w:val="28"/>
                <w:szCs w:val="28"/>
              </w:rPr>
              <w:t>（人像面）</w:t>
            </w:r>
          </w:p>
        </w:tc>
        <w:tc>
          <w:tcPr>
            <w:tcW w:w="281" w:type="dxa"/>
            <w:tcBorders>
              <w:left w:val="single" w:color="auto" w:sz="4" w:space="0"/>
              <w:right w:val="single" w:color="auto" w:sz="4" w:space="0"/>
            </w:tcBorders>
            <w:vAlign w:val="center"/>
          </w:tcPr>
          <w:p>
            <w:pPr>
              <w:pStyle w:val="2"/>
              <w:shd w:val="clear"/>
              <w:ind w:firstLine="0" w:firstLineChars="0"/>
              <w:jc w:val="center"/>
              <w:rPr>
                <w:rFonts w:ascii="仿宋" w:hAnsi="仿宋" w:eastAsia="仿宋"/>
                <w:sz w:val="28"/>
                <w:szCs w:val="28"/>
              </w:rPr>
            </w:pPr>
          </w:p>
        </w:tc>
        <w:tc>
          <w:tcPr>
            <w:tcW w:w="46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sz w:val="28"/>
                <w:szCs w:val="28"/>
              </w:rPr>
            </w:pPr>
            <w:r>
              <w:rPr>
                <w:rFonts w:hint="eastAsia" w:ascii="仿宋" w:hAnsi="仿宋" w:eastAsia="仿宋"/>
                <w:sz w:val="28"/>
                <w:szCs w:val="28"/>
              </w:rPr>
              <w:t>法定代表人身份证原件扫描件</w:t>
            </w:r>
          </w:p>
          <w:p>
            <w:pPr>
              <w:shd w:val="clear"/>
              <w:jc w:val="center"/>
              <w:rPr>
                <w:rFonts w:ascii="仿宋" w:hAnsi="仿宋" w:eastAsia="仿宋"/>
                <w:sz w:val="28"/>
                <w:szCs w:val="28"/>
              </w:rPr>
            </w:pPr>
            <w:r>
              <w:rPr>
                <w:rFonts w:hint="eastAsia" w:ascii="仿宋" w:hAnsi="仿宋" w:eastAsia="仿宋"/>
                <w:sz w:val="28"/>
                <w:szCs w:val="28"/>
              </w:rPr>
              <w:t>（国徽面）</w:t>
            </w:r>
          </w:p>
        </w:tc>
      </w:tr>
    </w:tbl>
    <w:p>
      <w:pPr>
        <w:pStyle w:val="226"/>
        <w:shd w:val="clear" w:color="auto"/>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特此证明。</w:t>
      </w:r>
    </w:p>
    <w:p>
      <w:pPr>
        <w:pStyle w:val="226"/>
        <w:shd w:val="clear" w:color="auto"/>
        <w:snapToGrid w:val="0"/>
        <w:spacing w:line="312" w:lineRule="auto"/>
        <w:ind w:firstLine="560" w:firstLineChars="200"/>
        <w:rPr>
          <w:rFonts w:ascii="仿宋" w:hAnsi="仿宋" w:eastAsia="仿宋"/>
          <w:sz w:val="28"/>
          <w:szCs w:val="28"/>
        </w:rPr>
      </w:pPr>
    </w:p>
    <w:p>
      <w:pPr>
        <w:pStyle w:val="226"/>
        <w:shd w:val="clear" w:color="auto"/>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供应商（盖公章）：</w:t>
      </w:r>
    </w:p>
    <w:p>
      <w:pPr>
        <w:pStyle w:val="226"/>
        <w:shd w:val="clear" w:color="auto"/>
        <w:snapToGrid w:val="0"/>
        <w:spacing w:line="312" w:lineRule="auto"/>
        <w:ind w:firstLine="560" w:firstLineChars="200"/>
        <w:rPr>
          <w:rFonts w:ascii="仿宋" w:hAnsi="仿宋" w:eastAsia="仿宋"/>
          <w:sz w:val="28"/>
          <w:szCs w:val="28"/>
        </w:rPr>
      </w:pPr>
      <w:r>
        <w:rPr>
          <w:rFonts w:hint="eastAsia" w:ascii="仿宋" w:hAnsi="仿宋" w:eastAsia="仿宋"/>
          <w:sz w:val="28"/>
          <w:szCs w:val="28"/>
        </w:rPr>
        <w:t>法定代表人（签字或签章）：</w:t>
      </w:r>
    </w:p>
    <w:p>
      <w:pPr>
        <w:pStyle w:val="226"/>
        <w:shd w:val="clear" w:color="auto"/>
        <w:snapToGrid w:val="0"/>
        <w:spacing w:line="312" w:lineRule="auto"/>
        <w:ind w:firstLine="560" w:firstLineChars="200"/>
        <w:rPr>
          <w:rFonts w:ascii="仿宋" w:hAnsi="仿宋" w:eastAsia="仿宋"/>
          <w:bCs/>
          <w:sz w:val="24"/>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b/>
          <w:bCs/>
          <w:sz w:val="18"/>
          <w:szCs w:val="18"/>
        </w:rPr>
        <w:br w:type="page"/>
      </w:r>
    </w:p>
    <w:p>
      <w:pPr>
        <w:shd w:val="clear"/>
        <w:wordWrap w:val="0"/>
        <w:jc w:val="center"/>
        <w:rPr>
          <w:rFonts w:ascii="仿宋" w:hAnsi="仿宋" w:eastAsia="仿宋" w:cs="仿宋"/>
          <w:b/>
          <w:bCs/>
          <w:sz w:val="36"/>
          <w:szCs w:val="36"/>
        </w:rPr>
      </w:pPr>
    </w:p>
    <w:p>
      <w:pPr>
        <w:shd w:val="clear"/>
        <w:wordWrap w:val="0"/>
        <w:jc w:val="center"/>
        <w:rPr>
          <w:rFonts w:ascii="仿宋" w:hAnsi="仿宋" w:eastAsia="仿宋" w:cs="仿宋"/>
          <w:b/>
          <w:bCs/>
          <w:sz w:val="36"/>
          <w:szCs w:val="36"/>
        </w:rPr>
      </w:pPr>
      <w:r>
        <w:rPr>
          <w:rFonts w:hint="eastAsia" w:ascii="仿宋" w:hAnsi="仿宋" w:eastAsia="仿宋" w:cs="仿宋"/>
          <w:b/>
          <w:bCs/>
          <w:sz w:val="36"/>
          <w:szCs w:val="36"/>
        </w:rPr>
        <w:t>法定代表人授权委托书</w:t>
      </w:r>
    </w:p>
    <w:p>
      <w:pPr>
        <w:shd w:val="clear" w:color="auto"/>
        <w:spacing w:line="440" w:lineRule="exact"/>
        <w:jc w:val="center"/>
        <w:rPr>
          <w:rFonts w:ascii="仿宋" w:hAnsi="仿宋" w:eastAsia="仿宋"/>
          <w:b/>
          <w:bCs/>
          <w:sz w:val="24"/>
        </w:rPr>
      </w:pPr>
    </w:p>
    <w:p>
      <w:pPr>
        <w:shd w:val="clear" w:color="auto"/>
        <w:snapToGrid w:val="0"/>
        <w:spacing w:line="312" w:lineRule="auto"/>
        <w:ind w:firstLine="529" w:firstLineChars="189"/>
        <w:rPr>
          <w:rFonts w:ascii="仿宋" w:hAnsi="仿宋" w:eastAsia="仿宋"/>
          <w:bCs/>
          <w:sz w:val="28"/>
          <w:szCs w:val="28"/>
          <w:u w:val="single"/>
        </w:rPr>
      </w:pPr>
      <w:r>
        <w:rPr>
          <w:rFonts w:hint="eastAsia" w:ascii="仿宋" w:hAnsi="仿宋" w:eastAsia="仿宋"/>
          <w:bCs/>
          <w:sz w:val="28"/>
          <w:szCs w:val="28"/>
        </w:rPr>
        <w:t>本授权委托书声明：我系</w:t>
      </w:r>
      <w:r>
        <w:rPr>
          <w:rFonts w:ascii="仿宋" w:hAnsi="仿宋" w:eastAsia="仿宋"/>
          <w:bCs/>
          <w:sz w:val="28"/>
          <w:szCs w:val="28"/>
          <w:u w:val="single"/>
        </w:rPr>
        <w:t xml:space="preserve">  （供应商名称）  </w:t>
      </w:r>
      <w:r>
        <w:rPr>
          <w:rFonts w:hint="eastAsia" w:ascii="仿宋" w:hAnsi="仿宋" w:eastAsia="仿宋"/>
          <w:bCs/>
          <w:sz w:val="28"/>
          <w:szCs w:val="28"/>
        </w:rPr>
        <w:t>的法定代表人，现授权委托</w:t>
      </w:r>
      <w:r>
        <w:rPr>
          <w:rFonts w:ascii="仿宋" w:hAnsi="仿宋" w:eastAsia="仿宋"/>
          <w:bCs/>
          <w:sz w:val="28"/>
          <w:szCs w:val="28"/>
          <w:u w:val="single"/>
        </w:rPr>
        <w:t xml:space="preserve">   （供应商名称） </w:t>
      </w:r>
      <w:r>
        <w:rPr>
          <w:rFonts w:hint="eastAsia" w:ascii="仿宋" w:hAnsi="仿宋" w:eastAsia="仿宋"/>
          <w:bCs/>
          <w:sz w:val="28"/>
          <w:szCs w:val="28"/>
        </w:rPr>
        <w:t>的</w:t>
      </w:r>
      <w:r>
        <w:rPr>
          <w:rFonts w:ascii="仿宋" w:hAnsi="仿宋" w:eastAsia="仿宋"/>
          <w:bCs/>
          <w:sz w:val="28"/>
          <w:szCs w:val="28"/>
          <w:u w:val="single"/>
        </w:rPr>
        <w:t xml:space="preserve"> （授权代表姓名） </w:t>
      </w:r>
      <w:r>
        <w:rPr>
          <w:rFonts w:ascii="仿宋" w:hAnsi="仿宋" w:eastAsia="仿宋"/>
          <w:bCs/>
          <w:sz w:val="28"/>
          <w:szCs w:val="28"/>
        </w:rPr>
        <w:t xml:space="preserve"> 为我的代理人，以</w:t>
      </w:r>
      <w:r>
        <w:rPr>
          <w:rFonts w:hint="eastAsia" w:ascii="仿宋" w:hAnsi="仿宋" w:eastAsia="仿宋"/>
          <w:bCs/>
          <w:sz w:val="28"/>
          <w:szCs w:val="28"/>
          <w:u w:val="single"/>
        </w:rPr>
        <w:t>（供应商名称）</w:t>
      </w:r>
      <w:r>
        <w:rPr>
          <w:rFonts w:hint="eastAsia" w:ascii="仿宋" w:hAnsi="仿宋" w:eastAsia="仿宋"/>
          <w:bCs/>
          <w:sz w:val="28"/>
          <w:szCs w:val="28"/>
        </w:rPr>
        <w:t>的名义参加</w:t>
      </w:r>
      <w:r>
        <w:rPr>
          <w:rFonts w:hint="eastAsia" w:ascii="仿宋" w:hAnsi="仿宋" w:eastAsia="仿宋"/>
          <w:bCs/>
          <w:sz w:val="28"/>
          <w:szCs w:val="28"/>
          <w:u w:val="single"/>
        </w:rPr>
        <w:t>（项目名称和项目编号）</w:t>
      </w:r>
      <w:r>
        <w:rPr>
          <w:rFonts w:hint="eastAsia" w:ascii="仿宋" w:hAnsi="仿宋" w:eastAsia="仿宋"/>
          <w:bCs/>
          <w:sz w:val="28"/>
          <w:szCs w:val="28"/>
        </w:rPr>
        <w:t>招标项目的投标活动。代理人在参加整个招标投标活动所签署的一切文件和处理与之相关的一切事物，我均予承认。</w:t>
      </w:r>
    </w:p>
    <w:p>
      <w:pPr>
        <w:shd w:val="clear" w:color="auto"/>
        <w:snapToGrid w:val="0"/>
        <w:spacing w:line="312" w:lineRule="auto"/>
        <w:ind w:firstLine="560" w:firstLineChars="200"/>
        <w:rPr>
          <w:rFonts w:ascii="仿宋" w:hAnsi="仿宋" w:eastAsia="仿宋"/>
          <w:bCs/>
          <w:sz w:val="28"/>
          <w:szCs w:val="28"/>
          <w:u w:val="single"/>
        </w:rPr>
      </w:pPr>
      <w:r>
        <w:rPr>
          <w:rFonts w:hint="eastAsia" w:ascii="仿宋" w:hAnsi="仿宋" w:eastAsia="仿宋"/>
          <w:bCs/>
          <w:sz w:val="28"/>
          <w:szCs w:val="28"/>
        </w:rPr>
        <w:t>代理人：</w:t>
      </w:r>
      <w:r>
        <w:rPr>
          <w:rFonts w:ascii="仿宋" w:hAnsi="仿宋" w:eastAsia="仿宋"/>
          <w:bCs/>
          <w:sz w:val="28"/>
          <w:szCs w:val="28"/>
        </w:rPr>
        <w:t xml:space="preserve">        性别：           年龄：</w:t>
      </w:r>
    </w:p>
    <w:p>
      <w:pPr>
        <w:shd w:val="clear" w:color="auto"/>
        <w:snapToGrid w:val="0"/>
        <w:spacing w:line="312" w:lineRule="auto"/>
        <w:ind w:firstLine="560" w:firstLineChars="200"/>
        <w:rPr>
          <w:rFonts w:ascii="仿宋" w:hAnsi="仿宋" w:eastAsia="仿宋"/>
          <w:bCs/>
          <w:sz w:val="28"/>
          <w:szCs w:val="28"/>
        </w:rPr>
      </w:pPr>
      <w:r>
        <w:rPr>
          <w:rFonts w:hint="eastAsia" w:ascii="仿宋" w:hAnsi="仿宋" w:eastAsia="仿宋"/>
          <w:bCs/>
          <w:sz w:val="28"/>
          <w:szCs w:val="28"/>
        </w:rPr>
        <w:t>部</w:t>
      </w:r>
      <w:r>
        <w:rPr>
          <w:rFonts w:ascii="仿宋" w:hAnsi="仿宋" w:eastAsia="仿宋"/>
          <w:bCs/>
          <w:sz w:val="28"/>
          <w:szCs w:val="28"/>
        </w:rPr>
        <w:t xml:space="preserve">  </w:t>
      </w:r>
      <w:r>
        <w:rPr>
          <w:rFonts w:hint="eastAsia" w:ascii="仿宋" w:hAnsi="仿宋" w:eastAsia="仿宋"/>
          <w:bCs/>
          <w:sz w:val="28"/>
          <w:szCs w:val="28"/>
        </w:rPr>
        <w:t>门：</w:t>
      </w:r>
      <w:r>
        <w:rPr>
          <w:rFonts w:ascii="仿宋" w:hAnsi="仿宋" w:eastAsia="仿宋"/>
          <w:bCs/>
          <w:sz w:val="28"/>
          <w:szCs w:val="28"/>
        </w:rPr>
        <w:t xml:space="preserve">        职务：</w:t>
      </w:r>
    </w:p>
    <w:p>
      <w:pPr>
        <w:shd w:val="clear" w:color="auto"/>
        <w:snapToGrid w:val="0"/>
        <w:spacing w:line="312" w:lineRule="auto"/>
        <w:ind w:firstLine="560" w:firstLineChars="200"/>
        <w:rPr>
          <w:rFonts w:ascii="仿宋" w:hAnsi="仿宋" w:eastAsia="仿宋"/>
          <w:bCs/>
          <w:sz w:val="28"/>
          <w:szCs w:val="28"/>
        </w:rPr>
      </w:pPr>
      <w:r>
        <w:rPr>
          <w:rFonts w:hint="eastAsia" w:ascii="仿宋" w:hAnsi="仿宋" w:eastAsia="仿宋"/>
          <w:bCs/>
          <w:sz w:val="28"/>
          <w:szCs w:val="28"/>
        </w:rPr>
        <w:t>代理期限：</w:t>
      </w:r>
    </w:p>
    <w:tbl>
      <w:tblPr>
        <w:tblStyle w:val="43"/>
        <w:tblW w:w="9514" w:type="dxa"/>
        <w:jc w:val="center"/>
        <w:tblLayout w:type="autofit"/>
        <w:tblCellMar>
          <w:top w:w="0" w:type="dxa"/>
          <w:left w:w="108" w:type="dxa"/>
          <w:bottom w:w="0" w:type="dxa"/>
          <w:right w:w="108" w:type="dxa"/>
        </w:tblCellMar>
      </w:tblPr>
      <w:tblGrid>
        <w:gridCol w:w="4616"/>
        <w:gridCol w:w="281"/>
        <w:gridCol w:w="4617"/>
      </w:tblGrid>
      <w:tr>
        <w:tblPrEx>
          <w:tblCellMar>
            <w:top w:w="0" w:type="dxa"/>
            <w:left w:w="108" w:type="dxa"/>
            <w:bottom w:w="0" w:type="dxa"/>
            <w:right w:w="108" w:type="dxa"/>
          </w:tblCellMar>
        </w:tblPrEx>
        <w:trPr>
          <w:trHeight w:val="3062" w:hRule="atLeast"/>
          <w:jc w:val="center"/>
        </w:trPr>
        <w:tc>
          <w:tcPr>
            <w:tcW w:w="461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sz w:val="28"/>
                <w:szCs w:val="28"/>
              </w:rPr>
            </w:pPr>
            <w:r>
              <w:rPr>
                <w:rFonts w:hint="eastAsia" w:ascii="仿宋" w:hAnsi="仿宋" w:eastAsia="仿宋"/>
                <w:sz w:val="28"/>
                <w:szCs w:val="28"/>
              </w:rPr>
              <w:t>代理人身份证原件扫描件</w:t>
            </w:r>
          </w:p>
          <w:p>
            <w:pPr>
              <w:shd w:val="clear"/>
              <w:jc w:val="center"/>
              <w:rPr>
                <w:rFonts w:ascii="仿宋" w:hAnsi="仿宋" w:eastAsia="仿宋"/>
                <w:sz w:val="28"/>
                <w:szCs w:val="28"/>
              </w:rPr>
            </w:pPr>
            <w:r>
              <w:rPr>
                <w:rFonts w:hint="eastAsia" w:ascii="仿宋" w:hAnsi="仿宋" w:eastAsia="仿宋"/>
                <w:sz w:val="28"/>
                <w:szCs w:val="28"/>
              </w:rPr>
              <w:t>（人像面）</w:t>
            </w:r>
          </w:p>
        </w:tc>
        <w:tc>
          <w:tcPr>
            <w:tcW w:w="281" w:type="dxa"/>
            <w:tcBorders>
              <w:left w:val="single" w:color="auto" w:sz="4" w:space="0"/>
              <w:right w:val="single" w:color="auto" w:sz="4" w:space="0"/>
            </w:tcBorders>
            <w:vAlign w:val="center"/>
          </w:tcPr>
          <w:p>
            <w:pPr>
              <w:pStyle w:val="2"/>
              <w:shd w:val="clear"/>
              <w:ind w:firstLine="0" w:firstLineChars="0"/>
              <w:jc w:val="center"/>
              <w:rPr>
                <w:rFonts w:ascii="仿宋" w:hAnsi="仿宋" w:eastAsia="仿宋"/>
                <w:sz w:val="28"/>
                <w:szCs w:val="28"/>
              </w:rPr>
            </w:pPr>
          </w:p>
        </w:tc>
        <w:tc>
          <w:tcPr>
            <w:tcW w:w="46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 w:hAnsi="仿宋" w:eastAsia="仿宋"/>
                <w:sz w:val="28"/>
                <w:szCs w:val="28"/>
              </w:rPr>
            </w:pPr>
            <w:r>
              <w:rPr>
                <w:rFonts w:hint="eastAsia" w:ascii="仿宋" w:hAnsi="仿宋" w:eastAsia="仿宋"/>
                <w:sz w:val="28"/>
                <w:szCs w:val="28"/>
              </w:rPr>
              <w:t>代理人身份证原件扫描件</w:t>
            </w:r>
          </w:p>
          <w:p>
            <w:pPr>
              <w:shd w:val="clear"/>
              <w:jc w:val="center"/>
              <w:rPr>
                <w:rFonts w:ascii="仿宋" w:hAnsi="仿宋" w:eastAsia="仿宋"/>
                <w:sz w:val="28"/>
                <w:szCs w:val="28"/>
              </w:rPr>
            </w:pPr>
            <w:r>
              <w:rPr>
                <w:rFonts w:hint="eastAsia" w:ascii="仿宋" w:hAnsi="仿宋" w:eastAsia="仿宋"/>
                <w:sz w:val="28"/>
                <w:szCs w:val="28"/>
              </w:rPr>
              <w:t>（国徽面）</w:t>
            </w:r>
          </w:p>
        </w:tc>
      </w:tr>
    </w:tbl>
    <w:p>
      <w:pPr>
        <w:pStyle w:val="139"/>
        <w:shd w:val="clear" w:color="auto"/>
        <w:autoSpaceDE/>
        <w:autoSpaceDN/>
        <w:adjustRightInd/>
        <w:snapToGrid w:val="0"/>
        <w:spacing w:line="312" w:lineRule="auto"/>
        <w:ind w:firstLine="210"/>
        <w:jc w:val="both"/>
        <w:rPr>
          <w:rFonts w:ascii="仿宋" w:hAnsi="仿宋" w:eastAsia="仿宋"/>
          <w:color w:val="auto"/>
          <w:sz w:val="21"/>
          <w:szCs w:val="21"/>
        </w:rPr>
      </w:pPr>
    </w:p>
    <w:p>
      <w:pPr>
        <w:shd w:val="clear" w:color="auto"/>
        <w:snapToGrid w:val="0"/>
        <w:spacing w:line="312" w:lineRule="auto"/>
        <w:ind w:firstLine="560" w:firstLineChars="200"/>
        <w:rPr>
          <w:rFonts w:ascii="仿宋" w:hAnsi="仿宋" w:eastAsia="仿宋"/>
          <w:bCs/>
          <w:sz w:val="28"/>
          <w:szCs w:val="28"/>
        </w:rPr>
      </w:pPr>
      <w:r>
        <w:rPr>
          <w:rFonts w:hint="eastAsia" w:ascii="仿宋" w:hAnsi="仿宋" w:eastAsia="仿宋"/>
          <w:bCs/>
          <w:sz w:val="28"/>
          <w:szCs w:val="28"/>
        </w:rPr>
        <w:t>供应商（盖公章）：</w:t>
      </w:r>
    </w:p>
    <w:p>
      <w:pPr>
        <w:shd w:val="clear" w:color="auto"/>
        <w:snapToGrid w:val="0"/>
        <w:spacing w:line="312" w:lineRule="auto"/>
        <w:ind w:firstLine="560" w:firstLineChars="200"/>
        <w:rPr>
          <w:rFonts w:ascii="仿宋" w:hAnsi="仿宋" w:eastAsia="仿宋"/>
          <w:bCs/>
          <w:sz w:val="28"/>
          <w:szCs w:val="28"/>
        </w:rPr>
      </w:pPr>
      <w:r>
        <w:rPr>
          <w:rFonts w:hint="eastAsia" w:ascii="仿宋" w:hAnsi="仿宋" w:eastAsia="仿宋"/>
          <w:bCs/>
          <w:sz w:val="28"/>
          <w:szCs w:val="28"/>
        </w:rPr>
        <w:t>法定代表人（签字或签章）：</w:t>
      </w:r>
    </w:p>
    <w:p>
      <w:pPr>
        <w:shd w:val="clear" w:color="auto"/>
        <w:snapToGrid w:val="0"/>
        <w:spacing w:line="312" w:lineRule="auto"/>
        <w:ind w:firstLine="560" w:firstLineChars="200"/>
        <w:rPr>
          <w:rFonts w:ascii="仿宋" w:hAnsi="仿宋" w:eastAsia="仿宋"/>
          <w:bCs/>
          <w:sz w:val="28"/>
          <w:szCs w:val="28"/>
        </w:rPr>
      </w:pPr>
      <w:r>
        <w:rPr>
          <w:rFonts w:hint="eastAsia" w:ascii="仿宋" w:hAnsi="仿宋" w:eastAsia="仿宋"/>
          <w:bCs/>
          <w:sz w:val="28"/>
          <w:szCs w:val="28"/>
        </w:rPr>
        <w:t>授权代理人（签字或签章）：</w:t>
      </w:r>
    </w:p>
    <w:p>
      <w:pPr>
        <w:shd w:val="clear" w:color="auto"/>
        <w:snapToGrid w:val="0"/>
        <w:spacing w:line="312" w:lineRule="auto"/>
        <w:ind w:firstLine="560" w:firstLineChars="200"/>
        <w:rPr>
          <w:rFonts w:ascii="仿宋" w:hAnsi="仿宋" w:eastAsia="仿宋"/>
        </w:rPr>
      </w:pPr>
      <w:r>
        <w:rPr>
          <w:rFonts w:hint="eastAsia" w:ascii="仿宋" w:hAnsi="仿宋" w:eastAsia="仿宋"/>
          <w:bCs/>
          <w:sz w:val="28"/>
          <w:szCs w:val="28"/>
        </w:rPr>
        <w:t>日期：</w:t>
      </w:r>
      <w:r>
        <w:rPr>
          <w:rFonts w:ascii="仿宋" w:hAnsi="仿宋" w:eastAsia="仿宋"/>
          <w:bCs/>
          <w:sz w:val="28"/>
          <w:szCs w:val="28"/>
        </w:rPr>
        <w:t xml:space="preserve">  </w:t>
      </w: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w:t>
      </w:r>
      <w:r>
        <w:rPr>
          <w:rFonts w:ascii="仿宋" w:hAnsi="仿宋" w:eastAsia="仿宋"/>
          <w:bCs/>
          <w:sz w:val="28"/>
          <w:szCs w:val="28"/>
        </w:rPr>
        <w:t xml:space="preserve">  </w:t>
      </w:r>
      <w:r>
        <w:rPr>
          <w:rFonts w:hint="eastAsia" w:ascii="仿宋" w:hAnsi="仿宋" w:eastAsia="仿宋"/>
          <w:bCs/>
          <w:sz w:val="28"/>
          <w:szCs w:val="28"/>
        </w:rPr>
        <w:t>日</w:t>
      </w:r>
    </w:p>
    <w:p>
      <w:pPr>
        <w:wordWrap w:val="0"/>
        <w:snapToGrid w:val="0"/>
        <w:spacing w:line="460" w:lineRule="exact"/>
        <w:ind w:firstLine="560" w:firstLineChars="200"/>
        <w:rPr>
          <w:rFonts w:ascii="仿宋" w:hAnsi="仿宋" w:eastAsia="仿宋" w:cs="仿宋"/>
          <w:b/>
          <w:bCs/>
          <w:sz w:val="28"/>
          <w:szCs w:val="28"/>
        </w:rPr>
      </w:pPr>
    </w:p>
    <w:p>
      <w:pPr>
        <w:wordWrap w:val="0"/>
        <w:snapToGrid w:val="0"/>
        <w:spacing w:line="460" w:lineRule="exact"/>
        <w:ind w:firstLine="560" w:firstLineChars="200"/>
        <w:rPr>
          <w:rFonts w:ascii="仿宋" w:hAnsi="仿宋" w:eastAsia="仿宋" w:cs="仿宋"/>
          <w:b/>
          <w:bCs/>
          <w:sz w:val="28"/>
          <w:szCs w:val="28"/>
        </w:rPr>
      </w:pPr>
    </w:p>
    <w:p>
      <w:pPr>
        <w:wordWrap w:val="0"/>
        <w:snapToGrid w:val="0"/>
        <w:spacing w:line="46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备注：法人授权书应由</w:t>
      </w:r>
      <w:r>
        <w:rPr>
          <w:rFonts w:hint="eastAsia" w:ascii="仿宋" w:hAnsi="仿宋" w:eastAsia="仿宋" w:cs="仿宋"/>
          <w:b/>
          <w:bCs/>
          <w:sz w:val="28"/>
          <w:szCs w:val="28"/>
          <w:em w:val="dot"/>
        </w:rPr>
        <w:t>法人签名</w:t>
      </w:r>
      <w:r>
        <w:rPr>
          <w:rFonts w:hint="eastAsia" w:ascii="仿宋" w:hAnsi="仿宋" w:eastAsia="仿宋" w:cs="仿宋"/>
          <w:b/>
          <w:bCs/>
          <w:sz w:val="28"/>
          <w:szCs w:val="28"/>
        </w:rPr>
        <w:t>并加盖公章，</w:t>
      </w:r>
      <w:r>
        <w:rPr>
          <w:rFonts w:hint="eastAsia" w:ascii="仿宋" w:hAnsi="仿宋" w:eastAsia="仿宋" w:cs="仿宋"/>
          <w:b/>
          <w:bCs/>
          <w:sz w:val="28"/>
          <w:szCs w:val="28"/>
          <w:em w:val="dot"/>
        </w:rPr>
        <w:t>私章无效</w:t>
      </w:r>
      <w:r>
        <w:rPr>
          <w:rFonts w:hint="eastAsia" w:ascii="仿宋" w:hAnsi="仿宋" w:eastAsia="仿宋" w:cs="仿宋"/>
          <w:b/>
          <w:bCs/>
          <w:sz w:val="28"/>
          <w:szCs w:val="28"/>
        </w:rPr>
        <w:t>。</w:t>
      </w:r>
    </w:p>
    <w:p>
      <w:pPr>
        <w:pStyle w:val="2"/>
        <w:wordWrap w:val="0"/>
        <w:snapToGrid w:val="0"/>
        <w:spacing w:line="460" w:lineRule="exact"/>
        <w:ind w:firstLine="560" w:firstLineChars="200"/>
        <w:rPr>
          <w:rFonts w:ascii="仿宋" w:hAnsi="仿宋" w:eastAsia="仿宋"/>
          <w:b/>
          <w:bCs/>
          <w:sz w:val="28"/>
          <w:szCs w:val="28"/>
        </w:rPr>
      </w:pPr>
    </w:p>
    <w:p>
      <w:pPr>
        <w:ind w:firstLine="562"/>
        <w:jc w:val="right"/>
        <w:rPr>
          <w:rFonts w:ascii="仿宋" w:hAnsi="仿宋" w:eastAsia="仿宋"/>
          <w:sz w:val="28"/>
        </w:rPr>
      </w:pPr>
      <w:r>
        <w:rPr>
          <w:rFonts w:hint="eastAsia" w:ascii="仿宋" w:hAnsi="仿宋" w:eastAsia="仿宋"/>
          <w:sz w:val="28"/>
        </w:rPr>
        <w:br w:type="page"/>
      </w:r>
      <w:r>
        <w:rPr>
          <w:rFonts w:hint="eastAsia" w:ascii="仿宋" w:hAnsi="仿宋" w:eastAsia="仿宋"/>
          <w:sz w:val="28"/>
        </w:rPr>
        <w:t>附件三</w:t>
      </w:r>
    </w:p>
    <w:p>
      <w:pPr>
        <w:rPr>
          <w:rFonts w:ascii="仿宋" w:hAnsi="仿宋" w:eastAsia="仿宋"/>
        </w:rPr>
      </w:pPr>
    </w:p>
    <w:p>
      <w:pPr>
        <w:jc w:val="center"/>
        <w:rPr>
          <w:rFonts w:ascii="仿宋" w:hAnsi="仿宋" w:eastAsia="仿宋"/>
        </w:rPr>
      </w:pPr>
    </w:p>
    <w:p>
      <w:pPr>
        <w:jc w:val="center"/>
        <w:rPr>
          <w:rFonts w:ascii="仿宋" w:hAnsi="仿宋" w:eastAsia="仿宋"/>
          <w:b/>
          <w:sz w:val="36"/>
        </w:rPr>
      </w:pPr>
      <w:r>
        <w:rPr>
          <w:rFonts w:hint="eastAsia" w:ascii="仿宋" w:hAnsi="仿宋" w:eastAsia="仿宋"/>
          <w:b/>
          <w:sz w:val="36"/>
        </w:rPr>
        <w:t>关于投标文件的声明函</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rPr>
          <w:rFonts w:ascii="仿宋" w:hAnsi="仿宋" w:eastAsia="仿宋"/>
          <w:sz w:val="28"/>
          <w:szCs w:val="28"/>
        </w:rPr>
      </w:pPr>
      <w:r>
        <w:rPr>
          <w:rFonts w:hint="eastAsia" w:ascii="仿宋" w:hAnsi="仿宋" w:eastAsia="仿宋"/>
          <w:sz w:val="28"/>
          <w:szCs w:val="28"/>
        </w:rPr>
        <w:t>致：新疆新之建工程咨询有限公司：</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为响应你方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日的</w:t>
      </w:r>
      <w:r>
        <w:rPr>
          <w:rFonts w:hint="eastAsia" w:ascii="仿宋" w:hAnsi="仿宋" w:eastAsia="仿宋"/>
          <w:sz w:val="28"/>
          <w:szCs w:val="28"/>
          <w:u w:val="single"/>
        </w:rPr>
        <w:t xml:space="preserve">           </w:t>
      </w:r>
      <w:r>
        <w:rPr>
          <w:rFonts w:hint="eastAsia" w:ascii="仿宋" w:hAnsi="仿宋" w:eastAsia="仿宋"/>
          <w:sz w:val="28"/>
          <w:szCs w:val="28"/>
        </w:rPr>
        <w:t>投标邀请，下述签字人自愿参与投标，提供招标文件技术需求书中规定的</w:t>
      </w:r>
      <w:r>
        <w:rPr>
          <w:rFonts w:hint="eastAsia" w:ascii="仿宋" w:hAnsi="仿宋" w:eastAsia="仿宋"/>
          <w:sz w:val="28"/>
          <w:szCs w:val="28"/>
          <w:u w:val="single"/>
        </w:rPr>
        <w:t xml:space="preserve">         </w:t>
      </w:r>
      <w:r>
        <w:rPr>
          <w:rFonts w:hint="eastAsia" w:ascii="仿宋" w:hAnsi="仿宋" w:eastAsia="仿宋"/>
          <w:sz w:val="28"/>
          <w:szCs w:val="28"/>
        </w:rPr>
        <w:t>项目，提交下述文件并声明全部说明是真实的和正确的。下述签字人将就下述文件中存在的虚假或不真实内容对招标代理机构和招标人承担法律责任。</w:t>
      </w:r>
    </w:p>
    <w:p>
      <w:pPr>
        <w:tabs>
          <w:tab w:val="left" w:pos="720"/>
        </w:tabs>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下述签字人证明本资格文件中的内容是真实的和正确的，同时附上我公司近一年的财务报表。</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下述签字人知道，招标人可能要求其提供进一步的资格材料并同意按招标人的要求提交。</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（公章）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法人代表或其被授权人：</w:t>
      </w:r>
      <w:r>
        <w:rPr>
          <w:rFonts w:hint="eastAsia" w:ascii="仿宋" w:hAnsi="仿宋" w:eastAsia="仿宋"/>
          <w:sz w:val="28"/>
          <w:szCs w:val="28"/>
          <w:u w:val="single"/>
        </w:rPr>
        <w:t xml:space="preserve">      （签字或盖章）       .</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日期：   年   月   日</w:t>
      </w:r>
    </w:p>
    <w:p>
      <w:pPr>
        <w:adjustRightInd w:val="0"/>
        <w:snapToGrid w:val="0"/>
        <w:spacing w:line="360" w:lineRule="auto"/>
        <w:ind w:firstLine="560" w:firstLineChars="200"/>
        <w:rPr>
          <w:rFonts w:ascii="仿宋" w:hAnsi="仿宋" w:eastAsia="仿宋"/>
          <w:sz w:val="28"/>
          <w:szCs w:val="28"/>
        </w:rPr>
      </w:pPr>
    </w:p>
    <w:p>
      <w:pPr>
        <w:pStyle w:val="2"/>
        <w:ind w:firstLine="210"/>
        <w:rPr>
          <w:rFonts w:ascii="仿宋" w:hAnsi="仿宋" w:eastAsia="仿宋"/>
        </w:rPr>
      </w:pPr>
      <w:r>
        <w:rPr>
          <w:rFonts w:ascii="仿宋" w:hAnsi="仿宋" w:eastAsia="仿宋"/>
        </w:rPr>
        <w:br w:type="page"/>
      </w:r>
    </w:p>
    <w:p>
      <w:pPr>
        <w:jc w:val="right"/>
        <w:rPr>
          <w:rFonts w:ascii="仿宋" w:hAnsi="仿宋" w:eastAsia="仿宋"/>
          <w:b/>
          <w:sz w:val="36"/>
        </w:rPr>
      </w:pPr>
      <w:r>
        <w:rPr>
          <w:rFonts w:hint="eastAsia" w:ascii="仿宋" w:hAnsi="仿宋" w:eastAsia="仿宋"/>
          <w:sz w:val="28"/>
        </w:rPr>
        <w:t>附件四</w:t>
      </w:r>
    </w:p>
    <w:p>
      <w:pPr>
        <w:jc w:val="center"/>
        <w:rPr>
          <w:rFonts w:ascii="仿宋" w:hAnsi="仿宋" w:eastAsia="仿宋"/>
          <w:b/>
          <w:sz w:val="36"/>
        </w:rPr>
      </w:pPr>
      <w:r>
        <w:rPr>
          <w:rFonts w:hint="eastAsia" w:ascii="仿宋" w:hAnsi="仿宋" w:eastAsia="仿宋"/>
          <w:b/>
          <w:sz w:val="36"/>
        </w:rPr>
        <w:t>中小企业声明函（货物）</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1. </w:t>
      </w:r>
      <w:r>
        <w:rPr>
          <w:rFonts w:hint="eastAsia" w:ascii="仿宋" w:hAnsi="仿宋" w:eastAsia="仿宋"/>
          <w:sz w:val="28"/>
          <w:szCs w:val="28"/>
          <w:u w:val="single"/>
        </w:rPr>
        <w:t xml:space="preserve">（标的名称） </w:t>
      </w:r>
      <w:r>
        <w:rPr>
          <w:rFonts w:hint="eastAsia" w:ascii="仿宋" w:hAnsi="仿宋" w:eastAsia="仿宋"/>
          <w:sz w:val="28"/>
          <w:szCs w:val="28"/>
        </w:rPr>
        <w:t>，属于</w:t>
      </w:r>
      <w:r>
        <w:rPr>
          <w:rFonts w:hint="eastAsia" w:ascii="仿宋" w:hAnsi="仿宋" w:eastAsia="仿宋"/>
          <w:sz w:val="28"/>
          <w:szCs w:val="28"/>
          <w:u w:val="single"/>
        </w:rPr>
        <w:t>（采购文件中明确的所属行业）行业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 xml:space="preserve">（标的名称） </w:t>
      </w:r>
      <w:r>
        <w:rPr>
          <w:rFonts w:hint="eastAsia" w:ascii="仿宋" w:hAnsi="仿宋" w:eastAsia="仿宋"/>
          <w:sz w:val="28"/>
          <w:szCs w:val="28"/>
        </w:rPr>
        <w:t>，属于</w:t>
      </w:r>
      <w:r>
        <w:rPr>
          <w:rFonts w:hint="eastAsia" w:ascii="仿宋" w:hAnsi="仿宋" w:eastAsia="仿宋"/>
          <w:sz w:val="28"/>
          <w:szCs w:val="28"/>
          <w:u w:val="single"/>
        </w:rPr>
        <w:t>（采购文件中明确的所属行业）行业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pStyle w:val="2"/>
        <w:ind w:firstLine="210"/>
      </w:pPr>
    </w:p>
    <w:p>
      <w:pPr>
        <w:adjustRightInd w:val="0"/>
        <w:snapToGrid w:val="0"/>
        <w:spacing w:line="360" w:lineRule="auto"/>
        <w:ind w:firstLine="5101" w:firstLineChars="1822"/>
        <w:rPr>
          <w:rFonts w:ascii="仿宋" w:hAnsi="仿宋" w:eastAsia="仿宋"/>
          <w:sz w:val="28"/>
          <w:szCs w:val="28"/>
        </w:rPr>
      </w:pPr>
      <w:r>
        <w:rPr>
          <w:rFonts w:hint="eastAsia" w:ascii="仿宋" w:hAnsi="仿宋" w:eastAsia="仿宋"/>
          <w:sz w:val="28"/>
          <w:szCs w:val="28"/>
        </w:rPr>
        <w:t>企业名称（盖章）：</w:t>
      </w:r>
    </w:p>
    <w:p>
      <w:pPr>
        <w:adjustRightInd w:val="0"/>
        <w:snapToGrid w:val="0"/>
        <w:spacing w:line="360" w:lineRule="auto"/>
        <w:ind w:firstLine="5101" w:firstLineChars="1822"/>
        <w:rPr>
          <w:rFonts w:ascii="仿宋" w:hAnsi="仿宋" w:eastAsia="仿宋"/>
          <w:sz w:val="28"/>
          <w:szCs w:val="28"/>
        </w:rPr>
      </w:pPr>
      <w:r>
        <w:rPr>
          <w:rFonts w:hint="eastAsia" w:ascii="仿宋" w:hAnsi="仿宋" w:eastAsia="仿宋"/>
          <w:sz w:val="28"/>
          <w:szCs w:val="28"/>
        </w:rPr>
        <w:t>日 期：</w:t>
      </w:r>
    </w:p>
    <w:p>
      <w:pPr>
        <w:adjustRightInd w:val="0"/>
        <w:snapToGrid w:val="0"/>
        <w:spacing w:line="360" w:lineRule="auto"/>
        <w:ind w:firstLine="3826" w:firstLineChars="1822"/>
        <w:rPr>
          <w:rFonts w:ascii="仿宋" w:hAnsi="仿宋" w:eastAsia="仿宋"/>
          <w:szCs w:val="21"/>
        </w:rPr>
      </w:pPr>
    </w:p>
    <w:p>
      <w:pPr>
        <w:adjustRightInd w:val="0"/>
        <w:snapToGrid w:val="0"/>
        <w:spacing w:line="360" w:lineRule="auto"/>
        <w:ind w:firstLine="420" w:firstLineChars="200"/>
        <w:rPr>
          <w:rFonts w:ascii="仿宋" w:hAnsi="仿宋" w:eastAsia="仿宋"/>
          <w:szCs w:val="21"/>
        </w:rPr>
      </w:pPr>
      <w:r>
        <w:rPr>
          <w:rFonts w:hint="eastAsia" w:ascii="仿宋" w:hAnsi="仿宋" w:eastAsia="仿宋"/>
          <w:szCs w:val="21"/>
        </w:rPr>
        <w:t>从业人员、营业收入、资产总额填报上一年度数据，无上一年度数据的新成立企业可不填报。</w:t>
      </w:r>
    </w:p>
    <w:p>
      <w:pPr>
        <w:ind w:firstLine="562"/>
        <w:jc w:val="right"/>
        <w:rPr>
          <w:rFonts w:ascii="仿宋" w:hAnsi="仿宋" w:eastAsia="仿宋"/>
          <w:sz w:val="28"/>
        </w:rPr>
      </w:pPr>
      <w:r>
        <w:rPr>
          <w:rFonts w:hint="eastAsia" w:ascii="仿宋" w:hAnsi="仿宋" w:eastAsia="仿宋"/>
        </w:rPr>
        <w:t xml:space="preserve"> </w:t>
      </w:r>
      <w:r>
        <w:rPr>
          <w:rFonts w:hint="eastAsia" w:ascii="仿宋" w:hAnsi="仿宋" w:eastAsia="仿宋"/>
        </w:rPr>
        <w:br w:type="page"/>
      </w:r>
      <w:r>
        <w:rPr>
          <w:rFonts w:hint="eastAsia" w:ascii="仿宋" w:hAnsi="仿宋" w:eastAsia="仿宋"/>
          <w:sz w:val="28"/>
        </w:rPr>
        <w:t>附件五</w:t>
      </w:r>
    </w:p>
    <w:p>
      <w:pPr>
        <w:jc w:val="center"/>
        <w:rPr>
          <w:rFonts w:ascii="仿宋" w:hAnsi="仿宋" w:eastAsia="仿宋"/>
          <w:b/>
          <w:sz w:val="36"/>
        </w:rPr>
      </w:pPr>
      <w:r>
        <w:rPr>
          <w:rFonts w:hint="eastAsia" w:ascii="仿宋" w:hAnsi="仿宋" w:eastAsia="仿宋"/>
          <w:b/>
          <w:sz w:val="36"/>
        </w:rPr>
        <w:t>诚信投标承诺书</w:t>
      </w:r>
    </w:p>
    <w:p>
      <w:pPr>
        <w:jc w:val="center"/>
        <w:rPr>
          <w:rFonts w:ascii="仿宋" w:hAnsi="仿宋" w:eastAsia="仿宋"/>
          <w:b/>
          <w:sz w:val="10"/>
          <w:szCs w:val="10"/>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本人以企业法定代表人的身份郑重承诺：</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一、投标文件中所提供的一切材料都是真实、有效、合法的；</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二、不以他人名义投标或者以其他方式弄虚作假，骗取中标；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三、不与其他供应商互相串通投标，不排挤其他供应商的公平竞争，不损害招标人的合法权益；</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四、不与招标人或者招标代理机构串通投标，损害国家利益、社会公共利益或者他人的合法权益；</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五、不向招标人或者评标委员会成员行贿以牟取中标；</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七、遵守《中华人民共和国政府采购法》、《中华人民共和国政府采购法实施条例》、《政府采购货物和服务招标投标管理办法》（财政部令第87号）和《政府采购非招标采购方式管理办法》（财政部74号令）的规定，保证不进行恶意投诉。</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spacing w:line="300" w:lineRule="auto"/>
        <w:ind w:firstLine="420" w:firstLineChars="150"/>
        <w:rPr>
          <w:rFonts w:ascii="仿宋" w:hAnsi="仿宋" w:eastAsia="仿宋"/>
          <w:sz w:val="28"/>
          <w:szCs w:val="28"/>
        </w:rPr>
      </w:pPr>
      <w:r>
        <w:rPr>
          <w:rFonts w:hint="eastAsia" w:ascii="仿宋" w:hAnsi="仿宋" w:eastAsia="仿宋"/>
          <w:sz w:val="28"/>
          <w:szCs w:val="28"/>
        </w:rPr>
        <w:t>供应商：（公章）</w:t>
      </w:r>
    </w:p>
    <w:p>
      <w:pPr>
        <w:spacing w:line="300" w:lineRule="auto"/>
        <w:ind w:firstLine="420" w:firstLineChars="150"/>
        <w:rPr>
          <w:rFonts w:ascii="仿宋" w:hAnsi="仿宋" w:eastAsia="仿宋"/>
          <w:sz w:val="28"/>
          <w:szCs w:val="28"/>
        </w:rPr>
      </w:pPr>
    </w:p>
    <w:p>
      <w:pPr>
        <w:spacing w:line="300" w:lineRule="auto"/>
        <w:ind w:firstLine="420" w:firstLineChars="150"/>
        <w:rPr>
          <w:rFonts w:ascii="仿宋" w:hAnsi="仿宋" w:eastAsia="仿宋"/>
          <w:sz w:val="28"/>
          <w:szCs w:val="28"/>
        </w:rPr>
      </w:pPr>
      <w:r>
        <w:rPr>
          <w:rFonts w:hint="eastAsia" w:ascii="仿宋" w:hAnsi="仿宋" w:eastAsia="仿宋"/>
          <w:sz w:val="28"/>
          <w:szCs w:val="28"/>
        </w:rPr>
        <w:t>法定代表人：（签字）       法</w:t>
      </w:r>
      <w:r>
        <w:rPr>
          <w:rFonts w:hint="eastAsia" w:ascii="仿宋" w:hAnsi="仿宋" w:eastAsia="仿宋"/>
          <w:sz w:val="28"/>
          <w:szCs w:val="28"/>
          <w:lang w:val="en-US" w:eastAsia="zh-CN"/>
        </w:rPr>
        <w:t>定</w:t>
      </w:r>
      <w:r>
        <w:rPr>
          <w:rFonts w:hint="eastAsia" w:ascii="仿宋" w:hAnsi="仿宋" w:eastAsia="仿宋"/>
          <w:sz w:val="28"/>
          <w:szCs w:val="28"/>
        </w:rPr>
        <w:t>代表授权委托人：（签字）</w:t>
      </w:r>
    </w:p>
    <w:p>
      <w:pPr>
        <w:ind w:firstLine="562"/>
        <w:jc w:val="right"/>
        <w:rPr>
          <w:rFonts w:ascii="仿宋" w:hAnsi="仿宋" w:eastAsia="仿宋"/>
          <w:sz w:val="28"/>
        </w:rPr>
      </w:pPr>
      <w:r>
        <w:rPr>
          <w:rFonts w:hint="eastAsia" w:ascii="仿宋" w:hAnsi="仿宋" w:eastAsia="仿宋"/>
          <w:sz w:val="28"/>
          <w:szCs w:val="28"/>
        </w:rPr>
        <w:br w:type="page"/>
      </w:r>
      <w:bookmarkStart w:id="7" w:name="_Toc435087575"/>
      <w:r>
        <w:rPr>
          <w:rFonts w:hint="eastAsia" w:ascii="仿宋" w:hAnsi="仿宋" w:eastAsia="仿宋"/>
          <w:sz w:val="28"/>
        </w:rPr>
        <w:t>附件</w:t>
      </w:r>
      <w:bookmarkEnd w:id="7"/>
      <w:r>
        <w:rPr>
          <w:rFonts w:hint="eastAsia" w:ascii="仿宋" w:hAnsi="仿宋" w:eastAsia="仿宋"/>
          <w:sz w:val="28"/>
        </w:rPr>
        <w:t>六</w:t>
      </w:r>
    </w:p>
    <w:p>
      <w:pPr>
        <w:autoSpaceDE w:val="0"/>
        <w:autoSpaceDN w:val="0"/>
        <w:spacing w:line="360" w:lineRule="auto"/>
        <w:ind w:right="890" w:firstLine="420" w:firstLineChars="150"/>
        <w:jc w:val="center"/>
        <w:textAlignment w:val="bottom"/>
        <w:rPr>
          <w:rFonts w:ascii="仿宋" w:hAnsi="仿宋" w:eastAsia="仿宋"/>
          <w:b/>
          <w:sz w:val="28"/>
        </w:rPr>
      </w:pPr>
    </w:p>
    <w:p>
      <w:pPr>
        <w:jc w:val="center"/>
        <w:rPr>
          <w:rFonts w:ascii="仿宋" w:hAnsi="仿宋" w:eastAsia="仿宋"/>
          <w:b/>
          <w:sz w:val="36"/>
        </w:rPr>
      </w:pPr>
      <w:r>
        <w:rPr>
          <w:rFonts w:hint="eastAsia" w:ascii="仿宋" w:hAnsi="仿宋" w:eastAsia="仿宋"/>
          <w:b/>
          <w:sz w:val="36"/>
        </w:rPr>
        <w:t>投标人（供应商）反商业贿赂承诺书</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我公司承诺在</w:t>
      </w:r>
      <w:r>
        <w:rPr>
          <w:rFonts w:hint="eastAsia" w:ascii="仿宋" w:hAnsi="仿宋" w:eastAsia="仿宋"/>
          <w:sz w:val="28"/>
          <w:szCs w:val="28"/>
          <w:u w:val="single"/>
        </w:rPr>
        <w:t xml:space="preserve">                    （项目名称、项目编号）</w:t>
      </w:r>
      <w:r>
        <w:rPr>
          <w:rFonts w:hint="eastAsia" w:ascii="仿宋" w:hAnsi="仿宋" w:eastAsia="仿宋"/>
          <w:sz w:val="28"/>
          <w:szCs w:val="28"/>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公司法人代表：</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法人授权代表：</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项目经办人：</w:t>
      </w:r>
    </w:p>
    <w:p>
      <w:pPr>
        <w:ind w:firstLine="560"/>
        <w:rPr>
          <w:rFonts w:ascii="仿宋" w:hAnsi="仿宋" w:eastAsia="仿宋"/>
          <w:sz w:val="28"/>
        </w:rPr>
      </w:pPr>
      <w:r>
        <w:rPr>
          <w:rFonts w:hint="eastAsia" w:ascii="仿宋" w:hAnsi="仿宋" w:eastAsia="仿宋"/>
          <w:sz w:val="28"/>
          <w:szCs w:val="28"/>
        </w:rPr>
        <w:t>日    期：</w:t>
      </w:r>
    </w:p>
    <w:p>
      <w:pPr>
        <w:ind w:firstLine="562"/>
        <w:jc w:val="right"/>
        <w:rPr>
          <w:rFonts w:ascii="仿宋" w:hAnsi="仿宋" w:eastAsia="仿宋"/>
          <w:sz w:val="28"/>
          <w:szCs w:val="28"/>
        </w:rPr>
      </w:pPr>
    </w:p>
    <w:p>
      <w:pPr>
        <w:ind w:firstLine="560"/>
        <w:rPr>
          <w:rFonts w:ascii="仿宋" w:hAnsi="仿宋" w:eastAsia="仿宋"/>
          <w:sz w:val="28"/>
        </w:rPr>
      </w:pPr>
    </w:p>
    <w:p>
      <w:pPr>
        <w:ind w:firstLine="622"/>
        <w:rPr>
          <w:rFonts w:ascii="仿宋" w:hAnsi="仿宋" w:eastAsia="仿宋"/>
          <w:b/>
          <w:sz w:val="31"/>
        </w:rPr>
        <w:sectPr>
          <w:headerReference r:id="rId8" w:type="first"/>
          <w:headerReference r:id="rId7" w:type="default"/>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type="linesAndChars" w:linePitch="312" w:charSpace="0"/>
        </w:sectPr>
      </w:pPr>
    </w:p>
    <w:p>
      <w:pPr>
        <w:ind w:firstLine="560"/>
        <w:jc w:val="right"/>
        <w:rPr>
          <w:rFonts w:ascii="仿宋" w:hAnsi="仿宋" w:eastAsia="仿宋"/>
          <w:b/>
          <w:sz w:val="28"/>
        </w:rPr>
      </w:pPr>
      <w:r>
        <w:rPr>
          <w:rFonts w:hint="eastAsia" w:ascii="仿宋" w:hAnsi="仿宋" w:eastAsia="仿宋"/>
          <w:sz w:val="28"/>
        </w:rPr>
        <w:t>附件七</w:t>
      </w:r>
    </w:p>
    <w:p>
      <w:pPr>
        <w:tabs>
          <w:tab w:val="center" w:pos="7115"/>
          <w:tab w:val="right" w:pos="14230"/>
        </w:tabs>
        <w:ind w:firstLine="723"/>
        <w:jc w:val="center"/>
        <w:rPr>
          <w:rFonts w:ascii="仿宋" w:hAnsi="仿宋" w:eastAsia="仿宋"/>
          <w:b/>
          <w:sz w:val="36"/>
        </w:rPr>
      </w:pPr>
      <w:r>
        <w:rPr>
          <w:rFonts w:hint="eastAsia" w:ascii="仿宋" w:hAnsi="仿宋" w:eastAsia="仿宋"/>
          <w:b/>
          <w:sz w:val="36"/>
        </w:rPr>
        <w:t>开   标   一   览   表</w:t>
      </w:r>
    </w:p>
    <w:p>
      <w:pPr>
        <w:tabs>
          <w:tab w:val="center" w:pos="7115"/>
          <w:tab w:val="right" w:pos="14230"/>
        </w:tabs>
        <w:ind w:firstLine="140" w:firstLineChars="50"/>
        <w:rPr>
          <w:rFonts w:ascii="仿宋" w:hAnsi="仿宋" w:eastAsia="仿宋"/>
          <w:sz w:val="28"/>
          <w:szCs w:val="28"/>
        </w:rPr>
      </w:pPr>
      <w:r>
        <w:rPr>
          <w:rFonts w:hint="eastAsia" w:ascii="仿宋" w:hAnsi="仿宋" w:eastAsia="仿宋"/>
          <w:sz w:val="28"/>
          <w:szCs w:val="28"/>
        </w:rPr>
        <w:t>供应商名称：                                                                              单位：元</w:t>
      </w:r>
    </w:p>
    <w:p>
      <w:pPr>
        <w:tabs>
          <w:tab w:val="center" w:pos="7115"/>
          <w:tab w:val="right" w:pos="14230"/>
        </w:tabs>
        <w:ind w:firstLine="140" w:firstLineChars="5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 xml:space="preserve">     </w:t>
      </w: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包           编号：</w:t>
      </w:r>
      <w:r>
        <w:rPr>
          <w:rFonts w:hint="eastAsia" w:ascii="仿宋" w:hAnsi="仿宋" w:eastAsia="仿宋"/>
          <w:sz w:val="28"/>
          <w:szCs w:val="28"/>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包</w:t>
      </w:r>
    </w:p>
    <w:tbl>
      <w:tblPr>
        <w:tblStyle w:val="43"/>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48"/>
        <w:gridCol w:w="2241"/>
        <w:gridCol w:w="2070"/>
        <w:gridCol w:w="1710"/>
        <w:gridCol w:w="1755"/>
        <w:gridCol w:w="1587"/>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8" w:hRule="exact"/>
          <w:jc w:val="center"/>
        </w:trPr>
        <w:tc>
          <w:tcPr>
            <w:tcW w:w="3048"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投标内容</w:t>
            </w:r>
          </w:p>
        </w:tc>
        <w:tc>
          <w:tcPr>
            <w:tcW w:w="2241"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设备价</w:t>
            </w:r>
          </w:p>
        </w:tc>
        <w:tc>
          <w:tcPr>
            <w:tcW w:w="2070"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安装调试费</w:t>
            </w:r>
          </w:p>
        </w:tc>
        <w:tc>
          <w:tcPr>
            <w:tcW w:w="1710"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运杂费</w:t>
            </w:r>
          </w:p>
        </w:tc>
        <w:tc>
          <w:tcPr>
            <w:tcW w:w="1755"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交货期</w:t>
            </w:r>
          </w:p>
        </w:tc>
        <w:tc>
          <w:tcPr>
            <w:tcW w:w="1587"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合计</w:t>
            </w:r>
          </w:p>
        </w:tc>
        <w:tc>
          <w:tcPr>
            <w:tcW w:w="1961"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3" w:hRule="atLeast"/>
          <w:jc w:val="center"/>
        </w:trPr>
        <w:tc>
          <w:tcPr>
            <w:tcW w:w="3048" w:type="dxa"/>
            <w:tcBorders>
              <w:bottom w:val="single" w:color="auto" w:sz="4" w:space="0"/>
            </w:tcBorders>
            <w:vAlign w:val="center"/>
          </w:tcPr>
          <w:p>
            <w:pPr>
              <w:snapToGrid w:val="0"/>
              <w:jc w:val="center"/>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u w:val="single"/>
              </w:rPr>
              <w:t xml:space="preserve">  </w:t>
            </w:r>
            <w:r>
              <w:rPr>
                <w:rFonts w:hint="eastAsia" w:ascii="仿宋" w:hAnsi="仿宋" w:eastAsia="仿宋"/>
                <w:sz w:val="28"/>
                <w:szCs w:val="28"/>
              </w:rPr>
              <w:t>包</w:t>
            </w:r>
          </w:p>
        </w:tc>
        <w:tc>
          <w:tcPr>
            <w:tcW w:w="2241" w:type="dxa"/>
            <w:tcBorders>
              <w:bottom w:val="single" w:color="auto" w:sz="4" w:space="0"/>
            </w:tcBorders>
            <w:vAlign w:val="center"/>
          </w:tcPr>
          <w:p>
            <w:pPr>
              <w:snapToGrid w:val="0"/>
              <w:jc w:val="center"/>
              <w:rPr>
                <w:rFonts w:ascii="仿宋" w:hAnsi="仿宋" w:eastAsia="仿宋"/>
                <w:sz w:val="28"/>
                <w:szCs w:val="28"/>
              </w:rPr>
            </w:pPr>
          </w:p>
        </w:tc>
        <w:tc>
          <w:tcPr>
            <w:tcW w:w="2070" w:type="dxa"/>
            <w:tcBorders>
              <w:bottom w:val="single" w:color="auto" w:sz="4" w:space="0"/>
            </w:tcBorders>
            <w:vAlign w:val="center"/>
          </w:tcPr>
          <w:p>
            <w:pPr>
              <w:snapToGrid w:val="0"/>
              <w:jc w:val="center"/>
              <w:rPr>
                <w:rFonts w:ascii="仿宋" w:hAnsi="仿宋" w:eastAsia="仿宋"/>
                <w:sz w:val="28"/>
                <w:szCs w:val="28"/>
              </w:rPr>
            </w:pPr>
          </w:p>
        </w:tc>
        <w:tc>
          <w:tcPr>
            <w:tcW w:w="1710" w:type="dxa"/>
            <w:tcBorders>
              <w:bottom w:val="single" w:color="auto" w:sz="4" w:space="0"/>
              <w:right w:val="single" w:color="auto" w:sz="4" w:space="0"/>
            </w:tcBorders>
            <w:vAlign w:val="center"/>
          </w:tcPr>
          <w:p>
            <w:pPr>
              <w:snapToGrid w:val="0"/>
              <w:jc w:val="center"/>
              <w:rPr>
                <w:rFonts w:ascii="仿宋" w:hAnsi="仿宋" w:eastAsia="仿宋"/>
                <w:sz w:val="28"/>
                <w:szCs w:val="28"/>
              </w:rPr>
            </w:pP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p>
        </w:tc>
        <w:tc>
          <w:tcPr>
            <w:tcW w:w="15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p>
        </w:tc>
        <w:tc>
          <w:tcPr>
            <w:tcW w:w="19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9" w:hRule="exact"/>
          <w:jc w:val="center"/>
        </w:trPr>
        <w:tc>
          <w:tcPr>
            <w:tcW w:w="3048" w:type="dxa"/>
            <w:tcBorders>
              <w:bottom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投标总报价(大写)</w:t>
            </w:r>
          </w:p>
        </w:tc>
        <w:tc>
          <w:tcPr>
            <w:tcW w:w="11324" w:type="dxa"/>
            <w:gridSpan w:val="6"/>
            <w:tcBorders>
              <w:bottom w:val="single" w:color="auto" w:sz="4" w:space="0"/>
            </w:tcBorders>
            <w:vAlign w:val="center"/>
          </w:tcPr>
          <w:p>
            <w:pPr>
              <w:jc w:val="center"/>
              <w:rPr>
                <w:rFonts w:ascii="仿宋" w:hAnsi="仿宋" w:eastAsia="仿宋"/>
                <w:sz w:val="28"/>
                <w:szCs w:val="28"/>
              </w:rPr>
            </w:pPr>
          </w:p>
        </w:tc>
      </w:tr>
    </w:tbl>
    <w:p>
      <w:pPr>
        <w:ind w:firstLine="480"/>
        <w:rPr>
          <w:rFonts w:ascii="仿宋" w:hAnsi="仿宋" w:eastAsia="仿宋"/>
          <w:sz w:val="24"/>
          <w:szCs w:val="24"/>
        </w:rPr>
      </w:pPr>
    </w:p>
    <w:p>
      <w:pPr>
        <w:ind w:firstLine="537" w:firstLineChars="192"/>
        <w:rPr>
          <w:rFonts w:ascii="仿宋" w:hAnsi="仿宋" w:eastAsia="仿宋"/>
          <w:sz w:val="28"/>
          <w:szCs w:val="28"/>
        </w:rPr>
      </w:pPr>
      <w:r>
        <w:rPr>
          <w:rFonts w:hint="eastAsia" w:ascii="仿宋" w:hAnsi="仿宋" w:eastAsia="仿宋"/>
          <w:sz w:val="28"/>
          <w:szCs w:val="28"/>
        </w:rPr>
        <w:t>投标单位授权代表签字：                                            投标单位公章：</w:t>
      </w:r>
    </w:p>
    <w:p>
      <w:pPr>
        <w:spacing w:line="400" w:lineRule="exact"/>
        <w:ind w:firstLine="548" w:firstLineChars="196"/>
        <w:rPr>
          <w:rFonts w:ascii="仿宋" w:hAnsi="仿宋" w:eastAsia="仿宋"/>
          <w:b/>
          <w:bCs/>
          <w:sz w:val="28"/>
        </w:rPr>
      </w:pPr>
      <w:r>
        <w:rPr>
          <w:rFonts w:hint="eastAsia" w:ascii="仿宋" w:hAnsi="仿宋" w:eastAsia="仿宋"/>
          <w:b/>
          <w:bCs/>
          <w:sz w:val="28"/>
        </w:rPr>
        <w:t>注：1、请单独封装一份在信袋内。</w:t>
      </w:r>
    </w:p>
    <w:p>
      <w:pPr>
        <w:spacing w:line="400" w:lineRule="exact"/>
        <w:ind w:firstLine="562"/>
        <w:rPr>
          <w:rFonts w:ascii="仿宋" w:hAnsi="仿宋" w:eastAsia="仿宋"/>
          <w:b/>
          <w:sz w:val="28"/>
        </w:rPr>
      </w:pPr>
      <w:r>
        <w:rPr>
          <w:rFonts w:hint="eastAsia" w:ascii="仿宋" w:hAnsi="仿宋" w:eastAsia="仿宋"/>
          <w:b/>
          <w:sz w:val="28"/>
        </w:rPr>
        <w:t xml:space="preserve">    2、在开标一览表中，按第二章投标须知10.2条款的规定不允许出现两种报价，否则其投标将被拒绝。</w:t>
      </w:r>
    </w:p>
    <w:p>
      <w:pPr>
        <w:spacing w:line="400" w:lineRule="exact"/>
        <w:ind w:firstLine="562"/>
        <w:rPr>
          <w:rFonts w:ascii="仿宋" w:hAnsi="仿宋" w:eastAsia="仿宋"/>
          <w:b/>
          <w:sz w:val="28"/>
        </w:rPr>
      </w:pPr>
      <w:r>
        <w:rPr>
          <w:rFonts w:hint="eastAsia" w:ascii="仿宋" w:hAnsi="仿宋" w:eastAsia="仿宋"/>
          <w:b/>
          <w:sz w:val="28"/>
        </w:rPr>
        <w:t xml:space="preserve">    3、详细清单参照附件七自制。</w:t>
      </w:r>
    </w:p>
    <w:p>
      <w:pPr>
        <w:spacing w:line="400" w:lineRule="exact"/>
        <w:ind w:firstLine="13067" w:firstLineChars="4667"/>
        <w:rPr>
          <w:rFonts w:ascii="仿宋" w:hAnsi="仿宋" w:eastAsia="仿宋"/>
          <w:b/>
          <w:sz w:val="28"/>
        </w:rPr>
      </w:pPr>
      <w:r>
        <w:rPr>
          <w:rFonts w:hint="eastAsia" w:ascii="仿宋" w:hAnsi="仿宋" w:eastAsia="仿宋"/>
          <w:b/>
          <w:sz w:val="28"/>
        </w:rPr>
        <w:br w:type="page"/>
      </w:r>
      <w:r>
        <w:rPr>
          <w:rFonts w:hint="eastAsia" w:ascii="仿宋" w:hAnsi="仿宋" w:eastAsia="仿宋"/>
          <w:sz w:val="28"/>
        </w:rPr>
        <w:t>附件八</w:t>
      </w:r>
    </w:p>
    <w:p>
      <w:pPr>
        <w:pStyle w:val="204"/>
        <w:rPr>
          <w:rFonts w:ascii="仿宋" w:hAnsi="仿宋" w:eastAsia="仿宋"/>
        </w:rPr>
      </w:pPr>
      <w:r>
        <w:rPr>
          <w:rFonts w:hint="eastAsia" w:ascii="仿宋" w:hAnsi="仿宋" w:eastAsia="仿宋"/>
        </w:rPr>
        <w:t>投标产品名称、数量、规格及分项报价表</w:t>
      </w:r>
    </w:p>
    <w:p>
      <w:pPr>
        <w:pStyle w:val="116"/>
        <w:spacing w:afterLines="50"/>
        <w:ind w:firstLine="560"/>
        <w:rPr>
          <w:rFonts w:ascii="仿宋" w:hAnsi="仿宋" w:eastAsia="仿宋"/>
          <w:sz w:val="44"/>
        </w:rPr>
      </w:pPr>
      <w:r>
        <w:rPr>
          <w:rFonts w:hint="eastAsia" w:ascii="仿宋" w:hAnsi="仿宋" w:eastAsia="仿宋"/>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szCs w:val="28"/>
        </w:rPr>
        <w:t>编号：</w:t>
      </w:r>
    </w:p>
    <w:tbl>
      <w:tblPr>
        <w:tblStyle w:val="4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170"/>
        <w:gridCol w:w="1650"/>
        <w:gridCol w:w="1635"/>
        <w:gridCol w:w="216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序号</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名 称</w:t>
            </w:r>
          </w:p>
        </w:tc>
        <w:tc>
          <w:tcPr>
            <w:tcW w:w="1530" w:type="dxa"/>
            <w:vAlign w:val="center"/>
          </w:tcPr>
          <w:p>
            <w:pPr>
              <w:spacing w:line="320" w:lineRule="exact"/>
              <w:jc w:val="center"/>
              <w:rPr>
                <w:rFonts w:ascii="仿宋" w:hAnsi="仿宋" w:eastAsia="仿宋"/>
                <w:sz w:val="24"/>
              </w:rPr>
            </w:pPr>
            <w:r>
              <w:rPr>
                <w:rFonts w:hint="eastAsia" w:ascii="仿宋" w:hAnsi="仿宋" w:eastAsia="仿宋"/>
                <w:sz w:val="24"/>
              </w:rPr>
              <w:t>规格型号</w:t>
            </w:r>
          </w:p>
        </w:tc>
        <w:tc>
          <w:tcPr>
            <w:tcW w:w="1170" w:type="dxa"/>
            <w:vAlign w:val="center"/>
          </w:tcPr>
          <w:p>
            <w:pPr>
              <w:spacing w:line="420" w:lineRule="exact"/>
              <w:jc w:val="center"/>
              <w:rPr>
                <w:rFonts w:ascii="仿宋" w:hAnsi="仿宋" w:eastAsia="仿宋"/>
                <w:sz w:val="24"/>
              </w:rPr>
            </w:pPr>
            <w:r>
              <w:rPr>
                <w:rFonts w:hint="eastAsia" w:ascii="仿宋" w:hAnsi="仿宋" w:eastAsia="仿宋"/>
                <w:sz w:val="24"/>
              </w:rPr>
              <w:t>数量（标明单位）</w:t>
            </w:r>
          </w:p>
        </w:tc>
        <w:tc>
          <w:tcPr>
            <w:tcW w:w="1650" w:type="dxa"/>
            <w:vAlign w:val="center"/>
          </w:tcPr>
          <w:p>
            <w:pPr>
              <w:spacing w:line="420" w:lineRule="exact"/>
              <w:jc w:val="center"/>
              <w:rPr>
                <w:rFonts w:ascii="仿宋" w:hAnsi="仿宋" w:eastAsia="仿宋"/>
                <w:sz w:val="24"/>
              </w:rPr>
            </w:pPr>
            <w:r>
              <w:rPr>
                <w:rFonts w:hint="eastAsia" w:ascii="仿宋" w:hAnsi="仿宋" w:eastAsia="仿宋"/>
                <w:sz w:val="24"/>
              </w:rPr>
              <w:t>单价（元）</w:t>
            </w:r>
          </w:p>
        </w:tc>
        <w:tc>
          <w:tcPr>
            <w:tcW w:w="1635" w:type="dxa"/>
            <w:vAlign w:val="center"/>
          </w:tcPr>
          <w:p>
            <w:pPr>
              <w:spacing w:line="420" w:lineRule="exact"/>
              <w:jc w:val="center"/>
              <w:rPr>
                <w:rFonts w:ascii="仿宋" w:hAnsi="仿宋" w:eastAsia="仿宋"/>
                <w:sz w:val="24"/>
              </w:rPr>
            </w:pPr>
            <w:r>
              <w:rPr>
                <w:rFonts w:hint="eastAsia" w:ascii="仿宋" w:hAnsi="仿宋" w:eastAsia="仿宋"/>
                <w:sz w:val="24"/>
              </w:rPr>
              <w:t>合价（元）</w:t>
            </w:r>
          </w:p>
        </w:tc>
        <w:tc>
          <w:tcPr>
            <w:tcW w:w="2160" w:type="dxa"/>
            <w:vAlign w:val="center"/>
          </w:tcPr>
          <w:p>
            <w:pPr>
              <w:spacing w:line="420" w:lineRule="exact"/>
              <w:jc w:val="center"/>
              <w:rPr>
                <w:rFonts w:ascii="仿宋" w:hAnsi="仿宋" w:eastAsia="仿宋"/>
                <w:sz w:val="24"/>
              </w:rPr>
            </w:pPr>
            <w:r>
              <w:rPr>
                <w:rFonts w:hint="eastAsia" w:ascii="仿宋" w:hAnsi="仿宋" w:eastAsia="仿宋"/>
                <w:sz w:val="24"/>
              </w:rPr>
              <w:t>生产厂家及品牌</w:t>
            </w:r>
          </w:p>
        </w:tc>
        <w:tc>
          <w:tcPr>
            <w:tcW w:w="1454" w:type="dxa"/>
            <w:vAlign w:val="center"/>
          </w:tcPr>
          <w:p>
            <w:pPr>
              <w:spacing w:line="420" w:lineRule="exact"/>
              <w:ind w:firstLine="240" w:firstLineChars="100"/>
              <w:rPr>
                <w:rFonts w:ascii="仿宋" w:hAnsi="仿宋" w:eastAsia="仿宋"/>
                <w:sz w:val="24"/>
              </w:rPr>
            </w:pPr>
            <w:r>
              <w:rPr>
                <w:rFonts w:hint="eastAsia" w:ascii="仿宋" w:hAnsi="仿宋" w:eastAsia="仿宋"/>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1</w:t>
            </w:r>
          </w:p>
        </w:tc>
        <w:tc>
          <w:tcPr>
            <w:tcW w:w="3645" w:type="dxa"/>
            <w:vAlign w:val="center"/>
          </w:tcPr>
          <w:p>
            <w:pPr>
              <w:spacing w:line="420" w:lineRule="exact"/>
              <w:jc w:val="center"/>
              <w:rPr>
                <w:rFonts w:ascii="仿宋" w:hAnsi="仿宋" w:eastAsia="仿宋"/>
                <w:sz w:val="24"/>
              </w:rPr>
            </w:pPr>
            <w:r>
              <w:rPr>
                <w:rFonts w:hint="eastAsia" w:ascii="仿宋" w:hAnsi="仿宋" w:eastAsia="仿宋"/>
                <w:sz w:val="24"/>
              </w:rPr>
              <w:t>（所投的全部货物内容）</w:t>
            </w:r>
          </w:p>
        </w:tc>
        <w:tc>
          <w:tcPr>
            <w:tcW w:w="1530" w:type="dxa"/>
            <w:vAlign w:val="center"/>
          </w:tcPr>
          <w:p>
            <w:pPr>
              <w:spacing w:line="420" w:lineRule="exact"/>
              <w:ind w:firstLine="480"/>
              <w:jc w:val="center"/>
              <w:rPr>
                <w:rFonts w:ascii="仿宋" w:hAnsi="仿宋" w:eastAsia="仿宋"/>
                <w:sz w:val="24"/>
              </w:rPr>
            </w:pPr>
          </w:p>
        </w:tc>
        <w:tc>
          <w:tcPr>
            <w:tcW w:w="1170" w:type="dxa"/>
            <w:vAlign w:val="center"/>
          </w:tcPr>
          <w:p>
            <w:pPr>
              <w:spacing w:line="420" w:lineRule="exact"/>
              <w:ind w:firstLine="480"/>
              <w:jc w:val="center"/>
              <w:rPr>
                <w:rFonts w:ascii="仿宋" w:hAnsi="仿宋" w:eastAsia="仿宋"/>
                <w:sz w:val="24"/>
              </w:rPr>
            </w:pPr>
          </w:p>
        </w:tc>
        <w:tc>
          <w:tcPr>
            <w:tcW w:w="1650" w:type="dxa"/>
            <w:vAlign w:val="center"/>
          </w:tcPr>
          <w:p>
            <w:pPr>
              <w:spacing w:line="420" w:lineRule="exact"/>
              <w:ind w:firstLine="480"/>
              <w:jc w:val="center"/>
              <w:rPr>
                <w:rFonts w:ascii="仿宋" w:hAnsi="仿宋" w:eastAsia="仿宋"/>
                <w:sz w:val="24"/>
              </w:rPr>
            </w:pPr>
          </w:p>
        </w:tc>
        <w:tc>
          <w:tcPr>
            <w:tcW w:w="1635" w:type="dxa"/>
            <w:vAlign w:val="center"/>
          </w:tcPr>
          <w:p>
            <w:pPr>
              <w:spacing w:line="420" w:lineRule="exact"/>
              <w:ind w:firstLine="480"/>
              <w:jc w:val="center"/>
              <w:rPr>
                <w:rFonts w:ascii="仿宋" w:hAnsi="仿宋" w:eastAsia="仿宋"/>
                <w:sz w:val="24"/>
              </w:rPr>
            </w:pPr>
          </w:p>
        </w:tc>
        <w:tc>
          <w:tcPr>
            <w:tcW w:w="2160" w:type="dxa"/>
            <w:vAlign w:val="center"/>
          </w:tcPr>
          <w:p>
            <w:pPr>
              <w:spacing w:line="420" w:lineRule="exact"/>
              <w:ind w:firstLine="480"/>
              <w:jc w:val="center"/>
              <w:rPr>
                <w:rFonts w:ascii="仿宋" w:hAnsi="仿宋" w:eastAsia="仿宋"/>
                <w:sz w:val="24"/>
              </w:rPr>
            </w:pPr>
          </w:p>
        </w:tc>
        <w:tc>
          <w:tcPr>
            <w:tcW w:w="1454" w:type="dxa"/>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2</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w:t>
            </w:r>
          </w:p>
        </w:tc>
        <w:tc>
          <w:tcPr>
            <w:tcW w:w="1530" w:type="dxa"/>
            <w:vAlign w:val="center"/>
          </w:tcPr>
          <w:p>
            <w:pPr>
              <w:spacing w:line="420" w:lineRule="exact"/>
              <w:ind w:firstLine="480"/>
              <w:jc w:val="center"/>
              <w:rPr>
                <w:rFonts w:ascii="仿宋" w:hAnsi="仿宋" w:eastAsia="仿宋"/>
                <w:sz w:val="24"/>
              </w:rPr>
            </w:pPr>
          </w:p>
        </w:tc>
        <w:tc>
          <w:tcPr>
            <w:tcW w:w="1170" w:type="dxa"/>
            <w:vAlign w:val="center"/>
          </w:tcPr>
          <w:p>
            <w:pPr>
              <w:spacing w:line="420" w:lineRule="exact"/>
              <w:ind w:firstLine="480"/>
              <w:jc w:val="center"/>
              <w:rPr>
                <w:rFonts w:ascii="仿宋" w:hAnsi="仿宋" w:eastAsia="仿宋"/>
                <w:sz w:val="24"/>
              </w:rPr>
            </w:pPr>
          </w:p>
        </w:tc>
        <w:tc>
          <w:tcPr>
            <w:tcW w:w="1650" w:type="dxa"/>
            <w:vAlign w:val="center"/>
          </w:tcPr>
          <w:p>
            <w:pPr>
              <w:spacing w:line="420" w:lineRule="exact"/>
              <w:ind w:firstLine="480"/>
              <w:jc w:val="center"/>
              <w:rPr>
                <w:rFonts w:ascii="仿宋" w:hAnsi="仿宋" w:eastAsia="仿宋"/>
                <w:sz w:val="24"/>
              </w:rPr>
            </w:pPr>
          </w:p>
        </w:tc>
        <w:tc>
          <w:tcPr>
            <w:tcW w:w="1635" w:type="dxa"/>
            <w:vAlign w:val="center"/>
          </w:tcPr>
          <w:p>
            <w:pPr>
              <w:spacing w:line="420" w:lineRule="exact"/>
              <w:ind w:firstLine="480"/>
              <w:jc w:val="center"/>
              <w:rPr>
                <w:rFonts w:ascii="仿宋" w:hAnsi="仿宋" w:eastAsia="仿宋"/>
                <w:sz w:val="24"/>
              </w:rPr>
            </w:pPr>
          </w:p>
        </w:tc>
        <w:tc>
          <w:tcPr>
            <w:tcW w:w="2160" w:type="dxa"/>
            <w:vAlign w:val="center"/>
          </w:tcPr>
          <w:p>
            <w:pPr>
              <w:spacing w:line="420" w:lineRule="exact"/>
              <w:ind w:firstLine="480"/>
              <w:jc w:val="center"/>
              <w:rPr>
                <w:rFonts w:ascii="仿宋" w:hAnsi="仿宋" w:eastAsia="仿宋"/>
                <w:sz w:val="24"/>
              </w:rPr>
            </w:pPr>
          </w:p>
        </w:tc>
        <w:tc>
          <w:tcPr>
            <w:tcW w:w="1454" w:type="dxa"/>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3</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w:t>
            </w:r>
          </w:p>
        </w:tc>
        <w:tc>
          <w:tcPr>
            <w:tcW w:w="1530" w:type="dxa"/>
            <w:vAlign w:val="center"/>
          </w:tcPr>
          <w:p>
            <w:pPr>
              <w:spacing w:line="420" w:lineRule="exact"/>
              <w:ind w:firstLine="480"/>
              <w:jc w:val="center"/>
              <w:rPr>
                <w:rFonts w:ascii="仿宋" w:hAnsi="仿宋" w:eastAsia="仿宋"/>
                <w:sz w:val="24"/>
              </w:rPr>
            </w:pPr>
          </w:p>
        </w:tc>
        <w:tc>
          <w:tcPr>
            <w:tcW w:w="1170" w:type="dxa"/>
            <w:vAlign w:val="center"/>
          </w:tcPr>
          <w:p>
            <w:pPr>
              <w:spacing w:line="420" w:lineRule="exact"/>
              <w:ind w:firstLine="480"/>
              <w:jc w:val="center"/>
              <w:rPr>
                <w:rFonts w:ascii="仿宋" w:hAnsi="仿宋" w:eastAsia="仿宋"/>
                <w:sz w:val="24"/>
              </w:rPr>
            </w:pPr>
          </w:p>
        </w:tc>
        <w:tc>
          <w:tcPr>
            <w:tcW w:w="1650" w:type="dxa"/>
            <w:vAlign w:val="center"/>
          </w:tcPr>
          <w:p>
            <w:pPr>
              <w:spacing w:line="420" w:lineRule="exact"/>
              <w:ind w:firstLine="480"/>
              <w:jc w:val="center"/>
              <w:rPr>
                <w:rFonts w:ascii="仿宋" w:hAnsi="仿宋" w:eastAsia="仿宋"/>
                <w:sz w:val="24"/>
              </w:rPr>
            </w:pPr>
          </w:p>
        </w:tc>
        <w:tc>
          <w:tcPr>
            <w:tcW w:w="1635" w:type="dxa"/>
            <w:vAlign w:val="center"/>
          </w:tcPr>
          <w:p>
            <w:pPr>
              <w:spacing w:line="420" w:lineRule="exact"/>
              <w:ind w:firstLine="480"/>
              <w:jc w:val="center"/>
              <w:rPr>
                <w:rFonts w:ascii="仿宋" w:hAnsi="仿宋" w:eastAsia="仿宋"/>
                <w:sz w:val="24"/>
              </w:rPr>
            </w:pPr>
          </w:p>
        </w:tc>
        <w:tc>
          <w:tcPr>
            <w:tcW w:w="2160" w:type="dxa"/>
            <w:vAlign w:val="center"/>
          </w:tcPr>
          <w:p>
            <w:pPr>
              <w:spacing w:line="420" w:lineRule="exact"/>
              <w:ind w:firstLine="480"/>
              <w:jc w:val="center"/>
              <w:rPr>
                <w:rFonts w:ascii="仿宋" w:hAnsi="仿宋" w:eastAsia="仿宋"/>
                <w:sz w:val="24"/>
              </w:rPr>
            </w:pPr>
          </w:p>
        </w:tc>
        <w:tc>
          <w:tcPr>
            <w:tcW w:w="1454" w:type="dxa"/>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6</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备品备件</w:t>
            </w:r>
          </w:p>
        </w:tc>
        <w:tc>
          <w:tcPr>
            <w:tcW w:w="9599" w:type="dxa"/>
            <w:gridSpan w:val="6"/>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7</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专用工具</w:t>
            </w:r>
          </w:p>
        </w:tc>
        <w:tc>
          <w:tcPr>
            <w:tcW w:w="9599" w:type="dxa"/>
            <w:gridSpan w:val="6"/>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8</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安装调试费</w:t>
            </w:r>
          </w:p>
        </w:tc>
        <w:tc>
          <w:tcPr>
            <w:tcW w:w="9599" w:type="dxa"/>
            <w:gridSpan w:val="6"/>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sz w:val="24"/>
              </w:rPr>
            </w:pPr>
            <w:r>
              <w:rPr>
                <w:rFonts w:hint="eastAsia" w:ascii="仿宋" w:hAnsi="仿宋" w:eastAsia="仿宋"/>
                <w:sz w:val="24"/>
              </w:rPr>
              <w:t>9</w:t>
            </w: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运杂费</w:t>
            </w:r>
          </w:p>
        </w:tc>
        <w:tc>
          <w:tcPr>
            <w:tcW w:w="9599" w:type="dxa"/>
            <w:gridSpan w:val="6"/>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sz w:val="24"/>
              </w:rPr>
            </w:pPr>
          </w:p>
        </w:tc>
        <w:tc>
          <w:tcPr>
            <w:tcW w:w="3645" w:type="dxa"/>
            <w:vAlign w:val="center"/>
          </w:tcPr>
          <w:p>
            <w:pPr>
              <w:spacing w:line="420" w:lineRule="exact"/>
              <w:ind w:firstLine="480"/>
              <w:jc w:val="center"/>
              <w:rPr>
                <w:rFonts w:ascii="仿宋" w:hAnsi="仿宋" w:eastAsia="仿宋"/>
                <w:sz w:val="24"/>
              </w:rPr>
            </w:pPr>
            <w:r>
              <w:rPr>
                <w:rFonts w:hint="eastAsia" w:ascii="仿宋" w:hAnsi="仿宋" w:eastAsia="仿宋"/>
                <w:sz w:val="24"/>
              </w:rPr>
              <w:t>…</w:t>
            </w:r>
          </w:p>
        </w:tc>
        <w:tc>
          <w:tcPr>
            <w:tcW w:w="9599" w:type="dxa"/>
            <w:gridSpan w:val="6"/>
            <w:vAlign w:val="center"/>
          </w:tcPr>
          <w:p>
            <w:pPr>
              <w:spacing w:line="4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528" w:type="dxa"/>
            <w:gridSpan w:val="2"/>
            <w:vAlign w:val="center"/>
          </w:tcPr>
          <w:p>
            <w:pPr>
              <w:spacing w:line="420" w:lineRule="exact"/>
              <w:ind w:firstLine="480"/>
              <w:jc w:val="center"/>
              <w:rPr>
                <w:rFonts w:ascii="仿宋" w:hAnsi="仿宋" w:eastAsia="仿宋"/>
                <w:sz w:val="24"/>
              </w:rPr>
            </w:pPr>
            <w:r>
              <w:rPr>
                <w:rFonts w:hint="eastAsia" w:ascii="仿宋" w:hAnsi="仿宋" w:eastAsia="仿宋"/>
                <w:sz w:val="24"/>
              </w:rPr>
              <w:t>合计总价（万元）</w:t>
            </w:r>
          </w:p>
        </w:tc>
        <w:tc>
          <w:tcPr>
            <w:tcW w:w="9599" w:type="dxa"/>
            <w:gridSpan w:val="6"/>
            <w:vAlign w:val="center"/>
          </w:tcPr>
          <w:p>
            <w:pPr>
              <w:spacing w:line="420" w:lineRule="exact"/>
              <w:ind w:firstLine="480"/>
              <w:jc w:val="center"/>
              <w:rPr>
                <w:rFonts w:ascii="仿宋" w:hAnsi="仿宋" w:eastAsia="仿宋"/>
                <w:sz w:val="24"/>
              </w:rPr>
            </w:pPr>
          </w:p>
        </w:tc>
      </w:tr>
    </w:tbl>
    <w:p>
      <w:pPr>
        <w:spacing w:beforeLines="50" w:line="460" w:lineRule="exact"/>
        <w:ind w:firstLine="560" w:firstLineChars="200"/>
        <w:rPr>
          <w:rFonts w:ascii="仿宋" w:hAnsi="仿宋" w:eastAsia="仿宋"/>
          <w:sz w:val="28"/>
        </w:rPr>
      </w:pPr>
      <w:r>
        <w:rPr>
          <w:rFonts w:hint="eastAsia" w:ascii="仿宋" w:hAnsi="仿宋" w:eastAsia="仿宋"/>
          <w:b/>
          <w:sz w:val="28"/>
        </w:rPr>
        <w:t>注</w:t>
      </w:r>
      <w:r>
        <w:rPr>
          <w:rFonts w:hint="eastAsia" w:ascii="仿宋" w:hAnsi="仿宋" w:eastAsia="仿宋"/>
          <w:sz w:val="28"/>
        </w:rPr>
        <w:t>：1、如果按单价计算的结果与总价不一致，以单价为准修正总价。</w:t>
      </w:r>
    </w:p>
    <w:p>
      <w:pPr>
        <w:pStyle w:val="25"/>
        <w:spacing w:line="460" w:lineRule="exact"/>
        <w:ind w:right="-15" w:firstLine="1120" w:firstLineChars="400"/>
        <w:rPr>
          <w:rFonts w:ascii="仿宋" w:hAnsi="仿宋" w:eastAsia="仿宋"/>
          <w:b/>
          <w:sz w:val="28"/>
        </w:rPr>
      </w:pPr>
      <w:r>
        <w:rPr>
          <w:rFonts w:hint="eastAsia" w:ascii="仿宋" w:hAnsi="仿宋" w:eastAsia="仿宋"/>
          <w:b/>
          <w:sz w:val="28"/>
        </w:rPr>
        <w:t>2、供应商须参照第三章各包所列明的内容全部报价。如果不提供详细分项报价视为未实质性响应招标文件。</w:t>
      </w:r>
    </w:p>
    <w:p>
      <w:pPr>
        <w:pStyle w:val="25"/>
        <w:ind w:right="-553" w:firstLine="537" w:firstLineChars="192"/>
        <w:rPr>
          <w:rFonts w:ascii="仿宋" w:hAnsi="仿宋" w:eastAsia="仿宋"/>
          <w:sz w:val="28"/>
        </w:rPr>
      </w:pPr>
      <w:r>
        <w:rPr>
          <w:rFonts w:hint="eastAsia" w:ascii="仿宋" w:hAnsi="仿宋" w:eastAsia="仿宋"/>
          <w:sz w:val="28"/>
        </w:rPr>
        <w:t>投标单位授权代表人签字：                                           投标单位公章：</w:t>
      </w:r>
    </w:p>
    <w:p>
      <w:pPr>
        <w:pStyle w:val="116"/>
        <w:ind w:firstLine="560"/>
        <w:jc w:val="right"/>
        <w:rPr>
          <w:rFonts w:ascii="仿宋" w:hAnsi="仿宋" w:eastAsia="仿宋"/>
        </w:rPr>
      </w:pPr>
      <w:r>
        <w:rPr>
          <w:rFonts w:hint="eastAsia" w:ascii="仿宋" w:hAnsi="仿宋" w:eastAsia="仿宋"/>
        </w:rPr>
        <w:br w:type="page"/>
      </w:r>
      <w:r>
        <w:rPr>
          <w:rFonts w:hint="eastAsia" w:ascii="仿宋" w:hAnsi="仿宋" w:eastAsia="仿宋"/>
        </w:rPr>
        <w:t>附件九</w:t>
      </w:r>
    </w:p>
    <w:p>
      <w:pPr>
        <w:spacing w:line="360" w:lineRule="atLeast"/>
        <w:ind w:firstLine="723"/>
        <w:jc w:val="center"/>
        <w:rPr>
          <w:rFonts w:ascii="仿宋" w:hAnsi="仿宋" w:eastAsia="仿宋"/>
          <w:sz w:val="36"/>
        </w:rPr>
      </w:pPr>
      <w:r>
        <w:rPr>
          <w:rFonts w:hint="eastAsia" w:ascii="仿宋" w:hAnsi="仿宋" w:eastAsia="仿宋"/>
          <w:b/>
          <w:sz w:val="36"/>
        </w:rPr>
        <w:t>技 术 规 格 偏 离 表</w:t>
      </w:r>
    </w:p>
    <w:p>
      <w:pPr>
        <w:spacing w:line="360" w:lineRule="atLeast"/>
        <w:ind w:firstLine="560"/>
        <w:jc w:val="distribute"/>
        <w:rPr>
          <w:rFonts w:ascii="仿宋" w:hAnsi="仿宋" w:eastAsia="仿宋"/>
          <w:sz w:val="28"/>
        </w:rPr>
      </w:pPr>
      <w:r>
        <w:rPr>
          <w:rFonts w:hint="eastAsia" w:ascii="仿宋" w:hAnsi="仿宋" w:eastAsia="仿宋"/>
          <w:sz w:val="28"/>
        </w:rPr>
        <w:t>项目编号：                                            年     月    日</w:t>
      </w:r>
    </w:p>
    <w:tbl>
      <w:tblPr>
        <w:tblStyle w:val="43"/>
        <w:tblW w:w="0" w:type="auto"/>
        <w:jc w:val="center"/>
        <w:tblLayout w:type="fixed"/>
        <w:tblCellMar>
          <w:top w:w="0" w:type="dxa"/>
          <w:left w:w="108" w:type="dxa"/>
          <w:bottom w:w="0" w:type="dxa"/>
          <w:right w:w="108" w:type="dxa"/>
        </w:tblCellMar>
      </w:tblPr>
      <w:tblGrid>
        <w:gridCol w:w="918"/>
        <w:gridCol w:w="3762"/>
        <w:gridCol w:w="3865"/>
        <w:gridCol w:w="3060"/>
        <w:gridCol w:w="2435"/>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rPr>
            </w:pPr>
            <w:r>
              <w:rPr>
                <w:rFonts w:hint="eastAsia" w:ascii="仿宋" w:hAnsi="仿宋" w:eastAsia="仿宋"/>
                <w:sz w:val="28"/>
              </w:rPr>
              <w:t>序号</w:t>
            </w:r>
          </w:p>
        </w:tc>
        <w:tc>
          <w:tcPr>
            <w:tcW w:w="376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招标规格</w:t>
            </w:r>
          </w:p>
        </w:tc>
        <w:tc>
          <w:tcPr>
            <w:tcW w:w="38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投标规格</w:t>
            </w:r>
          </w:p>
        </w:tc>
        <w:tc>
          <w:tcPr>
            <w:tcW w:w="3060"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rPr>
            </w:pPr>
            <w:r>
              <w:rPr>
                <w:rFonts w:hint="eastAsia" w:ascii="仿宋" w:hAnsi="仿宋" w:eastAsia="仿宋"/>
                <w:sz w:val="28"/>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响应/偏离</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762"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8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060"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rPr>
            </w:pPr>
          </w:p>
        </w:tc>
        <w:tc>
          <w:tcPr>
            <w:tcW w:w="2435"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rPr>
            </w:pPr>
          </w:p>
        </w:tc>
      </w:tr>
    </w:tbl>
    <w:p>
      <w:pPr>
        <w:ind w:firstLine="562"/>
        <w:rPr>
          <w:rFonts w:ascii="仿宋" w:hAnsi="仿宋" w:eastAsia="仿宋"/>
          <w:kern w:val="0"/>
          <w:sz w:val="24"/>
        </w:rPr>
      </w:pPr>
      <w:r>
        <w:rPr>
          <w:rFonts w:hint="eastAsia" w:ascii="仿宋" w:hAnsi="仿宋" w:eastAsia="仿宋"/>
          <w:b/>
          <w:sz w:val="28"/>
        </w:rPr>
        <w:t>（供应商须对第三章所有技术参数条款逐条列明是否响应，如有偏离，须一一列明）</w:t>
      </w:r>
    </w:p>
    <w:p>
      <w:pPr>
        <w:ind w:right="850"/>
        <w:jc w:val="right"/>
        <w:rPr>
          <w:rFonts w:ascii="仿宋" w:hAnsi="仿宋" w:eastAsia="仿宋"/>
          <w:sz w:val="24"/>
        </w:rPr>
      </w:pPr>
      <w:r>
        <w:rPr>
          <w:rFonts w:hint="eastAsia" w:ascii="仿宋" w:hAnsi="仿宋" w:eastAsia="仿宋"/>
          <w:sz w:val="28"/>
        </w:rPr>
        <w:t>投标单位授权代表人签字：                                                 投标单位公章：</w:t>
      </w:r>
      <w:r>
        <w:rPr>
          <w:rFonts w:hint="eastAsia" w:ascii="仿宋" w:hAnsi="仿宋" w:eastAsia="仿宋"/>
          <w:b/>
          <w:sz w:val="42"/>
        </w:rPr>
        <w:br w:type="page"/>
      </w:r>
      <w:r>
        <w:rPr>
          <w:rFonts w:hint="eastAsia" w:ascii="仿宋" w:hAnsi="仿宋" w:eastAsia="仿宋"/>
          <w:sz w:val="28"/>
        </w:rPr>
        <w:t>附件十</w:t>
      </w:r>
    </w:p>
    <w:p>
      <w:pPr>
        <w:spacing w:line="360" w:lineRule="atLeast"/>
        <w:ind w:firstLine="723"/>
        <w:jc w:val="center"/>
        <w:rPr>
          <w:rFonts w:ascii="仿宋" w:hAnsi="仿宋" w:eastAsia="仿宋"/>
          <w:sz w:val="36"/>
        </w:rPr>
      </w:pPr>
      <w:r>
        <w:rPr>
          <w:rFonts w:hint="eastAsia" w:ascii="仿宋" w:hAnsi="仿宋" w:eastAsia="仿宋"/>
          <w:b/>
          <w:sz w:val="36"/>
        </w:rPr>
        <w:t>商 务 条 款 偏 离 表</w:t>
      </w:r>
    </w:p>
    <w:p>
      <w:pPr>
        <w:spacing w:line="360" w:lineRule="atLeast"/>
        <w:ind w:right="352" w:firstLine="560"/>
        <w:jc w:val="distribute"/>
        <w:rPr>
          <w:rFonts w:ascii="仿宋" w:hAnsi="仿宋" w:eastAsia="仿宋"/>
          <w:sz w:val="28"/>
        </w:rPr>
      </w:pPr>
      <w:r>
        <w:rPr>
          <w:rFonts w:hint="eastAsia" w:ascii="仿宋" w:hAnsi="仿宋" w:eastAsia="仿宋"/>
          <w:sz w:val="28"/>
        </w:rPr>
        <w:t>项目编号：</w:t>
      </w:r>
      <w:r>
        <w:rPr>
          <w:rFonts w:ascii="仿宋" w:hAnsi="仿宋" w:eastAsia="仿宋"/>
          <w:sz w:val="28"/>
          <w:szCs w:val="28"/>
        </w:rPr>
        <w:t xml:space="preserve">  </w:t>
      </w:r>
      <w:r>
        <w:rPr>
          <w:rFonts w:hint="eastAsia" w:ascii="仿宋" w:hAnsi="仿宋" w:eastAsia="仿宋"/>
          <w:sz w:val="28"/>
        </w:rPr>
        <w:t xml:space="preserve">                                                  年   月   日 </w:t>
      </w:r>
    </w:p>
    <w:tbl>
      <w:tblPr>
        <w:tblStyle w:val="43"/>
        <w:tblW w:w="0" w:type="auto"/>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140" w:firstLineChars="50"/>
              <w:rPr>
                <w:rFonts w:ascii="仿宋" w:hAnsi="仿宋" w:eastAsia="仿宋"/>
                <w:sz w:val="28"/>
              </w:rPr>
            </w:pPr>
            <w:r>
              <w:rPr>
                <w:rFonts w:hint="eastAsia" w:ascii="仿宋" w:hAnsi="仿宋" w:eastAsia="仿宋"/>
                <w:sz w:val="28"/>
              </w:rPr>
              <w:t>序号</w:t>
            </w:r>
          </w:p>
        </w:tc>
        <w:tc>
          <w:tcPr>
            <w:tcW w:w="1806" w:type="dxa"/>
            <w:tcBorders>
              <w:top w:val="single" w:color="auto" w:sz="6" w:space="0"/>
              <w:left w:val="single" w:color="auto" w:sz="6" w:space="0"/>
              <w:bottom w:val="single" w:color="auto" w:sz="6" w:space="0"/>
              <w:right w:val="single" w:color="auto" w:sz="6" w:space="0"/>
            </w:tcBorders>
            <w:vAlign w:val="center"/>
          </w:tcPr>
          <w:p>
            <w:pPr>
              <w:ind w:firstLine="280" w:firstLineChars="100"/>
              <w:rPr>
                <w:rFonts w:ascii="仿宋" w:hAnsi="仿宋" w:eastAsia="仿宋"/>
                <w:sz w:val="28"/>
              </w:rPr>
            </w:pPr>
            <w:r>
              <w:rPr>
                <w:rFonts w:hint="eastAsia" w:ascii="仿宋" w:hAnsi="仿宋" w:eastAsia="仿宋"/>
                <w:sz w:val="28"/>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sz w:val="28"/>
              </w:rPr>
            </w:pPr>
            <w:r>
              <w:rPr>
                <w:rFonts w:hint="eastAsia" w:ascii="仿宋" w:hAnsi="仿宋" w:eastAsia="仿宋"/>
                <w:sz w:val="28"/>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sz w:val="28"/>
              </w:rPr>
            </w:pPr>
            <w:r>
              <w:rPr>
                <w:rFonts w:hint="eastAsia" w:ascii="仿宋" w:hAnsi="仿宋" w:eastAsia="仿宋"/>
                <w:sz w:val="28"/>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pPr>
              <w:ind w:firstLine="560"/>
              <w:jc w:val="center"/>
              <w:rPr>
                <w:rFonts w:ascii="仿宋" w:hAnsi="仿宋" w:eastAsia="仿宋"/>
                <w:sz w:val="28"/>
              </w:rPr>
            </w:pPr>
            <w:r>
              <w:rPr>
                <w:rFonts w:hint="eastAsia" w:ascii="仿宋" w:hAnsi="仿宋" w:eastAsia="仿宋"/>
                <w:sz w:val="28"/>
              </w:rPr>
              <w:t>响应/偏离</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80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76"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43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2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bl>
    <w:p>
      <w:pPr>
        <w:ind w:firstLine="620"/>
        <w:rPr>
          <w:rFonts w:ascii="仿宋" w:hAnsi="仿宋" w:eastAsia="仿宋"/>
          <w:sz w:val="31"/>
        </w:rPr>
      </w:pPr>
    </w:p>
    <w:p>
      <w:pPr>
        <w:ind w:right="10" w:firstLine="560"/>
        <w:rPr>
          <w:rFonts w:ascii="仿宋" w:hAnsi="仿宋" w:eastAsia="仿宋"/>
          <w:sz w:val="28"/>
        </w:rPr>
      </w:pPr>
      <w:r>
        <w:rPr>
          <w:rFonts w:hint="eastAsia" w:ascii="仿宋" w:hAnsi="仿宋" w:eastAsia="仿宋"/>
          <w:sz w:val="28"/>
        </w:rPr>
        <w:t>投标单位授权代表人签字：                                                 投标单位公章：</w:t>
      </w:r>
    </w:p>
    <w:p>
      <w:pPr>
        <w:ind w:right="10" w:firstLine="560"/>
        <w:jc w:val="right"/>
        <w:rPr>
          <w:rFonts w:ascii="仿宋" w:hAnsi="仿宋" w:eastAsia="仿宋"/>
          <w:sz w:val="24"/>
        </w:rPr>
      </w:pPr>
      <w:r>
        <w:rPr>
          <w:rFonts w:hint="eastAsia" w:ascii="仿宋" w:hAnsi="仿宋" w:eastAsia="仿宋"/>
          <w:sz w:val="28"/>
        </w:rPr>
        <w:br w:type="page"/>
      </w:r>
      <w:r>
        <w:rPr>
          <w:rFonts w:hint="eastAsia" w:ascii="仿宋" w:hAnsi="仿宋" w:eastAsia="仿宋"/>
          <w:sz w:val="28"/>
        </w:rPr>
        <w:t>附件十一</w:t>
      </w:r>
    </w:p>
    <w:p>
      <w:pPr>
        <w:spacing w:line="360" w:lineRule="atLeast"/>
        <w:ind w:firstLine="723"/>
        <w:jc w:val="center"/>
        <w:rPr>
          <w:rFonts w:ascii="仿宋" w:hAnsi="仿宋" w:eastAsia="仿宋"/>
          <w:b/>
          <w:sz w:val="36"/>
        </w:rPr>
      </w:pPr>
      <w:r>
        <w:rPr>
          <w:rFonts w:hint="eastAsia" w:ascii="仿宋" w:hAnsi="仿宋" w:eastAsia="仿宋"/>
          <w:b/>
          <w:sz w:val="36"/>
        </w:rPr>
        <w:t>供应商近三年同类产品销售业绩表</w:t>
      </w:r>
    </w:p>
    <w:p>
      <w:pPr>
        <w:spacing w:line="360" w:lineRule="atLeast"/>
        <w:ind w:firstLine="560"/>
        <w:rPr>
          <w:rFonts w:ascii="仿宋" w:hAnsi="仿宋" w:eastAsia="仿宋"/>
          <w:sz w:val="28"/>
        </w:rPr>
      </w:pPr>
      <w:r>
        <w:rPr>
          <w:rFonts w:hint="eastAsia" w:ascii="仿宋" w:hAnsi="仿宋" w:eastAsia="仿宋"/>
          <w:sz w:val="28"/>
        </w:rPr>
        <w:t>项目编号：</w:t>
      </w:r>
      <w:r>
        <w:rPr>
          <w:rFonts w:ascii="仿宋" w:hAnsi="仿宋" w:eastAsia="仿宋"/>
          <w:sz w:val="28"/>
        </w:rPr>
        <w:t xml:space="preserve">  </w:t>
      </w:r>
      <w:r>
        <w:rPr>
          <w:rFonts w:hint="eastAsia" w:ascii="仿宋" w:hAnsi="仿宋" w:eastAsia="仿宋"/>
          <w:sz w:val="28"/>
          <w:szCs w:val="28"/>
        </w:rPr>
        <w:t xml:space="preserve">            </w:t>
      </w:r>
      <w:r>
        <w:rPr>
          <w:rFonts w:hint="eastAsia" w:ascii="仿宋" w:hAnsi="仿宋" w:eastAsia="仿宋"/>
          <w:sz w:val="28"/>
        </w:rPr>
        <w:t xml:space="preserve">                                            年     月    日</w:t>
      </w:r>
    </w:p>
    <w:tbl>
      <w:tblPr>
        <w:tblStyle w:val="43"/>
        <w:tblW w:w="0" w:type="auto"/>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rPr>
            </w:pPr>
            <w:r>
              <w:rPr>
                <w:rFonts w:hint="eastAsia" w:ascii="仿宋" w:hAnsi="仿宋" w:eastAsia="仿宋"/>
                <w:sz w:val="28"/>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rPr>
            </w:pPr>
          </w:p>
        </w:tc>
      </w:tr>
    </w:tbl>
    <w:p>
      <w:pPr>
        <w:spacing w:line="520" w:lineRule="exact"/>
        <w:ind w:firstLine="137" w:firstLineChars="49"/>
        <w:rPr>
          <w:rFonts w:ascii="仿宋" w:hAnsi="仿宋" w:eastAsia="仿宋"/>
          <w:b/>
          <w:sz w:val="28"/>
          <w:szCs w:val="28"/>
        </w:rPr>
      </w:pPr>
      <w:r>
        <w:rPr>
          <w:rFonts w:hint="eastAsia" w:ascii="仿宋" w:hAnsi="仿宋" w:eastAsia="仿宋"/>
          <w:b/>
          <w:sz w:val="28"/>
          <w:szCs w:val="28"/>
        </w:rPr>
        <w:t>注：供应商应随此表附上相关的业绩证明（如中标通知书</w:t>
      </w:r>
      <w:r>
        <w:rPr>
          <w:rFonts w:hint="eastAsia" w:ascii="仿宋" w:hAnsi="仿宋" w:eastAsia="仿宋"/>
          <w:b/>
          <w:sz w:val="28"/>
          <w:szCs w:val="28"/>
          <w:lang w:val="en-US" w:eastAsia="zh-CN"/>
        </w:rPr>
        <w:t>或</w:t>
      </w:r>
      <w:r>
        <w:rPr>
          <w:rFonts w:hint="eastAsia" w:ascii="仿宋" w:hAnsi="仿宋" w:eastAsia="仿宋"/>
          <w:b/>
          <w:sz w:val="28"/>
          <w:szCs w:val="28"/>
        </w:rPr>
        <w:t>合同等的复印件）。</w:t>
      </w:r>
    </w:p>
    <w:p>
      <w:pPr>
        <w:ind w:firstLine="560"/>
        <w:rPr>
          <w:rFonts w:ascii="仿宋" w:hAnsi="仿宋" w:eastAsia="仿宋"/>
        </w:rPr>
      </w:pPr>
      <w:r>
        <w:rPr>
          <w:rFonts w:hint="eastAsia" w:ascii="仿宋" w:hAnsi="仿宋" w:eastAsia="仿宋"/>
          <w:sz w:val="28"/>
        </w:rPr>
        <w:t>投标单位授权代表人签字：                                                 投标单位公章：</w:t>
      </w:r>
    </w:p>
    <w:p>
      <w:pPr>
        <w:widowControl/>
        <w:jc w:val="left"/>
        <w:rPr>
          <w:rFonts w:ascii="仿宋" w:hAnsi="仿宋" w:eastAsia="仿宋"/>
        </w:rPr>
      </w:pPr>
    </w:p>
    <w:sectPr>
      <w:footerReference r:id="rId13" w:type="first"/>
      <w:headerReference r:id="rId10" w:type="default"/>
      <w:footerReference r:id="rId12" w:type="default"/>
      <w:headerReference r:id="rId11" w:type="even"/>
      <w:pgSz w:w="16838" w:h="11906" w:orient="landscape"/>
      <w:pgMar w:top="1304" w:right="1304" w:bottom="1304" w:left="1304" w:header="851" w:footer="851"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Arial Narrow">
    <w:altName w:val="Arial"/>
    <w:panose1 w:val="020B0606020202030204"/>
    <w:charset w:val="00"/>
    <w:family w:val="swiss"/>
    <w:pitch w:val="default"/>
    <w:sig w:usb0="00000000" w:usb1="00000000" w:usb2="00000000" w:usb3="00000000" w:csb0="0000009F" w:csb1="00000000"/>
  </w:font>
  <w:font w:name="仿宋体">
    <w:altName w:val="宋体"/>
    <w:panose1 w:val="00000000000000000000"/>
    <w:charset w:val="86"/>
    <w:family w:val="roma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GE汉仪中圆简">
    <w:altName w:val="宋体"/>
    <w:panose1 w:val="00000000000000000000"/>
    <w:charset w:val="00"/>
    <w:family w:val="auto"/>
    <w:pitch w:val="default"/>
    <w:sig w:usb0="00000000" w:usb1="00000000" w:usb2="00000000" w:usb3="00000000" w:csb0="00040001"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5185"/>
        <w:tab w:val="clear" w:pos="4153"/>
      </w:tabs>
      <w:rPr>
        <w:rFonts w:hint="default"/>
        <w:lang w:val="en-US"/>
      </w:rPr>
    </w:pPr>
    <w:r>
      <w:rPr>
        <w:rFonts w:hint="eastAsia"/>
        <w:sz w:val="18"/>
        <w:lang w:val="en-US" w:eastAsia="zh-CN"/>
      </w:rPr>
      <w:t xml:space="preserve"> </w:t>
    </w:r>
    <w:r>
      <w:rPr>
        <w:rFonts w:hint="eastAsia"/>
        <w:lang w:val="en-US" w:eastAsia="zh-CN"/>
      </w:rPr>
      <w:tab/>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4861"/>
        <w:tab w:val="clear" w:pos="4153"/>
      </w:tabs>
      <w:rPr>
        <w:rFonts w:hint="default"/>
        <w:b/>
        <w:bCs/>
        <w:sz w:val="21"/>
        <w:szCs w:val="21"/>
        <w:lang w:val="en-US"/>
      </w:rPr>
    </w:pPr>
    <w:r>
      <w:rPr>
        <w:rFonts w:hint="eastAsia" w:ascii="仿宋" w:hAnsi="仿宋" w:eastAsia="仿宋" w:cs="仿宋"/>
        <w:b/>
        <w:bCs/>
        <w:sz w:val="21"/>
        <w:szCs w:val="21"/>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idowControl w:val="0"/>
      <w:pBdr>
        <w:top w:val="dashDotStroked" w:color="auto" w:sz="24" w:space="1"/>
        <w:left w:val="none" w:color="auto" w:sz="0" w:space="4"/>
        <w:bottom w:val="none" w:color="auto" w:sz="0" w:space="1"/>
        <w:right w:val="none" w:color="auto" w:sz="0" w:space="4"/>
        <w:between w:val="none" w:color="auto" w:sz="0" w:space="0"/>
      </w:pBdr>
      <w:snapToGrid w:val="0"/>
      <w:jc w:val="left"/>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48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widowControl w:val="0"/>
      <w:pBdr>
        <w:top w:val="dashDotStroked" w:color="auto" w:sz="24" w:space="1"/>
        <w:left w:val="none" w:color="auto" w:sz="0" w:space="4"/>
        <w:bottom w:val="none" w:color="auto" w:sz="0" w:space="1"/>
        <w:right w:val="none" w:color="auto" w:sz="0" w:space="4"/>
        <w:between w:val="none" w:color="auto" w:sz="0" w:space="0"/>
      </w:pBdr>
      <w:snapToGrid w:val="0"/>
      <w:jc w:val="left"/>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92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firstLine="422"/>
      <w:jc w:val="center"/>
    </w:pPr>
    <w:r>
      <w:rPr>
        <w:rFonts w:hint="eastAsia"/>
        <w:b/>
        <w:i/>
      </w:rPr>
      <w:t>电话：0991-8852232  传真：0991-8852230                                                    新疆新之建工程咨询有限公司编制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eastAsia="仿宋_GB2312"/>
        <w:lang w:val="en-US" w:eastAsia="zh-CN"/>
      </w:rPr>
    </w:pPr>
    <w:r>
      <w:rPr>
        <w:rFonts w:hint="eastAsia" w:ascii="仿宋_GB2312" w:eastAsia="仿宋_GB2312"/>
        <w:b/>
        <w:i/>
        <w:sz w:val="18"/>
        <w:szCs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jc w:val="center"/>
      <w:rPr>
        <w:rFonts w:hint="eastAsia" w:ascii="仿宋_GB2312" w:eastAsia="仿宋_GB2312"/>
        <w:b/>
        <w:i/>
        <w:spacing w:val="-10"/>
        <w:sz w:val="18"/>
        <w:szCs w:val="18"/>
        <w:lang w:val="en-US" w:eastAsia="zh-CN"/>
      </w:rPr>
    </w:pPr>
    <w:r>
      <w:rPr>
        <w:rFonts w:hint="eastAsia" w:ascii="仿宋_GB2312" w:eastAsia="仿宋_GB2312"/>
        <w:b/>
        <w:i/>
        <w:sz w:val="18"/>
        <w:szCs w:val="18"/>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A321B"/>
    <w:multiLevelType w:val="singleLevel"/>
    <w:tmpl w:val="41DA321B"/>
    <w:lvl w:ilvl="0" w:tentative="0">
      <w:start w:val="1"/>
      <w:numFmt w:val="decimal"/>
      <w:suff w:val="nothing"/>
      <w:lvlText w:val="（%1）"/>
      <w:lvlJc w:val="left"/>
      <w:pPr>
        <w:ind w:left="-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zOWMwNDQ3ODZmYjVlNzM3ZDYxYWI1ZmM5OTdmZjIifQ=="/>
    <w:docVar w:name="KSO_WPS_MARK_KEY" w:val="0324115b-e1bc-4054-b059-d838bcc76e23"/>
  </w:docVars>
  <w:rsids>
    <w:rsidRoot w:val="00016682"/>
    <w:rsid w:val="00000638"/>
    <w:rsid w:val="0000089D"/>
    <w:rsid w:val="000018B1"/>
    <w:rsid w:val="000044EA"/>
    <w:rsid w:val="00006D22"/>
    <w:rsid w:val="00006F53"/>
    <w:rsid w:val="00007617"/>
    <w:rsid w:val="00007C0B"/>
    <w:rsid w:val="00007F8B"/>
    <w:rsid w:val="0001027E"/>
    <w:rsid w:val="000106C3"/>
    <w:rsid w:val="00010A26"/>
    <w:rsid w:val="00010F86"/>
    <w:rsid w:val="00012C62"/>
    <w:rsid w:val="000138EA"/>
    <w:rsid w:val="00013BDB"/>
    <w:rsid w:val="00014361"/>
    <w:rsid w:val="00014A0A"/>
    <w:rsid w:val="00014C37"/>
    <w:rsid w:val="00016682"/>
    <w:rsid w:val="00016E45"/>
    <w:rsid w:val="000209DF"/>
    <w:rsid w:val="00020AC4"/>
    <w:rsid w:val="00020F5A"/>
    <w:rsid w:val="00021194"/>
    <w:rsid w:val="0002257F"/>
    <w:rsid w:val="000227A5"/>
    <w:rsid w:val="00026551"/>
    <w:rsid w:val="00026565"/>
    <w:rsid w:val="000266BC"/>
    <w:rsid w:val="00027970"/>
    <w:rsid w:val="00027D8F"/>
    <w:rsid w:val="00030377"/>
    <w:rsid w:val="00030707"/>
    <w:rsid w:val="000313C2"/>
    <w:rsid w:val="00031637"/>
    <w:rsid w:val="000328FD"/>
    <w:rsid w:val="00032AFD"/>
    <w:rsid w:val="00032E4B"/>
    <w:rsid w:val="0003464B"/>
    <w:rsid w:val="0003694C"/>
    <w:rsid w:val="00036CFA"/>
    <w:rsid w:val="00036E82"/>
    <w:rsid w:val="00040590"/>
    <w:rsid w:val="000407E2"/>
    <w:rsid w:val="00040A82"/>
    <w:rsid w:val="00041BB6"/>
    <w:rsid w:val="00044A80"/>
    <w:rsid w:val="00044B56"/>
    <w:rsid w:val="00044E79"/>
    <w:rsid w:val="00045882"/>
    <w:rsid w:val="0005010F"/>
    <w:rsid w:val="00050EEF"/>
    <w:rsid w:val="00051699"/>
    <w:rsid w:val="00052D2C"/>
    <w:rsid w:val="000554A6"/>
    <w:rsid w:val="000569AB"/>
    <w:rsid w:val="00056F5A"/>
    <w:rsid w:val="000608F0"/>
    <w:rsid w:val="00060E53"/>
    <w:rsid w:val="00062D50"/>
    <w:rsid w:val="000651C8"/>
    <w:rsid w:val="00065504"/>
    <w:rsid w:val="00066730"/>
    <w:rsid w:val="00067DFF"/>
    <w:rsid w:val="00070B4F"/>
    <w:rsid w:val="000718FF"/>
    <w:rsid w:val="0007217D"/>
    <w:rsid w:val="00072B67"/>
    <w:rsid w:val="00073C09"/>
    <w:rsid w:val="0007409A"/>
    <w:rsid w:val="00074E43"/>
    <w:rsid w:val="00077107"/>
    <w:rsid w:val="000775C0"/>
    <w:rsid w:val="000804FC"/>
    <w:rsid w:val="000805FD"/>
    <w:rsid w:val="000823A9"/>
    <w:rsid w:val="000829D4"/>
    <w:rsid w:val="00083041"/>
    <w:rsid w:val="00085332"/>
    <w:rsid w:val="0008768A"/>
    <w:rsid w:val="00091075"/>
    <w:rsid w:val="000917F6"/>
    <w:rsid w:val="00091832"/>
    <w:rsid w:val="00092026"/>
    <w:rsid w:val="0009355D"/>
    <w:rsid w:val="00093E1E"/>
    <w:rsid w:val="0009445C"/>
    <w:rsid w:val="0009462C"/>
    <w:rsid w:val="00094A7F"/>
    <w:rsid w:val="00095386"/>
    <w:rsid w:val="00095CB1"/>
    <w:rsid w:val="00096006"/>
    <w:rsid w:val="0009662B"/>
    <w:rsid w:val="0009668C"/>
    <w:rsid w:val="000A0F14"/>
    <w:rsid w:val="000A1450"/>
    <w:rsid w:val="000A1564"/>
    <w:rsid w:val="000A215E"/>
    <w:rsid w:val="000A30C0"/>
    <w:rsid w:val="000A3525"/>
    <w:rsid w:val="000A3BE3"/>
    <w:rsid w:val="000A6D20"/>
    <w:rsid w:val="000B0DF4"/>
    <w:rsid w:val="000B18B1"/>
    <w:rsid w:val="000B1A81"/>
    <w:rsid w:val="000B2FA6"/>
    <w:rsid w:val="000B3633"/>
    <w:rsid w:val="000B4D0C"/>
    <w:rsid w:val="000B5615"/>
    <w:rsid w:val="000B5647"/>
    <w:rsid w:val="000B6DBF"/>
    <w:rsid w:val="000B71E4"/>
    <w:rsid w:val="000B7E48"/>
    <w:rsid w:val="000C03E4"/>
    <w:rsid w:val="000C0719"/>
    <w:rsid w:val="000C0C6D"/>
    <w:rsid w:val="000C0DE4"/>
    <w:rsid w:val="000C10AB"/>
    <w:rsid w:val="000C2AD3"/>
    <w:rsid w:val="000C2BAC"/>
    <w:rsid w:val="000C46B1"/>
    <w:rsid w:val="000C4C67"/>
    <w:rsid w:val="000C5284"/>
    <w:rsid w:val="000C62D5"/>
    <w:rsid w:val="000C62D8"/>
    <w:rsid w:val="000C6807"/>
    <w:rsid w:val="000D026B"/>
    <w:rsid w:val="000D07E6"/>
    <w:rsid w:val="000D0B74"/>
    <w:rsid w:val="000D0EAD"/>
    <w:rsid w:val="000D37A7"/>
    <w:rsid w:val="000D40DD"/>
    <w:rsid w:val="000D468C"/>
    <w:rsid w:val="000D4C06"/>
    <w:rsid w:val="000D4C24"/>
    <w:rsid w:val="000D5AC0"/>
    <w:rsid w:val="000D5C50"/>
    <w:rsid w:val="000D67FC"/>
    <w:rsid w:val="000E07A1"/>
    <w:rsid w:val="000E0B76"/>
    <w:rsid w:val="000E288A"/>
    <w:rsid w:val="000E2CB1"/>
    <w:rsid w:val="000E2D9B"/>
    <w:rsid w:val="000E3137"/>
    <w:rsid w:val="000E3A28"/>
    <w:rsid w:val="000E3B4F"/>
    <w:rsid w:val="000E3D11"/>
    <w:rsid w:val="000E44AF"/>
    <w:rsid w:val="000E4902"/>
    <w:rsid w:val="000E5B8B"/>
    <w:rsid w:val="000E643A"/>
    <w:rsid w:val="000E65F6"/>
    <w:rsid w:val="000E6CA5"/>
    <w:rsid w:val="000E71F2"/>
    <w:rsid w:val="000E753F"/>
    <w:rsid w:val="000E7551"/>
    <w:rsid w:val="000E763E"/>
    <w:rsid w:val="000F041E"/>
    <w:rsid w:val="000F19B6"/>
    <w:rsid w:val="000F3064"/>
    <w:rsid w:val="000F332B"/>
    <w:rsid w:val="000F40DF"/>
    <w:rsid w:val="000F48AD"/>
    <w:rsid w:val="000F4B83"/>
    <w:rsid w:val="000F5BCD"/>
    <w:rsid w:val="000F762A"/>
    <w:rsid w:val="001007DC"/>
    <w:rsid w:val="00100931"/>
    <w:rsid w:val="001012CA"/>
    <w:rsid w:val="001022C1"/>
    <w:rsid w:val="00103A00"/>
    <w:rsid w:val="00104236"/>
    <w:rsid w:val="00105770"/>
    <w:rsid w:val="001058C6"/>
    <w:rsid w:val="00105AE9"/>
    <w:rsid w:val="00105E7E"/>
    <w:rsid w:val="0010724F"/>
    <w:rsid w:val="001072B5"/>
    <w:rsid w:val="00107AF2"/>
    <w:rsid w:val="00107CF0"/>
    <w:rsid w:val="00107DCF"/>
    <w:rsid w:val="0011034D"/>
    <w:rsid w:val="00110475"/>
    <w:rsid w:val="00111942"/>
    <w:rsid w:val="00112589"/>
    <w:rsid w:val="00113EB0"/>
    <w:rsid w:val="00114C14"/>
    <w:rsid w:val="00115631"/>
    <w:rsid w:val="00115BC4"/>
    <w:rsid w:val="0011696A"/>
    <w:rsid w:val="00120CA4"/>
    <w:rsid w:val="00120F99"/>
    <w:rsid w:val="001218AB"/>
    <w:rsid w:val="00121B74"/>
    <w:rsid w:val="00122A65"/>
    <w:rsid w:val="001231AC"/>
    <w:rsid w:val="0012327E"/>
    <w:rsid w:val="0012339B"/>
    <w:rsid w:val="0012342C"/>
    <w:rsid w:val="00123817"/>
    <w:rsid w:val="00124588"/>
    <w:rsid w:val="00126C44"/>
    <w:rsid w:val="001272DC"/>
    <w:rsid w:val="001273A3"/>
    <w:rsid w:val="00130445"/>
    <w:rsid w:val="00130D32"/>
    <w:rsid w:val="00130E20"/>
    <w:rsid w:val="001319F7"/>
    <w:rsid w:val="00131E3E"/>
    <w:rsid w:val="0013215A"/>
    <w:rsid w:val="00132201"/>
    <w:rsid w:val="00132D9F"/>
    <w:rsid w:val="00133C89"/>
    <w:rsid w:val="00133DB6"/>
    <w:rsid w:val="00134948"/>
    <w:rsid w:val="00134EC1"/>
    <w:rsid w:val="00134F67"/>
    <w:rsid w:val="00135227"/>
    <w:rsid w:val="00135F73"/>
    <w:rsid w:val="00136617"/>
    <w:rsid w:val="001366B0"/>
    <w:rsid w:val="00140273"/>
    <w:rsid w:val="001415BA"/>
    <w:rsid w:val="00143759"/>
    <w:rsid w:val="00144C46"/>
    <w:rsid w:val="001450B9"/>
    <w:rsid w:val="00145CC4"/>
    <w:rsid w:val="001469F8"/>
    <w:rsid w:val="001476B8"/>
    <w:rsid w:val="001515A8"/>
    <w:rsid w:val="00152240"/>
    <w:rsid w:val="0015254D"/>
    <w:rsid w:val="001527C6"/>
    <w:rsid w:val="001528DD"/>
    <w:rsid w:val="001528FD"/>
    <w:rsid w:val="001530D1"/>
    <w:rsid w:val="00153AE4"/>
    <w:rsid w:val="00153C7A"/>
    <w:rsid w:val="00153E06"/>
    <w:rsid w:val="001540F5"/>
    <w:rsid w:val="00154B78"/>
    <w:rsid w:val="00155463"/>
    <w:rsid w:val="001554FF"/>
    <w:rsid w:val="00156D13"/>
    <w:rsid w:val="00157C65"/>
    <w:rsid w:val="00160DCE"/>
    <w:rsid w:val="001634D6"/>
    <w:rsid w:val="001635E2"/>
    <w:rsid w:val="00165FC9"/>
    <w:rsid w:val="00166830"/>
    <w:rsid w:val="00167182"/>
    <w:rsid w:val="001678C0"/>
    <w:rsid w:val="001711E9"/>
    <w:rsid w:val="00172DFE"/>
    <w:rsid w:val="001738BE"/>
    <w:rsid w:val="00174ED1"/>
    <w:rsid w:val="00174FD7"/>
    <w:rsid w:val="00175FD7"/>
    <w:rsid w:val="00177A1A"/>
    <w:rsid w:val="00180CEC"/>
    <w:rsid w:val="00181504"/>
    <w:rsid w:val="00182D2C"/>
    <w:rsid w:val="001830B0"/>
    <w:rsid w:val="00183515"/>
    <w:rsid w:val="001839F3"/>
    <w:rsid w:val="001844AD"/>
    <w:rsid w:val="00184FBC"/>
    <w:rsid w:val="00185BF3"/>
    <w:rsid w:val="00185D55"/>
    <w:rsid w:val="0018696C"/>
    <w:rsid w:val="0018771F"/>
    <w:rsid w:val="00190A57"/>
    <w:rsid w:val="001916EE"/>
    <w:rsid w:val="001919A7"/>
    <w:rsid w:val="001920F3"/>
    <w:rsid w:val="00192604"/>
    <w:rsid w:val="0019293D"/>
    <w:rsid w:val="00192B4F"/>
    <w:rsid w:val="001930EB"/>
    <w:rsid w:val="001931A6"/>
    <w:rsid w:val="00193720"/>
    <w:rsid w:val="0019414B"/>
    <w:rsid w:val="001946FE"/>
    <w:rsid w:val="00194D3D"/>
    <w:rsid w:val="00195BAC"/>
    <w:rsid w:val="001964F5"/>
    <w:rsid w:val="001969B4"/>
    <w:rsid w:val="001A1094"/>
    <w:rsid w:val="001A28CC"/>
    <w:rsid w:val="001A5580"/>
    <w:rsid w:val="001A5C24"/>
    <w:rsid w:val="001B117A"/>
    <w:rsid w:val="001B28D2"/>
    <w:rsid w:val="001B53FE"/>
    <w:rsid w:val="001B5B23"/>
    <w:rsid w:val="001B5D02"/>
    <w:rsid w:val="001B65DD"/>
    <w:rsid w:val="001B660E"/>
    <w:rsid w:val="001B6DF4"/>
    <w:rsid w:val="001B780A"/>
    <w:rsid w:val="001C0BCD"/>
    <w:rsid w:val="001C0FDD"/>
    <w:rsid w:val="001C2861"/>
    <w:rsid w:val="001C3E72"/>
    <w:rsid w:val="001C3F34"/>
    <w:rsid w:val="001C4EA0"/>
    <w:rsid w:val="001C6161"/>
    <w:rsid w:val="001C692B"/>
    <w:rsid w:val="001C7548"/>
    <w:rsid w:val="001C7B21"/>
    <w:rsid w:val="001D041C"/>
    <w:rsid w:val="001D2D6A"/>
    <w:rsid w:val="001D393D"/>
    <w:rsid w:val="001D3C15"/>
    <w:rsid w:val="001D3D6B"/>
    <w:rsid w:val="001D417F"/>
    <w:rsid w:val="001D53D5"/>
    <w:rsid w:val="001D615C"/>
    <w:rsid w:val="001D652C"/>
    <w:rsid w:val="001D669F"/>
    <w:rsid w:val="001D787C"/>
    <w:rsid w:val="001E025C"/>
    <w:rsid w:val="001E1638"/>
    <w:rsid w:val="001E309B"/>
    <w:rsid w:val="001E3826"/>
    <w:rsid w:val="001E5C61"/>
    <w:rsid w:val="001E63B7"/>
    <w:rsid w:val="001E6923"/>
    <w:rsid w:val="001E6DA6"/>
    <w:rsid w:val="001E6FAF"/>
    <w:rsid w:val="001E7218"/>
    <w:rsid w:val="001F02B9"/>
    <w:rsid w:val="001F1ADA"/>
    <w:rsid w:val="001F2568"/>
    <w:rsid w:val="001F2D38"/>
    <w:rsid w:val="001F3749"/>
    <w:rsid w:val="001F45BC"/>
    <w:rsid w:val="001F5434"/>
    <w:rsid w:val="001F5456"/>
    <w:rsid w:val="001F6243"/>
    <w:rsid w:val="001F6DC5"/>
    <w:rsid w:val="001F730D"/>
    <w:rsid w:val="001F7F02"/>
    <w:rsid w:val="0020008A"/>
    <w:rsid w:val="00201C21"/>
    <w:rsid w:val="0020201F"/>
    <w:rsid w:val="002021B6"/>
    <w:rsid w:val="00202240"/>
    <w:rsid w:val="00202CB0"/>
    <w:rsid w:val="00205336"/>
    <w:rsid w:val="00205347"/>
    <w:rsid w:val="00205559"/>
    <w:rsid w:val="00206635"/>
    <w:rsid w:val="00207457"/>
    <w:rsid w:val="002105FA"/>
    <w:rsid w:val="002106AB"/>
    <w:rsid w:val="00211178"/>
    <w:rsid w:val="00211D19"/>
    <w:rsid w:val="00212A2C"/>
    <w:rsid w:val="00212F40"/>
    <w:rsid w:val="0021443C"/>
    <w:rsid w:val="00215C8C"/>
    <w:rsid w:val="00216C5E"/>
    <w:rsid w:val="00217ED3"/>
    <w:rsid w:val="0022010A"/>
    <w:rsid w:val="00221B55"/>
    <w:rsid w:val="002220C8"/>
    <w:rsid w:val="002232AF"/>
    <w:rsid w:val="00223940"/>
    <w:rsid w:val="00223D55"/>
    <w:rsid w:val="00224109"/>
    <w:rsid w:val="0022580A"/>
    <w:rsid w:val="00226BD9"/>
    <w:rsid w:val="002272D2"/>
    <w:rsid w:val="00227317"/>
    <w:rsid w:val="00227C81"/>
    <w:rsid w:val="002306C5"/>
    <w:rsid w:val="00230865"/>
    <w:rsid w:val="00230A1E"/>
    <w:rsid w:val="00230C1C"/>
    <w:rsid w:val="00230C29"/>
    <w:rsid w:val="002319EC"/>
    <w:rsid w:val="00231CBE"/>
    <w:rsid w:val="0023232B"/>
    <w:rsid w:val="0023375D"/>
    <w:rsid w:val="00233A9A"/>
    <w:rsid w:val="00236AE1"/>
    <w:rsid w:val="00236E91"/>
    <w:rsid w:val="0024064F"/>
    <w:rsid w:val="00242597"/>
    <w:rsid w:val="00242913"/>
    <w:rsid w:val="00242C5E"/>
    <w:rsid w:val="00243ACD"/>
    <w:rsid w:val="0024423C"/>
    <w:rsid w:val="002445D5"/>
    <w:rsid w:val="00244AEF"/>
    <w:rsid w:val="00245215"/>
    <w:rsid w:val="00246222"/>
    <w:rsid w:val="0024717E"/>
    <w:rsid w:val="00247309"/>
    <w:rsid w:val="00247551"/>
    <w:rsid w:val="00247792"/>
    <w:rsid w:val="00247D2B"/>
    <w:rsid w:val="00250DCB"/>
    <w:rsid w:val="00250EBB"/>
    <w:rsid w:val="00250FDE"/>
    <w:rsid w:val="0025232A"/>
    <w:rsid w:val="00252BF2"/>
    <w:rsid w:val="00252D70"/>
    <w:rsid w:val="0025341C"/>
    <w:rsid w:val="0025534E"/>
    <w:rsid w:val="002577C9"/>
    <w:rsid w:val="00257E82"/>
    <w:rsid w:val="00260160"/>
    <w:rsid w:val="002606CE"/>
    <w:rsid w:val="00260C54"/>
    <w:rsid w:val="00263205"/>
    <w:rsid w:val="00263D0F"/>
    <w:rsid w:val="0026455F"/>
    <w:rsid w:val="002655A5"/>
    <w:rsid w:val="00266071"/>
    <w:rsid w:val="002663A8"/>
    <w:rsid w:val="00266834"/>
    <w:rsid w:val="00266B45"/>
    <w:rsid w:val="00266CCE"/>
    <w:rsid w:val="00266DC7"/>
    <w:rsid w:val="00270FF3"/>
    <w:rsid w:val="00271307"/>
    <w:rsid w:val="00273716"/>
    <w:rsid w:val="00273728"/>
    <w:rsid w:val="00274A24"/>
    <w:rsid w:val="00276573"/>
    <w:rsid w:val="00276A1B"/>
    <w:rsid w:val="00277A36"/>
    <w:rsid w:val="002800D9"/>
    <w:rsid w:val="002801F5"/>
    <w:rsid w:val="00280D21"/>
    <w:rsid w:val="00281506"/>
    <w:rsid w:val="00282632"/>
    <w:rsid w:val="00284FD9"/>
    <w:rsid w:val="00284FE0"/>
    <w:rsid w:val="00285190"/>
    <w:rsid w:val="00285650"/>
    <w:rsid w:val="002866EE"/>
    <w:rsid w:val="00286859"/>
    <w:rsid w:val="00287FEC"/>
    <w:rsid w:val="0029256A"/>
    <w:rsid w:val="0029375F"/>
    <w:rsid w:val="00293938"/>
    <w:rsid w:val="00294B29"/>
    <w:rsid w:val="002959B5"/>
    <w:rsid w:val="0029665E"/>
    <w:rsid w:val="00297DFF"/>
    <w:rsid w:val="002A023D"/>
    <w:rsid w:val="002A0B7A"/>
    <w:rsid w:val="002A0E89"/>
    <w:rsid w:val="002A0F39"/>
    <w:rsid w:val="002A2957"/>
    <w:rsid w:val="002A29A3"/>
    <w:rsid w:val="002A37FB"/>
    <w:rsid w:val="002A3903"/>
    <w:rsid w:val="002A496B"/>
    <w:rsid w:val="002A4D5F"/>
    <w:rsid w:val="002A5387"/>
    <w:rsid w:val="002A5C5F"/>
    <w:rsid w:val="002A6D24"/>
    <w:rsid w:val="002A79E9"/>
    <w:rsid w:val="002A7DEA"/>
    <w:rsid w:val="002B0304"/>
    <w:rsid w:val="002B05BA"/>
    <w:rsid w:val="002B1013"/>
    <w:rsid w:val="002B16FD"/>
    <w:rsid w:val="002B1E37"/>
    <w:rsid w:val="002B204C"/>
    <w:rsid w:val="002B2909"/>
    <w:rsid w:val="002B3D40"/>
    <w:rsid w:val="002B4B99"/>
    <w:rsid w:val="002B5008"/>
    <w:rsid w:val="002B5F06"/>
    <w:rsid w:val="002B6725"/>
    <w:rsid w:val="002B6AFF"/>
    <w:rsid w:val="002C0D77"/>
    <w:rsid w:val="002C0E08"/>
    <w:rsid w:val="002C11C3"/>
    <w:rsid w:val="002C18F8"/>
    <w:rsid w:val="002C22A4"/>
    <w:rsid w:val="002C2497"/>
    <w:rsid w:val="002C2AB9"/>
    <w:rsid w:val="002C49FD"/>
    <w:rsid w:val="002C4D8E"/>
    <w:rsid w:val="002C4DBC"/>
    <w:rsid w:val="002C571A"/>
    <w:rsid w:val="002C592D"/>
    <w:rsid w:val="002C5A1F"/>
    <w:rsid w:val="002C7035"/>
    <w:rsid w:val="002C7B9A"/>
    <w:rsid w:val="002D20CE"/>
    <w:rsid w:val="002D230F"/>
    <w:rsid w:val="002D239F"/>
    <w:rsid w:val="002D2BFD"/>
    <w:rsid w:val="002D2D63"/>
    <w:rsid w:val="002D3783"/>
    <w:rsid w:val="002D3E5B"/>
    <w:rsid w:val="002D41A9"/>
    <w:rsid w:val="002D5373"/>
    <w:rsid w:val="002D5493"/>
    <w:rsid w:val="002D59D9"/>
    <w:rsid w:val="002D5EBF"/>
    <w:rsid w:val="002D657C"/>
    <w:rsid w:val="002D792B"/>
    <w:rsid w:val="002E1522"/>
    <w:rsid w:val="002E2247"/>
    <w:rsid w:val="002E232B"/>
    <w:rsid w:val="002E29C7"/>
    <w:rsid w:val="002E301C"/>
    <w:rsid w:val="002E3063"/>
    <w:rsid w:val="002E3193"/>
    <w:rsid w:val="002E399B"/>
    <w:rsid w:val="002E3D6A"/>
    <w:rsid w:val="002E4C28"/>
    <w:rsid w:val="002E4DCB"/>
    <w:rsid w:val="002E53E2"/>
    <w:rsid w:val="002E5699"/>
    <w:rsid w:val="002E5C60"/>
    <w:rsid w:val="002F0E8E"/>
    <w:rsid w:val="002F1F3C"/>
    <w:rsid w:val="002F2A63"/>
    <w:rsid w:val="002F3E16"/>
    <w:rsid w:val="002F4140"/>
    <w:rsid w:val="002F58B7"/>
    <w:rsid w:val="002F5E5E"/>
    <w:rsid w:val="002F5E88"/>
    <w:rsid w:val="002F5F73"/>
    <w:rsid w:val="002F65E4"/>
    <w:rsid w:val="002F6998"/>
    <w:rsid w:val="002F6C49"/>
    <w:rsid w:val="0030045C"/>
    <w:rsid w:val="00301617"/>
    <w:rsid w:val="00301920"/>
    <w:rsid w:val="00302C14"/>
    <w:rsid w:val="003037AA"/>
    <w:rsid w:val="00303F73"/>
    <w:rsid w:val="0030410C"/>
    <w:rsid w:val="003053F0"/>
    <w:rsid w:val="00305D05"/>
    <w:rsid w:val="003073C8"/>
    <w:rsid w:val="00307D38"/>
    <w:rsid w:val="00312635"/>
    <w:rsid w:val="00312801"/>
    <w:rsid w:val="00312CE5"/>
    <w:rsid w:val="00313C4A"/>
    <w:rsid w:val="003144F7"/>
    <w:rsid w:val="00314F22"/>
    <w:rsid w:val="003163C5"/>
    <w:rsid w:val="00316850"/>
    <w:rsid w:val="00317C6E"/>
    <w:rsid w:val="0032050E"/>
    <w:rsid w:val="003205F0"/>
    <w:rsid w:val="00320BEA"/>
    <w:rsid w:val="00320F45"/>
    <w:rsid w:val="00322970"/>
    <w:rsid w:val="0032328E"/>
    <w:rsid w:val="00323516"/>
    <w:rsid w:val="00324AA5"/>
    <w:rsid w:val="00324B47"/>
    <w:rsid w:val="00324E0C"/>
    <w:rsid w:val="00325DB5"/>
    <w:rsid w:val="003265EA"/>
    <w:rsid w:val="00326645"/>
    <w:rsid w:val="00326BC7"/>
    <w:rsid w:val="0033036F"/>
    <w:rsid w:val="00330722"/>
    <w:rsid w:val="0033077D"/>
    <w:rsid w:val="00330F95"/>
    <w:rsid w:val="00331440"/>
    <w:rsid w:val="0033173C"/>
    <w:rsid w:val="0033233F"/>
    <w:rsid w:val="00332F2E"/>
    <w:rsid w:val="00333190"/>
    <w:rsid w:val="00335080"/>
    <w:rsid w:val="0033511C"/>
    <w:rsid w:val="00335131"/>
    <w:rsid w:val="003353F2"/>
    <w:rsid w:val="00337F03"/>
    <w:rsid w:val="00340887"/>
    <w:rsid w:val="00340E44"/>
    <w:rsid w:val="00341196"/>
    <w:rsid w:val="00341E43"/>
    <w:rsid w:val="0034330F"/>
    <w:rsid w:val="00344525"/>
    <w:rsid w:val="003448E4"/>
    <w:rsid w:val="00344CDC"/>
    <w:rsid w:val="00344DED"/>
    <w:rsid w:val="00344EC9"/>
    <w:rsid w:val="0034508B"/>
    <w:rsid w:val="003456DB"/>
    <w:rsid w:val="00346AF3"/>
    <w:rsid w:val="00350583"/>
    <w:rsid w:val="003508F9"/>
    <w:rsid w:val="00351D2F"/>
    <w:rsid w:val="00352095"/>
    <w:rsid w:val="003529D1"/>
    <w:rsid w:val="003532D1"/>
    <w:rsid w:val="003534FE"/>
    <w:rsid w:val="003551A4"/>
    <w:rsid w:val="003564A5"/>
    <w:rsid w:val="003565CC"/>
    <w:rsid w:val="003566D4"/>
    <w:rsid w:val="003569CC"/>
    <w:rsid w:val="0035730D"/>
    <w:rsid w:val="00360470"/>
    <w:rsid w:val="00361212"/>
    <w:rsid w:val="0036181C"/>
    <w:rsid w:val="003623F5"/>
    <w:rsid w:val="003625C4"/>
    <w:rsid w:val="00363C15"/>
    <w:rsid w:val="00363ED9"/>
    <w:rsid w:val="003644DD"/>
    <w:rsid w:val="00364505"/>
    <w:rsid w:val="0036547A"/>
    <w:rsid w:val="00365508"/>
    <w:rsid w:val="00366C85"/>
    <w:rsid w:val="003701E3"/>
    <w:rsid w:val="00371B86"/>
    <w:rsid w:val="00373772"/>
    <w:rsid w:val="00373F8A"/>
    <w:rsid w:val="003747B6"/>
    <w:rsid w:val="00374972"/>
    <w:rsid w:val="003757A0"/>
    <w:rsid w:val="00375DF4"/>
    <w:rsid w:val="0037627C"/>
    <w:rsid w:val="0037630A"/>
    <w:rsid w:val="00377AC2"/>
    <w:rsid w:val="00383F3B"/>
    <w:rsid w:val="003845C0"/>
    <w:rsid w:val="00384A71"/>
    <w:rsid w:val="00384AA6"/>
    <w:rsid w:val="00387267"/>
    <w:rsid w:val="00387970"/>
    <w:rsid w:val="003907D0"/>
    <w:rsid w:val="0039106E"/>
    <w:rsid w:val="003923C0"/>
    <w:rsid w:val="00393B2D"/>
    <w:rsid w:val="00395B76"/>
    <w:rsid w:val="00395E9A"/>
    <w:rsid w:val="00396AA8"/>
    <w:rsid w:val="00397917"/>
    <w:rsid w:val="003A0F1B"/>
    <w:rsid w:val="003A27D0"/>
    <w:rsid w:val="003A2806"/>
    <w:rsid w:val="003A2BF6"/>
    <w:rsid w:val="003A353A"/>
    <w:rsid w:val="003A38F4"/>
    <w:rsid w:val="003A3B78"/>
    <w:rsid w:val="003A6762"/>
    <w:rsid w:val="003A69EA"/>
    <w:rsid w:val="003A7A6D"/>
    <w:rsid w:val="003B0017"/>
    <w:rsid w:val="003B089A"/>
    <w:rsid w:val="003B117F"/>
    <w:rsid w:val="003B1F39"/>
    <w:rsid w:val="003B279A"/>
    <w:rsid w:val="003B39BB"/>
    <w:rsid w:val="003B3D77"/>
    <w:rsid w:val="003B58E2"/>
    <w:rsid w:val="003B64DE"/>
    <w:rsid w:val="003B69E1"/>
    <w:rsid w:val="003C2D63"/>
    <w:rsid w:val="003C335F"/>
    <w:rsid w:val="003C3377"/>
    <w:rsid w:val="003C3B5C"/>
    <w:rsid w:val="003C4E26"/>
    <w:rsid w:val="003C6101"/>
    <w:rsid w:val="003C67FA"/>
    <w:rsid w:val="003D0FA4"/>
    <w:rsid w:val="003D187E"/>
    <w:rsid w:val="003D1B65"/>
    <w:rsid w:val="003D31F8"/>
    <w:rsid w:val="003D3535"/>
    <w:rsid w:val="003D3592"/>
    <w:rsid w:val="003D48F3"/>
    <w:rsid w:val="003D5D44"/>
    <w:rsid w:val="003D5FE6"/>
    <w:rsid w:val="003E01C6"/>
    <w:rsid w:val="003E05BD"/>
    <w:rsid w:val="003E0AF6"/>
    <w:rsid w:val="003E1B98"/>
    <w:rsid w:val="003E1BC7"/>
    <w:rsid w:val="003E3061"/>
    <w:rsid w:val="003E3F33"/>
    <w:rsid w:val="003E461E"/>
    <w:rsid w:val="003E471D"/>
    <w:rsid w:val="003E4D3E"/>
    <w:rsid w:val="003E4DFD"/>
    <w:rsid w:val="003E52EF"/>
    <w:rsid w:val="003E5550"/>
    <w:rsid w:val="003E5576"/>
    <w:rsid w:val="003E56F4"/>
    <w:rsid w:val="003E5701"/>
    <w:rsid w:val="003E5DBC"/>
    <w:rsid w:val="003E700E"/>
    <w:rsid w:val="003F2C9C"/>
    <w:rsid w:val="003F59D6"/>
    <w:rsid w:val="003F6AEF"/>
    <w:rsid w:val="003F7886"/>
    <w:rsid w:val="00402011"/>
    <w:rsid w:val="004026A4"/>
    <w:rsid w:val="00402A70"/>
    <w:rsid w:val="00402CDB"/>
    <w:rsid w:val="00403B4D"/>
    <w:rsid w:val="00403F2C"/>
    <w:rsid w:val="00404E21"/>
    <w:rsid w:val="00405FEB"/>
    <w:rsid w:val="004114C8"/>
    <w:rsid w:val="004118BE"/>
    <w:rsid w:val="004134B0"/>
    <w:rsid w:val="00414286"/>
    <w:rsid w:val="0041458D"/>
    <w:rsid w:val="00414BFC"/>
    <w:rsid w:val="00416368"/>
    <w:rsid w:val="00417306"/>
    <w:rsid w:val="00420B72"/>
    <w:rsid w:val="00420F11"/>
    <w:rsid w:val="0042111E"/>
    <w:rsid w:val="004218EE"/>
    <w:rsid w:val="0042228F"/>
    <w:rsid w:val="004231C7"/>
    <w:rsid w:val="00423AE8"/>
    <w:rsid w:val="004247F6"/>
    <w:rsid w:val="00424F7C"/>
    <w:rsid w:val="00427C71"/>
    <w:rsid w:val="00430B54"/>
    <w:rsid w:val="00430D80"/>
    <w:rsid w:val="0043153A"/>
    <w:rsid w:val="00431D33"/>
    <w:rsid w:val="00432873"/>
    <w:rsid w:val="0043341F"/>
    <w:rsid w:val="00433F82"/>
    <w:rsid w:val="004343BA"/>
    <w:rsid w:val="00435085"/>
    <w:rsid w:val="004354A1"/>
    <w:rsid w:val="00435C2F"/>
    <w:rsid w:val="00437103"/>
    <w:rsid w:val="0043724D"/>
    <w:rsid w:val="00440616"/>
    <w:rsid w:val="004415FD"/>
    <w:rsid w:val="004417B1"/>
    <w:rsid w:val="0044263E"/>
    <w:rsid w:val="004467BC"/>
    <w:rsid w:val="004476D3"/>
    <w:rsid w:val="004500A1"/>
    <w:rsid w:val="004516B7"/>
    <w:rsid w:val="00452289"/>
    <w:rsid w:val="00452BBB"/>
    <w:rsid w:val="00453C67"/>
    <w:rsid w:val="00453F1D"/>
    <w:rsid w:val="00455EB6"/>
    <w:rsid w:val="00456718"/>
    <w:rsid w:val="00456CFE"/>
    <w:rsid w:val="00457A4A"/>
    <w:rsid w:val="00457BA1"/>
    <w:rsid w:val="00460A41"/>
    <w:rsid w:val="00460F2D"/>
    <w:rsid w:val="00461A75"/>
    <w:rsid w:val="004623D8"/>
    <w:rsid w:val="00462E06"/>
    <w:rsid w:val="004657D7"/>
    <w:rsid w:val="004675D4"/>
    <w:rsid w:val="004679B3"/>
    <w:rsid w:val="00470373"/>
    <w:rsid w:val="0047096F"/>
    <w:rsid w:val="00472704"/>
    <w:rsid w:val="004729C2"/>
    <w:rsid w:val="004735CC"/>
    <w:rsid w:val="00473689"/>
    <w:rsid w:val="0047378F"/>
    <w:rsid w:val="004739B1"/>
    <w:rsid w:val="00473B37"/>
    <w:rsid w:val="00475893"/>
    <w:rsid w:val="004758E4"/>
    <w:rsid w:val="00475A4F"/>
    <w:rsid w:val="004762DB"/>
    <w:rsid w:val="00476F73"/>
    <w:rsid w:val="00480871"/>
    <w:rsid w:val="00480D06"/>
    <w:rsid w:val="004821BE"/>
    <w:rsid w:val="0048409A"/>
    <w:rsid w:val="00486614"/>
    <w:rsid w:val="00486CEE"/>
    <w:rsid w:val="004871EE"/>
    <w:rsid w:val="004872BC"/>
    <w:rsid w:val="0048756A"/>
    <w:rsid w:val="004878A6"/>
    <w:rsid w:val="004921E5"/>
    <w:rsid w:val="00492777"/>
    <w:rsid w:val="0049428E"/>
    <w:rsid w:val="004955AC"/>
    <w:rsid w:val="0049586A"/>
    <w:rsid w:val="00495883"/>
    <w:rsid w:val="004968A3"/>
    <w:rsid w:val="00496B1D"/>
    <w:rsid w:val="00497024"/>
    <w:rsid w:val="004A07CD"/>
    <w:rsid w:val="004A0D91"/>
    <w:rsid w:val="004A2BF0"/>
    <w:rsid w:val="004A3105"/>
    <w:rsid w:val="004A3273"/>
    <w:rsid w:val="004A5B5E"/>
    <w:rsid w:val="004A5DAC"/>
    <w:rsid w:val="004A5FAD"/>
    <w:rsid w:val="004A75C4"/>
    <w:rsid w:val="004A7A94"/>
    <w:rsid w:val="004B1058"/>
    <w:rsid w:val="004B1234"/>
    <w:rsid w:val="004B3347"/>
    <w:rsid w:val="004B477D"/>
    <w:rsid w:val="004B567C"/>
    <w:rsid w:val="004B5AD7"/>
    <w:rsid w:val="004B66E2"/>
    <w:rsid w:val="004B672E"/>
    <w:rsid w:val="004B705C"/>
    <w:rsid w:val="004C2068"/>
    <w:rsid w:val="004C2572"/>
    <w:rsid w:val="004C26F9"/>
    <w:rsid w:val="004C47A9"/>
    <w:rsid w:val="004C556F"/>
    <w:rsid w:val="004C5BB1"/>
    <w:rsid w:val="004C5DB0"/>
    <w:rsid w:val="004C79FC"/>
    <w:rsid w:val="004D0460"/>
    <w:rsid w:val="004D2370"/>
    <w:rsid w:val="004D2E32"/>
    <w:rsid w:val="004D4557"/>
    <w:rsid w:val="004D47DA"/>
    <w:rsid w:val="004D4BA2"/>
    <w:rsid w:val="004D529B"/>
    <w:rsid w:val="004D6000"/>
    <w:rsid w:val="004D605F"/>
    <w:rsid w:val="004D6333"/>
    <w:rsid w:val="004D67B1"/>
    <w:rsid w:val="004D6A8C"/>
    <w:rsid w:val="004D7C28"/>
    <w:rsid w:val="004E0EAC"/>
    <w:rsid w:val="004E47BC"/>
    <w:rsid w:val="004E4A71"/>
    <w:rsid w:val="004E7C87"/>
    <w:rsid w:val="004F09C5"/>
    <w:rsid w:val="004F0EB4"/>
    <w:rsid w:val="004F10C8"/>
    <w:rsid w:val="004F262D"/>
    <w:rsid w:val="004F3889"/>
    <w:rsid w:val="004F3C45"/>
    <w:rsid w:val="004F41A9"/>
    <w:rsid w:val="004F45C6"/>
    <w:rsid w:val="004F46C2"/>
    <w:rsid w:val="004F4857"/>
    <w:rsid w:val="004F500F"/>
    <w:rsid w:val="004F520A"/>
    <w:rsid w:val="004F5DE0"/>
    <w:rsid w:val="004F6967"/>
    <w:rsid w:val="004F6ACD"/>
    <w:rsid w:val="004F6CD0"/>
    <w:rsid w:val="004F7314"/>
    <w:rsid w:val="004F7322"/>
    <w:rsid w:val="0050003D"/>
    <w:rsid w:val="00500289"/>
    <w:rsid w:val="00500D67"/>
    <w:rsid w:val="00502437"/>
    <w:rsid w:val="0050292B"/>
    <w:rsid w:val="00502A6C"/>
    <w:rsid w:val="0050412E"/>
    <w:rsid w:val="005050E8"/>
    <w:rsid w:val="005058E9"/>
    <w:rsid w:val="00505D19"/>
    <w:rsid w:val="005061FB"/>
    <w:rsid w:val="00506440"/>
    <w:rsid w:val="00507839"/>
    <w:rsid w:val="00511247"/>
    <w:rsid w:val="00511DCF"/>
    <w:rsid w:val="005120B5"/>
    <w:rsid w:val="005121F8"/>
    <w:rsid w:val="005124C2"/>
    <w:rsid w:val="0051265F"/>
    <w:rsid w:val="00513CA2"/>
    <w:rsid w:val="00514EDA"/>
    <w:rsid w:val="00515C06"/>
    <w:rsid w:val="005160CF"/>
    <w:rsid w:val="00516A25"/>
    <w:rsid w:val="005176FB"/>
    <w:rsid w:val="0052025A"/>
    <w:rsid w:val="005208A3"/>
    <w:rsid w:val="0052170A"/>
    <w:rsid w:val="00521F23"/>
    <w:rsid w:val="00521FBC"/>
    <w:rsid w:val="005230CB"/>
    <w:rsid w:val="00523822"/>
    <w:rsid w:val="00523CD5"/>
    <w:rsid w:val="00524603"/>
    <w:rsid w:val="00525320"/>
    <w:rsid w:val="00525425"/>
    <w:rsid w:val="005259A2"/>
    <w:rsid w:val="005259BC"/>
    <w:rsid w:val="00525AF9"/>
    <w:rsid w:val="00525E9C"/>
    <w:rsid w:val="005265B1"/>
    <w:rsid w:val="00527486"/>
    <w:rsid w:val="0052787A"/>
    <w:rsid w:val="00527EEB"/>
    <w:rsid w:val="0053005E"/>
    <w:rsid w:val="00530152"/>
    <w:rsid w:val="00531310"/>
    <w:rsid w:val="00531736"/>
    <w:rsid w:val="00531C02"/>
    <w:rsid w:val="00531CA3"/>
    <w:rsid w:val="00532A3E"/>
    <w:rsid w:val="00532D9B"/>
    <w:rsid w:val="0053486C"/>
    <w:rsid w:val="00534FA1"/>
    <w:rsid w:val="00535CF0"/>
    <w:rsid w:val="00536826"/>
    <w:rsid w:val="00536831"/>
    <w:rsid w:val="00536AC5"/>
    <w:rsid w:val="00537B84"/>
    <w:rsid w:val="00540A2E"/>
    <w:rsid w:val="005418C1"/>
    <w:rsid w:val="00543F4C"/>
    <w:rsid w:val="005440F4"/>
    <w:rsid w:val="0054562A"/>
    <w:rsid w:val="00550D68"/>
    <w:rsid w:val="005518E8"/>
    <w:rsid w:val="00551C72"/>
    <w:rsid w:val="00551DBD"/>
    <w:rsid w:val="00552A45"/>
    <w:rsid w:val="00552C03"/>
    <w:rsid w:val="0055306F"/>
    <w:rsid w:val="00553F3F"/>
    <w:rsid w:val="00553F78"/>
    <w:rsid w:val="00555709"/>
    <w:rsid w:val="005558E7"/>
    <w:rsid w:val="00556C12"/>
    <w:rsid w:val="00556CCC"/>
    <w:rsid w:val="00562068"/>
    <w:rsid w:val="005623C2"/>
    <w:rsid w:val="00565D14"/>
    <w:rsid w:val="00566302"/>
    <w:rsid w:val="00566C19"/>
    <w:rsid w:val="00566C94"/>
    <w:rsid w:val="0057004A"/>
    <w:rsid w:val="0057126A"/>
    <w:rsid w:val="005725F0"/>
    <w:rsid w:val="005747E3"/>
    <w:rsid w:val="005754B1"/>
    <w:rsid w:val="00575B55"/>
    <w:rsid w:val="005776C1"/>
    <w:rsid w:val="00580507"/>
    <w:rsid w:val="00580AA5"/>
    <w:rsid w:val="00580BA9"/>
    <w:rsid w:val="0058294F"/>
    <w:rsid w:val="00582C62"/>
    <w:rsid w:val="00583223"/>
    <w:rsid w:val="00583396"/>
    <w:rsid w:val="00583CD8"/>
    <w:rsid w:val="00583D94"/>
    <w:rsid w:val="00584362"/>
    <w:rsid w:val="00585B9F"/>
    <w:rsid w:val="00585F72"/>
    <w:rsid w:val="005876F7"/>
    <w:rsid w:val="00587789"/>
    <w:rsid w:val="00590054"/>
    <w:rsid w:val="005908AE"/>
    <w:rsid w:val="00591A5B"/>
    <w:rsid w:val="005937A0"/>
    <w:rsid w:val="00593C2F"/>
    <w:rsid w:val="00595A6C"/>
    <w:rsid w:val="00596A3C"/>
    <w:rsid w:val="00596B72"/>
    <w:rsid w:val="005978DA"/>
    <w:rsid w:val="005A04EF"/>
    <w:rsid w:val="005A211C"/>
    <w:rsid w:val="005A26D1"/>
    <w:rsid w:val="005A695E"/>
    <w:rsid w:val="005A6AA5"/>
    <w:rsid w:val="005A6AE0"/>
    <w:rsid w:val="005A7912"/>
    <w:rsid w:val="005A7B6C"/>
    <w:rsid w:val="005B0B98"/>
    <w:rsid w:val="005B0EBD"/>
    <w:rsid w:val="005B20BE"/>
    <w:rsid w:val="005B2D6B"/>
    <w:rsid w:val="005B3CB8"/>
    <w:rsid w:val="005B4FAF"/>
    <w:rsid w:val="005B50EC"/>
    <w:rsid w:val="005B515B"/>
    <w:rsid w:val="005B7655"/>
    <w:rsid w:val="005C03F6"/>
    <w:rsid w:val="005C062F"/>
    <w:rsid w:val="005C12A9"/>
    <w:rsid w:val="005C1599"/>
    <w:rsid w:val="005C1876"/>
    <w:rsid w:val="005C24F3"/>
    <w:rsid w:val="005C2BB0"/>
    <w:rsid w:val="005C5B8D"/>
    <w:rsid w:val="005C61D2"/>
    <w:rsid w:val="005C712A"/>
    <w:rsid w:val="005D0336"/>
    <w:rsid w:val="005D0B82"/>
    <w:rsid w:val="005D24ED"/>
    <w:rsid w:val="005D25C3"/>
    <w:rsid w:val="005D3B2E"/>
    <w:rsid w:val="005D51DB"/>
    <w:rsid w:val="005D544A"/>
    <w:rsid w:val="005D6517"/>
    <w:rsid w:val="005D689E"/>
    <w:rsid w:val="005D71F6"/>
    <w:rsid w:val="005E0B68"/>
    <w:rsid w:val="005E1A40"/>
    <w:rsid w:val="005E31C5"/>
    <w:rsid w:val="005E43B7"/>
    <w:rsid w:val="005E4A4D"/>
    <w:rsid w:val="005E5402"/>
    <w:rsid w:val="005E5914"/>
    <w:rsid w:val="005E596A"/>
    <w:rsid w:val="005E5D1C"/>
    <w:rsid w:val="005E6011"/>
    <w:rsid w:val="005E639F"/>
    <w:rsid w:val="005E799A"/>
    <w:rsid w:val="005E7E65"/>
    <w:rsid w:val="005F0B98"/>
    <w:rsid w:val="005F2534"/>
    <w:rsid w:val="005F30A3"/>
    <w:rsid w:val="005F408D"/>
    <w:rsid w:val="005F5ABB"/>
    <w:rsid w:val="005F5D67"/>
    <w:rsid w:val="005F6A83"/>
    <w:rsid w:val="005F6FB0"/>
    <w:rsid w:val="006002E7"/>
    <w:rsid w:val="00600C69"/>
    <w:rsid w:val="00600CF8"/>
    <w:rsid w:val="00600DF7"/>
    <w:rsid w:val="006021A5"/>
    <w:rsid w:val="00602402"/>
    <w:rsid w:val="0060296E"/>
    <w:rsid w:val="0060300C"/>
    <w:rsid w:val="0060512D"/>
    <w:rsid w:val="006079CE"/>
    <w:rsid w:val="00607C35"/>
    <w:rsid w:val="00607FF9"/>
    <w:rsid w:val="006100F0"/>
    <w:rsid w:val="0061021A"/>
    <w:rsid w:val="006102DC"/>
    <w:rsid w:val="00610EAB"/>
    <w:rsid w:val="00610EAF"/>
    <w:rsid w:val="0061130B"/>
    <w:rsid w:val="00611860"/>
    <w:rsid w:val="00611BF4"/>
    <w:rsid w:val="00612503"/>
    <w:rsid w:val="00612CD4"/>
    <w:rsid w:val="0061377E"/>
    <w:rsid w:val="00613DB3"/>
    <w:rsid w:val="00614241"/>
    <w:rsid w:val="00614A94"/>
    <w:rsid w:val="00614F4A"/>
    <w:rsid w:val="006156CA"/>
    <w:rsid w:val="00615DCC"/>
    <w:rsid w:val="00617384"/>
    <w:rsid w:val="00617956"/>
    <w:rsid w:val="00617B1D"/>
    <w:rsid w:val="00620349"/>
    <w:rsid w:val="00620397"/>
    <w:rsid w:val="00620784"/>
    <w:rsid w:val="00620962"/>
    <w:rsid w:val="00621557"/>
    <w:rsid w:val="00621580"/>
    <w:rsid w:val="00621DF3"/>
    <w:rsid w:val="00622B1B"/>
    <w:rsid w:val="006231D2"/>
    <w:rsid w:val="00623476"/>
    <w:rsid w:val="006235F1"/>
    <w:rsid w:val="0062425E"/>
    <w:rsid w:val="00624E34"/>
    <w:rsid w:val="00625029"/>
    <w:rsid w:val="00625A33"/>
    <w:rsid w:val="00630562"/>
    <w:rsid w:val="00630B40"/>
    <w:rsid w:val="00632074"/>
    <w:rsid w:val="00632979"/>
    <w:rsid w:val="006334A9"/>
    <w:rsid w:val="006338B9"/>
    <w:rsid w:val="00633977"/>
    <w:rsid w:val="00633FCD"/>
    <w:rsid w:val="00635502"/>
    <w:rsid w:val="0063671A"/>
    <w:rsid w:val="00641792"/>
    <w:rsid w:val="0064196E"/>
    <w:rsid w:val="00642751"/>
    <w:rsid w:val="00644A7F"/>
    <w:rsid w:val="00644D62"/>
    <w:rsid w:val="0064512C"/>
    <w:rsid w:val="006452F6"/>
    <w:rsid w:val="00645389"/>
    <w:rsid w:val="006457EF"/>
    <w:rsid w:val="006509D4"/>
    <w:rsid w:val="00650DF0"/>
    <w:rsid w:val="00651430"/>
    <w:rsid w:val="00651C1D"/>
    <w:rsid w:val="00653714"/>
    <w:rsid w:val="00653B4A"/>
    <w:rsid w:val="006546A3"/>
    <w:rsid w:val="00654FAE"/>
    <w:rsid w:val="00655616"/>
    <w:rsid w:val="006574EA"/>
    <w:rsid w:val="00657F00"/>
    <w:rsid w:val="006605FD"/>
    <w:rsid w:val="006615D1"/>
    <w:rsid w:val="00662B6E"/>
    <w:rsid w:val="00664964"/>
    <w:rsid w:val="006667C8"/>
    <w:rsid w:val="00667316"/>
    <w:rsid w:val="006678B4"/>
    <w:rsid w:val="006679F6"/>
    <w:rsid w:val="0067152E"/>
    <w:rsid w:val="00671877"/>
    <w:rsid w:val="00672ECF"/>
    <w:rsid w:val="006741AA"/>
    <w:rsid w:val="006744BB"/>
    <w:rsid w:val="00677D07"/>
    <w:rsid w:val="00680D72"/>
    <w:rsid w:val="006812F5"/>
    <w:rsid w:val="00681564"/>
    <w:rsid w:val="0068189D"/>
    <w:rsid w:val="00682BF3"/>
    <w:rsid w:val="00683DF2"/>
    <w:rsid w:val="006846A5"/>
    <w:rsid w:val="00685763"/>
    <w:rsid w:val="006857F3"/>
    <w:rsid w:val="0068703C"/>
    <w:rsid w:val="006876B8"/>
    <w:rsid w:val="00687E2A"/>
    <w:rsid w:val="00690DA9"/>
    <w:rsid w:val="00690F21"/>
    <w:rsid w:val="006910A0"/>
    <w:rsid w:val="006922D2"/>
    <w:rsid w:val="006938C7"/>
    <w:rsid w:val="006952C2"/>
    <w:rsid w:val="00695D51"/>
    <w:rsid w:val="00696824"/>
    <w:rsid w:val="006968CE"/>
    <w:rsid w:val="00696B83"/>
    <w:rsid w:val="0069739B"/>
    <w:rsid w:val="00697A7F"/>
    <w:rsid w:val="00697FA6"/>
    <w:rsid w:val="006A09CE"/>
    <w:rsid w:val="006A1C22"/>
    <w:rsid w:val="006A2B02"/>
    <w:rsid w:val="006A322A"/>
    <w:rsid w:val="006A4504"/>
    <w:rsid w:val="006A5F81"/>
    <w:rsid w:val="006B085C"/>
    <w:rsid w:val="006B179B"/>
    <w:rsid w:val="006B1D43"/>
    <w:rsid w:val="006B2079"/>
    <w:rsid w:val="006B2629"/>
    <w:rsid w:val="006B2DDA"/>
    <w:rsid w:val="006B2DFA"/>
    <w:rsid w:val="006B5013"/>
    <w:rsid w:val="006C0B23"/>
    <w:rsid w:val="006C2ABD"/>
    <w:rsid w:val="006C53B9"/>
    <w:rsid w:val="006D004E"/>
    <w:rsid w:val="006D1017"/>
    <w:rsid w:val="006D1560"/>
    <w:rsid w:val="006D1B53"/>
    <w:rsid w:val="006D29AC"/>
    <w:rsid w:val="006D3A6A"/>
    <w:rsid w:val="006D3AB5"/>
    <w:rsid w:val="006D466A"/>
    <w:rsid w:val="006D6CFA"/>
    <w:rsid w:val="006E10E1"/>
    <w:rsid w:val="006E175F"/>
    <w:rsid w:val="006E2241"/>
    <w:rsid w:val="006E28A6"/>
    <w:rsid w:val="006E29B5"/>
    <w:rsid w:val="006E2DB5"/>
    <w:rsid w:val="006E3C29"/>
    <w:rsid w:val="006E3E25"/>
    <w:rsid w:val="006E4387"/>
    <w:rsid w:val="006E4541"/>
    <w:rsid w:val="006E4EC1"/>
    <w:rsid w:val="006E654A"/>
    <w:rsid w:val="006E7185"/>
    <w:rsid w:val="006F0AB9"/>
    <w:rsid w:val="006F2724"/>
    <w:rsid w:val="006F3510"/>
    <w:rsid w:val="006F35E7"/>
    <w:rsid w:val="006F6F9A"/>
    <w:rsid w:val="006F701C"/>
    <w:rsid w:val="0070036C"/>
    <w:rsid w:val="00702B70"/>
    <w:rsid w:val="00702BB7"/>
    <w:rsid w:val="0070317A"/>
    <w:rsid w:val="00703469"/>
    <w:rsid w:val="00704311"/>
    <w:rsid w:val="00704347"/>
    <w:rsid w:val="0070498C"/>
    <w:rsid w:val="00705F73"/>
    <w:rsid w:val="00706D6D"/>
    <w:rsid w:val="0070722F"/>
    <w:rsid w:val="007073D9"/>
    <w:rsid w:val="007073DD"/>
    <w:rsid w:val="007074EE"/>
    <w:rsid w:val="00707F95"/>
    <w:rsid w:val="0071011B"/>
    <w:rsid w:val="00710393"/>
    <w:rsid w:val="007110DA"/>
    <w:rsid w:val="0071118B"/>
    <w:rsid w:val="00711B36"/>
    <w:rsid w:val="00713102"/>
    <w:rsid w:val="007132E2"/>
    <w:rsid w:val="00713A44"/>
    <w:rsid w:val="0071415B"/>
    <w:rsid w:val="0071486D"/>
    <w:rsid w:val="00716A71"/>
    <w:rsid w:val="007201E3"/>
    <w:rsid w:val="007210FF"/>
    <w:rsid w:val="0072239A"/>
    <w:rsid w:val="00722C48"/>
    <w:rsid w:val="007231D2"/>
    <w:rsid w:val="00723470"/>
    <w:rsid w:val="00723734"/>
    <w:rsid w:val="00723BCE"/>
    <w:rsid w:val="00725343"/>
    <w:rsid w:val="00726CFC"/>
    <w:rsid w:val="007278F8"/>
    <w:rsid w:val="00730709"/>
    <w:rsid w:val="00732280"/>
    <w:rsid w:val="00732E57"/>
    <w:rsid w:val="007342A5"/>
    <w:rsid w:val="007351CA"/>
    <w:rsid w:val="00735251"/>
    <w:rsid w:val="00736092"/>
    <w:rsid w:val="007372C4"/>
    <w:rsid w:val="00740727"/>
    <w:rsid w:val="00740E04"/>
    <w:rsid w:val="00741452"/>
    <w:rsid w:val="00741F39"/>
    <w:rsid w:val="0074211A"/>
    <w:rsid w:val="0074218C"/>
    <w:rsid w:val="0074276F"/>
    <w:rsid w:val="00743714"/>
    <w:rsid w:val="007478C9"/>
    <w:rsid w:val="00752387"/>
    <w:rsid w:val="00752513"/>
    <w:rsid w:val="007533E4"/>
    <w:rsid w:val="00753C7E"/>
    <w:rsid w:val="00755EFD"/>
    <w:rsid w:val="00755F9D"/>
    <w:rsid w:val="0075655A"/>
    <w:rsid w:val="00757C5A"/>
    <w:rsid w:val="007606AD"/>
    <w:rsid w:val="0076155B"/>
    <w:rsid w:val="00762250"/>
    <w:rsid w:val="00762C0A"/>
    <w:rsid w:val="00762EBB"/>
    <w:rsid w:val="00763B66"/>
    <w:rsid w:val="00764A8E"/>
    <w:rsid w:val="007667A5"/>
    <w:rsid w:val="0076756A"/>
    <w:rsid w:val="0077044E"/>
    <w:rsid w:val="007707AE"/>
    <w:rsid w:val="00771F1A"/>
    <w:rsid w:val="00774440"/>
    <w:rsid w:val="00774924"/>
    <w:rsid w:val="007769A5"/>
    <w:rsid w:val="00776C77"/>
    <w:rsid w:val="00777F85"/>
    <w:rsid w:val="00780729"/>
    <w:rsid w:val="00781405"/>
    <w:rsid w:val="007817B3"/>
    <w:rsid w:val="00781F6A"/>
    <w:rsid w:val="007852CE"/>
    <w:rsid w:val="007859DB"/>
    <w:rsid w:val="00785F64"/>
    <w:rsid w:val="00786264"/>
    <w:rsid w:val="00786274"/>
    <w:rsid w:val="00786325"/>
    <w:rsid w:val="00790259"/>
    <w:rsid w:val="00790719"/>
    <w:rsid w:val="00791918"/>
    <w:rsid w:val="007928FF"/>
    <w:rsid w:val="007944DE"/>
    <w:rsid w:val="007951D4"/>
    <w:rsid w:val="00795361"/>
    <w:rsid w:val="007959B3"/>
    <w:rsid w:val="00795A3B"/>
    <w:rsid w:val="00795CB1"/>
    <w:rsid w:val="00795DBD"/>
    <w:rsid w:val="0079631D"/>
    <w:rsid w:val="007A0585"/>
    <w:rsid w:val="007A096C"/>
    <w:rsid w:val="007A14CB"/>
    <w:rsid w:val="007A32BE"/>
    <w:rsid w:val="007A3724"/>
    <w:rsid w:val="007A45D7"/>
    <w:rsid w:val="007A4D6B"/>
    <w:rsid w:val="007A675B"/>
    <w:rsid w:val="007A7755"/>
    <w:rsid w:val="007A793D"/>
    <w:rsid w:val="007B0064"/>
    <w:rsid w:val="007B02E3"/>
    <w:rsid w:val="007B046A"/>
    <w:rsid w:val="007B076D"/>
    <w:rsid w:val="007B0D84"/>
    <w:rsid w:val="007B2032"/>
    <w:rsid w:val="007B21E5"/>
    <w:rsid w:val="007B2563"/>
    <w:rsid w:val="007B33A8"/>
    <w:rsid w:val="007B43E4"/>
    <w:rsid w:val="007B4AE4"/>
    <w:rsid w:val="007B59C7"/>
    <w:rsid w:val="007B60FD"/>
    <w:rsid w:val="007B70CD"/>
    <w:rsid w:val="007C1E2A"/>
    <w:rsid w:val="007C2811"/>
    <w:rsid w:val="007C7098"/>
    <w:rsid w:val="007D04C0"/>
    <w:rsid w:val="007D1CEE"/>
    <w:rsid w:val="007D245E"/>
    <w:rsid w:val="007D3CF5"/>
    <w:rsid w:val="007D4072"/>
    <w:rsid w:val="007D429C"/>
    <w:rsid w:val="007D45B8"/>
    <w:rsid w:val="007D464B"/>
    <w:rsid w:val="007D4E8C"/>
    <w:rsid w:val="007D4F78"/>
    <w:rsid w:val="007D59D0"/>
    <w:rsid w:val="007D59D1"/>
    <w:rsid w:val="007D6D9D"/>
    <w:rsid w:val="007D7A0A"/>
    <w:rsid w:val="007E03E8"/>
    <w:rsid w:val="007E05A1"/>
    <w:rsid w:val="007E0C0B"/>
    <w:rsid w:val="007E1066"/>
    <w:rsid w:val="007E1899"/>
    <w:rsid w:val="007E1AB3"/>
    <w:rsid w:val="007E1F66"/>
    <w:rsid w:val="007E2D78"/>
    <w:rsid w:val="007E3884"/>
    <w:rsid w:val="007E3EEA"/>
    <w:rsid w:val="007E42E1"/>
    <w:rsid w:val="007E44B6"/>
    <w:rsid w:val="007E4BB4"/>
    <w:rsid w:val="007E4C52"/>
    <w:rsid w:val="007E4D64"/>
    <w:rsid w:val="007E579B"/>
    <w:rsid w:val="007E587A"/>
    <w:rsid w:val="007E5886"/>
    <w:rsid w:val="007E6B5A"/>
    <w:rsid w:val="007E7905"/>
    <w:rsid w:val="007F01C4"/>
    <w:rsid w:val="007F1253"/>
    <w:rsid w:val="007F1BE6"/>
    <w:rsid w:val="007F32D1"/>
    <w:rsid w:val="007F3479"/>
    <w:rsid w:val="007F4DA6"/>
    <w:rsid w:val="007F4E16"/>
    <w:rsid w:val="007F4FF9"/>
    <w:rsid w:val="007F5EF5"/>
    <w:rsid w:val="007F7F01"/>
    <w:rsid w:val="00800510"/>
    <w:rsid w:val="00801728"/>
    <w:rsid w:val="00801B2D"/>
    <w:rsid w:val="00801C0A"/>
    <w:rsid w:val="0080318A"/>
    <w:rsid w:val="0080381D"/>
    <w:rsid w:val="008040FD"/>
    <w:rsid w:val="00804754"/>
    <w:rsid w:val="00805747"/>
    <w:rsid w:val="0080608B"/>
    <w:rsid w:val="0080652F"/>
    <w:rsid w:val="00806768"/>
    <w:rsid w:val="008067E2"/>
    <w:rsid w:val="00810344"/>
    <w:rsid w:val="00811F4C"/>
    <w:rsid w:val="00812A5C"/>
    <w:rsid w:val="00813CB9"/>
    <w:rsid w:val="00814210"/>
    <w:rsid w:val="008166D3"/>
    <w:rsid w:val="008167AC"/>
    <w:rsid w:val="00817518"/>
    <w:rsid w:val="00820A2E"/>
    <w:rsid w:val="00820B5D"/>
    <w:rsid w:val="00821BD7"/>
    <w:rsid w:val="00822585"/>
    <w:rsid w:val="00824C02"/>
    <w:rsid w:val="0082500E"/>
    <w:rsid w:val="00825B73"/>
    <w:rsid w:val="008270C3"/>
    <w:rsid w:val="00831924"/>
    <w:rsid w:val="00832426"/>
    <w:rsid w:val="0083281D"/>
    <w:rsid w:val="0083608E"/>
    <w:rsid w:val="00836152"/>
    <w:rsid w:val="00836C88"/>
    <w:rsid w:val="008379FA"/>
    <w:rsid w:val="00837EEC"/>
    <w:rsid w:val="0084122B"/>
    <w:rsid w:val="0084169C"/>
    <w:rsid w:val="008418F6"/>
    <w:rsid w:val="0084271B"/>
    <w:rsid w:val="00842C1F"/>
    <w:rsid w:val="00843A88"/>
    <w:rsid w:val="00843F31"/>
    <w:rsid w:val="00844880"/>
    <w:rsid w:val="00844BCB"/>
    <w:rsid w:val="0084584D"/>
    <w:rsid w:val="008475EE"/>
    <w:rsid w:val="00850CA1"/>
    <w:rsid w:val="00851B55"/>
    <w:rsid w:val="00852883"/>
    <w:rsid w:val="00852DD1"/>
    <w:rsid w:val="00853447"/>
    <w:rsid w:val="008541A0"/>
    <w:rsid w:val="00854C31"/>
    <w:rsid w:val="00854CA6"/>
    <w:rsid w:val="00854D26"/>
    <w:rsid w:val="00855DA7"/>
    <w:rsid w:val="00857C67"/>
    <w:rsid w:val="00860222"/>
    <w:rsid w:val="008618E5"/>
    <w:rsid w:val="008625A8"/>
    <w:rsid w:val="0086318A"/>
    <w:rsid w:val="008636BA"/>
    <w:rsid w:val="0086383C"/>
    <w:rsid w:val="00863F0B"/>
    <w:rsid w:val="0086431D"/>
    <w:rsid w:val="0086459D"/>
    <w:rsid w:val="008647D9"/>
    <w:rsid w:val="008650EB"/>
    <w:rsid w:val="00866CA3"/>
    <w:rsid w:val="008674AE"/>
    <w:rsid w:val="0086790B"/>
    <w:rsid w:val="00867CFC"/>
    <w:rsid w:val="0087034F"/>
    <w:rsid w:val="008704E1"/>
    <w:rsid w:val="00870640"/>
    <w:rsid w:val="00872323"/>
    <w:rsid w:val="008728D4"/>
    <w:rsid w:val="008739B9"/>
    <w:rsid w:val="00873BA6"/>
    <w:rsid w:val="00876757"/>
    <w:rsid w:val="008803E5"/>
    <w:rsid w:val="00880BC6"/>
    <w:rsid w:val="00882DC0"/>
    <w:rsid w:val="00882F55"/>
    <w:rsid w:val="00883490"/>
    <w:rsid w:val="008839DE"/>
    <w:rsid w:val="00883C1A"/>
    <w:rsid w:val="0088456A"/>
    <w:rsid w:val="0088480D"/>
    <w:rsid w:val="00885C66"/>
    <w:rsid w:val="00887D5C"/>
    <w:rsid w:val="008905AC"/>
    <w:rsid w:val="00890F21"/>
    <w:rsid w:val="008920DC"/>
    <w:rsid w:val="00892429"/>
    <w:rsid w:val="00892D20"/>
    <w:rsid w:val="00893BAF"/>
    <w:rsid w:val="00894282"/>
    <w:rsid w:val="00894987"/>
    <w:rsid w:val="00894AFE"/>
    <w:rsid w:val="0089589B"/>
    <w:rsid w:val="00895E5A"/>
    <w:rsid w:val="00896545"/>
    <w:rsid w:val="0089763F"/>
    <w:rsid w:val="008A00DE"/>
    <w:rsid w:val="008A0256"/>
    <w:rsid w:val="008A0AC4"/>
    <w:rsid w:val="008A1FBE"/>
    <w:rsid w:val="008A22D7"/>
    <w:rsid w:val="008A3611"/>
    <w:rsid w:val="008A36F5"/>
    <w:rsid w:val="008A3E7F"/>
    <w:rsid w:val="008A4046"/>
    <w:rsid w:val="008A4278"/>
    <w:rsid w:val="008A5366"/>
    <w:rsid w:val="008A5634"/>
    <w:rsid w:val="008A5F7C"/>
    <w:rsid w:val="008A6835"/>
    <w:rsid w:val="008B2BFB"/>
    <w:rsid w:val="008B312D"/>
    <w:rsid w:val="008B4895"/>
    <w:rsid w:val="008B4D27"/>
    <w:rsid w:val="008B7F36"/>
    <w:rsid w:val="008C0165"/>
    <w:rsid w:val="008C062B"/>
    <w:rsid w:val="008C0862"/>
    <w:rsid w:val="008C0FC8"/>
    <w:rsid w:val="008C17FF"/>
    <w:rsid w:val="008C1918"/>
    <w:rsid w:val="008C221E"/>
    <w:rsid w:val="008C2BA9"/>
    <w:rsid w:val="008C327F"/>
    <w:rsid w:val="008C5766"/>
    <w:rsid w:val="008C591C"/>
    <w:rsid w:val="008C59A9"/>
    <w:rsid w:val="008C5AFB"/>
    <w:rsid w:val="008C5FCA"/>
    <w:rsid w:val="008C6E92"/>
    <w:rsid w:val="008D0A67"/>
    <w:rsid w:val="008D1281"/>
    <w:rsid w:val="008D136F"/>
    <w:rsid w:val="008D19A7"/>
    <w:rsid w:val="008D20B8"/>
    <w:rsid w:val="008D3988"/>
    <w:rsid w:val="008D4272"/>
    <w:rsid w:val="008D4414"/>
    <w:rsid w:val="008D4422"/>
    <w:rsid w:val="008D5520"/>
    <w:rsid w:val="008D5E7F"/>
    <w:rsid w:val="008D64FD"/>
    <w:rsid w:val="008D655B"/>
    <w:rsid w:val="008D673A"/>
    <w:rsid w:val="008E0963"/>
    <w:rsid w:val="008E0E3E"/>
    <w:rsid w:val="008E1892"/>
    <w:rsid w:val="008E26A9"/>
    <w:rsid w:val="008E2F6D"/>
    <w:rsid w:val="008E3238"/>
    <w:rsid w:val="008E3420"/>
    <w:rsid w:val="008E3437"/>
    <w:rsid w:val="008E4399"/>
    <w:rsid w:val="008E4FE3"/>
    <w:rsid w:val="008E58C3"/>
    <w:rsid w:val="008E5A59"/>
    <w:rsid w:val="008E5A79"/>
    <w:rsid w:val="008E6F28"/>
    <w:rsid w:val="008F061F"/>
    <w:rsid w:val="008F0982"/>
    <w:rsid w:val="008F1438"/>
    <w:rsid w:val="008F1A50"/>
    <w:rsid w:val="008F28BA"/>
    <w:rsid w:val="008F2935"/>
    <w:rsid w:val="008F2DEE"/>
    <w:rsid w:val="008F3FAA"/>
    <w:rsid w:val="008F404B"/>
    <w:rsid w:val="008F56BD"/>
    <w:rsid w:val="008F6011"/>
    <w:rsid w:val="008F6917"/>
    <w:rsid w:val="008F6A74"/>
    <w:rsid w:val="008F7007"/>
    <w:rsid w:val="008F7F1E"/>
    <w:rsid w:val="009023EE"/>
    <w:rsid w:val="00903DDC"/>
    <w:rsid w:val="00904396"/>
    <w:rsid w:val="0090479D"/>
    <w:rsid w:val="0090701F"/>
    <w:rsid w:val="00907443"/>
    <w:rsid w:val="009076EB"/>
    <w:rsid w:val="00907863"/>
    <w:rsid w:val="00907DC2"/>
    <w:rsid w:val="00907F3A"/>
    <w:rsid w:val="00907FE7"/>
    <w:rsid w:val="0091058D"/>
    <w:rsid w:val="00911723"/>
    <w:rsid w:val="00912594"/>
    <w:rsid w:val="00912A21"/>
    <w:rsid w:val="00915877"/>
    <w:rsid w:val="00915F85"/>
    <w:rsid w:val="0091657E"/>
    <w:rsid w:val="00916E98"/>
    <w:rsid w:val="009172DD"/>
    <w:rsid w:val="00920547"/>
    <w:rsid w:val="009207A2"/>
    <w:rsid w:val="00920FB2"/>
    <w:rsid w:val="00922B41"/>
    <w:rsid w:val="00923EC2"/>
    <w:rsid w:val="009240F1"/>
    <w:rsid w:val="009242E5"/>
    <w:rsid w:val="0092515B"/>
    <w:rsid w:val="00926801"/>
    <w:rsid w:val="0092706C"/>
    <w:rsid w:val="00927CE2"/>
    <w:rsid w:val="00927F76"/>
    <w:rsid w:val="00931925"/>
    <w:rsid w:val="00931E0E"/>
    <w:rsid w:val="00932949"/>
    <w:rsid w:val="00932EB9"/>
    <w:rsid w:val="0093349E"/>
    <w:rsid w:val="00934B36"/>
    <w:rsid w:val="00935483"/>
    <w:rsid w:val="00935D44"/>
    <w:rsid w:val="00936909"/>
    <w:rsid w:val="00940D72"/>
    <w:rsid w:val="009421B5"/>
    <w:rsid w:val="00943290"/>
    <w:rsid w:val="00943C18"/>
    <w:rsid w:val="00943FC2"/>
    <w:rsid w:val="00944939"/>
    <w:rsid w:val="009457C1"/>
    <w:rsid w:val="009465DB"/>
    <w:rsid w:val="00947E60"/>
    <w:rsid w:val="00950545"/>
    <w:rsid w:val="00951A30"/>
    <w:rsid w:val="00952681"/>
    <w:rsid w:val="0095288D"/>
    <w:rsid w:val="00952C8C"/>
    <w:rsid w:val="00952D6A"/>
    <w:rsid w:val="00953886"/>
    <w:rsid w:val="00953F68"/>
    <w:rsid w:val="009563D9"/>
    <w:rsid w:val="00956D7D"/>
    <w:rsid w:val="00957919"/>
    <w:rsid w:val="00957C81"/>
    <w:rsid w:val="009603B8"/>
    <w:rsid w:val="00961593"/>
    <w:rsid w:val="0096392C"/>
    <w:rsid w:val="00963B63"/>
    <w:rsid w:val="00965E4C"/>
    <w:rsid w:val="009667F0"/>
    <w:rsid w:val="00967D60"/>
    <w:rsid w:val="00972010"/>
    <w:rsid w:val="00972279"/>
    <w:rsid w:val="0097344D"/>
    <w:rsid w:val="00973E24"/>
    <w:rsid w:val="00975B70"/>
    <w:rsid w:val="00975F13"/>
    <w:rsid w:val="00976D07"/>
    <w:rsid w:val="00977F47"/>
    <w:rsid w:val="00981E04"/>
    <w:rsid w:val="00982E7F"/>
    <w:rsid w:val="00982F44"/>
    <w:rsid w:val="00982F56"/>
    <w:rsid w:val="00983D27"/>
    <w:rsid w:val="00983D31"/>
    <w:rsid w:val="009845E5"/>
    <w:rsid w:val="009850FA"/>
    <w:rsid w:val="009854E1"/>
    <w:rsid w:val="00985FB7"/>
    <w:rsid w:val="00986597"/>
    <w:rsid w:val="0098680D"/>
    <w:rsid w:val="009871AD"/>
    <w:rsid w:val="00987C13"/>
    <w:rsid w:val="00987D6E"/>
    <w:rsid w:val="00990C0C"/>
    <w:rsid w:val="00992781"/>
    <w:rsid w:val="00994295"/>
    <w:rsid w:val="00994BDE"/>
    <w:rsid w:val="009958A4"/>
    <w:rsid w:val="00995CA2"/>
    <w:rsid w:val="009969DA"/>
    <w:rsid w:val="009972C9"/>
    <w:rsid w:val="009A0D46"/>
    <w:rsid w:val="009A107B"/>
    <w:rsid w:val="009A24B7"/>
    <w:rsid w:val="009A35E9"/>
    <w:rsid w:val="009A3734"/>
    <w:rsid w:val="009A55D1"/>
    <w:rsid w:val="009A637D"/>
    <w:rsid w:val="009B013E"/>
    <w:rsid w:val="009B1603"/>
    <w:rsid w:val="009B2E0F"/>
    <w:rsid w:val="009B38E1"/>
    <w:rsid w:val="009B4BEB"/>
    <w:rsid w:val="009B5280"/>
    <w:rsid w:val="009B5EB4"/>
    <w:rsid w:val="009B6E63"/>
    <w:rsid w:val="009C16CE"/>
    <w:rsid w:val="009C1C40"/>
    <w:rsid w:val="009C2567"/>
    <w:rsid w:val="009C2972"/>
    <w:rsid w:val="009C324C"/>
    <w:rsid w:val="009C5AA7"/>
    <w:rsid w:val="009C5FB9"/>
    <w:rsid w:val="009C6027"/>
    <w:rsid w:val="009C7286"/>
    <w:rsid w:val="009C734B"/>
    <w:rsid w:val="009C751F"/>
    <w:rsid w:val="009C76FE"/>
    <w:rsid w:val="009D01D1"/>
    <w:rsid w:val="009D0BDF"/>
    <w:rsid w:val="009D19DB"/>
    <w:rsid w:val="009D2A0C"/>
    <w:rsid w:val="009D35FE"/>
    <w:rsid w:val="009D3844"/>
    <w:rsid w:val="009D5032"/>
    <w:rsid w:val="009D6CD9"/>
    <w:rsid w:val="009E0256"/>
    <w:rsid w:val="009E03C0"/>
    <w:rsid w:val="009E0920"/>
    <w:rsid w:val="009E1336"/>
    <w:rsid w:val="009E1EEC"/>
    <w:rsid w:val="009E2418"/>
    <w:rsid w:val="009E2F24"/>
    <w:rsid w:val="009E3E41"/>
    <w:rsid w:val="009F0579"/>
    <w:rsid w:val="009F083F"/>
    <w:rsid w:val="009F10B6"/>
    <w:rsid w:val="009F1BC2"/>
    <w:rsid w:val="009F252D"/>
    <w:rsid w:val="009F2B02"/>
    <w:rsid w:val="009F3D5D"/>
    <w:rsid w:val="009F418B"/>
    <w:rsid w:val="009F4DE3"/>
    <w:rsid w:val="009F4FED"/>
    <w:rsid w:val="009F526E"/>
    <w:rsid w:val="009F5384"/>
    <w:rsid w:val="009F579F"/>
    <w:rsid w:val="009F5A1E"/>
    <w:rsid w:val="009F5BF9"/>
    <w:rsid w:val="009F6BD8"/>
    <w:rsid w:val="009F6CF8"/>
    <w:rsid w:val="009F71A5"/>
    <w:rsid w:val="009F7D85"/>
    <w:rsid w:val="00A008C7"/>
    <w:rsid w:val="00A0101D"/>
    <w:rsid w:val="00A02343"/>
    <w:rsid w:val="00A029F9"/>
    <w:rsid w:val="00A03340"/>
    <w:rsid w:val="00A03442"/>
    <w:rsid w:val="00A041EB"/>
    <w:rsid w:val="00A047C8"/>
    <w:rsid w:val="00A0642E"/>
    <w:rsid w:val="00A0645A"/>
    <w:rsid w:val="00A1050A"/>
    <w:rsid w:val="00A108DF"/>
    <w:rsid w:val="00A12714"/>
    <w:rsid w:val="00A1305C"/>
    <w:rsid w:val="00A13527"/>
    <w:rsid w:val="00A14535"/>
    <w:rsid w:val="00A14EA9"/>
    <w:rsid w:val="00A15336"/>
    <w:rsid w:val="00A15864"/>
    <w:rsid w:val="00A15FE0"/>
    <w:rsid w:val="00A174B6"/>
    <w:rsid w:val="00A20175"/>
    <w:rsid w:val="00A2021F"/>
    <w:rsid w:val="00A20D8F"/>
    <w:rsid w:val="00A21855"/>
    <w:rsid w:val="00A21AAD"/>
    <w:rsid w:val="00A22DBB"/>
    <w:rsid w:val="00A24C4E"/>
    <w:rsid w:val="00A253E7"/>
    <w:rsid w:val="00A26099"/>
    <w:rsid w:val="00A2691C"/>
    <w:rsid w:val="00A27EE1"/>
    <w:rsid w:val="00A3057E"/>
    <w:rsid w:val="00A30B01"/>
    <w:rsid w:val="00A31144"/>
    <w:rsid w:val="00A32335"/>
    <w:rsid w:val="00A32751"/>
    <w:rsid w:val="00A32A28"/>
    <w:rsid w:val="00A337D1"/>
    <w:rsid w:val="00A33A5E"/>
    <w:rsid w:val="00A33ADB"/>
    <w:rsid w:val="00A33D68"/>
    <w:rsid w:val="00A33FE1"/>
    <w:rsid w:val="00A3486E"/>
    <w:rsid w:val="00A34B63"/>
    <w:rsid w:val="00A35D5D"/>
    <w:rsid w:val="00A36745"/>
    <w:rsid w:val="00A37714"/>
    <w:rsid w:val="00A40211"/>
    <w:rsid w:val="00A4156D"/>
    <w:rsid w:val="00A4236E"/>
    <w:rsid w:val="00A42596"/>
    <w:rsid w:val="00A42DBE"/>
    <w:rsid w:val="00A43147"/>
    <w:rsid w:val="00A433EB"/>
    <w:rsid w:val="00A43B2E"/>
    <w:rsid w:val="00A443C8"/>
    <w:rsid w:val="00A4638F"/>
    <w:rsid w:val="00A467A4"/>
    <w:rsid w:val="00A46C29"/>
    <w:rsid w:val="00A46DBD"/>
    <w:rsid w:val="00A46E34"/>
    <w:rsid w:val="00A51583"/>
    <w:rsid w:val="00A51EE3"/>
    <w:rsid w:val="00A526C5"/>
    <w:rsid w:val="00A53177"/>
    <w:rsid w:val="00A535D2"/>
    <w:rsid w:val="00A54980"/>
    <w:rsid w:val="00A54B3E"/>
    <w:rsid w:val="00A55AA1"/>
    <w:rsid w:val="00A56B16"/>
    <w:rsid w:val="00A57537"/>
    <w:rsid w:val="00A57CC7"/>
    <w:rsid w:val="00A6051B"/>
    <w:rsid w:val="00A60978"/>
    <w:rsid w:val="00A6175C"/>
    <w:rsid w:val="00A61D0B"/>
    <w:rsid w:val="00A62A09"/>
    <w:rsid w:val="00A62EFC"/>
    <w:rsid w:val="00A6338E"/>
    <w:rsid w:val="00A641DC"/>
    <w:rsid w:val="00A6453D"/>
    <w:rsid w:val="00A65A8C"/>
    <w:rsid w:val="00A66752"/>
    <w:rsid w:val="00A7034E"/>
    <w:rsid w:val="00A70E89"/>
    <w:rsid w:val="00A724AA"/>
    <w:rsid w:val="00A72A01"/>
    <w:rsid w:val="00A72BF4"/>
    <w:rsid w:val="00A73A9D"/>
    <w:rsid w:val="00A743FC"/>
    <w:rsid w:val="00A75837"/>
    <w:rsid w:val="00A758AF"/>
    <w:rsid w:val="00A76FA9"/>
    <w:rsid w:val="00A80735"/>
    <w:rsid w:val="00A809AE"/>
    <w:rsid w:val="00A80B51"/>
    <w:rsid w:val="00A815C1"/>
    <w:rsid w:val="00A82C3D"/>
    <w:rsid w:val="00A8305D"/>
    <w:rsid w:val="00A84371"/>
    <w:rsid w:val="00A84635"/>
    <w:rsid w:val="00A84646"/>
    <w:rsid w:val="00A8491B"/>
    <w:rsid w:val="00A851BE"/>
    <w:rsid w:val="00A85E67"/>
    <w:rsid w:val="00A8786C"/>
    <w:rsid w:val="00A9006F"/>
    <w:rsid w:val="00A900E8"/>
    <w:rsid w:val="00A90900"/>
    <w:rsid w:val="00A917B1"/>
    <w:rsid w:val="00A9198D"/>
    <w:rsid w:val="00A91BA7"/>
    <w:rsid w:val="00A936F0"/>
    <w:rsid w:val="00A938FD"/>
    <w:rsid w:val="00A94725"/>
    <w:rsid w:val="00A95678"/>
    <w:rsid w:val="00A97FD4"/>
    <w:rsid w:val="00AA0167"/>
    <w:rsid w:val="00AA26C1"/>
    <w:rsid w:val="00AA3FFA"/>
    <w:rsid w:val="00AA47A3"/>
    <w:rsid w:val="00AA596A"/>
    <w:rsid w:val="00AA65BC"/>
    <w:rsid w:val="00AA6743"/>
    <w:rsid w:val="00AA7D81"/>
    <w:rsid w:val="00AB1437"/>
    <w:rsid w:val="00AB1A55"/>
    <w:rsid w:val="00AB242A"/>
    <w:rsid w:val="00AB30D2"/>
    <w:rsid w:val="00AB40A6"/>
    <w:rsid w:val="00AB4232"/>
    <w:rsid w:val="00AB44D5"/>
    <w:rsid w:val="00AB4F6D"/>
    <w:rsid w:val="00AB5238"/>
    <w:rsid w:val="00AB67A6"/>
    <w:rsid w:val="00AB7011"/>
    <w:rsid w:val="00AB7516"/>
    <w:rsid w:val="00AC03FE"/>
    <w:rsid w:val="00AC0C83"/>
    <w:rsid w:val="00AC0F83"/>
    <w:rsid w:val="00AC1961"/>
    <w:rsid w:val="00AC1F58"/>
    <w:rsid w:val="00AC2F50"/>
    <w:rsid w:val="00AC4639"/>
    <w:rsid w:val="00AC61D8"/>
    <w:rsid w:val="00AC664B"/>
    <w:rsid w:val="00AC7E9B"/>
    <w:rsid w:val="00AD285B"/>
    <w:rsid w:val="00AD28AF"/>
    <w:rsid w:val="00AD4110"/>
    <w:rsid w:val="00AD4A73"/>
    <w:rsid w:val="00AD71A6"/>
    <w:rsid w:val="00AD75DC"/>
    <w:rsid w:val="00AD77C6"/>
    <w:rsid w:val="00AE0321"/>
    <w:rsid w:val="00AE06F1"/>
    <w:rsid w:val="00AE0A13"/>
    <w:rsid w:val="00AE0BC2"/>
    <w:rsid w:val="00AE0C0B"/>
    <w:rsid w:val="00AE5526"/>
    <w:rsid w:val="00AE654E"/>
    <w:rsid w:val="00AE6A0B"/>
    <w:rsid w:val="00AE7093"/>
    <w:rsid w:val="00AF0002"/>
    <w:rsid w:val="00AF068D"/>
    <w:rsid w:val="00AF089F"/>
    <w:rsid w:val="00AF0931"/>
    <w:rsid w:val="00AF175A"/>
    <w:rsid w:val="00AF34C2"/>
    <w:rsid w:val="00AF495B"/>
    <w:rsid w:val="00AF57AB"/>
    <w:rsid w:val="00AF7348"/>
    <w:rsid w:val="00AF7D2C"/>
    <w:rsid w:val="00B00962"/>
    <w:rsid w:val="00B01CCD"/>
    <w:rsid w:val="00B02C24"/>
    <w:rsid w:val="00B03308"/>
    <w:rsid w:val="00B04850"/>
    <w:rsid w:val="00B04B67"/>
    <w:rsid w:val="00B0523B"/>
    <w:rsid w:val="00B056E5"/>
    <w:rsid w:val="00B05CAB"/>
    <w:rsid w:val="00B06B79"/>
    <w:rsid w:val="00B072B4"/>
    <w:rsid w:val="00B07610"/>
    <w:rsid w:val="00B13D58"/>
    <w:rsid w:val="00B14116"/>
    <w:rsid w:val="00B14CE8"/>
    <w:rsid w:val="00B15136"/>
    <w:rsid w:val="00B15DD7"/>
    <w:rsid w:val="00B16E81"/>
    <w:rsid w:val="00B20DEF"/>
    <w:rsid w:val="00B21E74"/>
    <w:rsid w:val="00B22106"/>
    <w:rsid w:val="00B229CB"/>
    <w:rsid w:val="00B22E72"/>
    <w:rsid w:val="00B22EED"/>
    <w:rsid w:val="00B2406F"/>
    <w:rsid w:val="00B2494C"/>
    <w:rsid w:val="00B24CC3"/>
    <w:rsid w:val="00B24FF4"/>
    <w:rsid w:val="00B26A86"/>
    <w:rsid w:val="00B33758"/>
    <w:rsid w:val="00B33EC9"/>
    <w:rsid w:val="00B35765"/>
    <w:rsid w:val="00B35F5A"/>
    <w:rsid w:val="00B379B9"/>
    <w:rsid w:val="00B37D1F"/>
    <w:rsid w:val="00B40EAF"/>
    <w:rsid w:val="00B4260A"/>
    <w:rsid w:val="00B43319"/>
    <w:rsid w:val="00B43FFA"/>
    <w:rsid w:val="00B44837"/>
    <w:rsid w:val="00B44BA2"/>
    <w:rsid w:val="00B45220"/>
    <w:rsid w:val="00B45CEF"/>
    <w:rsid w:val="00B4742C"/>
    <w:rsid w:val="00B47DDC"/>
    <w:rsid w:val="00B47EBD"/>
    <w:rsid w:val="00B50331"/>
    <w:rsid w:val="00B5098F"/>
    <w:rsid w:val="00B50B32"/>
    <w:rsid w:val="00B51536"/>
    <w:rsid w:val="00B54670"/>
    <w:rsid w:val="00B54C89"/>
    <w:rsid w:val="00B55314"/>
    <w:rsid w:val="00B556D1"/>
    <w:rsid w:val="00B55936"/>
    <w:rsid w:val="00B55D66"/>
    <w:rsid w:val="00B56431"/>
    <w:rsid w:val="00B572BF"/>
    <w:rsid w:val="00B600DC"/>
    <w:rsid w:val="00B60D78"/>
    <w:rsid w:val="00B63136"/>
    <w:rsid w:val="00B63559"/>
    <w:rsid w:val="00B6558E"/>
    <w:rsid w:val="00B704AE"/>
    <w:rsid w:val="00B704E6"/>
    <w:rsid w:val="00B70664"/>
    <w:rsid w:val="00B71D95"/>
    <w:rsid w:val="00B7357B"/>
    <w:rsid w:val="00B73D37"/>
    <w:rsid w:val="00B73D55"/>
    <w:rsid w:val="00B7452A"/>
    <w:rsid w:val="00B74A54"/>
    <w:rsid w:val="00B7617C"/>
    <w:rsid w:val="00B7660E"/>
    <w:rsid w:val="00B77D72"/>
    <w:rsid w:val="00B81B23"/>
    <w:rsid w:val="00B81C34"/>
    <w:rsid w:val="00B825E4"/>
    <w:rsid w:val="00B82637"/>
    <w:rsid w:val="00B829DF"/>
    <w:rsid w:val="00B83AB1"/>
    <w:rsid w:val="00B841C2"/>
    <w:rsid w:val="00B84CCA"/>
    <w:rsid w:val="00B84D6C"/>
    <w:rsid w:val="00B85D41"/>
    <w:rsid w:val="00B85E75"/>
    <w:rsid w:val="00B864DD"/>
    <w:rsid w:val="00B86530"/>
    <w:rsid w:val="00B86E43"/>
    <w:rsid w:val="00B87555"/>
    <w:rsid w:val="00B87AC9"/>
    <w:rsid w:val="00B90C2A"/>
    <w:rsid w:val="00B912B5"/>
    <w:rsid w:val="00B91493"/>
    <w:rsid w:val="00B92010"/>
    <w:rsid w:val="00B9274A"/>
    <w:rsid w:val="00B94620"/>
    <w:rsid w:val="00B94E37"/>
    <w:rsid w:val="00B96CFD"/>
    <w:rsid w:val="00BA2054"/>
    <w:rsid w:val="00BA2E36"/>
    <w:rsid w:val="00BA2FA8"/>
    <w:rsid w:val="00BA3686"/>
    <w:rsid w:val="00BA6B8C"/>
    <w:rsid w:val="00BB098C"/>
    <w:rsid w:val="00BB0BC4"/>
    <w:rsid w:val="00BB15BE"/>
    <w:rsid w:val="00BB3B53"/>
    <w:rsid w:val="00BB5291"/>
    <w:rsid w:val="00BB53BF"/>
    <w:rsid w:val="00BB5B92"/>
    <w:rsid w:val="00BB5DE4"/>
    <w:rsid w:val="00BC07B4"/>
    <w:rsid w:val="00BC1174"/>
    <w:rsid w:val="00BC2D53"/>
    <w:rsid w:val="00BC2F9E"/>
    <w:rsid w:val="00BC3BF2"/>
    <w:rsid w:val="00BC3F3C"/>
    <w:rsid w:val="00BC684F"/>
    <w:rsid w:val="00BC76C2"/>
    <w:rsid w:val="00BD0F01"/>
    <w:rsid w:val="00BD2465"/>
    <w:rsid w:val="00BD247B"/>
    <w:rsid w:val="00BD30D7"/>
    <w:rsid w:val="00BD3B70"/>
    <w:rsid w:val="00BD4C7B"/>
    <w:rsid w:val="00BD56C8"/>
    <w:rsid w:val="00BD59F8"/>
    <w:rsid w:val="00BD610F"/>
    <w:rsid w:val="00BD65F7"/>
    <w:rsid w:val="00BD74DC"/>
    <w:rsid w:val="00BD793E"/>
    <w:rsid w:val="00BE091A"/>
    <w:rsid w:val="00BE100A"/>
    <w:rsid w:val="00BE19F4"/>
    <w:rsid w:val="00BE40F7"/>
    <w:rsid w:val="00BE450C"/>
    <w:rsid w:val="00BE5521"/>
    <w:rsid w:val="00BE5CF1"/>
    <w:rsid w:val="00BE6BC7"/>
    <w:rsid w:val="00BE6E4A"/>
    <w:rsid w:val="00BF03DF"/>
    <w:rsid w:val="00BF1004"/>
    <w:rsid w:val="00BF271E"/>
    <w:rsid w:val="00BF332D"/>
    <w:rsid w:val="00BF33C6"/>
    <w:rsid w:val="00BF3505"/>
    <w:rsid w:val="00BF4C31"/>
    <w:rsid w:val="00BF4FC4"/>
    <w:rsid w:val="00BF5E3B"/>
    <w:rsid w:val="00BF7494"/>
    <w:rsid w:val="00BF7ACC"/>
    <w:rsid w:val="00BF7D32"/>
    <w:rsid w:val="00C001EE"/>
    <w:rsid w:val="00C00ED1"/>
    <w:rsid w:val="00C0138E"/>
    <w:rsid w:val="00C01460"/>
    <w:rsid w:val="00C03448"/>
    <w:rsid w:val="00C0413D"/>
    <w:rsid w:val="00C054D1"/>
    <w:rsid w:val="00C05F6D"/>
    <w:rsid w:val="00C062B8"/>
    <w:rsid w:val="00C06B09"/>
    <w:rsid w:val="00C06BC6"/>
    <w:rsid w:val="00C07BD9"/>
    <w:rsid w:val="00C1079A"/>
    <w:rsid w:val="00C119C9"/>
    <w:rsid w:val="00C13025"/>
    <w:rsid w:val="00C13B5A"/>
    <w:rsid w:val="00C13D1A"/>
    <w:rsid w:val="00C15600"/>
    <w:rsid w:val="00C162EA"/>
    <w:rsid w:val="00C174E7"/>
    <w:rsid w:val="00C216DD"/>
    <w:rsid w:val="00C217CA"/>
    <w:rsid w:val="00C2240A"/>
    <w:rsid w:val="00C22465"/>
    <w:rsid w:val="00C23154"/>
    <w:rsid w:val="00C239C1"/>
    <w:rsid w:val="00C248A6"/>
    <w:rsid w:val="00C24D92"/>
    <w:rsid w:val="00C25B1B"/>
    <w:rsid w:val="00C264C5"/>
    <w:rsid w:val="00C27735"/>
    <w:rsid w:val="00C27B55"/>
    <w:rsid w:val="00C30108"/>
    <w:rsid w:val="00C305C4"/>
    <w:rsid w:val="00C30710"/>
    <w:rsid w:val="00C31732"/>
    <w:rsid w:val="00C32196"/>
    <w:rsid w:val="00C32297"/>
    <w:rsid w:val="00C3338C"/>
    <w:rsid w:val="00C34BBF"/>
    <w:rsid w:val="00C34C0F"/>
    <w:rsid w:val="00C35C25"/>
    <w:rsid w:val="00C36410"/>
    <w:rsid w:val="00C36E36"/>
    <w:rsid w:val="00C37B23"/>
    <w:rsid w:val="00C4051F"/>
    <w:rsid w:val="00C40867"/>
    <w:rsid w:val="00C42D7E"/>
    <w:rsid w:val="00C43305"/>
    <w:rsid w:val="00C434CA"/>
    <w:rsid w:val="00C45387"/>
    <w:rsid w:val="00C457E2"/>
    <w:rsid w:val="00C461F4"/>
    <w:rsid w:val="00C470E0"/>
    <w:rsid w:val="00C47CF1"/>
    <w:rsid w:val="00C5097E"/>
    <w:rsid w:val="00C50C6C"/>
    <w:rsid w:val="00C50E14"/>
    <w:rsid w:val="00C511FE"/>
    <w:rsid w:val="00C5289D"/>
    <w:rsid w:val="00C53DC8"/>
    <w:rsid w:val="00C544E4"/>
    <w:rsid w:val="00C55D22"/>
    <w:rsid w:val="00C5773A"/>
    <w:rsid w:val="00C60C86"/>
    <w:rsid w:val="00C6104C"/>
    <w:rsid w:val="00C6166B"/>
    <w:rsid w:val="00C639E7"/>
    <w:rsid w:val="00C63E5F"/>
    <w:rsid w:val="00C642E8"/>
    <w:rsid w:val="00C6430E"/>
    <w:rsid w:val="00C64843"/>
    <w:rsid w:val="00C664A2"/>
    <w:rsid w:val="00C664EB"/>
    <w:rsid w:val="00C6674E"/>
    <w:rsid w:val="00C66B53"/>
    <w:rsid w:val="00C6771F"/>
    <w:rsid w:val="00C70EE5"/>
    <w:rsid w:val="00C71469"/>
    <w:rsid w:val="00C715B0"/>
    <w:rsid w:val="00C7190A"/>
    <w:rsid w:val="00C722ED"/>
    <w:rsid w:val="00C7272B"/>
    <w:rsid w:val="00C727D9"/>
    <w:rsid w:val="00C733E3"/>
    <w:rsid w:val="00C75213"/>
    <w:rsid w:val="00C7629A"/>
    <w:rsid w:val="00C7652A"/>
    <w:rsid w:val="00C77068"/>
    <w:rsid w:val="00C80229"/>
    <w:rsid w:val="00C81559"/>
    <w:rsid w:val="00C81D5D"/>
    <w:rsid w:val="00C825AC"/>
    <w:rsid w:val="00C82AE2"/>
    <w:rsid w:val="00C82D99"/>
    <w:rsid w:val="00C8303A"/>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3E3E"/>
    <w:rsid w:val="00C9680F"/>
    <w:rsid w:val="00C97A16"/>
    <w:rsid w:val="00C97D7E"/>
    <w:rsid w:val="00CA0363"/>
    <w:rsid w:val="00CA0674"/>
    <w:rsid w:val="00CA134C"/>
    <w:rsid w:val="00CA15C4"/>
    <w:rsid w:val="00CA315A"/>
    <w:rsid w:val="00CA4029"/>
    <w:rsid w:val="00CA4E66"/>
    <w:rsid w:val="00CA597E"/>
    <w:rsid w:val="00CA5ED7"/>
    <w:rsid w:val="00CA6A08"/>
    <w:rsid w:val="00CA7054"/>
    <w:rsid w:val="00CB0D80"/>
    <w:rsid w:val="00CB29E7"/>
    <w:rsid w:val="00CB2ACB"/>
    <w:rsid w:val="00CB3464"/>
    <w:rsid w:val="00CB34EC"/>
    <w:rsid w:val="00CB3B17"/>
    <w:rsid w:val="00CB4475"/>
    <w:rsid w:val="00CB4930"/>
    <w:rsid w:val="00CB4956"/>
    <w:rsid w:val="00CB54BF"/>
    <w:rsid w:val="00CB6F53"/>
    <w:rsid w:val="00CB772B"/>
    <w:rsid w:val="00CB78DE"/>
    <w:rsid w:val="00CC031C"/>
    <w:rsid w:val="00CC0A84"/>
    <w:rsid w:val="00CC0B58"/>
    <w:rsid w:val="00CC2AC2"/>
    <w:rsid w:val="00CC3369"/>
    <w:rsid w:val="00CC62A6"/>
    <w:rsid w:val="00CC7B3D"/>
    <w:rsid w:val="00CC7B8D"/>
    <w:rsid w:val="00CD0079"/>
    <w:rsid w:val="00CD027F"/>
    <w:rsid w:val="00CD0602"/>
    <w:rsid w:val="00CD0D19"/>
    <w:rsid w:val="00CD2A07"/>
    <w:rsid w:val="00CD2B7A"/>
    <w:rsid w:val="00CD439C"/>
    <w:rsid w:val="00CD4C12"/>
    <w:rsid w:val="00CD636E"/>
    <w:rsid w:val="00CE0162"/>
    <w:rsid w:val="00CE1C01"/>
    <w:rsid w:val="00CE1E55"/>
    <w:rsid w:val="00CE206C"/>
    <w:rsid w:val="00CE263C"/>
    <w:rsid w:val="00CE30F0"/>
    <w:rsid w:val="00CE48BA"/>
    <w:rsid w:val="00CE560E"/>
    <w:rsid w:val="00CE57C6"/>
    <w:rsid w:val="00CE73CA"/>
    <w:rsid w:val="00CF09FA"/>
    <w:rsid w:val="00CF13A7"/>
    <w:rsid w:val="00CF1CA6"/>
    <w:rsid w:val="00CF2F03"/>
    <w:rsid w:val="00CF3421"/>
    <w:rsid w:val="00CF3EDF"/>
    <w:rsid w:val="00CF47E5"/>
    <w:rsid w:val="00CF620D"/>
    <w:rsid w:val="00CF66BC"/>
    <w:rsid w:val="00CF6E67"/>
    <w:rsid w:val="00CF7922"/>
    <w:rsid w:val="00D00913"/>
    <w:rsid w:val="00D03985"/>
    <w:rsid w:val="00D039E6"/>
    <w:rsid w:val="00D049F4"/>
    <w:rsid w:val="00D06157"/>
    <w:rsid w:val="00D06E48"/>
    <w:rsid w:val="00D07F10"/>
    <w:rsid w:val="00D10A46"/>
    <w:rsid w:val="00D10C85"/>
    <w:rsid w:val="00D13709"/>
    <w:rsid w:val="00D13D6A"/>
    <w:rsid w:val="00D143CB"/>
    <w:rsid w:val="00D148EE"/>
    <w:rsid w:val="00D149E8"/>
    <w:rsid w:val="00D158E3"/>
    <w:rsid w:val="00D15E86"/>
    <w:rsid w:val="00D171CF"/>
    <w:rsid w:val="00D172AA"/>
    <w:rsid w:val="00D17340"/>
    <w:rsid w:val="00D17439"/>
    <w:rsid w:val="00D17664"/>
    <w:rsid w:val="00D17C39"/>
    <w:rsid w:val="00D17D8B"/>
    <w:rsid w:val="00D20289"/>
    <w:rsid w:val="00D2247B"/>
    <w:rsid w:val="00D2271A"/>
    <w:rsid w:val="00D22D49"/>
    <w:rsid w:val="00D23ADD"/>
    <w:rsid w:val="00D25519"/>
    <w:rsid w:val="00D266E0"/>
    <w:rsid w:val="00D300B6"/>
    <w:rsid w:val="00D30F31"/>
    <w:rsid w:val="00D314D7"/>
    <w:rsid w:val="00D33C4A"/>
    <w:rsid w:val="00D357CE"/>
    <w:rsid w:val="00D361CC"/>
    <w:rsid w:val="00D36436"/>
    <w:rsid w:val="00D36CA5"/>
    <w:rsid w:val="00D36E70"/>
    <w:rsid w:val="00D36FF2"/>
    <w:rsid w:val="00D373E6"/>
    <w:rsid w:val="00D37B23"/>
    <w:rsid w:val="00D37B7B"/>
    <w:rsid w:val="00D37F1B"/>
    <w:rsid w:val="00D40F41"/>
    <w:rsid w:val="00D41D5D"/>
    <w:rsid w:val="00D4262D"/>
    <w:rsid w:val="00D43DAC"/>
    <w:rsid w:val="00D44755"/>
    <w:rsid w:val="00D45850"/>
    <w:rsid w:val="00D4588F"/>
    <w:rsid w:val="00D46EAE"/>
    <w:rsid w:val="00D47994"/>
    <w:rsid w:val="00D51D92"/>
    <w:rsid w:val="00D5422C"/>
    <w:rsid w:val="00D5465B"/>
    <w:rsid w:val="00D54E78"/>
    <w:rsid w:val="00D56A8A"/>
    <w:rsid w:val="00D57437"/>
    <w:rsid w:val="00D57B1B"/>
    <w:rsid w:val="00D57B60"/>
    <w:rsid w:val="00D57B85"/>
    <w:rsid w:val="00D57F17"/>
    <w:rsid w:val="00D60F30"/>
    <w:rsid w:val="00D611AC"/>
    <w:rsid w:val="00D61806"/>
    <w:rsid w:val="00D61C2C"/>
    <w:rsid w:val="00D61E8B"/>
    <w:rsid w:val="00D62AFA"/>
    <w:rsid w:val="00D63ADC"/>
    <w:rsid w:val="00D64265"/>
    <w:rsid w:val="00D65770"/>
    <w:rsid w:val="00D66089"/>
    <w:rsid w:val="00D67734"/>
    <w:rsid w:val="00D70D9B"/>
    <w:rsid w:val="00D712E0"/>
    <w:rsid w:val="00D71A92"/>
    <w:rsid w:val="00D72CC8"/>
    <w:rsid w:val="00D744EB"/>
    <w:rsid w:val="00D74800"/>
    <w:rsid w:val="00D753A4"/>
    <w:rsid w:val="00D75BBF"/>
    <w:rsid w:val="00D763E8"/>
    <w:rsid w:val="00D76B5D"/>
    <w:rsid w:val="00D773E3"/>
    <w:rsid w:val="00D77D18"/>
    <w:rsid w:val="00D800CB"/>
    <w:rsid w:val="00D834D6"/>
    <w:rsid w:val="00D83A42"/>
    <w:rsid w:val="00D83B54"/>
    <w:rsid w:val="00D84363"/>
    <w:rsid w:val="00D84713"/>
    <w:rsid w:val="00D85B2E"/>
    <w:rsid w:val="00D85E89"/>
    <w:rsid w:val="00D865CD"/>
    <w:rsid w:val="00D939A2"/>
    <w:rsid w:val="00D93F27"/>
    <w:rsid w:val="00D94B2F"/>
    <w:rsid w:val="00D95493"/>
    <w:rsid w:val="00D95B51"/>
    <w:rsid w:val="00D9739E"/>
    <w:rsid w:val="00DA14BD"/>
    <w:rsid w:val="00DA242F"/>
    <w:rsid w:val="00DA2F14"/>
    <w:rsid w:val="00DA3BF4"/>
    <w:rsid w:val="00DA3C5B"/>
    <w:rsid w:val="00DA46C5"/>
    <w:rsid w:val="00DA524D"/>
    <w:rsid w:val="00DA6685"/>
    <w:rsid w:val="00DA69F6"/>
    <w:rsid w:val="00DA7233"/>
    <w:rsid w:val="00DA7571"/>
    <w:rsid w:val="00DB03C8"/>
    <w:rsid w:val="00DB1766"/>
    <w:rsid w:val="00DB1B13"/>
    <w:rsid w:val="00DB1E7F"/>
    <w:rsid w:val="00DB2D57"/>
    <w:rsid w:val="00DB3783"/>
    <w:rsid w:val="00DB51B9"/>
    <w:rsid w:val="00DB6BF5"/>
    <w:rsid w:val="00DB6E4F"/>
    <w:rsid w:val="00DB6E59"/>
    <w:rsid w:val="00DB7766"/>
    <w:rsid w:val="00DB7ACD"/>
    <w:rsid w:val="00DB7BF2"/>
    <w:rsid w:val="00DC0A98"/>
    <w:rsid w:val="00DC0C3F"/>
    <w:rsid w:val="00DC175A"/>
    <w:rsid w:val="00DC263B"/>
    <w:rsid w:val="00DC33E7"/>
    <w:rsid w:val="00DC41F5"/>
    <w:rsid w:val="00DC63CC"/>
    <w:rsid w:val="00DC6E79"/>
    <w:rsid w:val="00DC6EFF"/>
    <w:rsid w:val="00DD0673"/>
    <w:rsid w:val="00DD14C4"/>
    <w:rsid w:val="00DD26EF"/>
    <w:rsid w:val="00DD3416"/>
    <w:rsid w:val="00DD4F7C"/>
    <w:rsid w:val="00DD70F0"/>
    <w:rsid w:val="00DD71F5"/>
    <w:rsid w:val="00DD7528"/>
    <w:rsid w:val="00DE1A9C"/>
    <w:rsid w:val="00DE219D"/>
    <w:rsid w:val="00DE28E8"/>
    <w:rsid w:val="00DE4B71"/>
    <w:rsid w:val="00DE4EB3"/>
    <w:rsid w:val="00DE663E"/>
    <w:rsid w:val="00DE6E3C"/>
    <w:rsid w:val="00DF0715"/>
    <w:rsid w:val="00DF20A2"/>
    <w:rsid w:val="00DF22C5"/>
    <w:rsid w:val="00DF2397"/>
    <w:rsid w:val="00DF31EC"/>
    <w:rsid w:val="00DF33FC"/>
    <w:rsid w:val="00DF4255"/>
    <w:rsid w:val="00E00E70"/>
    <w:rsid w:val="00E019E8"/>
    <w:rsid w:val="00E03424"/>
    <w:rsid w:val="00E03606"/>
    <w:rsid w:val="00E03651"/>
    <w:rsid w:val="00E03DC8"/>
    <w:rsid w:val="00E03FDD"/>
    <w:rsid w:val="00E04959"/>
    <w:rsid w:val="00E04FC3"/>
    <w:rsid w:val="00E0713B"/>
    <w:rsid w:val="00E07175"/>
    <w:rsid w:val="00E1003B"/>
    <w:rsid w:val="00E10F7D"/>
    <w:rsid w:val="00E1231F"/>
    <w:rsid w:val="00E12675"/>
    <w:rsid w:val="00E12F2D"/>
    <w:rsid w:val="00E13015"/>
    <w:rsid w:val="00E1414D"/>
    <w:rsid w:val="00E14F2D"/>
    <w:rsid w:val="00E154C9"/>
    <w:rsid w:val="00E16398"/>
    <w:rsid w:val="00E1695C"/>
    <w:rsid w:val="00E16C7B"/>
    <w:rsid w:val="00E17199"/>
    <w:rsid w:val="00E20372"/>
    <w:rsid w:val="00E205CC"/>
    <w:rsid w:val="00E20D30"/>
    <w:rsid w:val="00E23371"/>
    <w:rsid w:val="00E23F34"/>
    <w:rsid w:val="00E244C7"/>
    <w:rsid w:val="00E25F10"/>
    <w:rsid w:val="00E27E64"/>
    <w:rsid w:val="00E30707"/>
    <w:rsid w:val="00E335DE"/>
    <w:rsid w:val="00E336D8"/>
    <w:rsid w:val="00E33913"/>
    <w:rsid w:val="00E33A0B"/>
    <w:rsid w:val="00E34E24"/>
    <w:rsid w:val="00E353E7"/>
    <w:rsid w:val="00E37249"/>
    <w:rsid w:val="00E4056A"/>
    <w:rsid w:val="00E40933"/>
    <w:rsid w:val="00E40D8E"/>
    <w:rsid w:val="00E425B0"/>
    <w:rsid w:val="00E4313A"/>
    <w:rsid w:val="00E43538"/>
    <w:rsid w:val="00E44841"/>
    <w:rsid w:val="00E45F18"/>
    <w:rsid w:val="00E46028"/>
    <w:rsid w:val="00E4634C"/>
    <w:rsid w:val="00E46D65"/>
    <w:rsid w:val="00E47077"/>
    <w:rsid w:val="00E50641"/>
    <w:rsid w:val="00E50B6A"/>
    <w:rsid w:val="00E51A5B"/>
    <w:rsid w:val="00E51D14"/>
    <w:rsid w:val="00E52CAF"/>
    <w:rsid w:val="00E534C2"/>
    <w:rsid w:val="00E53C15"/>
    <w:rsid w:val="00E53F91"/>
    <w:rsid w:val="00E5512A"/>
    <w:rsid w:val="00E554AC"/>
    <w:rsid w:val="00E56326"/>
    <w:rsid w:val="00E57F57"/>
    <w:rsid w:val="00E6027E"/>
    <w:rsid w:val="00E60BDC"/>
    <w:rsid w:val="00E60C52"/>
    <w:rsid w:val="00E628E3"/>
    <w:rsid w:val="00E64180"/>
    <w:rsid w:val="00E64ABA"/>
    <w:rsid w:val="00E6742D"/>
    <w:rsid w:val="00E67BEF"/>
    <w:rsid w:val="00E70272"/>
    <w:rsid w:val="00E70385"/>
    <w:rsid w:val="00E72673"/>
    <w:rsid w:val="00E72C64"/>
    <w:rsid w:val="00E73245"/>
    <w:rsid w:val="00E73FFC"/>
    <w:rsid w:val="00E74F9F"/>
    <w:rsid w:val="00E758F5"/>
    <w:rsid w:val="00E76090"/>
    <w:rsid w:val="00E773A5"/>
    <w:rsid w:val="00E773DA"/>
    <w:rsid w:val="00E804F0"/>
    <w:rsid w:val="00E8073B"/>
    <w:rsid w:val="00E82590"/>
    <w:rsid w:val="00E82620"/>
    <w:rsid w:val="00E828AA"/>
    <w:rsid w:val="00E82F64"/>
    <w:rsid w:val="00E84A1B"/>
    <w:rsid w:val="00E85486"/>
    <w:rsid w:val="00E854A4"/>
    <w:rsid w:val="00E85975"/>
    <w:rsid w:val="00E86F39"/>
    <w:rsid w:val="00E8794E"/>
    <w:rsid w:val="00E87BEE"/>
    <w:rsid w:val="00E87C6D"/>
    <w:rsid w:val="00E90E70"/>
    <w:rsid w:val="00E91B55"/>
    <w:rsid w:val="00E92224"/>
    <w:rsid w:val="00E92A79"/>
    <w:rsid w:val="00E93CAB"/>
    <w:rsid w:val="00E94AA4"/>
    <w:rsid w:val="00E94DC4"/>
    <w:rsid w:val="00E94E36"/>
    <w:rsid w:val="00E953C4"/>
    <w:rsid w:val="00E967EE"/>
    <w:rsid w:val="00E97210"/>
    <w:rsid w:val="00E9765D"/>
    <w:rsid w:val="00E9775A"/>
    <w:rsid w:val="00EA02AA"/>
    <w:rsid w:val="00EA0350"/>
    <w:rsid w:val="00EA0719"/>
    <w:rsid w:val="00EA2351"/>
    <w:rsid w:val="00EA26C3"/>
    <w:rsid w:val="00EA33B4"/>
    <w:rsid w:val="00EA34E4"/>
    <w:rsid w:val="00EA3C7D"/>
    <w:rsid w:val="00EA4691"/>
    <w:rsid w:val="00EA5FAC"/>
    <w:rsid w:val="00EA7DC3"/>
    <w:rsid w:val="00EB072C"/>
    <w:rsid w:val="00EB1E32"/>
    <w:rsid w:val="00EB398F"/>
    <w:rsid w:val="00EB424B"/>
    <w:rsid w:val="00EB4F6B"/>
    <w:rsid w:val="00EB68F7"/>
    <w:rsid w:val="00EB6AF8"/>
    <w:rsid w:val="00EB776B"/>
    <w:rsid w:val="00EB7B28"/>
    <w:rsid w:val="00EB7CFF"/>
    <w:rsid w:val="00EC2C02"/>
    <w:rsid w:val="00EC3255"/>
    <w:rsid w:val="00EC43ED"/>
    <w:rsid w:val="00EC52B3"/>
    <w:rsid w:val="00EC61A0"/>
    <w:rsid w:val="00EC6248"/>
    <w:rsid w:val="00EC6354"/>
    <w:rsid w:val="00EC674F"/>
    <w:rsid w:val="00EC6BFA"/>
    <w:rsid w:val="00ED02DA"/>
    <w:rsid w:val="00ED079D"/>
    <w:rsid w:val="00ED123D"/>
    <w:rsid w:val="00ED13C5"/>
    <w:rsid w:val="00ED1B92"/>
    <w:rsid w:val="00ED1D02"/>
    <w:rsid w:val="00ED2423"/>
    <w:rsid w:val="00ED257C"/>
    <w:rsid w:val="00ED310F"/>
    <w:rsid w:val="00ED474A"/>
    <w:rsid w:val="00ED4B01"/>
    <w:rsid w:val="00ED58C3"/>
    <w:rsid w:val="00ED65ED"/>
    <w:rsid w:val="00ED6AA3"/>
    <w:rsid w:val="00ED6CCB"/>
    <w:rsid w:val="00ED7BFA"/>
    <w:rsid w:val="00EE08CF"/>
    <w:rsid w:val="00EE143C"/>
    <w:rsid w:val="00EE148C"/>
    <w:rsid w:val="00EE1518"/>
    <w:rsid w:val="00EE1E5D"/>
    <w:rsid w:val="00EE23FD"/>
    <w:rsid w:val="00EE2A46"/>
    <w:rsid w:val="00EE2B87"/>
    <w:rsid w:val="00EE6C43"/>
    <w:rsid w:val="00EF0D75"/>
    <w:rsid w:val="00EF0E8B"/>
    <w:rsid w:val="00EF1989"/>
    <w:rsid w:val="00EF199F"/>
    <w:rsid w:val="00EF1D44"/>
    <w:rsid w:val="00EF1E22"/>
    <w:rsid w:val="00EF1FD3"/>
    <w:rsid w:val="00EF2FD3"/>
    <w:rsid w:val="00EF72AA"/>
    <w:rsid w:val="00EF7766"/>
    <w:rsid w:val="00F00265"/>
    <w:rsid w:val="00F010C5"/>
    <w:rsid w:val="00F01C2F"/>
    <w:rsid w:val="00F02C7E"/>
    <w:rsid w:val="00F038D8"/>
    <w:rsid w:val="00F05B5A"/>
    <w:rsid w:val="00F05C56"/>
    <w:rsid w:val="00F070E0"/>
    <w:rsid w:val="00F07EFC"/>
    <w:rsid w:val="00F1093C"/>
    <w:rsid w:val="00F12151"/>
    <w:rsid w:val="00F12387"/>
    <w:rsid w:val="00F1257C"/>
    <w:rsid w:val="00F1297A"/>
    <w:rsid w:val="00F160CF"/>
    <w:rsid w:val="00F16FB0"/>
    <w:rsid w:val="00F1798F"/>
    <w:rsid w:val="00F20549"/>
    <w:rsid w:val="00F22159"/>
    <w:rsid w:val="00F234FB"/>
    <w:rsid w:val="00F23B0E"/>
    <w:rsid w:val="00F23F17"/>
    <w:rsid w:val="00F25A1F"/>
    <w:rsid w:val="00F27406"/>
    <w:rsid w:val="00F30969"/>
    <w:rsid w:val="00F30C5B"/>
    <w:rsid w:val="00F3137A"/>
    <w:rsid w:val="00F318F3"/>
    <w:rsid w:val="00F33D38"/>
    <w:rsid w:val="00F3493D"/>
    <w:rsid w:val="00F3617F"/>
    <w:rsid w:val="00F3756B"/>
    <w:rsid w:val="00F378FC"/>
    <w:rsid w:val="00F41F52"/>
    <w:rsid w:val="00F4235F"/>
    <w:rsid w:val="00F42BF8"/>
    <w:rsid w:val="00F4454B"/>
    <w:rsid w:val="00F449D7"/>
    <w:rsid w:val="00F45EF9"/>
    <w:rsid w:val="00F4742D"/>
    <w:rsid w:val="00F47480"/>
    <w:rsid w:val="00F478BC"/>
    <w:rsid w:val="00F505F0"/>
    <w:rsid w:val="00F52CF8"/>
    <w:rsid w:val="00F53538"/>
    <w:rsid w:val="00F536F3"/>
    <w:rsid w:val="00F54C7E"/>
    <w:rsid w:val="00F55164"/>
    <w:rsid w:val="00F5651F"/>
    <w:rsid w:val="00F566F3"/>
    <w:rsid w:val="00F56F71"/>
    <w:rsid w:val="00F57E2E"/>
    <w:rsid w:val="00F60E4F"/>
    <w:rsid w:val="00F613B7"/>
    <w:rsid w:val="00F6186B"/>
    <w:rsid w:val="00F61B38"/>
    <w:rsid w:val="00F62083"/>
    <w:rsid w:val="00F62B9B"/>
    <w:rsid w:val="00F6366B"/>
    <w:rsid w:val="00F6394C"/>
    <w:rsid w:val="00F63DD9"/>
    <w:rsid w:val="00F64621"/>
    <w:rsid w:val="00F64769"/>
    <w:rsid w:val="00F65D96"/>
    <w:rsid w:val="00F66AB4"/>
    <w:rsid w:val="00F709E3"/>
    <w:rsid w:val="00F71F91"/>
    <w:rsid w:val="00F727AC"/>
    <w:rsid w:val="00F7298D"/>
    <w:rsid w:val="00F7416B"/>
    <w:rsid w:val="00F744FC"/>
    <w:rsid w:val="00F761E8"/>
    <w:rsid w:val="00F76424"/>
    <w:rsid w:val="00F764B3"/>
    <w:rsid w:val="00F76D2C"/>
    <w:rsid w:val="00F77EA5"/>
    <w:rsid w:val="00F82C9D"/>
    <w:rsid w:val="00F83492"/>
    <w:rsid w:val="00F83B57"/>
    <w:rsid w:val="00F8435F"/>
    <w:rsid w:val="00F84716"/>
    <w:rsid w:val="00F84ECB"/>
    <w:rsid w:val="00F856C7"/>
    <w:rsid w:val="00F86A72"/>
    <w:rsid w:val="00F876B0"/>
    <w:rsid w:val="00F93C39"/>
    <w:rsid w:val="00F93D3B"/>
    <w:rsid w:val="00F94465"/>
    <w:rsid w:val="00F9452B"/>
    <w:rsid w:val="00F94739"/>
    <w:rsid w:val="00F94D35"/>
    <w:rsid w:val="00F94D87"/>
    <w:rsid w:val="00F94FCC"/>
    <w:rsid w:val="00F95254"/>
    <w:rsid w:val="00F969EF"/>
    <w:rsid w:val="00FA0B6C"/>
    <w:rsid w:val="00FA2471"/>
    <w:rsid w:val="00FA3E58"/>
    <w:rsid w:val="00FA4121"/>
    <w:rsid w:val="00FA463C"/>
    <w:rsid w:val="00FA4E1A"/>
    <w:rsid w:val="00FA70A6"/>
    <w:rsid w:val="00FA786A"/>
    <w:rsid w:val="00FB0B81"/>
    <w:rsid w:val="00FB175E"/>
    <w:rsid w:val="00FB1C75"/>
    <w:rsid w:val="00FB1CB1"/>
    <w:rsid w:val="00FB369E"/>
    <w:rsid w:val="00FB3A3D"/>
    <w:rsid w:val="00FB7968"/>
    <w:rsid w:val="00FB79DF"/>
    <w:rsid w:val="00FC057E"/>
    <w:rsid w:val="00FC0FA5"/>
    <w:rsid w:val="00FC1987"/>
    <w:rsid w:val="00FC2928"/>
    <w:rsid w:val="00FC3AAA"/>
    <w:rsid w:val="00FC4104"/>
    <w:rsid w:val="00FC4E35"/>
    <w:rsid w:val="00FC5C12"/>
    <w:rsid w:val="00FD0ADD"/>
    <w:rsid w:val="00FD0B7C"/>
    <w:rsid w:val="00FD1144"/>
    <w:rsid w:val="00FD179F"/>
    <w:rsid w:val="00FD1A61"/>
    <w:rsid w:val="00FD22C9"/>
    <w:rsid w:val="00FD238D"/>
    <w:rsid w:val="00FD2E97"/>
    <w:rsid w:val="00FD5A55"/>
    <w:rsid w:val="00FD617B"/>
    <w:rsid w:val="00FE023C"/>
    <w:rsid w:val="00FE06CF"/>
    <w:rsid w:val="00FE0B15"/>
    <w:rsid w:val="00FE0E7F"/>
    <w:rsid w:val="00FE187F"/>
    <w:rsid w:val="00FE1AE6"/>
    <w:rsid w:val="00FE252D"/>
    <w:rsid w:val="00FE4661"/>
    <w:rsid w:val="00FE6B2C"/>
    <w:rsid w:val="00FF115F"/>
    <w:rsid w:val="00FF20E7"/>
    <w:rsid w:val="00FF2B28"/>
    <w:rsid w:val="00FF3318"/>
    <w:rsid w:val="00FF3349"/>
    <w:rsid w:val="00FF4FB1"/>
    <w:rsid w:val="00FF5BFD"/>
    <w:rsid w:val="00FF7168"/>
    <w:rsid w:val="00FF793C"/>
    <w:rsid w:val="00FF7A12"/>
    <w:rsid w:val="00FF7B0C"/>
    <w:rsid w:val="010B0123"/>
    <w:rsid w:val="012316B8"/>
    <w:rsid w:val="0126502E"/>
    <w:rsid w:val="012811BC"/>
    <w:rsid w:val="01281A7B"/>
    <w:rsid w:val="013B56B7"/>
    <w:rsid w:val="013C10AD"/>
    <w:rsid w:val="01402280"/>
    <w:rsid w:val="014F219D"/>
    <w:rsid w:val="015466D7"/>
    <w:rsid w:val="015B5DE1"/>
    <w:rsid w:val="015E2AD8"/>
    <w:rsid w:val="016265C7"/>
    <w:rsid w:val="016C5D9C"/>
    <w:rsid w:val="016E1CC3"/>
    <w:rsid w:val="017C254C"/>
    <w:rsid w:val="017D36F9"/>
    <w:rsid w:val="017F4469"/>
    <w:rsid w:val="01817587"/>
    <w:rsid w:val="01824AF8"/>
    <w:rsid w:val="018B7F3D"/>
    <w:rsid w:val="01905BCC"/>
    <w:rsid w:val="01A81085"/>
    <w:rsid w:val="01AD57B1"/>
    <w:rsid w:val="01AE2557"/>
    <w:rsid w:val="01BB4508"/>
    <w:rsid w:val="01CA061D"/>
    <w:rsid w:val="01DB1631"/>
    <w:rsid w:val="01E40568"/>
    <w:rsid w:val="01F74DC9"/>
    <w:rsid w:val="01F80322"/>
    <w:rsid w:val="01F93873"/>
    <w:rsid w:val="01FC7EE5"/>
    <w:rsid w:val="020A6EE5"/>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765F62"/>
    <w:rsid w:val="03792254"/>
    <w:rsid w:val="037D0957"/>
    <w:rsid w:val="03830D01"/>
    <w:rsid w:val="0384389E"/>
    <w:rsid w:val="0399049E"/>
    <w:rsid w:val="039C4E3B"/>
    <w:rsid w:val="03A01E7F"/>
    <w:rsid w:val="03A602DE"/>
    <w:rsid w:val="03AB65F2"/>
    <w:rsid w:val="03AE6757"/>
    <w:rsid w:val="03B50FDF"/>
    <w:rsid w:val="03B820BB"/>
    <w:rsid w:val="03BC3CE9"/>
    <w:rsid w:val="03D432BC"/>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85413"/>
    <w:rsid w:val="04CA023A"/>
    <w:rsid w:val="04D6392C"/>
    <w:rsid w:val="04E25F0D"/>
    <w:rsid w:val="04E67767"/>
    <w:rsid w:val="04EB4FEA"/>
    <w:rsid w:val="04F40DEB"/>
    <w:rsid w:val="04F455F1"/>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260B7"/>
    <w:rsid w:val="06065FA5"/>
    <w:rsid w:val="060B2A87"/>
    <w:rsid w:val="06257253"/>
    <w:rsid w:val="06271758"/>
    <w:rsid w:val="0629220D"/>
    <w:rsid w:val="062F6898"/>
    <w:rsid w:val="063067AA"/>
    <w:rsid w:val="06525D35"/>
    <w:rsid w:val="065C7C72"/>
    <w:rsid w:val="06603076"/>
    <w:rsid w:val="066863CF"/>
    <w:rsid w:val="066D00CB"/>
    <w:rsid w:val="067715BA"/>
    <w:rsid w:val="067E1BDB"/>
    <w:rsid w:val="067F0C11"/>
    <w:rsid w:val="06896F17"/>
    <w:rsid w:val="068D4138"/>
    <w:rsid w:val="06924C82"/>
    <w:rsid w:val="06933E66"/>
    <w:rsid w:val="069848CB"/>
    <w:rsid w:val="06A33D05"/>
    <w:rsid w:val="06B11AFF"/>
    <w:rsid w:val="06B20D31"/>
    <w:rsid w:val="06B65063"/>
    <w:rsid w:val="06BB11F4"/>
    <w:rsid w:val="06BB541A"/>
    <w:rsid w:val="06C33BE2"/>
    <w:rsid w:val="06CD3F5E"/>
    <w:rsid w:val="06D0743C"/>
    <w:rsid w:val="06E203CB"/>
    <w:rsid w:val="06E51526"/>
    <w:rsid w:val="06E549C3"/>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7768D"/>
    <w:rsid w:val="07896362"/>
    <w:rsid w:val="07931929"/>
    <w:rsid w:val="079667AF"/>
    <w:rsid w:val="079E1456"/>
    <w:rsid w:val="07B642A9"/>
    <w:rsid w:val="07C32DBC"/>
    <w:rsid w:val="07C84344"/>
    <w:rsid w:val="07CF6E17"/>
    <w:rsid w:val="07D4385C"/>
    <w:rsid w:val="07DD37E2"/>
    <w:rsid w:val="07E26169"/>
    <w:rsid w:val="07E42472"/>
    <w:rsid w:val="07E60560"/>
    <w:rsid w:val="07F52B7B"/>
    <w:rsid w:val="08064C95"/>
    <w:rsid w:val="08101F9F"/>
    <w:rsid w:val="08135836"/>
    <w:rsid w:val="081402D1"/>
    <w:rsid w:val="081E636D"/>
    <w:rsid w:val="082E5710"/>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B4FF4"/>
    <w:rsid w:val="08FC5618"/>
    <w:rsid w:val="09024980"/>
    <w:rsid w:val="0911067E"/>
    <w:rsid w:val="092B6B75"/>
    <w:rsid w:val="09307278"/>
    <w:rsid w:val="09325A44"/>
    <w:rsid w:val="093A2DBE"/>
    <w:rsid w:val="093D0DA5"/>
    <w:rsid w:val="093F3A59"/>
    <w:rsid w:val="09403D9B"/>
    <w:rsid w:val="09447762"/>
    <w:rsid w:val="094E6BD8"/>
    <w:rsid w:val="0954400C"/>
    <w:rsid w:val="09673C19"/>
    <w:rsid w:val="0971066F"/>
    <w:rsid w:val="0979724B"/>
    <w:rsid w:val="09864103"/>
    <w:rsid w:val="09880D6F"/>
    <w:rsid w:val="099B6337"/>
    <w:rsid w:val="09B01FDB"/>
    <w:rsid w:val="09B82643"/>
    <w:rsid w:val="09D354C5"/>
    <w:rsid w:val="09E16334"/>
    <w:rsid w:val="09F040D3"/>
    <w:rsid w:val="0A081C48"/>
    <w:rsid w:val="0A0D1C32"/>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43F9B"/>
    <w:rsid w:val="0B555E33"/>
    <w:rsid w:val="0B5C05FC"/>
    <w:rsid w:val="0B5E2880"/>
    <w:rsid w:val="0B8E6845"/>
    <w:rsid w:val="0B9A4393"/>
    <w:rsid w:val="0B9A5390"/>
    <w:rsid w:val="0BAE61BD"/>
    <w:rsid w:val="0BCC6F17"/>
    <w:rsid w:val="0BCD5951"/>
    <w:rsid w:val="0BE7164F"/>
    <w:rsid w:val="0BFA3121"/>
    <w:rsid w:val="0C0E5B2F"/>
    <w:rsid w:val="0C1C7533"/>
    <w:rsid w:val="0C2A7491"/>
    <w:rsid w:val="0C336463"/>
    <w:rsid w:val="0C3A1BCE"/>
    <w:rsid w:val="0C4347D8"/>
    <w:rsid w:val="0C5B5864"/>
    <w:rsid w:val="0C6251E1"/>
    <w:rsid w:val="0C63578E"/>
    <w:rsid w:val="0C651833"/>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312A27"/>
    <w:rsid w:val="0D376112"/>
    <w:rsid w:val="0D377705"/>
    <w:rsid w:val="0D4E2AFE"/>
    <w:rsid w:val="0D571B89"/>
    <w:rsid w:val="0D5E5225"/>
    <w:rsid w:val="0D655291"/>
    <w:rsid w:val="0D660433"/>
    <w:rsid w:val="0D6622BA"/>
    <w:rsid w:val="0D6E4D4C"/>
    <w:rsid w:val="0D725C7A"/>
    <w:rsid w:val="0D8634F9"/>
    <w:rsid w:val="0D864BFA"/>
    <w:rsid w:val="0D883559"/>
    <w:rsid w:val="0D8D4B21"/>
    <w:rsid w:val="0D944EE6"/>
    <w:rsid w:val="0D9C7292"/>
    <w:rsid w:val="0DA26941"/>
    <w:rsid w:val="0DA93A1D"/>
    <w:rsid w:val="0DB03E20"/>
    <w:rsid w:val="0DB835C6"/>
    <w:rsid w:val="0DBD1D2E"/>
    <w:rsid w:val="0DC269AA"/>
    <w:rsid w:val="0DD405FA"/>
    <w:rsid w:val="0DD43B95"/>
    <w:rsid w:val="0DDC3E99"/>
    <w:rsid w:val="0DE94AA1"/>
    <w:rsid w:val="0DEC60C2"/>
    <w:rsid w:val="0DF5026D"/>
    <w:rsid w:val="0E050C9C"/>
    <w:rsid w:val="0E151A8D"/>
    <w:rsid w:val="0E1D570E"/>
    <w:rsid w:val="0E2B4B1B"/>
    <w:rsid w:val="0E2C17DB"/>
    <w:rsid w:val="0E350E4D"/>
    <w:rsid w:val="0E383956"/>
    <w:rsid w:val="0E3B69AC"/>
    <w:rsid w:val="0E3C3CDD"/>
    <w:rsid w:val="0E3E4237"/>
    <w:rsid w:val="0E454E4E"/>
    <w:rsid w:val="0E530F20"/>
    <w:rsid w:val="0E573A28"/>
    <w:rsid w:val="0E6D43F2"/>
    <w:rsid w:val="0E6E7EF6"/>
    <w:rsid w:val="0E771F60"/>
    <w:rsid w:val="0E7C42E4"/>
    <w:rsid w:val="0E8B7E6D"/>
    <w:rsid w:val="0E9002C6"/>
    <w:rsid w:val="0E914A0C"/>
    <w:rsid w:val="0E9617EF"/>
    <w:rsid w:val="0E9741D9"/>
    <w:rsid w:val="0EA70D5A"/>
    <w:rsid w:val="0EBC1F14"/>
    <w:rsid w:val="0EC52F04"/>
    <w:rsid w:val="0EC8278A"/>
    <w:rsid w:val="0ED32530"/>
    <w:rsid w:val="0EE62A1D"/>
    <w:rsid w:val="0EF00431"/>
    <w:rsid w:val="0EF27DFE"/>
    <w:rsid w:val="0EFD6FD5"/>
    <w:rsid w:val="0F0B3645"/>
    <w:rsid w:val="0F0C1227"/>
    <w:rsid w:val="0F0C2D94"/>
    <w:rsid w:val="0F0C2F01"/>
    <w:rsid w:val="0F270F63"/>
    <w:rsid w:val="0F275D6F"/>
    <w:rsid w:val="0F2A665D"/>
    <w:rsid w:val="0F323138"/>
    <w:rsid w:val="0F3529F5"/>
    <w:rsid w:val="0F3A05B3"/>
    <w:rsid w:val="0F3A17DD"/>
    <w:rsid w:val="0F3B76AF"/>
    <w:rsid w:val="0F496E98"/>
    <w:rsid w:val="0F621390"/>
    <w:rsid w:val="0F645327"/>
    <w:rsid w:val="0F6C7E91"/>
    <w:rsid w:val="0F6D450D"/>
    <w:rsid w:val="0F7652A1"/>
    <w:rsid w:val="0F7A4F60"/>
    <w:rsid w:val="0F7A736C"/>
    <w:rsid w:val="0F8F6F29"/>
    <w:rsid w:val="0F936969"/>
    <w:rsid w:val="0FB90F64"/>
    <w:rsid w:val="0FD64BE4"/>
    <w:rsid w:val="0FD83447"/>
    <w:rsid w:val="0FDB6ED1"/>
    <w:rsid w:val="0FDF2A0D"/>
    <w:rsid w:val="0FE54A0E"/>
    <w:rsid w:val="0FE70CBC"/>
    <w:rsid w:val="0FF41553"/>
    <w:rsid w:val="0FF60696"/>
    <w:rsid w:val="1001413D"/>
    <w:rsid w:val="10065711"/>
    <w:rsid w:val="10094771"/>
    <w:rsid w:val="101F11A6"/>
    <w:rsid w:val="102B2C7A"/>
    <w:rsid w:val="102B5A2E"/>
    <w:rsid w:val="102C7341"/>
    <w:rsid w:val="1038619F"/>
    <w:rsid w:val="103C4B2F"/>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C14B5"/>
    <w:rsid w:val="10EC36B1"/>
    <w:rsid w:val="10F40EE9"/>
    <w:rsid w:val="10F53A90"/>
    <w:rsid w:val="10F860AB"/>
    <w:rsid w:val="10F93314"/>
    <w:rsid w:val="1119515B"/>
    <w:rsid w:val="111B41B7"/>
    <w:rsid w:val="1123790C"/>
    <w:rsid w:val="112D1436"/>
    <w:rsid w:val="11334DAA"/>
    <w:rsid w:val="11356692"/>
    <w:rsid w:val="113B32AB"/>
    <w:rsid w:val="115663F5"/>
    <w:rsid w:val="116E6FD7"/>
    <w:rsid w:val="117C17F4"/>
    <w:rsid w:val="11824911"/>
    <w:rsid w:val="118B1EC8"/>
    <w:rsid w:val="119959CB"/>
    <w:rsid w:val="11AB7199"/>
    <w:rsid w:val="11B36079"/>
    <w:rsid w:val="11B515B3"/>
    <w:rsid w:val="11C81221"/>
    <w:rsid w:val="11CC6685"/>
    <w:rsid w:val="11CC67DE"/>
    <w:rsid w:val="11D55786"/>
    <w:rsid w:val="11DA4130"/>
    <w:rsid w:val="11E02B4B"/>
    <w:rsid w:val="11E05987"/>
    <w:rsid w:val="11E503E4"/>
    <w:rsid w:val="11ED77F0"/>
    <w:rsid w:val="11F0419F"/>
    <w:rsid w:val="11FA051B"/>
    <w:rsid w:val="120D2829"/>
    <w:rsid w:val="121F5F32"/>
    <w:rsid w:val="122B6670"/>
    <w:rsid w:val="122F4857"/>
    <w:rsid w:val="12361105"/>
    <w:rsid w:val="12364FC8"/>
    <w:rsid w:val="123F36B7"/>
    <w:rsid w:val="12414277"/>
    <w:rsid w:val="12417CE3"/>
    <w:rsid w:val="1243494A"/>
    <w:rsid w:val="126A7A4A"/>
    <w:rsid w:val="126D101B"/>
    <w:rsid w:val="1278070C"/>
    <w:rsid w:val="128A247A"/>
    <w:rsid w:val="12990161"/>
    <w:rsid w:val="12A50A7D"/>
    <w:rsid w:val="12B02A6B"/>
    <w:rsid w:val="12B23D93"/>
    <w:rsid w:val="12BE406D"/>
    <w:rsid w:val="12C3543E"/>
    <w:rsid w:val="12C4423C"/>
    <w:rsid w:val="12D26E85"/>
    <w:rsid w:val="12D9205F"/>
    <w:rsid w:val="12E52547"/>
    <w:rsid w:val="12EB65EF"/>
    <w:rsid w:val="12F93BA6"/>
    <w:rsid w:val="13014810"/>
    <w:rsid w:val="13050FB3"/>
    <w:rsid w:val="13182F8B"/>
    <w:rsid w:val="131D1D73"/>
    <w:rsid w:val="132360D9"/>
    <w:rsid w:val="132E7314"/>
    <w:rsid w:val="133F2741"/>
    <w:rsid w:val="134C72E8"/>
    <w:rsid w:val="134E6CD1"/>
    <w:rsid w:val="135C3CB9"/>
    <w:rsid w:val="136B4A0D"/>
    <w:rsid w:val="13756B42"/>
    <w:rsid w:val="13762CA7"/>
    <w:rsid w:val="13793A6E"/>
    <w:rsid w:val="137D44F0"/>
    <w:rsid w:val="13925836"/>
    <w:rsid w:val="13984927"/>
    <w:rsid w:val="139D5043"/>
    <w:rsid w:val="13A4005F"/>
    <w:rsid w:val="13A84994"/>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8505D"/>
    <w:rsid w:val="15696DD2"/>
    <w:rsid w:val="156B42EF"/>
    <w:rsid w:val="156E2D4E"/>
    <w:rsid w:val="15730466"/>
    <w:rsid w:val="15753315"/>
    <w:rsid w:val="15852D86"/>
    <w:rsid w:val="15985636"/>
    <w:rsid w:val="159F3935"/>
    <w:rsid w:val="159F4291"/>
    <w:rsid w:val="15A24CAA"/>
    <w:rsid w:val="15A463B8"/>
    <w:rsid w:val="15A82E07"/>
    <w:rsid w:val="15AC6320"/>
    <w:rsid w:val="15D17D92"/>
    <w:rsid w:val="15D31ED5"/>
    <w:rsid w:val="15D33C74"/>
    <w:rsid w:val="15D6619D"/>
    <w:rsid w:val="15E57FEF"/>
    <w:rsid w:val="15E827B6"/>
    <w:rsid w:val="15EA5F3A"/>
    <w:rsid w:val="15EB07A0"/>
    <w:rsid w:val="15EB1749"/>
    <w:rsid w:val="15EE0AA0"/>
    <w:rsid w:val="15FB31E6"/>
    <w:rsid w:val="1608050A"/>
    <w:rsid w:val="160A52F3"/>
    <w:rsid w:val="160C4524"/>
    <w:rsid w:val="160E340B"/>
    <w:rsid w:val="161936E6"/>
    <w:rsid w:val="161F0731"/>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B94BEE"/>
    <w:rsid w:val="16C15CBD"/>
    <w:rsid w:val="16C346BE"/>
    <w:rsid w:val="16C35BA4"/>
    <w:rsid w:val="16CA0481"/>
    <w:rsid w:val="16E01492"/>
    <w:rsid w:val="16E95483"/>
    <w:rsid w:val="16F030A8"/>
    <w:rsid w:val="16F14F8B"/>
    <w:rsid w:val="16FB70C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B53DD"/>
    <w:rsid w:val="176150EF"/>
    <w:rsid w:val="1763777C"/>
    <w:rsid w:val="176841EB"/>
    <w:rsid w:val="17770ED2"/>
    <w:rsid w:val="17851D21"/>
    <w:rsid w:val="17991438"/>
    <w:rsid w:val="179A7E3D"/>
    <w:rsid w:val="17A62C8D"/>
    <w:rsid w:val="17A90AA8"/>
    <w:rsid w:val="17B85BAE"/>
    <w:rsid w:val="17B94094"/>
    <w:rsid w:val="17BE0E10"/>
    <w:rsid w:val="17C340F0"/>
    <w:rsid w:val="17C3791F"/>
    <w:rsid w:val="17C85982"/>
    <w:rsid w:val="17CD52CB"/>
    <w:rsid w:val="17CF29D0"/>
    <w:rsid w:val="17DC18FE"/>
    <w:rsid w:val="180B5FE2"/>
    <w:rsid w:val="18103C41"/>
    <w:rsid w:val="181807E2"/>
    <w:rsid w:val="1819366B"/>
    <w:rsid w:val="18261FBF"/>
    <w:rsid w:val="18451172"/>
    <w:rsid w:val="184B70F6"/>
    <w:rsid w:val="18683BB4"/>
    <w:rsid w:val="18684EB6"/>
    <w:rsid w:val="18776312"/>
    <w:rsid w:val="1879418F"/>
    <w:rsid w:val="188B399F"/>
    <w:rsid w:val="189A516A"/>
    <w:rsid w:val="18A00F78"/>
    <w:rsid w:val="18A11F40"/>
    <w:rsid w:val="18A33C86"/>
    <w:rsid w:val="18A761AE"/>
    <w:rsid w:val="18A803BD"/>
    <w:rsid w:val="18AD4ACE"/>
    <w:rsid w:val="18B14F47"/>
    <w:rsid w:val="18C52E59"/>
    <w:rsid w:val="18D53204"/>
    <w:rsid w:val="18DB65D9"/>
    <w:rsid w:val="18DF77FA"/>
    <w:rsid w:val="18E02C60"/>
    <w:rsid w:val="18E90D41"/>
    <w:rsid w:val="19000DA7"/>
    <w:rsid w:val="1900543A"/>
    <w:rsid w:val="19030DA6"/>
    <w:rsid w:val="19167E56"/>
    <w:rsid w:val="19173E2A"/>
    <w:rsid w:val="19197D47"/>
    <w:rsid w:val="191F4FB5"/>
    <w:rsid w:val="19454A82"/>
    <w:rsid w:val="19455481"/>
    <w:rsid w:val="19516249"/>
    <w:rsid w:val="19551514"/>
    <w:rsid w:val="19597AA8"/>
    <w:rsid w:val="19650D6C"/>
    <w:rsid w:val="19700357"/>
    <w:rsid w:val="19724E05"/>
    <w:rsid w:val="19897603"/>
    <w:rsid w:val="1991191F"/>
    <w:rsid w:val="199D1949"/>
    <w:rsid w:val="19B45055"/>
    <w:rsid w:val="19BC1667"/>
    <w:rsid w:val="19C21AC2"/>
    <w:rsid w:val="19C42A4A"/>
    <w:rsid w:val="19C5545A"/>
    <w:rsid w:val="19CD6FF2"/>
    <w:rsid w:val="19DA6273"/>
    <w:rsid w:val="19DF43D2"/>
    <w:rsid w:val="19E7345B"/>
    <w:rsid w:val="1A0B3A78"/>
    <w:rsid w:val="1A101DAF"/>
    <w:rsid w:val="1A1131DD"/>
    <w:rsid w:val="1A153669"/>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A3C53"/>
    <w:rsid w:val="1B8C11E6"/>
    <w:rsid w:val="1B907589"/>
    <w:rsid w:val="1BA06E54"/>
    <w:rsid w:val="1BA431E8"/>
    <w:rsid w:val="1BA80348"/>
    <w:rsid w:val="1BC9471A"/>
    <w:rsid w:val="1BD310EA"/>
    <w:rsid w:val="1BDC487B"/>
    <w:rsid w:val="1BDE1354"/>
    <w:rsid w:val="1BE838F4"/>
    <w:rsid w:val="1BE84088"/>
    <w:rsid w:val="1C022B3E"/>
    <w:rsid w:val="1C027B84"/>
    <w:rsid w:val="1C250013"/>
    <w:rsid w:val="1C2557E9"/>
    <w:rsid w:val="1C2C15ED"/>
    <w:rsid w:val="1C3D0446"/>
    <w:rsid w:val="1C400146"/>
    <w:rsid w:val="1C441F83"/>
    <w:rsid w:val="1C4D2261"/>
    <w:rsid w:val="1C4F4722"/>
    <w:rsid w:val="1C5710E2"/>
    <w:rsid w:val="1C613F82"/>
    <w:rsid w:val="1C6658F9"/>
    <w:rsid w:val="1C736978"/>
    <w:rsid w:val="1C760BAE"/>
    <w:rsid w:val="1C941AC1"/>
    <w:rsid w:val="1C9B5BB8"/>
    <w:rsid w:val="1CA73C49"/>
    <w:rsid w:val="1CB15DC8"/>
    <w:rsid w:val="1CCA65B8"/>
    <w:rsid w:val="1CCD68A6"/>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9F6F05"/>
    <w:rsid w:val="1DA820E1"/>
    <w:rsid w:val="1DA96AF5"/>
    <w:rsid w:val="1DDB6338"/>
    <w:rsid w:val="1DDD01C2"/>
    <w:rsid w:val="1DF15540"/>
    <w:rsid w:val="1DF15AF7"/>
    <w:rsid w:val="1DF859F8"/>
    <w:rsid w:val="1E0263DF"/>
    <w:rsid w:val="1E0669F4"/>
    <w:rsid w:val="1E084D03"/>
    <w:rsid w:val="1E1A0751"/>
    <w:rsid w:val="1E1F7D3D"/>
    <w:rsid w:val="1E2A580C"/>
    <w:rsid w:val="1E30539D"/>
    <w:rsid w:val="1E324EDE"/>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7371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87478C"/>
    <w:rsid w:val="209768C3"/>
    <w:rsid w:val="209B124A"/>
    <w:rsid w:val="209E6EF4"/>
    <w:rsid w:val="20A233E0"/>
    <w:rsid w:val="20B60176"/>
    <w:rsid w:val="20B9686D"/>
    <w:rsid w:val="20BE2A44"/>
    <w:rsid w:val="20C67878"/>
    <w:rsid w:val="20D84EAD"/>
    <w:rsid w:val="20E21BE9"/>
    <w:rsid w:val="20EB2C29"/>
    <w:rsid w:val="21012592"/>
    <w:rsid w:val="210B5D32"/>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F43E2B"/>
    <w:rsid w:val="21FC0A5E"/>
    <w:rsid w:val="21FD008D"/>
    <w:rsid w:val="21FF4D2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E296C"/>
    <w:rsid w:val="22F702FF"/>
    <w:rsid w:val="22F71E1B"/>
    <w:rsid w:val="22F9712C"/>
    <w:rsid w:val="22FD1700"/>
    <w:rsid w:val="23007447"/>
    <w:rsid w:val="23076A04"/>
    <w:rsid w:val="230F1F6A"/>
    <w:rsid w:val="231024E0"/>
    <w:rsid w:val="23104715"/>
    <w:rsid w:val="231D065D"/>
    <w:rsid w:val="23276432"/>
    <w:rsid w:val="2328430D"/>
    <w:rsid w:val="23360998"/>
    <w:rsid w:val="234A5624"/>
    <w:rsid w:val="234C7C24"/>
    <w:rsid w:val="234D7C16"/>
    <w:rsid w:val="23505226"/>
    <w:rsid w:val="235C193A"/>
    <w:rsid w:val="235C5338"/>
    <w:rsid w:val="236C442B"/>
    <w:rsid w:val="236D25DC"/>
    <w:rsid w:val="2377403C"/>
    <w:rsid w:val="23947EDA"/>
    <w:rsid w:val="23A46834"/>
    <w:rsid w:val="23A71B55"/>
    <w:rsid w:val="23BC734C"/>
    <w:rsid w:val="23D37680"/>
    <w:rsid w:val="23DE454C"/>
    <w:rsid w:val="23EC12DC"/>
    <w:rsid w:val="23F504BF"/>
    <w:rsid w:val="24056B0C"/>
    <w:rsid w:val="2406048A"/>
    <w:rsid w:val="241177F1"/>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67AAF"/>
    <w:rsid w:val="246B7449"/>
    <w:rsid w:val="246D619D"/>
    <w:rsid w:val="247324A2"/>
    <w:rsid w:val="24872E6F"/>
    <w:rsid w:val="24915FEE"/>
    <w:rsid w:val="24921031"/>
    <w:rsid w:val="24952CB8"/>
    <w:rsid w:val="24986B35"/>
    <w:rsid w:val="24A43E52"/>
    <w:rsid w:val="24AA12EE"/>
    <w:rsid w:val="24B062BD"/>
    <w:rsid w:val="24B106AE"/>
    <w:rsid w:val="24B35F30"/>
    <w:rsid w:val="24BD1108"/>
    <w:rsid w:val="24C45D6D"/>
    <w:rsid w:val="24C53BC5"/>
    <w:rsid w:val="24C732C3"/>
    <w:rsid w:val="24C76769"/>
    <w:rsid w:val="24DD54EB"/>
    <w:rsid w:val="24F17DD5"/>
    <w:rsid w:val="2503213A"/>
    <w:rsid w:val="25057C06"/>
    <w:rsid w:val="25281AB5"/>
    <w:rsid w:val="252E520F"/>
    <w:rsid w:val="25332B20"/>
    <w:rsid w:val="253445C2"/>
    <w:rsid w:val="25447F08"/>
    <w:rsid w:val="254C06BD"/>
    <w:rsid w:val="254F6086"/>
    <w:rsid w:val="25544C27"/>
    <w:rsid w:val="25603FF9"/>
    <w:rsid w:val="257378E5"/>
    <w:rsid w:val="25761A12"/>
    <w:rsid w:val="257B07FD"/>
    <w:rsid w:val="25846941"/>
    <w:rsid w:val="25953CD0"/>
    <w:rsid w:val="259746E1"/>
    <w:rsid w:val="25A0704D"/>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54F1C"/>
    <w:rsid w:val="2628248B"/>
    <w:rsid w:val="2636741A"/>
    <w:rsid w:val="26375A31"/>
    <w:rsid w:val="26437C73"/>
    <w:rsid w:val="265C6A0C"/>
    <w:rsid w:val="26605561"/>
    <w:rsid w:val="26620A92"/>
    <w:rsid w:val="2663604A"/>
    <w:rsid w:val="26683D4D"/>
    <w:rsid w:val="267B038B"/>
    <w:rsid w:val="26846AC9"/>
    <w:rsid w:val="268F5094"/>
    <w:rsid w:val="269B112B"/>
    <w:rsid w:val="26A33926"/>
    <w:rsid w:val="26AC035F"/>
    <w:rsid w:val="26E45C7C"/>
    <w:rsid w:val="26EE36BE"/>
    <w:rsid w:val="270D4E67"/>
    <w:rsid w:val="272A6E66"/>
    <w:rsid w:val="273077C5"/>
    <w:rsid w:val="27375777"/>
    <w:rsid w:val="273F0DD4"/>
    <w:rsid w:val="273F4198"/>
    <w:rsid w:val="27685E42"/>
    <w:rsid w:val="27704AE5"/>
    <w:rsid w:val="27737877"/>
    <w:rsid w:val="277D23A4"/>
    <w:rsid w:val="2784633E"/>
    <w:rsid w:val="27872846"/>
    <w:rsid w:val="27884118"/>
    <w:rsid w:val="27887A4A"/>
    <w:rsid w:val="279F7826"/>
    <w:rsid w:val="27AE14F2"/>
    <w:rsid w:val="27D752C7"/>
    <w:rsid w:val="27DC5227"/>
    <w:rsid w:val="27F86B71"/>
    <w:rsid w:val="28081469"/>
    <w:rsid w:val="280B57A6"/>
    <w:rsid w:val="28144F55"/>
    <w:rsid w:val="281E55F2"/>
    <w:rsid w:val="281F400E"/>
    <w:rsid w:val="282A2B9F"/>
    <w:rsid w:val="284D5C90"/>
    <w:rsid w:val="284E3CCE"/>
    <w:rsid w:val="286A686F"/>
    <w:rsid w:val="286C7D96"/>
    <w:rsid w:val="2882057B"/>
    <w:rsid w:val="2888024E"/>
    <w:rsid w:val="2888593F"/>
    <w:rsid w:val="288A09FD"/>
    <w:rsid w:val="28975DBD"/>
    <w:rsid w:val="28997008"/>
    <w:rsid w:val="28A143AE"/>
    <w:rsid w:val="28A20541"/>
    <w:rsid w:val="28C0754C"/>
    <w:rsid w:val="28C84414"/>
    <w:rsid w:val="28C93CE7"/>
    <w:rsid w:val="28C948C9"/>
    <w:rsid w:val="28D02744"/>
    <w:rsid w:val="28D14D64"/>
    <w:rsid w:val="28D305A2"/>
    <w:rsid w:val="28D96B38"/>
    <w:rsid w:val="28E56BBE"/>
    <w:rsid w:val="28EA0B07"/>
    <w:rsid w:val="28F71719"/>
    <w:rsid w:val="28F918AF"/>
    <w:rsid w:val="28F95B32"/>
    <w:rsid w:val="290214DB"/>
    <w:rsid w:val="29096810"/>
    <w:rsid w:val="291D4344"/>
    <w:rsid w:val="291E06EF"/>
    <w:rsid w:val="29375D32"/>
    <w:rsid w:val="293C5206"/>
    <w:rsid w:val="294C5091"/>
    <w:rsid w:val="295027AF"/>
    <w:rsid w:val="296038E4"/>
    <w:rsid w:val="297A70B6"/>
    <w:rsid w:val="297D0A49"/>
    <w:rsid w:val="29853CFC"/>
    <w:rsid w:val="29893984"/>
    <w:rsid w:val="2994577B"/>
    <w:rsid w:val="29970829"/>
    <w:rsid w:val="299858FD"/>
    <w:rsid w:val="29A24C17"/>
    <w:rsid w:val="29AC11A1"/>
    <w:rsid w:val="29B156F2"/>
    <w:rsid w:val="29DE7DA6"/>
    <w:rsid w:val="29FB4600"/>
    <w:rsid w:val="2A0533E5"/>
    <w:rsid w:val="2A207DD6"/>
    <w:rsid w:val="2A224145"/>
    <w:rsid w:val="2A33239A"/>
    <w:rsid w:val="2A3B4A00"/>
    <w:rsid w:val="2A4531FB"/>
    <w:rsid w:val="2A4C4039"/>
    <w:rsid w:val="2A5275B6"/>
    <w:rsid w:val="2A606872"/>
    <w:rsid w:val="2A625050"/>
    <w:rsid w:val="2A6A6DB4"/>
    <w:rsid w:val="2A704C59"/>
    <w:rsid w:val="2A7D4D41"/>
    <w:rsid w:val="2A843EF3"/>
    <w:rsid w:val="2A9A1292"/>
    <w:rsid w:val="2A9B49C0"/>
    <w:rsid w:val="2AA93CBF"/>
    <w:rsid w:val="2ACB2DEE"/>
    <w:rsid w:val="2AD245BE"/>
    <w:rsid w:val="2AD439F5"/>
    <w:rsid w:val="2AE165C9"/>
    <w:rsid w:val="2AE50EE9"/>
    <w:rsid w:val="2AEC2A13"/>
    <w:rsid w:val="2AEF18AC"/>
    <w:rsid w:val="2AFA2CEC"/>
    <w:rsid w:val="2B0B7CD5"/>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A656A7"/>
    <w:rsid w:val="2CA730D0"/>
    <w:rsid w:val="2CAC4A4E"/>
    <w:rsid w:val="2CAE6B51"/>
    <w:rsid w:val="2CBF12D7"/>
    <w:rsid w:val="2CC26AEE"/>
    <w:rsid w:val="2CC561AF"/>
    <w:rsid w:val="2CC847AA"/>
    <w:rsid w:val="2CD5539D"/>
    <w:rsid w:val="2CDD55FF"/>
    <w:rsid w:val="2CE03AFC"/>
    <w:rsid w:val="2CE56A2A"/>
    <w:rsid w:val="2CE724B2"/>
    <w:rsid w:val="2CEA0377"/>
    <w:rsid w:val="2CED74C7"/>
    <w:rsid w:val="2CFB04F3"/>
    <w:rsid w:val="2D027ED4"/>
    <w:rsid w:val="2D077208"/>
    <w:rsid w:val="2D087F96"/>
    <w:rsid w:val="2D135ED1"/>
    <w:rsid w:val="2D244FA5"/>
    <w:rsid w:val="2D336AB5"/>
    <w:rsid w:val="2D3C34C7"/>
    <w:rsid w:val="2D4B658D"/>
    <w:rsid w:val="2D562C84"/>
    <w:rsid w:val="2D8E42FB"/>
    <w:rsid w:val="2D946EB0"/>
    <w:rsid w:val="2D977AC7"/>
    <w:rsid w:val="2DA1054C"/>
    <w:rsid w:val="2DA72AB5"/>
    <w:rsid w:val="2DAE22C2"/>
    <w:rsid w:val="2DBE4562"/>
    <w:rsid w:val="2DC974F9"/>
    <w:rsid w:val="2DE8034D"/>
    <w:rsid w:val="2E07438C"/>
    <w:rsid w:val="2E0E0B61"/>
    <w:rsid w:val="2E126345"/>
    <w:rsid w:val="2E1D0A10"/>
    <w:rsid w:val="2E275C27"/>
    <w:rsid w:val="2E2B59E0"/>
    <w:rsid w:val="2E2B7690"/>
    <w:rsid w:val="2E336EFE"/>
    <w:rsid w:val="2E38559E"/>
    <w:rsid w:val="2E4D3DBA"/>
    <w:rsid w:val="2E534B2F"/>
    <w:rsid w:val="2E542EB8"/>
    <w:rsid w:val="2E546AF0"/>
    <w:rsid w:val="2E5B5EC6"/>
    <w:rsid w:val="2E5E38B4"/>
    <w:rsid w:val="2E685B68"/>
    <w:rsid w:val="2E731830"/>
    <w:rsid w:val="2E753658"/>
    <w:rsid w:val="2E777DD8"/>
    <w:rsid w:val="2E854232"/>
    <w:rsid w:val="2E955A36"/>
    <w:rsid w:val="2E983E21"/>
    <w:rsid w:val="2E9978D3"/>
    <w:rsid w:val="2EA961E2"/>
    <w:rsid w:val="2EAD565D"/>
    <w:rsid w:val="2EBA078A"/>
    <w:rsid w:val="2EC706FE"/>
    <w:rsid w:val="2ECC2184"/>
    <w:rsid w:val="2EE2255F"/>
    <w:rsid w:val="2EFC428F"/>
    <w:rsid w:val="2EFF2582"/>
    <w:rsid w:val="2F0A769D"/>
    <w:rsid w:val="2F1F1A86"/>
    <w:rsid w:val="2F284477"/>
    <w:rsid w:val="2F3A37C5"/>
    <w:rsid w:val="2F572860"/>
    <w:rsid w:val="2F6611BD"/>
    <w:rsid w:val="2F6909EC"/>
    <w:rsid w:val="2F707FCB"/>
    <w:rsid w:val="2F74215B"/>
    <w:rsid w:val="2F744550"/>
    <w:rsid w:val="2F7D6085"/>
    <w:rsid w:val="2F7E1560"/>
    <w:rsid w:val="2F845893"/>
    <w:rsid w:val="2F8A3CB8"/>
    <w:rsid w:val="2FA45E10"/>
    <w:rsid w:val="2FAF300E"/>
    <w:rsid w:val="2FC46BD2"/>
    <w:rsid w:val="2FD53DDF"/>
    <w:rsid w:val="2FDD0539"/>
    <w:rsid w:val="2FE9370E"/>
    <w:rsid w:val="300E11BC"/>
    <w:rsid w:val="301C5DD0"/>
    <w:rsid w:val="30221161"/>
    <w:rsid w:val="302D2349"/>
    <w:rsid w:val="303B518B"/>
    <w:rsid w:val="304543B4"/>
    <w:rsid w:val="304843A3"/>
    <w:rsid w:val="30490B0F"/>
    <w:rsid w:val="305C1A57"/>
    <w:rsid w:val="305C21D0"/>
    <w:rsid w:val="30646044"/>
    <w:rsid w:val="306C38AF"/>
    <w:rsid w:val="30710041"/>
    <w:rsid w:val="30716E7D"/>
    <w:rsid w:val="308642A1"/>
    <w:rsid w:val="30872814"/>
    <w:rsid w:val="30B61611"/>
    <w:rsid w:val="30BE16FF"/>
    <w:rsid w:val="30C50DE7"/>
    <w:rsid w:val="30CF618C"/>
    <w:rsid w:val="30D47B37"/>
    <w:rsid w:val="30D6249E"/>
    <w:rsid w:val="30E35488"/>
    <w:rsid w:val="30EA78CF"/>
    <w:rsid w:val="30F37069"/>
    <w:rsid w:val="30F853FC"/>
    <w:rsid w:val="30FD3A33"/>
    <w:rsid w:val="30FE04FC"/>
    <w:rsid w:val="31101552"/>
    <w:rsid w:val="311115C3"/>
    <w:rsid w:val="31120B63"/>
    <w:rsid w:val="31161FF0"/>
    <w:rsid w:val="3128529D"/>
    <w:rsid w:val="313C04D6"/>
    <w:rsid w:val="314C7E2B"/>
    <w:rsid w:val="316E2945"/>
    <w:rsid w:val="31716C3A"/>
    <w:rsid w:val="317E4255"/>
    <w:rsid w:val="31895A97"/>
    <w:rsid w:val="31915ED8"/>
    <w:rsid w:val="31917521"/>
    <w:rsid w:val="319226BE"/>
    <w:rsid w:val="319A537D"/>
    <w:rsid w:val="319B487B"/>
    <w:rsid w:val="31A07BD4"/>
    <w:rsid w:val="31A237B7"/>
    <w:rsid w:val="31A307B6"/>
    <w:rsid w:val="31A36C32"/>
    <w:rsid w:val="31A41239"/>
    <w:rsid w:val="31A84D0C"/>
    <w:rsid w:val="31AB730E"/>
    <w:rsid w:val="31AC1449"/>
    <w:rsid w:val="31BC2BBF"/>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94F85"/>
    <w:rsid w:val="325B3CF3"/>
    <w:rsid w:val="32600B2C"/>
    <w:rsid w:val="327A3522"/>
    <w:rsid w:val="327F434D"/>
    <w:rsid w:val="32862DAE"/>
    <w:rsid w:val="3292427B"/>
    <w:rsid w:val="32954D6F"/>
    <w:rsid w:val="329F07DE"/>
    <w:rsid w:val="32A73DE5"/>
    <w:rsid w:val="32B347EB"/>
    <w:rsid w:val="32B75EDB"/>
    <w:rsid w:val="32C35DA4"/>
    <w:rsid w:val="32DB6C51"/>
    <w:rsid w:val="32F12428"/>
    <w:rsid w:val="32F458D1"/>
    <w:rsid w:val="32F50332"/>
    <w:rsid w:val="32FC5F72"/>
    <w:rsid w:val="32FD495D"/>
    <w:rsid w:val="33080AA9"/>
    <w:rsid w:val="330C2BFC"/>
    <w:rsid w:val="330D5B5D"/>
    <w:rsid w:val="331036F0"/>
    <w:rsid w:val="331B7B50"/>
    <w:rsid w:val="33211714"/>
    <w:rsid w:val="332C12BD"/>
    <w:rsid w:val="33305C83"/>
    <w:rsid w:val="333B5E61"/>
    <w:rsid w:val="333C263F"/>
    <w:rsid w:val="333C4CD8"/>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D1CB1"/>
    <w:rsid w:val="33E37C0C"/>
    <w:rsid w:val="33EC280F"/>
    <w:rsid w:val="33EE34B9"/>
    <w:rsid w:val="33F018DA"/>
    <w:rsid w:val="33F034D6"/>
    <w:rsid w:val="33FD61B9"/>
    <w:rsid w:val="3400148B"/>
    <w:rsid w:val="34084B85"/>
    <w:rsid w:val="340C61E8"/>
    <w:rsid w:val="34176129"/>
    <w:rsid w:val="34181418"/>
    <w:rsid w:val="34224A49"/>
    <w:rsid w:val="343E33C5"/>
    <w:rsid w:val="343F600A"/>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E39A9"/>
    <w:rsid w:val="34E30467"/>
    <w:rsid w:val="34E645EB"/>
    <w:rsid w:val="34EB534B"/>
    <w:rsid w:val="34EC0627"/>
    <w:rsid w:val="34F4373F"/>
    <w:rsid w:val="34F44B7C"/>
    <w:rsid w:val="35153C13"/>
    <w:rsid w:val="351C0C21"/>
    <w:rsid w:val="351F3CFE"/>
    <w:rsid w:val="352F7E00"/>
    <w:rsid w:val="35360F5A"/>
    <w:rsid w:val="35366768"/>
    <w:rsid w:val="353F2F9E"/>
    <w:rsid w:val="35533E76"/>
    <w:rsid w:val="35766DB4"/>
    <w:rsid w:val="357D2039"/>
    <w:rsid w:val="357D7FAD"/>
    <w:rsid w:val="357E4D39"/>
    <w:rsid w:val="35815468"/>
    <w:rsid w:val="35877B87"/>
    <w:rsid w:val="358B37F2"/>
    <w:rsid w:val="3595527F"/>
    <w:rsid w:val="3598295B"/>
    <w:rsid w:val="359E1B5C"/>
    <w:rsid w:val="35A11B9A"/>
    <w:rsid w:val="35A82C78"/>
    <w:rsid w:val="35A84848"/>
    <w:rsid w:val="35A97CD3"/>
    <w:rsid w:val="35AA3319"/>
    <w:rsid w:val="35B40484"/>
    <w:rsid w:val="35BD0439"/>
    <w:rsid w:val="35C07E1C"/>
    <w:rsid w:val="35CA6B75"/>
    <w:rsid w:val="35D544CD"/>
    <w:rsid w:val="35DF76D0"/>
    <w:rsid w:val="35E1655B"/>
    <w:rsid w:val="35E50FBF"/>
    <w:rsid w:val="35EA3AF3"/>
    <w:rsid w:val="35F11FEB"/>
    <w:rsid w:val="35F33FB0"/>
    <w:rsid w:val="36066558"/>
    <w:rsid w:val="36093A53"/>
    <w:rsid w:val="360C1B27"/>
    <w:rsid w:val="36107509"/>
    <w:rsid w:val="36176E02"/>
    <w:rsid w:val="361F2311"/>
    <w:rsid w:val="36230B25"/>
    <w:rsid w:val="3623560C"/>
    <w:rsid w:val="3638241D"/>
    <w:rsid w:val="363E0B53"/>
    <w:rsid w:val="3647602A"/>
    <w:rsid w:val="364A1AFA"/>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E42408"/>
    <w:rsid w:val="36F10C52"/>
    <w:rsid w:val="36F70023"/>
    <w:rsid w:val="36F94BA9"/>
    <w:rsid w:val="370D64AF"/>
    <w:rsid w:val="37157232"/>
    <w:rsid w:val="37204FD3"/>
    <w:rsid w:val="37242C42"/>
    <w:rsid w:val="37250909"/>
    <w:rsid w:val="37313D38"/>
    <w:rsid w:val="37361181"/>
    <w:rsid w:val="37412149"/>
    <w:rsid w:val="37507C1A"/>
    <w:rsid w:val="375A0E25"/>
    <w:rsid w:val="37671472"/>
    <w:rsid w:val="37680EB3"/>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8027BB6"/>
    <w:rsid w:val="381C1327"/>
    <w:rsid w:val="383F01C5"/>
    <w:rsid w:val="384D55F5"/>
    <w:rsid w:val="38566563"/>
    <w:rsid w:val="386522DA"/>
    <w:rsid w:val="38764BC2"/>
    <w:rsid w:val="38806D8C"/>
    <w:rsid w:val="388E177B"/>
    <w:rsid w:val="38934005"/>
    <w:rsid w:val="389506A1"/>
    <w:rsid w:val="38A6782A"/>
    <w:rsid w:val="38A9788A"/>
    <w:rsid w:val="38B571FE"/>
    <w:rsid w:val="38BA111D"/>
    <w:rsid w:val="38BF30A8"/>
    <w:rsid w:val="38CB1CE6"/>
    <w:rsid w:val="38E26FDB"/>
    <w:rsid w:val="38E94123"/>
    <w:rsid w:val="38EA5E2B"/>
    <w:rsid w:val="38EB394A"/>
    <w:rsid w:val="38EF19EE"/>
    <w:rsid w:val="38EF60F7"/>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6B15"/>
    <w:rsid w:val="39A63820"/>
    <w:rsid w:val="39A663C0"/>
    <w:rsid w:val="39A87653"/>
    <w:rsid w:val="39BC350F"/>
    <w:rsid w:val="39C441EA"/>
    <w:rsid w:val="39C753FD"/>
    <w:rsid w:val="39CA0446"/>
    <w:rsid w:val="39D05B95"/>
    <w:rsid w:val="39D74C1C"/>
    <w:rsid w:val="39DE342A"/>
    <w:rsid w:val="39DE7972"/>
    <w:rsid w:val="39E36B7B"/>
    <w:rsid w:val="39F21A1E"/>
    <w:rsid w:val="39F478FB"/>
    <w:rsid w:val="3A0B329E"/>
    <w:rsid w:val="3A0C0125"/>
    <w:rsid w:val="3A174C81"/>
    <w:rsid w:val="3A193947"/>
    <w:rsid w:val="3A1F4A29"/>
    <w:rsid w:val="3A265152"/>
    <w:rsid w:val="3A281BD1"/>
    <w:rsid w:val="3A2D5A5A"/>
    <w:rsid w:val="3A302C19"/>
    <w:rsid w:val="3A335CA6"/>
    <w:rsid w:val="3A4619BC"/>
    <w:rsid w:val="3A492BC9"/>
    <w:rsid w:val="3A496A69"/>
    <w:rsid w:val="3A4C1EBA"/>
    <w:rsid w:val="3A4C4DCB"/>
    <w:rsid w:val="3A4F324C"/>
    <w:rsid w:val="3A550966"/>
    <w:rsid w:val="3A704846"/>
    <w:rsid w:val="3A7314F0"/>
    <w:rsid w:val="3A84732F"/>
    <w:rsid w:val="3A8500BE"/>
    <w:rsid w:val="3A865F97"/>
    <w:rsid w:val="3A8759F0"/>
    <w:rsid w:val="3A9239A7"/>
    <w:rsid w:val="3AAA2B0F"/>
    <w:rsid w:val="3AAB6E8C"/>
    <w:rsid w:val="3ABF23C2"/>
    <w:rsid w:val="3ACF42D5"/>
    <w:rsid w:val="3AE67507"/>
    <w:rsid w:val="3AEF50CD"/>
    <w:rsid w:val="3B030E79"/>
    <w:rsid w:val="3B0F464C"/>
    <w:rsid w:val="3B1017E0"/>
    <w:rsid w:val="3B1B6ECA"/>
    <w:rsid w:val="3B1E7A2A"/>
    <w:rsid w:val="3B2230DD"/>
    <w:rsid w:val="3B376B09"/>
    <w:rsid w:val="3B442F23"/>
    <w:rsid w:val="3B536DFA"/>
    <w:rsid w:val="3B6D1827"/>
    <w:rsid w:val="3B736ED6"/>
    <w:rsid w:val="3B885977"/>
    <w:rsid w:val="3B890FB6"/>
    <w:rsid w:val="3B937D6F"/>
    <w:rsid w:val="3B982451"/>
    <w:rsid w:val="3B9A7D9B"/>
    <w:rsid w:val="3BAB5251"/>
    <w:rsid w:val="3BAF67BD"/>
    <w:rsid w:val="3BBC136D"/>
    <w:rsid w:val="3BBC763E"/>
    <w:rsid w:val="3BC75E3C"/>
    <w:rsid w:val="3BD5178B"/>
    <w:rsid w:val="3BE9115B"/>
    <w:rsid w:val="3BF31542"/>
    <w:rsid w:val="3BFA098B"/>
    <w:rsid w:val="3C004E51"/>
    <w:rsid w:val="3C0B5DBC"/>
    <w:rsid w:val="3C15312A"/>
    <w:rsid w:val="3C170E07"/>
    <w:rsid w:val="3C1A41E3"/>
    <w:rsid w:val="3C1E1CA5"/>
    <w:rsid w:val="3C2A76CD"/>
    <w:rsid w:val="3C2E2ADE"/>
    <w:rsid w:val="3C363FCB"/>
    <w:rsid w:val="3C3F5075"/>
    <w:rsid w:val="3C3F678B"/>
    <w:rsid w:val="3C4D7148"/>
    <w:rsid w:val="3C6B189A"/>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7A507C"/>
    <w:rsid w:val="3D7F3F72"/>
    <w:rsid w:val="3D827EBD"/>
    <w:rsid w:val="3D9B1F21"/>
    <w:rsid w:val="3D9F2834"/>
    <w:rsid w:val="3DA152A1"/>
    <w:rsid w:val="3DAF00D9"/>
    <w:rsid w:val="3DBF6136"/>
    <w:rsid w:val="3DCA672B"/>
    <w:rsid w:val="3DE41512"/>
    <w:rsid w:val="3DEF0244"/>
    <w:rsid w:val="3E043DC7"/>
    <w:rsid w:val="3E080399"/>
    <w:rsid w:val="3E174358"/>
    <w:rsid w:val="3E1950E6"/>
    <w:rsid w:val="3E2F4269"/>
    <w:rsid w:val="3E4A5510"/>
    <w:rsid w:val="3E5A28D5"/>
    <w:rsid w:val="3E6376A8"/>
    <w:rsid w:val="3E84600C"/>
    <w:rsid w:val="3E983583"/>
    <w:rsid w:val="3E9A3B54"/>
    <w:rsid w:val="3E9B4DFB"/>
    <w:rsid w:val="3EA65EFA"/>
    <w:rsid w:val="3EAB62E8"/>
    <w:rsid w:val="3EB30BF1"/>
    <w:rsid w:val="3EBF5EAD"/>
    <w:rsid w:val="3EC00771"/>
    <w:rsid w:val="3ECA597D"/>
    <w:rsid w:val="3ED710E9"/>
    <w:rsid w:val="3ED92D44"/>
    <w:rsid w:val="3EE30F2B"/>
    <w:rsid w:val="3EE3142E"/>
    <w:rsid w:val="3EFA39C2"/>
    <w:rsid w:val="3F1B6A98"/>
    <w:rsid w:val="3F1C1851"/>
    <w:rsid w:val="3F275603"/>
    <w:rsid w:val="3F303FB9"/>
    <w:rsid w:val="3F3A7406"/>
    <w:rsid w:val="3F454412"/>
    <w:rsid w:val="3F4A471C"/>
    <w:rsid w:val="3F4A77EB"/>
    <w:rsid w:val="3F4F046E"/>
    <w:rsid w:val="3F5D3CFE"/>
    <w:rsid w:val="3F6A0B2E"/>
    <w:rsid w:val="3F6B1EDB"/>
    <w:rsid w:val="3F873B03"/>
    <w:rsid w:val="3F8C3B72"/>
    <w:rsid w:val="3F964E60"/>
    <w:rsid w:val="3F9D6342"/>
    <w:rsid w:val="3FA303D5"/>
    <w:rsid w:val="3FA77439"/>
    <w:rsid w:val="3FBA5D7D"/>
    <w:rsid w:val="3FC12155"/>
    <w:rsid w:val="3FC429EE"/>
    <w:rsid w:val="3FC512BE"/>
    <w:rsid w:val="3FC523B5"/>
    <w:rsid w:val="3FCF3ECE"/>
    <w:rsid w:val="3FF80788"/>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A31304"/>
    <w:rsid w:val="40A455DF"/>
    <w:rsid w:val="40A519D4"/>
    <w:rsid w:val="40B1639F"/>
    <w:rsid w:val="40C94C21"/>
    <w:rsid w:val="40E4003A"/>
    <w:rsid w:val="40E52488"/>
    <w:rsid w:val="40EB076C"/>
    <w:rsid w:val="410C01A1"/>
    <w:rsid w:val="411331A1"/>
    <w:rsid w:val="4127416F"/>
    <w:rsid w:val="41356787"/>
    <w:rsid w:val="41391F5D"/>
    <w:rsid w:val="413937B8"/>
    <w:rsid w:val="413A2007"/>
    <w:rsid w:val="413A6F38"/>
    <w:rsid w:val="413E617D"/>
    <w:rsid w:val="41471A4C"/>
    <w:rsid w:val="4162091C"/>
    <w:rsid w:val="4162324B"/>
    <w:rsid w:val="417660AB"/>
    <w:rsid w:val="417A3685"/>
    <w:rsid w:val="418207CD"/>
    <w:rsid w:val="41873473"/>
    <w:rsid w:val="419920A8"/>
    <w:rsid w:val="41A10560"/>
    <w:rsid w:val="41AA7F3C"/>
    <w:rsid w:val="41CB4FB0"/>
    <w:rsid w:val="41E66DDF"/>
    <w:rsid w:val="41F70567"/>
    <w:rsid w:val="41F85FB9"/>
    <w:rsid w:val="41FF5464"/>
    <w:rsid w:val="420F2E14"/>
    <w:rsid w:val="421F772C"/>
    <w:rsid w:val="422D35FB"/>
    <w:rsid w:val="42324470"/>
    <w:rsid w:val="42341E29"/>
    <w:rsid w:val="42433670"/>
    <w:rsid w:val="42481A69"/>
    <w:rsid w:val="42581BD3"/>
    <w:rsid w:val="425863B4"/>
    <w:rsid w:val="426815E6"/>
    <w:rsid w:val="426A7B32"/>
    <w:rsid w:val="427E261B"/>
    <w:rsid w:val="42830D81"/>
    <w:rsid w:val="42887B27"/>
    <w:rsid w:val="428955FB"/>
    <w:rsid w:val="429321AA"/>
    <w:rsid w:val="42957AC8"/>
    <w:rsid w:val="429E1614"/>
    <w:rsid w:val="42A12B89"/>
    <w:rsid w:val="42A530BB"/>
    <w:rsid w:val="42B2562E"/>
    <w:rsid w:val="42BA243D"/>
    <w:rsid w:val="42BD7741"/>
    <w:rsid w:val="42BE3E38"/>
    <w:rsid w:val="42C14CAE"/>
    <w:rsid w:val="42C45428"/>
    <w:rsid w:val="42CA736D"/>
    <w:rsid w:val="42CC4E25"/>
    <w:rsid w:val="42DA1780"/>
    <w:rsid w:val="42FC3AFC"/>
    <w:rsid w:val="430575FF"/>
    <w:rsid w:val="430A2854"/>
    <w:rsid w:val="431C1278"/>
    <w:rsid w:val="43274353"/>
    <w:rsid w:val="432F0167"/>
    <w:rsid w:val="43330504"/>
    <w:rsid w:val="43330CA7"/>
    <w:rsid w:val="434233FE"/>
    <w:rsid w:val="43434D99"/>
    <w:rsid w:val="434474BE"/>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40504A4"/>
    <w:rsid w:val="44180DC4"/>
    <w:rsid w:val="44182E67"/>
    <w:rsid w:val="44215AEA"/>
    <w:rsid w:val="442E0054"/>
    <w:rsid w:val="44363F18"/>
    <w:rsid w:val="44394B57"/>
    <w:rsid w:val="443A67E5"/>
    <w:rsid w:val="44511A06"/>
    <w:rsid w:val="44900810"/>
    <w:rsid w:val="449C5368"/>
    <w:rsid w:val="44B139F5"/>
    <w:rsid w:val="44B84A3A"/>
    <w:rsid w:val="44B91F4D"/>
    <w:rsid w:val="44C57A27"/>
    <w:rsid w:val="44C97F8D"/>
    <w:rsid w:val="44D7078C"/>
    <w:rsid w:val="44EA6707"/>
    <w:rsid w:val="44EB655A"/>
    <w:rsid w:val="44F367C1"/>
    <w:rsid w:val="44FD47CF"/>
    <w:rsid w:val="44FE2E17"/>
    <w:rsid w:val="44FE3A6A"/>
    <w:rsid w:val="450A1679"/>
    <w:rsid w:val="451B3505"/>
    <w:rsid w:val="451E56DF"/>
    <w:rsid w:val="451F0783"/>
    <w:rsid w:val="451F7BAD"/>
    <w:rsid w:val="45265201"/>
    <w:rsid w:val="452701BA"/>
    <w:rsid w:val="45433112"/>
    <w:rsid w:val="4558255E"/>
    <w:rsid w:val="45584C0D"/>
    <w:rsid w:val="455D18A6"/>
    <w:rsid w:val="4564478F"/>
    <w:rsid w:val="45664459"/>
    <w:rsid w:val="45756753"/>
    <w:rsid w:val="45814A64"/>
    <w:rsid w:val="458C3E1D"/>
    <w:rsid w:val="459A2E3A"/>
    <w:rsid w:val="459F7E87"/>
    <w:rsid w:val="45B53DAF"/>
    <w:rsid w:val="45BC282C"/>
    <w:rsid w:val="45BD2848"/>
    <w:rsid w:val="45C03EB8"/>
    <w:rsid w:val="45CA2371"/>
    <w:rsid w:val="45DA406B"/>
    <w:rsid w:val="45E51F36"/>
    <w:rsid w:val="45E90AFC"/>
    <w:rsid w:val="45FA032E"/>
    <w:rsid w:val="45FA13AA"/>
    <w:rsid w:val="4606565A"/>
    <w:rsid w:val="46146D71"/>
    <w:rsid w:val="461632BE"/>
    <w:rsid w:val="461A35B7"/>
    <w:rsid w:val="461F46ED"/>
    <w:rsid w:val="46205EC7"/>
    <w:rsid w:val="4627562D"/>
    <w:rsid w:val="4629260E"/>
    <w:rsid w:val="462D1725"/>
    <w:rsid w:val="46364A68"/>
    <w:rsid w:val="463C4993"/>
    <w:rsid w:val="46414C70"/>
    <w:rsid w:val="465D50C3"/>
    <w:rsid w:val="466200CD"/>
    <w:rsid w:val="466C12E7"/>
    <w:rsid w:val="469A1E27"/>
    <w:rsid w:val="46BC12AD"/>
    <w:rsid w:val="46BD20FD"/>
    <w:rsid w:val="46C83F33"/>
    <w:rsid w:val="46C863EF"/>
    <w:rsid w:val="46CD6756"/>
    <w:rsid w:val="46E65A04"/>
    <w:rsid w:val="46ED03D9"/>
    <w:rsid w:val="46EF4909"/>
    <w:rsid w:val="46EF574A"/>
    <w:rsid w:val="46F81E8D"/>
    <w:rsid w:val="47072AED"/>
    <w:rsid w:val="470903C2"/>
    <w:rsid w:val="47114D2D"/>
    <w:rsid w:val="4712445D"/>
    <w:rsid w:val="471932D4"/>
    <w:rsid w:val="472443AB"/>
    <w:rsid w:val="47340F9E"/>
    <w:rsid w:val="473F60BA"/>
    <w:rsid w:val="475B2193"/>
    <w:rsid w:val="475B5499"/>
    <w:rsid w:val="47643428"/>
    <w:rsid w:val="47645902"/>
    <w:rsid w:val="47660164"/>
    <w:rsid w:val="476C2D3E"/>
    <w:rsid w:val="476C53E5"/>
    <w:rsid w:val="476E5B6F"/>
    <w:rsid w:val="477D2FF7"/>
    <w:rsid w:val="47861A4A"/>
    <w:rsid w:val="47863D5B"/>
    <w:rsid w:val="479852C7"/>
    <w:rsid w:val="479E25F7"/>
    <w:rsid w:val="47B91D88"/>
    <w:rsid w:val="47CB3B40"/>
    <w:rsid w:val="47D9148F"/>
    <w:rsid w:val="47D94302"/>
    <w:rsid w:val="47DD6340"/>
    <w:rsid w:val="47E92616"/>
    <w:rsid w:val="47FB18A6"/>
    <w:rsid w:val="48027653"/>
    <w:rsid w:val="48075081"/>
    <w:rsid w:val="481147D2"/>
    <w:rsid w:val="4823110A"/>
    <w:rsid w:val="4826567F"/>
    <w:rsid w:val="48320CAB"/>
    <w:rsid w:val="483E6F58"/>
    <w:rsid w:val="48603D61"/>
    <w:rsid w:val="48756F6E"/>
    <w:rsid w:val="487B4E02"/>
    <w:rsid w:val="4881071E"/>
    <w:rsid w:val="48852E39"/>
    <w:rsid w:val="4890246D"/>
    <w:rsid w:val="48902FB4"/>
    <w:rsid w:val="489D7BC8"/>
    <w:rsid w:val="48A1630C"/>
    <w:rsid w:val="48A533CD"/>
    <w:rsid w:val="48BA7246"/>
    <w:rsid w:val="48BE433A"/>
    <w:rsid w:val="48BF1E35"/>
    <w:rsid w:val="48C31117"/>
    <w:rsid w:val="48C65533"/>
    <w:rsid w:val="48C77FB9"/>
    <w:rsid w:val="48CC050C"/>
    <w:rsid w:val="48D35A42"/>
    <w:rsid w:val="48D55EA2"/>
    <w:rsid w:val="48DD1F45"/>
    <w:rsid w:val="48DD3862"/>
    <w:rsid w:val="48DE1EEC"/>
    <w:rsid w:val="48ED33AB"/>
    <w:rsid w:val="48F4562E"/>
    <w:rsid w:val="48F541F1"/>
    <w:rsid w:val="48F87BB3"/>
    <w:rsid w:val="4901010A"/>
    <w:rsid w:val="49112377"/>
    <w:rsid w:val="49137550"/>
    <w:rsid w:val="49196F42"/>
    <w:rsid w:val="49224094"/>
    <w:rsid w:val="492A491E"/>
    <w:rsid w:val="493D1E3C"/>
    <w:rsid w:val="494361AB"/>
    <w:rsid w:val="49453299"/>
    <w:rsid w:val="4945568D"/>
    <w:rsid w:val="499E4818"/>
    <w:rsid w:val="49B1337A"/>
    <w:rsid w:val="49B41FA7"/>
    <w:rsid w:val="49C55E3A"/>
    <w:rsid w:val="49CE4F98"/>
    <w:rsid w:val="49D539A2"/>
    <w:rsid w:val="49DA2620"/>
    <w:rsid w:val="49EC7814"/>
    <w:rsid w:val="49EF0470"/>
    <w:rsid w:val="4A043DA0"/>
    <w:rsid w:val="4A0D4F3E"/>
    <w:rsid w:val="4A121A2B"/>
    <w:rsid w:val="4A1257B9"/>
    <w:rsid w:val="4A2A26CA"/>
    <w:rsid w:val="4A3228AF"/>
    <w:rsid w:val="4A335235"/>
    <w:rsid w:val="4A365533"/>
    <w:rsid w:val="4A4921AC"/>
    <w:rsid w:val="4A782769"/>
    <w:rsid w:val="4A8C1329"/>
    <w:rsid w:val="4A8D6EED"/>
    <w:rsid w:val="4A9B1257"/>
    <w:rsid w:val="4AA452D2"/>
    <w:rsid w:val="4AB60E3B"/>
    <w:rsid w:val="4ACF5BF9"/>
    <w:rsid w:val="4AD3760A"/>
    <w:rsid w:val="4AD45E0F"/>
    <w:rsid w:val="4AE0624A"/>
    <w:rsid w:val="4AE24DE1"/>
    <w:rsid w:val="4AF323B4"/>
    <w:rsid w:val="4AF35CCF"/>
    <w:rsid w:val="4AF44FB0"/>
    <w:rsid w:val="4AFA635C"/>
    <w:rsid w:val="4AFB645F"/>
    <w:rsid w:val="4B0F5B6B"/>
    <w:rsid w:val="4B1471EB"/>
    <w:rsid w:val="4B182911"/>
    <w:rsid w:val="4B2D2A66"/>
    <w:rsid w:val="4B2F118E"/>
    <w:rsid w:val="4B3276CC"/>
    <w:rsid w:val="4B3D25F5"/>
    <w:rsid w:val="4B7B72BD"/>
    <w:rsid w:val="4B817DFD"/>
    <w:rsid w:val="4B822087"/>
    <w:rsid w:val="4B901B64"/>
    <w:rsid w:val="4B907CAA"/>
    <w:rsid w:val="4B9E32A9"/>
    <w:rsid w:val="4B9F596E"/>
    <w:rsid w:val="4BC17CFA"/>
    <w:rsid w:val="4BC25325"/>
    <w:rsid w:val="4BC95152"/>
    <w:rsid w:val="4BCA00DF"/>
    <w:rsid w:val="4BCB1BC7"/>
    <w:rsid w:val="4BD612EE"/>
    <w:rsid w:val="4BD65EFE"/>
    <w:rsid w:val="4BD70B3F"/>
    <w:rsid w:val="4BE37CAD"/>
    <w:rsid w:val="4BE47C06"/>
    <w:rsid w:val="4BF020F7"/>
    <w:rsid w:val="4C0360D7"/>
    <w:rsid w:val="4C0A1176"/>
    <w:rsid w:val="4C0C0BC5"/>
    <w:rsid w:val="4C11047B"/>
    <w:rsid w:val="4C121C70"/>
    <w:rsid w:val="4C1A70D7"/>
    <w:rsid w:val="4C2926F0"/>
    <w:rsid w:val="4C2A728D"/>
    <w:rsid w:val="4C2B4F9C"/>
    <w:rsid w:val="4C37513B"/>
    <w:rsid w:val="4C412B53"/>
    <w:rsid w:val="4C444722"/>
    <w:rsid w:val="4C5A49D1"/>
    <w:rsid w:val="4C5D672F"/>
    <w:rsid w:val="4C6276D3"/>
    <w:rsid w:val="4C6B7BD2"/>
    <w:rsid w:val="4C703237"/>
    <w:rsid w:val="4C7C7D0A"/>
    <w:rsid w:val="4C7E3915"/>
    <w:rsid w:val="4C985060"/>
    <w:rsid w:val="4C996E62"/>
    <w:rsid w:val="4C9D6557"/>
    <w:rsid w:val="4CA73DDE"/>
    <w:rsid w:val="4CAC7E1D"/>
    <w:rsid w:val="4CB570C4"/>
    <w:rsid w:val="4CC14FAD"/>
    <w:rsid w:val="4CC27A92"/>
    <w:rsid w:val="4CCA5ECC"/>
    <w:rsid w:val="4CCC5B9C"/>
    <w:rsid w:val="4CD456B7"/>
    <w:rsid w:val="4CE83524"/>
    <w:rsid w:val="4CEE5B2E"/>
    <w:rsid w:val="4CEF7EF4"/>
    <w:rsid w:val="4CF65E11"/>
    <w:rsid w:val="4D0C388E"/>
    <w:rsid w:val="4D1F151E"/>
    <w:rsid w:val="4D2B0E56"/>
    <w:rsid w:val="4D3944FC"/>
    <w:rsid w:val="4D440B6E"/>
    <w:rsid w:val="4D59051B"/>
    <w:rsid w:val="4D5B698B"/>
    <w:rsid w:val="4D5C0380"/>
    <w:rsid w:val="4D5C3C02"/>
    <w:rsid w:val="4D631F5A"/>
    <w:rsid w:val="4D6714A3"/>
    <w:rsid w:val="4D6A4B16"/>
    <w:rsid w:val="4D74183E"/>
    <w:rsid w:val="4D786441"/>
    <w:rsid w:val="4D7C1DEE"/>
    <w:rsid w:val="4D7C7984"/>
    <w:rsid w:val="4D834DA5"/>
    <w:rsid w:val="4D865DDF"/>
    <w:rsid w:val="4D893B7F"/>
    <w:rsid w:val="4D8A09F3"/>
    <w:rsid w:val="4D9077D4"/>
    <w:rsid w:val="4D932A30"/>
    <w:rsid w:val="4D99054C"/>
    <w:rsid w:val="4DB4192D"/>
    <w:rsid w:val="4DBB023C"/>
    <w:rsid w:val="4DBE0B6F"/>
    <w:rsid w:val="4DC35F44"/>
    <w:rsid w:val="4DC804F9"/>
    <w:rsid w:val="4DCB0288"/>
    <w:rsid w:val="4DCE401F"/>
    <w:rsid w:val="4DD71207"/>
    <w:rsid w:val="4DDC048F"/>
    <w:rsid w:val="4DE027AB"/>
    <w:rsid w:val="4DED0B57"/>
    <w:rsid w:val="4E032AFB"/>
    <w:rsid w:val="4E0F7A3A"/>
    <w:rsid w:val="4E31786C"/>
    <w:rsid w:val="4E4D226A"/>
    <w:rsid w:val="4E513FC7"/>
    <w:rsid w:val="4E5C15C3"/>
    <w:rsid w:val="4E5E1066"/>
    <w:rsid w:val="4E5E2FEC"/>
    <w:rsid w:val="4E692FA7"/>
    <w:rsid w:val="4E6C07C8"/>
    <w:rsid w:val="4E737F16"/>
    <w:rsid w:val="4E791D0B"/>
    <w:rsid w:val="4E892B8E"/>
    <w:rsid w:val="4E901AF2"/>
    <w:rsid w:val="4E967624"/>
    <w:rsid w:val="4E9B0020"/>
    <w:rsid w:val="4E9F2A4F"/>
    <w:rsid w:val="4EA006EF"/>
    <w:rsid w:val="4EA91EDC"/>
    <w:rsid w:val="4EC27F73"/>
    <w:rsid w:val="4ED2474E"/>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E3FC6"/>
    <w:rsid w:val="4F6C0025"/>
    <w:rsid w:val="4F802490"/>
    <w:rsid w:val="4F851586"/>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220859"/>
    <w:rsid w:val="50277628"/>
    <w:rsid w:val="503B1CDB"/>
    <w:rsid w:val="50500BED"/>
    <w:rsid w:val="505C6813"/>
    <w:rsid w:val="50696A31"/>
    <w:rsid w:val="506B057F"/>
    <w:rsid w:val="508859BC"/>
    <w:rsid w:val="508A728C"/>
    <w:rsid w:val="508C7F48"/>
    <w:rsid w:val="50A73C4C"/>
    <w:rsid w:val="50B30013"/>
    <w:rsid w:val="50B460E7"/>
    <w:rsid w:val="50B56ED8"/>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3E45FD"/>
    <w:rsid w:val="513E73BF"/>
    <w:rsid w:val="514B5F3E"/>
    <w:rsid w:val="514F5FF8"/>
    <w:rsid w:val="515573A0"/>
    <w:rsid w:val="51607CB5"/>
    <w:rsid w:val="516E2518"/>
    <w:rsid w:val="51702805"/>
    <w:rsid w:val="5176232E"/>
    <w:rsid w:val="51786973"/>
    <w:rsid w:val="51803754"/>
    <w:rsid w:val="518A70F2"/>
    <w:rsid w:val="518B75B4"/>
    <w:rsid w:val="51922A8A"/>
    <w:rsid w:val="51A16199"/>
    <w:rsid w:val="51A77A21"/>
    <w:rsid w:val="51A87C03"/>
    <w:rsid w:val="51B13FC4"/>
    <w:rsid w:val="51B26390"/>
    <w:rsid w:val="51B569C0"/>
    <w:rsid w:val="51BE07CD"/>
    <w:rsid w:val="51C310BF"/>
    <w:rsid w:val="51D32F2A"/>
    <w:rsid w:val="51E7428B"/>
    <w:rsid w:val="51E96812"/>
    <w:rsid w:val="5202735A"/>
    <w:rsid w:val="52203F48"/>
    <w:rsid w:val="522618A2"/>
    <w:rsid w:val="523C1019"/>
    <w:rsid w:val="524B23A6"/>
    <w:rsid w:val="525812D4"/>
    <w:rsid w:val="525A3B30"/>
    <w:rsid w:val="525D7CE2"/>
    <w:rsid w:val="52664737"/>
    <w:rsid w:val="52685783"/>
    <w:rsid w:val="52770E64"/>
    <w:rsid w:val="52873C38"/>
    <w:rsid w:val="528814EA"/>
    <w:rsid w:val="52AA72F3"/>
    <w:rsid w:val="52B82209"/>
    <w:rsid w:val="52BE18E6"/>
    <w:rsid w:val="52CC5184"/>
    <w:rsid w:val="52CD7462"/>
    <w:rsid w:val="52D04D9D"/>
    <w:rsid w:val="52DC5DA2"/>
    <w:rsid w:val="52E04FF4"/>
    <w:rsid w:val="52EC4D10"/>
    <w:rsid w:val="52F16594"/>
    <w:rsid w:val="52FC591F"/>
    <w:rsid w:val="53092C23"/>
    <w:rsid w:val="53104F08"/>
    <w:rsid w:val="53202221"/>
    <w:rsid w:val="53292DD1"/>
    <w:rsid w:val="532F46EC"/>
    <w:rsid w:val="53310DB6"/>
    <w:rsid w:val="533573CE"/>
    <w:rsid w:val="53384F64"/>
    <w:rsid w:val="533C08AB"/>
    <w:rsid w:val="533D4B84"/>
    <w:rsid w:val="53443F5D"/>
    <w:rsid w:val="534A1EBC"/>
    <w:rsid w:val="53556AED"/>
    <w:rsid w:val="53607642"/>
    <w:rsid w:val="5369618C"/>
    <w:rsid w:val="536B733C"/>
    <w:rsid w:val="536C6057"/>
    <w:rsid w:val="536E2E04"/>
    <w:rsid w:val="53884E57"/>
    <w:rsid w:val="538E3225"/>
    <w:rsid w:val="53955078"/>
    <w:rsid w:val="53A60B30"/>
    <w:rsid w:val="53A9344C"/>
    <w:rsid w:val="53A96C07"/>
    <w:rsid w:val="53AD28A1"/>
    <w:rsid w:val="53B86E4F"/>
    <w:rsid w:val="53E272DD"/>
    <w:rsid w:val="53EE7002"/>
    <w:rsid w:val="53F5178E"/>
    <w:rsid w:val="53F75758"/>
    <w:rsid w:val="53F804E9"/>
    <w:rsid w:val="54026B48"/>
    <w:rsid w:val="540D5CE2"/>
    <w:rsid w:val="540F6ECB"/>
    <w:rsid w:val="541316CC"/>
    <w:rsid w:val="54306BE5"/>
    <w:rsid w:val="543E7B7D"/>
    <w:rsid w:val="5456247F"/>
    <w:rsid w:val="545815D7"/>
    <w:rsid w:val="54587301"/>
    <w:rsid w:val="5459346B"/>
    <w:rsid w:val="545D5349"/>
    <w:rsid w:val="54641655"/>
    <w:rsid w:val="546B354C"/>
    <w:rsid w:val="54744A99"/>
    <w:rsid w:val="54837BB3"/>
    <w:rsid w:val="54862C81"/>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46FEC"/>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A7136"/>
    <w:rsid w:val="55CE44A2"/>
    <w:rsid w:val="55CF20B5"/>
    <w:rsid w:val="55CF57ED"/>
    <w:rsid w:val="55EC3DA6"/>
    <w:rsid w:val="55EE24BD"/>
    <w:rsid w:val="560D3551"/>
    <w:rsid w:val="56135A4A"/>
    <w:rsid w:val="561C4644"/>
    <w:rsid w:val="562649DE"/>
    <w:rsid w:val="562959C6"/>
    <w:rsid w:val="562C2BB2"/>
    <w:rsid w:val="562D1C66"/>
    <w:rsid w:val="56304039"/>
    <w:rsid w:val="563554DC"/>
    <w:rsid w:val="56521689"/>
    <w:rsid w:val="565E7958"/>
    <w:rsid w:val="56622DA2"/>
    <w:rsid w:val="56725C74"/>
    <w:rsid w:val="567361EC"/>
    <w:rsid w:val="56781A94"/>
    <w:rsid w:val="567A4B2F"/>
    <w:rsid w:val="567A5A98"/>
    <w:rsid w:val="567E1601"/>
    <w:rsid w:val="5686790D"/>
    <w:rsid w:val="56A67A88"/>
    <w:rsid w:val="56B406EC"/>
    <w:rsid w:val="56CD498D"/>
    <w:rsid w:val="56E55AC5"/>
    <w:rsid w:val="570C4CA2"/>
    <w:rsid w:val="570D075C"/>
    <w:rsid w:val="57151DBD"/>
    <w:rsid w:val="572255A0"/>
    <w:rsid w:val="57233308"/>
    <w:rsid w:val="57236165"/>
    <w:rsid w:val="572B671A"/>
    <w:rsid w:val="572E18BB"/>
    <w:rsid w:val="573C19E2"/>
    <w:rsid w:val="573E0701"/>
    <w:rsid w:val="574420CF"/>
    <w:rsid w:val="57485FB4"/>
    <w:rsid w:val="574C77C9"/>
    <w:rsid w:val="57525F16"/>
    <w:rsid w:val="57542090"/>
    <w:rsid w:val="57752CB7"/>
    <w:rsid w:val="577E2B80"/>
    <w:rsid w:val="578D0E14"/>
    <w:rsid w:val="57950629"/>
    <w:rsid w:val="57A636F5"/>
    <w:rsid w:val="57B330DF"/>
    <w:rsid w:val="57B67300"/>
    <w:rsid w:val="57BE4CD8"/>
    <w:rsid w:val="57CA5C70"/>
    <w:rsid w:val="57D87448"/>
    <w:rsid w:val="57DA3A94"/>
    <w:rsid w:val="57DC167A"/>
    <w:rsid w:val="57F31B0F"/>
    <w:rsid w:val="57F9217A"/>
    <w:rsid w:val="57F9585C"/>
    <w:rsid w:val="57FD77E9"/>
    <w:rsid w:val="57FE2238"/>
    <w:rsid w:val="580249E9"/>
    <w:rsid w:val="58082001"/>
    <w:rsid w:val="58094690"/>
    <w:rsid w:val="581062CF"/>
    <w:rsid w:val="58150867"/>
    <w:rsid w:val="58375F04"/>
    <w:rsid w:val="58393342"/>
    <w:rsid w:val="584B1873"/>
    <w:rsid w:val="584D265F"/>
    <w:rsid w:val="584F75B1"/>
    <w:rsid w:val="58606DED"/>
    <w:rsid w:val="58626373"/>
    <w:rsid w:val="586F101E"/>
    <w:rsid w:val="5883692A"/>
    <w:rsid w:val="58905C8A"/>
    <w:rsid w:val="589B3C4F"/>
    <w:rsid w:val="58A04E07"/>
    <w:rsid w:val="58A21AC6"/>
    <w:rsid w:val="58A9140F"/>
    <w:rsid w:val="58A974F3"/>
    <w:rsid w:val="58AC3A58"/>
    <w:rsid w:val="58B156F6"/>
    <w:rsid w:val="58C40FD9"/>
    <w:rsid w:val="58CE529D"/>
    <w:rsid w:val="58D00FC4"/>
    <w:rsid w:val="58D93024"/>
    <w:rsid w:val="58DE1893"/>
    <w:rsid w:val="58E30EC7"/>
    <w:rsid w:val="58E34CB3"/>
    <w:rsid w:val="58E50E80"/>
    <w:rsid w:val="58E86029"/>
    <w:rsid w:val="58F00BBB"/>
    <w:rsid w:val="58F378B1"/>
    <w:rsid w:val="58FA295F"/>
    <w:rsid w:val="58FE0A1C"/>
    <w:rsid w:val="59032837"/>
    <w:rsid w:val="590B0FD0"/>
    <w:rsid w:val="59185D8F"/>
    <w:rsid w:val="591A0227"/>
    <w:rsid w:val="591E68A7"/>
    <w:rsid w:val="592155EC"/>
    <w:rsid w:val="59281B41"/>
    <w:rsid w:val="59284923"/>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74764"/>
    <w:rsid w:val="5A2C53C0"/>
    <w:rsid w:val="5A343A1C"/>
    <w:rsid w:val="5A373045"/>
    <w:rsid w:val="5A4A4C41"/>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F6468"/>
    <w:rsid w:val="5AB23D25"/>
    <w:rsid w:val="5ACD0F31"/>
    <w:rsid w:val="5AD63BCD"/>
    <w:rsid w:val="5AD7017E"/>
    <w:rsid w:val="5AE04D1D"/>
    <w:rsid w:val="5AED7A37"/>
    <w:rsid w:val="5AEE4CD3"/>
    <w:rsid w:val="5AF77FC2"/>
    <w:rsid w:val="5B09529C"/>
    <w:rsid w:val="5B176D00"/>
    <w:rsid w:val="5B1D1F1C"/>
    <w:rsid w:val="5B29736D"/>
    <w:rsid w:val="5B3A587A"/>
    <w:rsid w:val="5B3B570E"/>
    <w:rsid w:val="5B41167E"/>
    <w:rsid w:val="5B442CD5"/>
    <w:rsid w:val="5B4E5635"/>
    <w:rsid w:val="5B557234"/>
    <w:rsid w:val="5B922EA9"/>
    <w:rsid w:val="5B9C5A6B"/>
    <w:rsid w:val="5BB179E4"/>
    <w:rsid w:val="5BBA1970"/>
    <w:rsid w:val="5BBA32DC"/>
    <w:rsid w:val="5BBA7A62"/>
    <w:rsid w:val="5BC16A71"/>
    <w:rsid w:val="5BCB7EC5"/>
    <w:rsid w:val="5BDA10AA"/>
    <w:rsid w:val="5BF56498"/>
    <w:rsid w:val="5C0763FB"/>
    <w:rsid w:val="5C0C0BDB"/>
    <w:rsid w:val="5C0C0F34"/>
    <w:rsid w:val="5C0E0E54"/>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200F49"/>
    <w:rsid w:val="5D291AC2"/>
    <w:rsid w:val="5D2E0DD1"/>
    <w:rsid w:val="5D326E3A"/>
    <w:rsid w:val="5D365DD1"/>
    <w:rsid w:val="5D3E6895"/>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4B54F8"/>
    <w:rsid w:val="5E5A4934"/>
    <w:rsid w:val="5E602277"/>
    <w:rsid w:val="5E660F24"/>
    <w:rsid w:val="5E6B1954"/>
    <w:rsid w:val="5E6E5DD6"/>
    <w:rsid w:val="5E6F1364"/>
    <w:rsid w:val="5E7615A4"/>
    <w:rsid w:val="5E7741D9"/>
    <w:rsid w:val="5E7A6BB5"/>
    <w:rsid w:val="5E7B568B"/>
    <w:rsid w:val="5E86164A"/>
    <w:rsid w:val="5EA00A5B"/>
    <w:rsid w:val="5EA30331"/>
    <w:rsid w:val="5EB165F7"/>
    <w:rsid w:val="5EBC33C8"/>
    <w:rsid w:val="5EC81842"/>
    <w:rsid w:val="5F112A31"/>
    <w:rsid w:val="5F11771F"/>
    <w:rsid w:val="5F126048"/>
    <w:rsid w:val="5F193B7B"/>
    <w:rsid w:val="5F1C526D"/>
    <w:rsid w:val="5F261206"/>
    <w:rsid w:val="5F321785"/>
    <w:rsid w:val="5F35693E"/>
    <w:rsid w:val="5F36678F"/>
    <w:rsid w:val="5F381E5D"/>
    <w:rsid w:val="5F3A37EC"/>
    <w:rsid w:val="5F4A4FF4"/>
    <w:rsid w:val="5F4F29FF"/>
    <w:rsid w:val="5F535E4B"/>
    <w:rsid w:val="5F561DFD"/>
    <w:rsid w:val="5F5E61D2"/>
    <w:rsid w:val="5F5F78A0"/>
    <w:rsid w:val="5F63295D"/>
    <w:rsid w:val="5F670CCB"/>
    <w:rsid w:val="5F692B8E"/>
    <w:rsid w:val="5F6B355D"/>
    <w:rsid w:val="5F784DE7"/>
    <w:rsid w:val="5F7A3807"/>
    <w:rsid w:val="5F835DD9"/>
    <w:rsid w:val="5F8D251B"/>
    <w:rsid w:val="5FA3410C"/>
    <w:rsid w:val="5FA347FC"/>
    <w:rsid w:val="5FA75FAD"/>
    <w:rsid w:val="5FAE47FD"/>
    <w:rsid w:val="5FB4339C"/>
    <w:rsid w:val="5FC225C5"/>
    <w:rsid w:val="5FC46C47"/>
    <w:rsid w:val="5FC47EEC"/>
    <w:rsid w:val="5FC7674A"/>
    <w:rsid w:val="5FC85D44"/>
    <w:rsid w:val="5FCA4B1B"/>
    <w:rsid w:val="5FCD04D0"/>
    <w:rsid w:val="5FDB4F9D"/>
    <w:rsid w:val="5FDD08CB"/>
    <w:rsid w:val="5FE50892"/>
    <w:rsid w:val="5FE67778"/>
    <w:rsid w:val="5FE85525"/>
    <w:rsid w:val="5FEE1034"/>
    <w:rsid w:val="5FF17069"/>
    <w:rsid w:val="5FF360F6"/>
    <w:rsid w:val="5FFF6A7F"/>
    <w:rsid w:val="600D5028"/>
    <w:rsid w:val="6018587D"/>
    <w:rsid w:val="601F72CE"/>
    <w:rsid w:val="602F55C8"/>
    <w:rsid w:val="60474199"/>
    <w:rsid w:val="60497FFF"/>
    <w:rsid w:val="60547A38"/>
    <w:rsid w:val="60576BB3"/>
    <w:rsid w:val="60721C02"/>
    <w:rsid w:val="6073344B"/>
    <w:rsid w:val="607B5E0E"/>
    <w:rsid w:val="608C2ED2"/>
    <w:rsid w:val="609804B6"/>
    <w:rsid w:val="60A540A8"/>
    <w:rsid w:val="60AF601A"/>
    <w:rsid w:val="60B376BB"/>
    <w:rsid w:val="60C52A74"/>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907583"/>
    <w:rsid w:val="6192589F"/>
    <w:rsid w:val="61944F40"/>
    <w:rsid w:val="619D3BE7"/>
    <w:rsid w:val="61AB3E66"/>
    <w:rsid w:val="61AC2DE0"/>
    <w:rsid w:val="61AF08F2"/>
    <w:rsid w:val="61B35CF6"/>
    <w:rsid w:val="61BB5841"/>
    <w:rsid w:val="61BD43EA"/>
    <w:rsid w:val="61DE0820"/>
    <w:rsid w:val="61EB3B85"/>
    <w:rsid w:val="61F100BE"/>
    <w:rsid w:val="61F548C4"/>
    <w:rsid w:val="61F61568"/>
    <w:rsid w:val="61F67822"/>
    <w:rsid w:val="621C1419"/>
    <w:rsid w:val="621D5FCA"/>
    <w:rsid w:val="62223F4D"/>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C21D06"/>
    <w:rsid w:val="62C5167A"/>
    <w:rsid w:val="62C51D32"/>
    <w:rsid w:val="62F34368"/>
    <w:rsid w:val="630F51D5"/>
    <w:rsid w:val="63111D0D"/>
    <w:rsid w:val="631A5DAE"/>
    <w:rsid w:val="63202FAF"/>
    <w:rsid w:val="632415C4"/>
    <w:rsid w:val="63276524"/>
    <w:rsid w:val="63311BB0"/>
    <w:rsid w:val="63335B14"/>
    <w:rsid w:val="63356DFC"/>
    <w:rsid w:val="63362B58"/>
    <w:rsid w:val="633F5C50"/>
    <w:rsid w:val="63443406"/>
    <w:rsid w:val="63482242"/>
    <w:rsid w:val="63484494"/>
    <w:rsid w:val="635015A3"/>
    <w:rsid w:val="635B6C49"/>
    <w:rsid w:val="63644755"/>
    <w:rsid w:val="63684666"/>
    <w:rsid w:val="636C7357"/>
    <w:rsid w:val="637208D1"/>
    <w:rsid w:val="63743801"/>
    <w:rsid w:val="638271ED"/>
    <w:rsid w:val="63835C7A"/>
    <w:rsid w:val="63861286"/>
    <w:rsid w:val="638B6927"/>
    <w:rsid w:val="63905DAB"/>
    <w:rsid w:val="6394153C"/>
    <w:rsid w:val="63A52540"/>
    <w:rsid w:val="63A70979"/>
    <w:rsid w:val="63A840A7"/>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65FF6"/>
    <w:rsid w:val="643755E0"/>
    <w:rsid w:val="64480597"/>
    <w:rsid w:val="645F0D65"/>
    <w:rsid w:val="647257D3"/>
    <w:rsid w:val="64893BB3"/>
    <w:rsid w:val="64921AA3"/>
    <w:rsid w:val="64941529"/>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4872C6"/>
    <w:rsid w:val="657D0DD9"/>
    <w:rsid w:val="65935B53"/>
    <w:rsid w:val="65971329"/>
    <w:rsid w:val="659C1505"/>
    <w:rsid w:val="659D12DC"/>
    <w:rsid w:val="65A06E4D"/>
    <w:rsid w:val="65B40EF4"/>
    <w:rsid w:val="65CA2C47"/>
    <w:rsid w:val="65CA2E0F"/>
    <w:rsid w:val="65D35ECC"/>
    <w:rsid w:val="65DE081A"/>
    <w:rsid w:val="65F007B0"/>
    <w:rsid w:val="66276E6D"/>
    <w:rsid w:val="662D140A"/>
    <w:rsid w:val="66316CF1"/>
    <w:rsid w:val="66497A10"/>
    <w:rsid w:val="66516931"/>
    <w:rsid w:val="665B6D6D"/>
    <w:rsid w:val="665D41B1"/>
    <w:rsid w:val="667B481B"/>
    <w:rsid w:val="667E55C6"/>
    <w:rsid w:val="668A159B"/>
    <w:rsid w:val="66A478AA"/>
    <w:rsid w:val="66A667A1"/>
    <w:rsid w:val="66BD0B7C"/>
    <w:rsid w:val="66C73FA9"/>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A10357"/>
    <w:rsid w:val="67A13B2D"/>
    <w:rsid w:val="67A6639C"/>
    <w:rsid w:val="67B460E3"/>
    <w:rsid w:val="67B514F6"/>
    <w:rsid w:val="67BA62FC"/>
    <w:rsid w:val="67C7409E"/>
    <w:rsid w:val="67C83A5E"/>
    <w:rsid w:val="67C846F3"/>
    <w:rsid w:val="67DB462D"/>
    <w:rsid w:val="67F3426F"/>
    <w:rsid w:val="68114AE9"/>
    <w:rsid w:val="68133F4C"/>
    <w:rsid w:val="6819503B"/>
    <w:rsid w:val="68195690"/>
    <w:rsid w:val="681B4B3E"/>
    <w:rsid w:val="6846337D"/>
    <w:rsid w:val="685807A4"/>
    <w:rsid w:val="68594667"/>
    <w:rsid w:val="685F04F9"/>
    <w:rsid w:val="686A6252"/>
    <w:rsid w:val="686B33E3"/>
    <w:rsid w:val="68706E69"/>
    <w:rsid w:val="687E13EB"/>
    <w:rsid w:val="68850E60"/>
    <w:rsid w:val="689210C5"/>
    <w:rsid w:val="68940A6A"/>
    <w:rsid w:val="689D11C0"/>
    <w:rsid w:val="689D16CD"/>
    <w:rsid w:val="689E185B"/>
    <w:rsid w:val="68A032BD"/>
    <w:rsid w:val="68AD18AD"/>
    <w:rsid w:val="68AE3B31"/>
    <w:rsid w:val="68AF2497"/>
    <w:rsid w:val="68CB6C45"/>
    <w:rsid w:val="68CD178E"/>
    <w:rsid w:val="68CF08F3"/>
    <w:rsid w:val="68EA3663"/>
    <w:rsid w:val="68F768D9"/>
    <w:rsid w:val="68FF5822"/>
    <w:rsid w:val="69116028"/>
    <w:rsid w:val="69146B40"/>
    <w:rsid w:val="692435C6"/>
    <w:rsid w:val="69250E5C"/>
    <w:rsid w:val="692D182F"/>
    <w:rsid w:val="69324876"/>
    <w:rsid w:val="69393F62"/>
    <w:rsid w:val="693A6C7C"/>
    <w:rsid w:val="693F45AB"/>
    <w:rsid w:val="694909EA"/>
    <w:rsid w:val="695A6406"/>
    <w:rsid w:val="69612D39"/>
    <w:rsid w:val="6969009B"/>
    <w:rsid w:val="696F7867"/>
    <w:rsid w:val="69783815"/>
    <w:rsid w:val="697B0A9F"/>
    <w:rsid w:val="697D71E5"/>
    <w:rsid w:val="69817EA4"/>
    <w:rsid w:val="698B03D4"/>
    <w:rsid w:val="699451B3"/>
    <w:rsid w:val="69971681"/>
    <w:rsid w:val="69A52E11"/>
    <w:rsid w:val="69BB20F0"/>
    <w:rsid w:val="69BE7ADD"/>
    <w:rsid w:val="69CB291A"/>
    <w:rsid w:val="69D53AB4"/>
    <w:rsid w:val="69D81E6E"/>
    <w:rsid w:val="69DD446B"/>
    <w:rsid w:val="69E14FB3"/>
    <w:rsid w:val="69EB50AC"/>
    <w:rsid w:val="69EB74C2"/>
    <w:rsid w:val="6A0015DD"/>
    <w:rsid w:val="6A067BB4"/>
    <w:rsid w:val="6A067C1E"/>
    <w:rsid w:val="6A0D7240"/>
    <w:rsid w:val="6A0E75CB"/>
    <w:rsid w:val="6A1E7DE1"/>
    <w:rsid w:val="6A225785"/>
    <w:rsid w:val="6A253F5D"/>
    <w:rsid w:val="6A292F2D"/>
    <w:rsid w:val="6A295D27"/>
    <w:rsid w:val="6A475D0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F1B7F"/>
    <w:rsid w:val="6B050AE7"/>
    <w:rsid w:val="6B0F7C0E"/>
    <w:rsid w:val="6B1E7934"/>
    <w:rsid w:val="6B284948"/>
    <w:rsid w:val="6B291AEB"/>
    <w:rsid w:val="6B306EBE"/>
    <w:rsid w:val="6B376E1D"/>
    <w:rsid w:val="6B407753"/>
    <w:rsid w:val="6B463FF6"/>
    <w:rsid w:val="6B575397"/>
    <w:rsid w:val="6B5D0FFD"/>
    <w:rsid w:val="6B5F3A83"/>
    <w:rsid w:val="6B6D5F3E"/>
    <w:rsid w:val="6B89239D"/>
    <w:rsid w:val="6B934708"/>
    <w:rsid w:val="6B9F276A"/>
    <w:rsid w:val="6BA10C3D"/>
    <w:rsid w:val="6BA6674D"/>
    <w:rsid w:val="6BAA2DFC"/>
    <w:rsid w:val="6BCE3D92"/>
    <w:rsid w:val="6BD64C0A"/>
    <w:rsid w:val="6BD859A0"/>
    <w:rsid w:val="6BDC091B"/>
    <w:rsid w:val="6BE15412"/>
    <w:rsid w:val="6BF1740B"/>
    <w:rsid w:val="6BF760D6"/>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46B10"/>
    <w:rsid w:val="6CA72AF7"/>
    <w:rsid w:val="6CB03023"/>
    <w:rsid w:val="6CB5004A"/>
    <w:rsid w:val="6CBC7570"/>
    <w:rsid w:val="6CC21471"/>
    <w:rsid w:val="6CC21B4C"/>
    <w:rsid w:val="6CC52498"/>
    <w:rsid w:val="6CDF6A30"/>
    <w:rsid w:val="6CFF1E4C"/>
    <w:rsid w:val="6CFF2557"/>
    <w:rsid w:val="6D020CF9"/>
    <w:rsid w:val="6D024314"/>
    <w:rsid w:val="6D036B6A"/>
    <w:rsid w:val="6D053DF5"/>
    <w:rsid w:val="6D0E4B32"/>
    <w:rsid w:val="6D1D64C8"/>
    <w:rsid w:val="6D2816AB"/>
    <w:rsid w:val="6D316FB9"/>
    <w:rsid w:val="6D367D1F"/>
    <w:rsid w:val="6D396D6F"/>
    <w:rsid w:val="6D5642F8"/>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248C1"/>
    <w:rsid w:val="6E9872EF"/>
    <w:rsid w:val="6EA2262A"/>
    <w:rsid w:val="6EAC4890"/>
    <w:rsid w:val="6ECC6B19"/>
    <w:rsid w:val="6ED140DE"/>
    <w:rsid w:val="6ED67887"/>
    <w:rsid w:val="6EDB3D30"/>
    <w:rsid w:val="6EEB12C8"/>
    <w:rsid w:val="6EF107E0"/>
    <w:rsid w:val="6EF723C9"/>
    <w:rsid w:val="6EFE72C0"/>
    <w:rsid w:val="6F121345"/>
    <w:rsid w:val="6F1A6290"/>
    <w:rsid w:val="6F1B1F2B"/>
    <w:rsid w:val="6F21245B"/>
    <w:rsid w:val="6F28152A"/>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211D5"/>
    <w:rsid w:val="6FC41701"/>
    <w:rsid w:val="6FCD4134"/>
    <w:rsid w:val="6FD75BF6"/>
    <w:rsid w:val="6FD94A9A"/>
    <w:rsid w:val="6FE01C7C"/>
    <w:rsid w:val="6FEC41FC"/>
    <w:rsid w:val="6FEF6F09"/>
    <w:rsid w:val="6FF00ACA"/>
    <w:rsid w:val="70022FDB"/>
    <w:rsid w:val="70042A37"/>
    <w:rsid w:val="70054CE9"/>
    <w:rsid w:val="701A2DA7"/>
    <w:rsid w:val="701E21F3"/>
    <w:rsid w:val="704645B1"/>
    <w:rsid w:val="70474781"/>
    <w:rsid w:val="705B535B"/>
    <w:rsid w:val="706531F3"/>
    <w:rsid w:val="70663FED"/>
    <w:rsid w:val="706A5BD3"/>
    <w:rsid w:val="707304F4"/>
    <w:rsid w:val="707B1AFF"/>
    <w:rsid w:val="70825A90"/>
    <w:rsid w:val="70996341"/>
    <w:rsid w:val="709B0B98"/>
    <w:rsid w:val="70A16A1B"/>
    <w:rsid w:val="70A703A3"/>
    <w:rsid w:val="70B06244"/>
    <w:rsid w:val="70C360A0"/>
    <w:rsid w:val="70CF0CAD"/>
    <w:rsid w:val="70E47B8F"/>
    <w:rsid w:val="70E60F70"/>
    <w:rsid w:val="70E72ADB"/>
    <w:rsid w:val="70EA6FD0"/>
    <w:rsid w:val="70F6113E"/>
    <w:rsid w:val="70FC2F04"/>
    <w:rsid w:val="71081CEF"/>
    <w:rsid w:val="712B2BE1"/>
    <w:rsid w:val="71313835"/>
    <w:rsid w:val="71340D69"/>
    <w:rsid w:val="714B52A5"/>
    <w:rsid w:val="71561F4E"/>
    <w:rsid w:val="715810C0"/>
    <w:rsid w:val="715C6A37"/>
    <w:rsid w:val="715C795C"/>
    <w:rsid w:val="715E58CB"/>
    <w:rsid w:val="71654022"/>
    <w:rsid w:val="716613A1"/>
    <w:rsid w:val="71667826"/>
    <w:rsid w:val="716D2BF4"/>
    <w:rsid w:val="716F2463"/>
    <w:rsid w:val="71701293"/>
    <w:rsid w:val="717F468B"/>
    <w:rsid w:val="71825E4D"/>
    <w:rsid w:val="7192225A"/>
    <w:rsid w:val="71932538"/>
    <w:rsid w:val="71954CF5"/>
    <w:rsid w:val="71A3560D"/>
    <w:rsid w:val="71C20EC5"/>
    <w:rsid w:val="71F53657"/>
    <w:rsid w:val="720D0960"/>
    <w:rsid w:val="720F74E9"/>
    <w:rsid w:val="721F26CE"/>
    <w:rsid w:val="72235BD8"/>
    <w:rsid w:val="72275191"/>
    <w:rsid w:val="72352099"/>
    <w:rsid w:val="723C1288"/>
    <w:rsid w:val="72430FC9"/>
    <w:rsid w:val="72435847"/>
    <w:rsid w:val="72437990"/>
    <w:rsid w:val="724F4D0A"/>
    <w:rsid w:val="72545DED"/>
    <w:rsid w:val="72554BD3"/>
    <w:rsid w:val="7256321B"/>
    <w:rsid w:val="72670C1D"/>
    <w:rsid w:val="727C7FF1"/>
    <w:rsid w:val="727E65AD"/>
    <w:rsid w:val="72817408"/>
    <w:rsid w:val="72994322"/>
    <w:rsid w:val="72A435B5"/>
    <w:rsid w:val="72AB3193"/>
    <w:rsid w:val="72B50B29"/>
    <w:rsid w:val="72B926F8"/>
    <w:rsid w:val="72BA3725"/>
    <w:rsid w:val="72C17994"/>
    <w:rsid w:val="72D11C8D"/>
    <w:rsid w:val="72D23DEC"/>
    <w:rsid w:val="72D57A56"/>
    <w:rsid w:val="72D80E00"/>
    <w:rsid w:val="72DD1377"/>
    <w:rsid w:val="72EE32B4"/>
    <w:rsid w:val="72EE58F6"/>
    <w:rsid w:val="731B0484"/>
    <w:rsid w:val="73267700"/>
    <w:rsid w:val="7327138A"/>
    <w:rsid w:val="732B31E7"/>
    <w:rsid w:val="732E435C"/>
    <w:rsid w:val="733E59B8"/>
    <w:rsid w:val="734F537B"/>
    <w:rsid w:val="735123C4"/>
    <w:rsid w:val="73550271"/>
    <w:rsid w:val="735F7928"/>
    <w:rsid w:val="73605149"/>
    <w:rsid w:val="736A5EDF"/>
    <w:rsid w:val="736C326C"/>
    <w:rsid w:val="73734595"/>
    <w:rsid w:val="73785FF3"/>
    <w:rsid w:val="73801A94"/>
    <w:rsid w:val="73811B04"/>
    <w:rsid w:val="739E4E41"/>
    <w:rsid w:val="73B77C3C"/>
    <w:rsid w:val="73E23ED7"/>
    <w:rsid w:val="73E628A9"/>
    <w:rsid w:val="73F549B3"/>
    <w:rsid w:val="7408493B"/>
    <w:rsid w:val="74187D29"/>
    <w:rsid w:val="741C175E"/>
    <w:rsid w:val="741F231F"/>
    <w:rsid w:val="74266856"/>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D3021"/>
    <w:rsid w:val="757D6BEC"/>
    <w:rsid w:val="757F1678"/>
    <w:rsid w:val="758874E9"/>
    <w:rsid w:val="75A01D8A"/>
    <w:rsid w:val="75A47AC1"/>
    <w:rsid w:val="75A5116E"/>
    <w:rsid w:val="75A720F6"/>
    <w:rsid w:val="75B5467E"/>
    <w:rsid w:val="75F17E77"/>
    <w:rsid w:val="75F464DF"/>
    <w:rsid w:val="75F56446"/>
    <w:rsid w:val="76052F3A"/>
    <w:rsid w:val="76174D0D"/>
    <w:rsid w:val="761D4F72"/>
    <w:rsid w:val="763D2F80"/>
    <w:rsid w:val="764B701A"/>
    <w:rsid w:val="764D775D"/>
    <w:rsid w:val="765579C5"/>
    <w:rsid w:val="765B5EC2"/>
    <w:rsid w:val="765C262C"/>
    <w:rsid w:val="7662296C"/>
    <w:rsid w:val="7668595B"/>
    <w:rsid w:val="76687D2B"/>
    <w:rsid w:val="766E3021"/>
    <w:rsid w:val="76726925"/>
    <w:rsid w:val="7687144D"/>
    <w:rsid w:val="768763F4"/>
    <w:rsid w:val="76975BAF"/>
    <w:rsid w:val="769A588D"/>
    <w:rsid w:val="76AC1378"/>
    <w:rsid w:val="76AF12C0"/>
    <w:rsid w:val="76B507C4"/>
    <w:rsid w:val="76B533A0"/>
    <w:rsid w:val="76BA07C8"/>
    <w:rsid w:val="76C00B0A"/>
    <w:rsid w:val="76C447A3"/>
    <w:rsid w:val="76CC6A1A"/>
    <w:rsid w:val="76DC1007"/>
    <w:rsid w:val="76E706F3"/>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7A54F1"/>
    <w:rsid w:val="777C27A9"/>
    <w:rsid w:val="777E146D"/>
    <w:rsid w:val="77825166"/>
    <w:rsid w:val="778E055E"/>
    <w:rsid w:val="779051AF"/>
    <w:rsid w:val="77905D17"/>
    <w:rsid w:val="779615EB"/>
    <w:rsid w:val="77A237CD"/>
    <w:rsid w:val="77A3441D"/>
    <w:rsid w:val="77AA46B6"/>
    <w:rsid w:val="77BC07CB"/>
    <w:rsid w:val="77C430AF"/>
    <w:rsid w:val="77D346EA"/>
    <w:rsid w:val="77E401D0"/>
    <w:rsid w:val="7809003B"/>
    <w:rsid w:val="780B0421"/>
    <w:rsid w:val="7810383F"/>
    <w:rsid w:val="782D6378"/>
    <w:rsid w:val="78342882"/>
    <w:rsid w:val="783C4375"/>
    <w:rsid w:val="78401BED"/>
    <w:rsid w:val="78424D27"/>
    <w:rsid w:val="784716B0"/>
    <w:rsid w:val="785C33EE"/>
    <w:rsid w:val="785D5961"/>
    <w:rsid w:val="785E786E"/>
    <w:rsid w:val="78683763"/>
    <w:rsid w:val="7869218E"/>
    <w:rsid w:val="786C58F7"/>
    <w:rsid w:val="78803604"/>
    <w:rsid w:val="788D38F3"/>
    <w:rsid w:val="789F6F4C"/>
    <w:rsid w:val="78AD22F7"/>
    <w:rsid w:val="78B12F53"/>
    <w:rsid w:val="78BC34CE"/>
    <w:rsid w:val="78BD00CF"/>
    <w:rsid w:val="78E66F77"/>
    <w:rsid w:val="78F63493"/>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E305AA"/>
    <w:rsid w:val="79E33C9F"/>
    <w:rsid w:val="79E50657"/>
    <w:rsid w:val="79EF0132"/>
    <w:rsid w:val="79FF16A2"/>
    <w:rsid w:val="7A0E2E80"/>
    <w:rsid w:val="7A143A1D"/>
    <w:rsid w:val="7A273232"/>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83109"/>
    <w:rsid w:val="7AFC36D2"/>
    <w:rsid w:val="7B08131C"/>
    <w:rsid w:val="7B1632D0"/>
    <w:rsid w:val="7B191CEA"/>
    <w:rsid w:val="7B294A53"/>
    <w:rsid w:val="7B352A9E"/>
    <w:rsid w:val="7B37451E"/>
    <w:rsid w:val="7B4016BF"/>
    <w:rsid w:val="7B460056"/>
    <w:rsid w:val="7B53390A"/>
    <w:rsid w:val="7B563257"/>
    <w:rsid w:val="7B5C70AF"/>
    <w:rsid w:val="7B654CB0"/>
    <w:rsid w:val="7B6F06B9"/>
    <w:rsid w:val="7B723BF7"/>
    <w:rsid w:val="7B7F3184"/>
    <w:rsid w:val="7B8E5F95"/>
    <w:rsid w:val="7B965386"/>
    <w:rsid w:val="7B974AD5"/>
    <w:rsid w:val="7B9C0D11"/>
    <w:rsid w:val="7B9C3C82"/>
    <w:rsid w:val="7BA0047E"/>
    <w:rsid w:val="7BB865B9"/>
    <w:rsid w:val="7BBD59F5"/>
    <w:rsid w:val="7BBE0477"/>
    <w:rsid w:val="7BC16331"/>
    <w:rsid w:val="7BD95B28"/>
    <w:rsid w:val="7BDF11DE"/>
    <w:rsid w:val="7BE46E0E"/>
    <w:rsid w:val="7BEF3763"/>
    <w:rsid w:val="7BFE1657"/>
    <w:rsid w:val="7C0A5571"/>
    <w:rsid w:val="7C0D5C2E"/>
    <w:rsid w:val="7C145551"/>
    <w:rsid w:val="7C1F7FD0"/>
    <w:rsid w:val="7C200CC3"/>
    <w:rsid w:val="7C214C0C"/>
    <w:rsid w:val="7C3849AF"/>
    <w:rsid w:val="7C403F04"/>
    <w:rsid w:val="7C406ADC"/>
    <w:rsid w:val="7C497178"/>
    <w:rsid w:val="7C4C721D"/>
    <w:rsid w:val="7C6555FE"/>
    <w:rsid w:val="7C695BE3"/>
    <w:rsid w:val="7C893635"/>
    <w:rsid w:val="7C8F6446"/>
    <w:rsid w:val="7C922C2A"/>
    <w:rsid w:val="7C9D1FBB"/>
    <w:rsid w:val="7CA0570C"/>
    <w:rsid w:val="7CA759B2"/>
    <w:rsid w:val="7CAE39E8"/>
    <w:rsid w:val="7CAF7D2C"/>
    <w:rsid w:val="7CB430B7"/>
    <w:rsid w:val="7CB83674"/>
    <w:rsid w:val="7CBE5603"/>
    <w:rsid w:val="7CC04370"/>
    <w:rsid w:val="7CCA6553"/>
    <w:rsid w:val="7CCB0AA7"/>
    <w:rsid w:val="7CE02405"/>
    <w:rsid w:val="7CE61960"/>
    <w:rsid w:val="7CEE7B58"/>
    <w:rsid w:val="7CF857D2"/>
    <w:rsid w:val="7D076113"/>
    <w:rsid w:val="7D107675"/>
    <w:rsid w:val="7D1F1685"/>
    <w:rsid w:val="7D2504FE"/>
    <w:rsid w:val="7D2934F3"/>
    <w:rsid w:val="7D480EC8"/>
    <w:rsid w:val="7D49343E"/>
    <w:rsid w:val="7D4B2A64"/>
    <w:rsid w:val="7D4F39CF"/>
    <w:rsid w:val="7D521CD4"/>
    <w:rsid w:val="7D5E405F"/>
    <w:rsid w:val="7D6665B8"/>
    <w:rsid w:val="7D7A003F"/>
    <w:rsid w:val="7D7A54C6"/>
    <w:rsid w:val="7D89502B"/>
    <w:rsid w:val="7D8B095D"/>
    <w:rsid w:val="7D9B0404"/>
    <w:rsid w:val="7DAD0BB9"/>
    <w:rsid w:val="7DBF76B0"/>
    <w:rsid w:val="7DC14596"/>
    <w:rsid w:val="7DD2558C"/>
    <w:rsid w:val="7DD8688C"/>
    <w:rsid w:val="7DDD6A72"/>
    <w:rsid w:val="7DEC2255"/>
    <w:rsid w:val="7DEE7C20"/>
    <w:rsid w:val="7DF77C45"/>
    <w:rsid w:val="7DFF735E"/>
    <w:rsid w:val="7E0E4C8C"/>
    <w:rsid w:val="7E221496"/>
    <w:rsid w:val="7E3151E8"/>
    <w:rsid w:val="7E3D59CB"/>
    <w:rsid w:val="7E472AE0"/>
    <w:rsid w:val="7E555E60"/>
    <w:rsid w:val="7E62744C"/>
    <w:rsid w:val="7E750B25"/>
    <w:rsid w:val="7E810861"/>
    <w:rsid w:val="7E987E6F"/>
    <w:rsid w:val="7E9F5FFF"/>
    <w:rsid w:val="7EA46470"/>
    <w:rsid w:val="7EC55313"/>
    <w:rsid w:val="7EDB1C0E"/>
    <w:rsid w:val="7EE21763"/>
    <w:rsid w:val="7EE371F3"/>
    <w:rsid w:val="7EEE0FF9"/>
    <w:rsid w:val="7EEE16E6"/>
    <w:rsid w:val="7EF64E69"/>
    <w:rsid w:val="7EFE65D7"/>
    <w:rsid w:val="7F0E0CAB"/>
    <w:rsid w:val="7F226CE0"/>
    <w:rsid w:val="7F237116"/>
    <w:rsid w:val="7F262006"/>
    <w:rsid w:val="7F2872B6"/>
    <w:rsid w:val="7F321714"/>
    <w:rsid w:val="7F361B39"/>
    <w:rsid w:val="7F392F0B"/>
    <w:rsid w:val="7F4F4660"/>
    <w:rsid w:val="7F544DC5"/>
    <w:rsid w:val="7F5E2ECC"/>
    <w:rsid w:val="7F6129D8"/>
    <w:rsid w:val="7F64541F"/>
    <w:rsid w:val="7F785D7B"/>
    <w:rsid w:val="7F847E5D"/>
    <w:rsid w:val="7F875CB3"/>
    <w:rsid w:val="7F9A528E"/>
    <w:rsid w:val="7FA0249F"/>
    <w:rsid w:val="7FA106C9"/>
    <w:rsid w:val="7FA57403"/>
    <w:rsid w:val="7FA90379"/>
    <w:rsid w:val="7FB77F4A"/>
    <w:rsid w:val="7FC74347"/>
    <w:rsid w:val="7FCE30CC"/>
    <w:rsid w:val="7FE1493B"/>
    <w:rsid w:val="7FE46F32"/>
    <w:rsid w:val="7FEA54E6"/>
    <w:rsid w:val="7FEE0FFE"/>
    <w:rsid w:val="7FF05E95"/>
    <w:rsid w:val="7FFD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link w:val="50"/>
    <w:qFormat/>
    <w:uiPriority w:val="0"/>
    <w:pPr>
      <w:keepNext/>
      <w:keepLines/>
      <w:tabs>
        <w:tab w:val="left" w:pos="720"/>
        <w:tab w:val="left" w:pos="1260"/>
      </w:tabs>
      <w:adjustRightInd w:val="0"/>
      <w:spacing w:before="340" w:after="330" w:line="578" w:lineRule="atLeast"/>
      <w:ind w:left="972" w:hanging="432"/>
      <w:jc w:val="left"/>
      <w:textAlignment w:val="baseline"/>
      <w:outlineLvl w:val="0"/>
    </w:pPr>
    <w:rPr>
      <w:b/>
      <w:kern w:val="44"/>
      <w:sz w:val="30"/>
    </w:rPr>
  </w:style>
  <w:style w:type="paragraph" w:styleId="5">
    <w:name w:val="heading 2"/>
    <w:basedOn w:val="1"/>
    <w:next w:val="1"/>
    <w:link w:val="51"/>
    <w:qFormat/>
    <w:uiPriority w:val="0"/>
    <w:pPr>
      <w:keepNext/>
      <w:keepLines/>
      <w:tabs>
        <w:tab w:val="left" w:pos="576"/>
        <w:tab w:val="left" w:pos="1296"/>
      </w:tabs>
      <w:adjustRightInd w:val="0"/>
      <w:spacing w:before="120" w:after="120" w:line="416" w:lineRule="atLeast"/>
      <w:ind w:left="1296" w:hanging="576"/>
      <w:jc w:val="left"/>
      <w:textAlignment w:val="baseline"/>
      <w:outlineLvl w:val="1"/>
    </w:pPr>
    <w:rPr>
      <w:rFonts w:ascii="宋体" w:hAnsi="Arial" w:eastAsia="黑体"/>
      <w:b/>
      <w:kern w:val="0"/>
      <w:sz w:val="28"/>
    </w:rPr>
  </w:style>
  <w:style w:type="paragraph" w:styleId="6">
    <w:name w:val="heading 3"/>
    <w:basedOn w:val="1"/>
    <w:next w:val="1"/>
    <w:link w:val="52"/>
    <w:qFormat/>
    <w:uiPriority w:val="0"/>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7">
    <w:name w:val="heading 4"/>
    <w:basedOn w:val="1"/>
    <w:next w:val="1"/>
    <w:link w:val="53"/>
    <w:qFormat/>
    <w:uiPriority w:val="0"/>
    <w:pPr>
      <w:keepNext/>
      <w:keepLines/>
      <w:tabs>
        <w:tab w:val="left" w:pos="864"/>
        <w:tab w:val="left" w:pos="1404"/>
      </w:tabs>
      <w:adjustRightInd w:val="0"/>
      <w:spacing w:before="280" w:after="290" w:line="376" w:lineRule="atLeast"/>
      <w:ind w:left="1404" w:hanging="864"/>
      <w:jc w:val="left"/>
      <w:textAlignment w:val="baseline"/>
      <w:outlineLvl w:val="3"/>
    </w:pPr>
    <w:rPr>
      <w:rFonts w:ascii="Arial" w:hAnsi="Arial" w:eastAsia="黑体"/>
      <w:b/>
      <w:kern w:val="0"/>
      <w:sz w:val="28"/>
    </w:rPr>
  </w:style>
  <w:style w:type="paragraph" w:styleId="8">
    <w:name w:val="heading 5"/>
    <w:basedOn w:val="1"/>
    <w:next w:val="1"/>
    <w:link w:val="54"/>
    <w:qFormat/>
    <w:uiPriority w:val="9"/>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9">
    <w:name w:val="heading 6"/>
    <w:basedOn w:val="1"/>
    <w:next w:val="1"/>
    <w:link w:val="55"/>
    <w:qFormat/>
    <w:uiPriority w:val="0"/>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hAnsi="Arial" w:eastAsia="黑体"/>
      <w:b/>
      <w:kern w:val="0"/>
      <w:sz w:val="24"/>
    </w:rPr>
  </w:style>
  <w:style w:type="paragraph" w:styleId="10">
    <w:name w:val="heading 7"/>
    <w:basedOn w:val="1"/>
    <w:next w:val="1"/>
    <w:link w:val="56"/>
    <w:qFormat/>
    <w:uiPriority w:val="0"/>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11">
    <w:name w:val="heading 8"/>
    <w:basedOn w:val="1"/>
    <w:next w:val="1"/>
    <w:link w:val="57"/>
    <w:qFormat/>
    <w:uiPriority w:val="0"/>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hAnsi="Arial" w:eastAsia="黑体"/>
      <w:kern w:val="0"/>
      <w:sz w:val="24"/>
    </w:rPr>
  </w:style>
  <w:style w:type="paragraph" w:styleId="12">
    <w:name w:val="heading 9"/>
    <w:basedOn w:val="1"/>
    <w:next w:val="1"/>
    <w:link w:val="58"/>
    <w:qFormat/>
    <w:uiPriority w:val="0"/>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hAnsi="Arial" w:eastAsia="黑体"/>
      <w:kern w:val="0"/>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08"/>
    <w:unhideWhenUsed/>
    <w:qFormat/>
    <w:uiPriority w:val="99"/>
    <w:pPr>
      <w:spacing w:after="120"/>
      <w:ind w:firstLine="420" w:firstLineChars="100"/>
    </w:pPr>
    <w:rPr>
      <w:sz w:val="21"/>
      <w:szCs w:val="22"/>
    </w:rPr>
  </w:style>
  <w:style w:type="paragraph" w:styleId="3">
    <w:name w:val="Body Text"/>
    <w:basedOn w:val="1"/>
    <w:link w:val="77"/>
    <w:qFormat/>
    <w:uiPriority w:val="0"/>
    <w:rPr>
      <w:sz w:val="24"/>
      <w:szCs w:val="24"/>
    </w:rPr>
  </w:style>
  <w:style w:type="paragraph" w:styleId="13">
    <w:name w:val="toc 7"/>
    <w:basedOn w:val="1"/>
    <w:next w:val="1"/>
    <w:qFormat/>
    <w:uiPriority w:val="0"/>
    <w:pPr>
      <w:ind w:left="1260"/>
      <w:jc w:val="left"/>
    </w:pPr>
    <w:rPr>
      <w:sz w:val="18"/>
    </w:rPr>
  </w:style>
  <w:style w:type="paragraph" w:styleId="14">
    <w:name w:val="Normal Indent"/>
    <w:basedOn w:val="1"/>
    <w:qFormat/>
    <w:uiPriority w:val="0"/>
    <w:pPr>
      <w:ind w:firstLine="420"/>
    </w:pPr>
    <w:rPr>
      <w:sz w:val="24"/>
    </w:rPr>
  </w:style>
  <w:style w:type="paragraph" w:styleId="15">
    <w:name w:val="caption"/>
    <w:basedOn w:val="1"/>
    <w:next w:val="1"/>
    <w:qFormat/>
    <w:uiPriority w:val="35"/>
    <w:rPr>
      <w:rFonts w:ascii="Cambria" w:hAnsi="Cambria" w:eastAsia="黑体"/>
      <w:sz w:val="20"/>
    </w:rPr>
  </w:style>
  <w:style w:type="paragraph" w:styleId="16">
    <w:name w:val="List Bullet"/>
    <w:basedOn w:val="1"/>
    <w:link w:val="67"/>
    <w:qFormat/>
    <w:uiPriority w:val="0"/>
    <w:pPr>
      <w:tabs>
        <w:tab w:val="left" w:pos="360"/>
      </w:tabs>
      <w:ind w:left="360" w:hanging="360"/>
    </w:pPr>
    <w:rPr>
      <w:kern w:val="0"/>
      <w:sz w:val="20"/>
    </w:rPr>
  </w:style>
  <w:style w:type="paragraph" w:styleId="17">
    <w:name w:val="Document Map"/>
    <w:basedOn w:val="1"/>
    <w:semiHidden/>
    <w:qFormat/>
    <w:uiPriority w:val="0"/>
    <w:pPr>
      <w:shd w:val="clear" w:color="auto" w:fill="000080"/>
      <w:spacing w:line="360" w:lineRule="auto"/>
      <w:ind w:firstLine="200" w:firstLineChars="200"/>
    </w:pPr>
    <w:rPr>
      <w:sz w:val="24"/>
      <w:szCs w:val="24"/>
    </w:rPr>
  </w:style>
  <w:style w:type="paragraph" w:styleId="18">
    <w:name w:val="annotation text"/>
    <w:basedOn w:val="1"/>
    <w:link w:val="209"/>
    <w:unhideWhenUsed/>
    <w:qFormat/>
    <w:uiPriority w:val="99"/>
    <w:pPr>
      <w:jc w:val="left"/>
    </w:pPr>
    <w:rPr>
      <w:szCs w:val="22"/>
    </w:rPr>
  </w:style>
  <w:style w:type="paragraph" w:styleId="19">
    <w:name w:val="index 6"/>
    <w:basedOn w:val="1"/>
    <w:next w:val="1"/>
    <w:qFormat/>
    <w:uiPriority w:val="99"/>
    <w:pPr>
      <w:ind w:left="2100"/>
    </w:pPr>
  </w:style>
  <w:style w:type="paragraph" w:styleId="20">
    <w:name w:val="Body Text 3"/>
    <w:basedOn w:val="1"/>
    <w:qFormat/>
    <w:uiPriority w:val="0"/>
    <w:pPr>
      <w:spacing w:after="120" w:line="360" w:lineRule="auto"/>
      <w:ind w:firstLine="200" w:firstLineChars="200"/>
    </w:pPr>
    <w:rPr>
      <w:sz w:val="16"/>
      <w:szCs w:val="16"/>
    </w:rPr>
  </w:style>
  <w:style w:type="paragraph" w:styleId="21">
    <w:name w:val="Body Text Indent"/>
    <w:basedOn w:val="1"/>
    <w:link w:val="85"/>
    <w:qFormat/>
    <w:uiPriority w:val="0"/>
    <w:pPr>
      <w:spacing w:line="360" w:lineRule="auto"/>
      <w:ind w:firstLine="480" w:firstLineChars="200"/>
    </w:pPr>
    <w:rPr>
      <w:rFonts w:ascii="宋体" w:hAnsi="宋体"/>
      <w:sz w:val="24"/>
      <w:szCs w:val="24"/>
    </w:rPr>
  </w:style>
  <w:style w:type="paragraph" w:styleId="22">
    <w:name w:val="List 2"/>
    <w:basedOn w:val="1"/>
    <w:qFormat/>
    <w:uiPriority w:val="0"/>
    <w:pPr>
      <w:widowControl/>
      <w:adjustRightInd w:val="0"/>
      <w:snapToGrid w:val="0"/>
      <w:spacing w:before="100" w:beforeAutospacing="1" w:after="200"/>
      <w:ind w:left="100" w:leftChars="200" w:hanging="200" w:hangingChars="200"/>
      <w:contextualSpacing/>
      <w:jc w:val="left"/>
    </w:pPr>
    <w:rPr>
      <w:rFonts w:ascii="Tahoma" w:hAnsi="Tahoma" w:eastAsia="微软雅黑"/>
      <w:kern w:val="0"/>
      <w:sz w:val="22"/>
      <w:szCs w:val="22"/>
    </w:rPr>
  </w:style>
  <w:style w:type="paragraph" w:styleId="23">
    <w:name w:val="toc 5"/>
    <w:basedOn w:val="1"/>
    <w:next w:val="1"/>
    <w:qFormat/>
    <w:uiPriority w:val="0"/>
    <w:pPr>
      <w:ind w:left="840"/>
      <w:jc w:val="left"/>
    </w:pPr>
    <w:rPr>
      <w:sz w:val="18"/>
    </w:rPr>
  </w:style>
  <w:style w:type="paragraph" w:styleId="24">
    <w:name w:val="toc 3"/>
    <w:basedOn w:val="1"/>
    <w:next w:val="1"/>
    <w:qFormat/>
    <w:uiPriority w:val="0"/>
    <w:pPr>
      <w:ind w:left="420" w:leftChars="200"/>
      <w:jc w:val="left"/>
    </w:pPr>
    <w:rPr>
      <w:rFonts w:ascii="Arial" w:hAnsi="Arial"/>
    </w:rPr>
  </w:style>
  <w:style w:type="paragraph" w:styleId="25">
    <w:name w:val="Plain Text"/>
    <w:basedOn w:val="1"/>
    <w:link w:val="92"/>
    <w:qFormat/>
    <w:uiPriority w:val="0"/>
    <w:rPr>
      <w:rFonts w:ascii="宋体" w:hAnsi="Courier New"/>
      <w:sz w:val="11"/>
    </w:rPr>
  </w:style>
  <w:style w:type="paragraph" w:styleId="26">
    <w:name w:val="toc 8"/>
    <w:basedOn w:val="1"/>
    <w:next w:val="1"/>
    <w:qFormat/>
    <w:uiPriority w:val="0"/>
    <w:pPr>
      <w:ind w:left="1470"/>
      <w:jc w:val="left"/>
    </w:pPr>
    <w:rPr>
      <w:sz w:val="18"/>
    </w:rPr>
  </w:style>
  <w:style w:type="paragraph" w:styleId="27">
    <w:name w:val="Date"/>
    <w:basedOn w:val="1"/>
    <w:next w:val="1"/>
    <w:link w:val="69"/>
    <w:qFormat/>
    <w:uiPriority w:val="0"/>
    <w:pPr>
      <w:ind w:left="100" w:leftChars="2500"/>
    </w:pPr>
    <w:rPr>
      <w:rFonts w:ascii="仿宋_GB2312" w:eastAsia="仿宋_GB2312"/>
      <w:color w:val="000000"/>
      <w:kern w:val="0"/>
      <w:sz w:val="28"/>
    </w:rPr>
  </w:style>
  <w:style w:type="paragraph" w:styleId="28">
    <w:name w:val="Body Text Indent 2"/>
    <w:basedOn w:val="1"/>
    <w:qFormat/>
    <w:uiPriority w:val="0"/>
    <w:pPr>
      <w:spacing w:line="360" w:lineRule="auto"/>
      <w:ind w:left="840" w:leftChars="400" w:firstLine="480" w:firstLineChars="200"/>
    </w:pPr>
    <w:rPr>
      <w:sz w:val="24"/>
    </w:rPr>
  </w:style>
  <w:style w:type="paragraph" w:styleId="29">
    <w:name w:val="Balloon Text"/>
    <w:basedOn w:val="1"/>
    <w:link w:val="217"/>
    <w:qFormat/>
    <w:uiPriority w:val="99"/>
    <w:pPr>
      <w:spacing w:line="360" w:lineRule="auto"/>
      <w:ind w:firstLine="200" w:firstLineChars="200"/>
    </w:pPr>
    <w:rPr>
      <w:sz w:val="18"/>
      <w:szCs w:val="18"/>
    </w:rPr>
  </w:style>
  <w:style w:type="paragraph" w:styleId="30">
    <w:name w:val="footer"/>
    <w:basedOn w:val="1"/>
    <w:link w:val="86"/>
    <w:qFormat/>
    <w:uiPriority w:val="99"/>
    <w:pPr>
      <w:tabs>
        <w:tab w:val="center" w:pos="4153"/>
        <w:tab w:val="right" w:pos="8306"/>
      </w:tabs>
      <w:snapToGrid w:val="0"/>
      <w:jc w:val="left"/>
    </w:pPr>
    <w:rPr>
      <w:sz w:val="18"/>
    </w:rPr>
  </w:style>
  <w:style w:type="paragraph" w:styleId="31">
    <w:name w:val="header"/>
    <w:basedOn w:val="1"/>
    <w:link w:val="90"/>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before="120" w:after="120" w:line="360" w:lineRule="auto"/>
      <w:ind w:firstLine="200" w:firstLineChars="200"/>
      <w:jc w:val="left"/>
    </w:pPr>
    <w:rPr>
      <w:b/>
      <w:bCs/>
      <w:caps/>
      <w:sz w:val="20"/>
    </w:rPr>
  </w:style>
  <w:style w:type="paragraph" w:styleId="33">
    <w:name w:val="toc 4"/>
    <w:basedOn w:val="1"/>
    <w:next w:val="1"/>
    <w:qFormat/>
    <w:uiPriority w:val="0"/>
    <w:pPr>
      <w:tabs>
        <w:tab w:val="left" w:pos="900"/>
        <w:tab w:val="left" w:pos="1050"/>
        <w:tab w:val="right" w:leader="dot" w:pos="9060"/>
      </w:tabs>
      <w:ind w:left="630" w:leftChars="300"/>
      <w:jc w:val="left"/>
    </w:pPr>
    <w:rPr>
      <w:rFonts w:ascii="Arial" w:hAnsi="Arial"/>
    </w:rPr>
  </w:style>
  <w:style w:type="paragraph" w:styleId="34">
    <w:name w:val="Subtitle"/>
    <w:basedOn w:val="1"/>
    <w:next w:val="1"/>
    <w:link w:val="218"/>
    <w:qFormat/>
    <w:uiPriority w:val="0"/>
    <w:pPr>
      <w:spacing w:before="240" w:after="60" w:line="312" w:lineRule="auto"/>
      <w:jc w:val="center"/>
      <w:outlineLvl w:val="1"/>
    </w:pPr>
    <w:rPr>
      <w:rFonts w:ascii="Cambria" w:hAnsi="Cambria"/>
      <w:b/>
      <w:bCs/>
      <w:kern w:val="28"/>
      <w:sz w:val="32"/>
      <w:szCs w:val="32"/>
    </w:rPr>
  </w:style>
  <w:style w:type="paragraph" w:styleId="35">
    <w:name w:val="toc 6"/>
    <w:basedOn w:val="1"/>
    <w:next w:val="1"/>
    <w:qFormat/>
    <w:uiPriority w:val="0"/>
    <w:pPr>
      <w:ind w:left="1050"/>
      <w:jc w:val="left"/>
    </w:pPr>
    <w:rPr>
      <w:sz w:val="18"/>
    </w:rPr>
  </w:style>
  <w:style w:type="paragraph" w:styleId="36">
    <w:name w:val="Body Text Indent 3"/>
    <w:basedOn w:val="1"/>
    <w:qFormat/>
    <w:uiPriority w:val="0"/>
    <w:pPr>
      <w:ind w:firstLine="480" w:firstLineChars="200"/>
    </w:pPr>
    <w:rPr>
      <w:sz w:val="24"/>
    </w:rPr>
  </w:style>
  <w:style w:type="paragraph" w:styleId="37">
    <w:name w:val="toc 2"/>
    <w:basedOn w:val="1"/>
    <w:next w:val="1"/>
    <w:qFormat/>
    <w:uiPriority w:val="39"/>
    <w:pPr>
      <w:ind w:left="100" w:leftChars="100"/>
      <w:jc w:val="left"/>
    </w:pPr>
    <w:rPr>
      <w:rFonts w:ascii="Arial" w:hAnsi="Arial"/>
    </w:rPr>
  </w:style>
  <w:style w:type="paragraph" w:styleId="38">
    <w:name w:val="toc 9"/>
    <w:basedOn w:val="1"/>
    <w:next w:val="1"/>
    <w:qFormat/>
    <w:uiPriority w:val="0"/>
    <w:pPr>
      <w:ind w:left="1680"/>
      <w:jc w:val="left"/>
    </w:pPr>
    <w:rPr>
      <w:sz w:val="18"/>
    </w:rPr>
  </w:style>
  <w:style w:type="paragraph" w:styleId="39">
    <w:name w:val="Body Text 2"/>
    <w:basedOn w:val="1"/>
    <w:qFormat/>
    <w:uiPriority w:val="0"/>
    <w:pPr>
      <w:spacing w:line="360" w:lineRule="atLeast"/>
      <w:jc w:val="center"/>
    </w:pPr>
    <w:rPr>
      <w:rFonts w:ascii="仿宋_GB2312" w:hAnsi="Dotum" w:eastAsia="仿宋_GB2312"/>
      <w:sz w:val="28"/>
    </w:r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Title"/>
    <w:basedOn w:val="1"/>
    <w:link w:val="82"/>
    <w:qFormat/>
    <w:uiPriority w:val="0"/>
    <w:pPr>
      <w:spacing w:before="240" w:after="60"/>
      <w:ind w:left="425" w:hanging="425"/>
      <w:jc w:val="center"/>
      <w:outlineLvl w:val="0"/>
    </w:pPr>
    <w:rPr>
      <w:rFonts w:ascii="Arial" w:hAnsi="Arial" w:cs="Arial"/>
      <w:b/>
      <w:bCs/>
      <w:sz w:val="32"/>
      <w:szCs w:val="32"/>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99"/>
  </w:style>
  <w:style w:type="character" w:styleId="48">
    <w:name w:val="Hyperlink"/>
    <w:qFormat/>
    <w:uiPriority w:val="99"/>
    <w:rPr>
      <w:color w:val="0000FF"/>
      <w:u w:val="single"/>
    </w:rPr>
  </w:style>
  <w:style w:type="character" w:styleId="49">
    <w:name w:val="HTML Sample"/>
    <w:basedOn w:val="45"/>
    <w:unhideWhenUsed/>
    <w:qFormat/>
    <w:uiPriority w:val="99"/>
    <w:rPr>
      <w:rFonts w:ascii="宋体" w:hAnsi="宋体" w:eastAsia="宋体" w:cs="宋体"/>
    </w:rPr>
  </w:style>
  <w:style w:type="character" w:customStyle="1" w:styleId="50">
    <w:name w:val="标题 1 Char1"/>
    <w:link w:val="4"/>
    <w:qFormat/>
    <w:uiPriority w:val="0"/>
    <w:rPr>
      <w:b/>
      <w:kern w:val="44"/>
      <w:sz w:val="30"/>
    </w:rPr>
  </w:style>
  <w:style w:type="character" w:customStyle="1" w:styleId="51">
    <w:name w:val="标题 2 Char1"/>
    <w:link w:val="5"/>
    <w:qFormat/>
    <w:uiPriority w:val="0"/>
    <w:rPr>
      <w:rFonts w:ascii="宋体" w:hAnsi="Arial" w:eastAsia="黑体"/>
      <w:b/>
      <w:sz w:val="28"/>
    </w:rPr>
  </w:style>
  <w:style w:type="character" w:customStyle="1" w:styleId="52">
    <w:name w:val="标题 3 Char1"/>
    <w:link w:val="6"/>
    <w:qFormat/>
    <w:uiPriority w:val="0"/>
    <w:rPr>
      <w:rFonts w:eastAsia="黑体"/>
      <w:b/>
      <w:sz w:val="24"/>
    </w:rPr>
  </w:style>
  <w:style w:type="character" w:customStyle="1" w:styleId="53">
    <w:name w:val="标题 4 Char"/>
    <w:link w:val="7"/>
    <w:qFormat/>
    <w:uiPriority w:val="99"/>
    <w:rPr>
      <w:rFonts w:ascii="Arial" w:hAnsi="Arial" w:eastAsia="黑体"/>
      <w:b/>
      <w:sz w:val="28"/>
    </w:rPr>
  </w:style>
  <w:style w:type="character" w:customStyle="1" w:styleId="54">
    <w:name w:val="标题 5 Char"/>
    <w:link w:val="8"/>
    <w:qFormat/>
    <w:uiPriority w:val="9"/>
    <w:rPr>
      <w:b/>
      <w:sz w:val="28"/>
    </w:rPr>
  </w:style>
  <w:style w:type="character" w:customStyle="1" w:styleId="55">
    <w:name w:val="标题 6 Char"/>
    <w:link w:val="9"/>
    <w:qFormat/>
    <w:uiPriority w:val="0"/>
    <w:rPr>
      <w:rFonts w:ascii="Arial" w:hAnsi="Arial" w:eastAsia="黑体"/>
      <w:b/>
      <w:sz w:val="24"/>
    </w:rPr>
  </w:style>
  <w:style w:type="character" w:customStyle="1" w:styleId="56">
    <w:name w:val="标题 7 Char"/>
    <w:link w:val="10"/>
    <w:qFormat/>
    <w:uiPriority w:val="0"/>
    <w:rPr>
      <w:b/>
      <w:sz w:val="24"/>
    </w:rPr>
  </w:style>
  <w:style w:type="character" w:customStyle="1" w:styleId="57">
    <w:name w:val="标题 8 Char"/>
    <w:link w:val="11"/>
    <w:qFormat/>
    <w:uiPriority w:val="0"/>
    <w:rPr>
      <w:rFonts w:ascii="Arial" w:hAnsi="Arial" w:eastAsia="黑体"/>
      <w:sz w:val="24"/>
    </w:rPr>
  </w:style>
  <w:style w:type="character" w:customStyle="1" w:styleId="58">
    <w:name w:val="标题 9 Char"/>
    <w:link w:val="12"/>
    <w:qFormat/>
    <w:uiPriority w:val="0"/>
    <w:rPr>
      <w:rFonts w:ascii="Arial" w:hAnsi="Arial" w:eastAsia="黑体"/>
      <w:sz w:val="24"/>
    </w:rPr>
  </w:style>
  <w:style w:type="character" w:customStyle="1" w:styleId="59">
    <w:name w:val="访问过的超链接"/>
    <w:qFormat/>
    <w:uiPriority w:val="0"/>
    <w:rPr>
      <w:color w:val="800080"/>
      <w:u w:val="single"/>
    </w:rPr>
  </w:style>
  <w:style w:type="character" w:customStyle="1" w:styleId="60">
    <w:name w:val="页眉字符"/>
    <w:qFormat/>
    <w:uiPriority w:val="0"/>
    <w:rPr>
      <w:rFonts w:eastAsia="宋体"/>
      <w:kern w:val="2"/>
      <w:sz w:val="18"/>
      <w:lang w:val="en-US" w:eastAsia="zh-CN"/>
    </w:rPr>
  </w:style>
  <w:style w:type="character" w:customStyle="1" w:styleId="61">
    <w:name w:val="Char Char2"/>
    <w:qFormat/>
    <w:uiPriority w:val="0"/>
    <w:rPr>
      <w:rFonts w:ascii="宋体" w:hAnsi="Courier New" w:eastAsia="宋体"/>
      <w:kern w:val="2"/>
      <w:sz w:val="11"/>
      <w:lang w:val="en-US" w:eastAsia="zh-CN" w:bidi="ar-SA"/>
    </w:rPr>
  </w:style>
  <w:style w:type="character" w:customStyle="1" w:styleId="62">
    <w:name w:val="font11"/>
    <w:basedOn w:val="45"/>
    <w:qFormat/>
    <w:uiPriority w:val="0"/>
    <w:rPr>
      <w:rFonts w:hint="default" w:ascii="Wingdings" w:hAnsi="Wingdings" w:cs="Wingdings"/>
      <w:color w:val="000000"/>
      <w:sz w:val="20"/>
      <w:szCs w:val="20"/>
    </w:rPr>
  </w:style>
  <w:style w:type="character" w:customStyle="1" w:styleId="63">
    <w:name w:val="Default Text Char"/>
    <w:link w:val="64"/>
    <w:qFormat/>
    <w:uiPriority w:val="0"/>
    <w:rPr>
      <w:color w:val="000000"/>
      <w:sz w:val="24"/>
      <w:lang w:val="en-US" w:eastAsia="zh-CN" w:bidi="ar-SA"/>
    </w:rPr>
  </w:style>
  <w:style w:type="paragraph" w:customStyle="1" w:styleId="64">
    <w:name w:val="Default Text"/>
    <w:basedOn w:val="65"/>
    <w:link w:val="63"/>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65">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6">
    <w:name w:val="标题 4 Char1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ascii="宋体" w:hAnsi="宋体" w:eastAsia="宋体"/>
      <w:b/>
      <w:bCs/>
      <w:kern w:val="2"/>
      <w:sz w:val="24"/>
      <w:szCs w:val="24"/>
      <w:lang w:val="en-US" w:eastAsia="zh-CN" w:bidi="ar-SA"/>
    </w:rPr>
  </w:style>
  <w:style w:type="character" w:customStyle="1" w:styleId="67">
    <w:name w:val="列表项目符号 Char"/>
    <w:link w:val="16"/>
    <w:qFormat/>
    <w:uiPriority w:val="0"/>
  </w:style>
  <w:style w:type="character" w:customStyle="1" w:styleId="68">
    <w:name w:val="15"/>
    <w:qFormat/>
    <w:uiPriority w:val="0"/>
    <w:rPr>
      <w:rFonts w:hint="default" w:ascii="Times New Roman" w:hAnsi="Times New Roman" w:cs="Times New Roman"/>
      <w:b/>
      <w:bCs/>
    </w:rPr>
  </w:style>
  <w:style w:type="character" w:customStyle="1" w:styleId="69">
    <w:name w:val="日期 Char"/>
    <w:link w:val="27"/>
    <w:qFormat/>
    <w:uiPriority w:val="0"/>
    <w:rPr>
      <w:rFonts w:ascii="仿宋_GB2312" w:eastAsia="仿宋_GB2312"/>
      <w:color w:val="000000"/>
      <w:sz w:val="28"/>
    </w:rPr>
  </w:style>
  <w:style w:type="character" w:customStyle="1" w:styleId="70">
    <w:name w:val="font31"/>
    <w:qFormat/>
    <w:uiPriority w:val="0"/>
    <w:rPr>
      <w:rFonts w:hint="eastAsia" w:ascii="宋体" w:hAnsi="宋体" w:eastAsia="宋体" w:cs="宋体"/>
      <w:color w:val="000000"/>
      <w:sz w:val="20"/>
      <w:szCs w:val="20"/>
    </w:rPr>
  </w:style>
  <w:style w:type="character" w:customStyle="1" w:styleId="71">
    <w:name w:val="样式1 Char"/>
    <w:link w:val="72"/>
    <w:qFormat/>
    <w:uiPriority w:val="0"/>
    <w:rPr>
      <w:sz w:val="24"/>
    </w:rPr>
  </w:style>
  <w:style w:type="paragraph" w:customStyle="1" w:styleId="72">
    <w:name w:val="样式1"/>
    <w:basedOn w:val="5"/>
    <w:link w:val="71"/>
    <w:qFormat/>
    <w:uiPriority w:val="0"/>
    <w:pPr>
      <w:keepNext w:val="0"/>
      <w:adjustRightInd/>
      <w:spacing w:before="0" w:after="0" w:line="240" w:lineRule="auto"/>
      <w:ind w:left="576"/>
      <w:jc w:val="both"/>
      <w:textAlignment w:val="auto"/>
    </w:pPr>
    <w:rPr>
      <w:rFonts w:ascii="Calibri" w:hAnsi="Calibri" w:eastAsia="宋体"/>
      <w:b w:val="0"/>
      <w:sz w:val="24"/>
    </w:rPr>
  </w:style>
  <w:style w:type="character" w:customStyle="1" w:styleId="73">
    <w:name w:val="标题 3 Char Char"/>
    <w:qFormat/>
    <w:uiPriority w:val="0"/>
    <w:rPr>
      <w:rFonts w:ascii="Arial" w:hAnsi="Arial" w:eastAsia="宋体"/>
      <w:b/>
      <w:bCs/>
      <w:kern w:val="2"/>
      <w:sz w:val="24"/>
      <w:szCs w:val="32"/>
      <w:lang w:val="en-US" w:eastAsia="zh-CN" w:bidi="ar-SA"/>
    </w:rPr>
  </w:style>
  <w:style w:type="character" w:customStyle="1" w:styleId="74">
    <w:name w:val="标3 Char"/>
    <w:link w:val="75"/>
    <w:qFormat/>
    <w:uiPriority w:val="0"/>
    <w:rPr>
      <w:rFonts w:ascii="Arial Narrow" w:hAnsi="Arial Narrow" w:eastAsia="仿宋_GB2312"/>
      <w:kern w:val="2"/>
      <w:sz w:val="24"/>
      <w:szCs w:val="24"/>
    </w:rPr>
  </w:style>
  <w:style w:type="paragraph" w:customStyle="1" w:styleId="75">
    <w:name w:val="标3"/>
    <w:basedOn w:val="1"/>
    <w:link w:val="74"/>
    <w:qFormat/>
    <w:uiPriority w:val="0"/>
    <w:pPr>
      <w:tabs>
        <w:tab w:val="left" w:pos="1224"/>
        <w:tab w:val="left" w:pos="1260"/>
      </w:tabs>
      <w:adjustRightInd w:val="0"/>
      <w:snapToGrid w:val="0"/>
      <w:spacing w:beforeLines="50"/>
      <w:ind w:left="1260" w:hanging="720"/>
      <w:outlineLvl w:val="2"/>
    </w:pPr>
    <w:rPr>
      <w:rFonts w:ascii="Arial Narrow" w:hAnsi="Arial Narrow" w:eastAsia="仿宋_GB2312"/>
      <w:sz w:val="24"/>
      <w:szCs w:val="24"/>
    </w:rPr>
  </w:style>
  <w:style w:type="character" w:customStyle="1" w:styleId="76">
    <w:name w:val="页码1"/>
    <w:basedOn w:val="45"/>
    <w:qFormat/>
    <w:uiPriority w:val="0"/>
  </w:style>
  <w:style w:type="character" w:customStyle="1" w:styleId="77">
    <w:name w:val="正文文本 Char"/>
    <w:link w:val="3"/>
    <w:qFormat/>
    <w:uiPriority w:val="0"/>
    <w:rPr>
      <w:rFonts w:eastAsia="宋体"/>
      <w:kern w:val="2"/>
      <w:sz w:val="24"/>
      <w:szCs w:val="24"/>
      <w:lang w:val="en-US" w:eastAsia="zh-CN" w:bidi="ar-SA"/>
    </w:rPr>
  </w:style>
  <w:style w:type="character" w:customStyle="1" w:styleId="78">
    <w:name w:val="标题 2 Char"/>
    <w:qFormat/>
    <w:uiPriority w:val="0"/>
    <w:rPr>
      <w:rFonts w:eastAsia="黑体"/>
      <w:sz w:val="21"/>
      <w:szCs w:val="21"/>
      <w:lang w:val="en-US" w:eastAsia="zh-CN" w:bidi="ar-SA"/>
    </w:rPr>
  </w:style>
  <w:style w:type="character" w:customStyle="1" w:styleId="79">
    <w:name w:val="标1 Char Char"/>
    <w:link w:val="80"/>
    <w:qFormat/>
    <w:uiPriority w:val="0"/>
    <w:rPr>
      <w:rFonts w:ascii="Arial Narrow" w:hAnsi="Arial Narrow" w:eastAsia="仿宋_GB2312"/>
      <w:b/>
      <w:bCs/>
      <w:spacing w:val="20"/>
      <w:kern w:val="2"/>
      <w:sz w:val="24"/>
      <w:szCs w:val="24"/>
    </w:rPr>
  </w:style>
  <w:style w:type="paragraph" w:customStyle="1" w:styleId="80">
    <w:name w:val="标1"/>
    <w:basedOn w:val="1"/>
    <w:link w:val="79"/>
    <w:qFormat/>
    <w:uiPriority w:val="0"/>
    <w:pPr>
      <w:widowControl/>
      <w:tabs>
        <w:tab w:val="left" w:pos="1224"/>
        <w:tab w:val="left" w:pos="1260"/>
      </w:tabs>
      <w:adjustRightInd w:val="0"/>
      <w:snapToGrid w:val="0"/>
      <w:spacing w:beforeLines="100" w:line="360" w:lineRule="auto"/>
      <w:ind w:left="972" w:hanging="432"/>
      <w:jc w:val="left"/>
      <w:outlineLvl w:val="0"/>
    </w:pPr>
    <w:rPr>
      <w:rFonts w:ascii="Arial Narrow" w:hAnsi="Arial Narrow" w:eastAsia="仿宋_GB2312"/>
      <w:b/>
      <w:bCs/>
      <w:spacing w:val="20"/>
      <w:sz w:val="24"/>
      <w:szCs w:val="24"/>
    </w:rPr>
  </w:style>
  <w:style w:type="character" w:customStyle="1" w:styleId="81">
    <w:name w:val="apple-converted-space"/>
    <w:qFormat/>
    <w:uiPriority w:val="0"/>
  </w:style>
  <w:style w:type="character" w:customStyle="1" w:styleId="82">
    <w:name w:val="标题 Char1"/>
    <w:link w:val="42"/>
    <w:qFormat/>
    <w:uiPriority w:val="0"/>
    <w:rPr>
      <w:rFonts w:ascii="Arial" w:hAnsi="Arial" w:eastAsia="宋体" w:cs="Arial"/>
      <w:b/>
      <w:bCs/>
      <w:kern w:val="2"/>
      <w:sz w:val="32"/>
      <w:szCs w:val="32"/>
      <w:lang w:val="en-US" w:eastAsia="zh-CN" w:bidi="ar-SA"/>
    </w:rPr>
  </w:style>
  <w:style w:type="character" w:customStyle="1" w:styleId="83">
    <w:name w:val="标题 Char"/>
    <w:qFormat/>
    <w:uiPriority w:val="0"/>
    <w:rPr>
      <w:rFonts w:ascii="Arial" w:hAnsi="Arial" w:eastAsia="宋体" w:cs="Arial"/>
      <w:b/>
      <w:bCs/>
      <w:kern w:val="2"/>
      <w:sz w:val="32"/>
      <w:szCs w:val="32"/>
      <w:lang w:val="en-US" w:eastAsia="zh-CN" w:bidi="ar-SA"/>
    </w:rPr>
  </w:style>
  <w:style w:type="character" w:customStyle="1" w:styleId="84">
    <w:name w:val="ui-area-common-c-i-r"/>
    <w:basedOn w:val="45"/>
    <w:qFormat/>
    <w:uiPriority w:val="0"/>
  </w:style>
  <w:style w:type="character" w:customStyle="1" w:styleId="85">
    <w:name w:val="正文文本缩进 Char"/>
    <w:link w:val="21"/>
    <w:qFormat/>
    <w:uiPriority w:val="0"/>
    <w:rPr>
      <w:rFonts w:ascii="宋体" w:hAnsi="宋体" w:eastAsia="宋体"/>
      <w:kern w:val="2"/>
      <w:sz w:val="24"/>
      <w:szCs w:val="24"/>
      <w:lang w:val="en-US" w:eastAsia="zh-CN" w:bidi="ar-SA"/>
    </w:rPr>
  </w:style>
  <w:style w:type="character" w:customStyle="1" w:styleId="86">
    <w:name w:val="页脚 Char"/>
    <w:link w:val="30"/>
    <w:qFormat/>
    <w:uiPriority w:val="99"/>
    <w:rPr>
      <w:rFonts w:eastAsia="宋体"/>
      <w:kern w:val="2"/>
      <w:sz w:val="18"/>
      <w:lang w:val="en-US" w:eastAsia="zh-CN" w:bidi="ar-SA"/>
    </w:rPr>
  </w:style>
  <w:style w:type="character" w:customStyle="1" w:styleId="87">
    <w:name w:val="标2 Char"/>
    <w:link w:val="88"/>
    <w:qFormat/>
    <w:uiPriority w:val="0"/>
    <w:rPr>
      <w:rFonts w:ascii="Arial Narrow" w:hAnsi="Arial Narrow" w:eastAsia="仿宋_GB2312"/>
      <w:b/>
      <w:sz w:val="24"/>
      <w:szCs w:val="24"/>
    </w:rPr>
  </w:style>
  <w:style w:type="paragraph" w:customStyle="1" w:styleId="88">
    <w:name w:val="标2"/>
    <w:basedOn w:val="1"/>
    <w:link w:val="87"/>
    <w:qFormat/>
    <w:uiPriority w:val="0"/>
    <w:pPr>
      <w:tabs>
        <w:tab w:val="left" w:pos="1224"/>
        <w:tab w:val="left" w:pos="1296"/>
      </w:tabs>
      <w:adjustRightInd w:val="0"/>
      <w:snapToGrid w:val="0"/>
      <w:spacing w:beforeLines="50" w:afterLines="50"/>
      <w:ind w:left="1296" w:hanging="576"/>
      <w:outlineLvl w:val="1"/>
    </w:pPr>
    <w:rPr>
      <w:rFonts w:ascii="Arial Narrow" w:hAnsi="Arial Narrow" w:eastAsia="仿宋_GB2312"/>
      <w:b/>
      <w:kern w:val="0"/>
      <w:sz w:val="24"/>
      <w:szCs w:val="24"/>
    </w:rPr>
  </w:style>
  <w:style w:type="character" w:customStyle="1" w:styleId="89">
    <w:name w:val="页脚字符"/>
    <w:qFormat/>
    <w:uiPriority w:val="0"/>
    <w:rPr>
      <w:rFonts w:eastAsia="宋体"/>
      <w:kern w:val="2"/>
      <w:sz w:val="18"/>
      <w:lang w:val="en-US" w:eastAsia="zh-CN"/>
    </w:rPr>
  </w:style>
  <w:style w:type="character" w:customStyle="1" w:styleId="90">
    <w:name w:val="页眉 Char"/>
    <w:link w:val="31"/>
    <w:qFormat/>
    <w:uiPriority w:val="99"/>
    <w:rPr>
      <w:rFonts w:eastAsia="宋体"/>
      <w:kern w:val="2"/>
      <w:sz w:val="18"/>
      <w:lang w:val="en-US" w:eastAsia="zh-CN" w:bidi="ar-SA"/>
    </w:rPr>
  </w:style>
  <w:style w:type="character" w:customStyle="1" w:styleId="91">
    <w:name w:val="标题 3 Char"/>
    <w:qFormat/>
    <w:uiPriority w:val="0"/>
    <w:rPr>
      <w:rFonts w:ascii="Arial" w:hAnsi="Arial" w:eastAsia="宋体"/>
      <w:b/>
      <w:bCs/>
      <w:kern w:val="2"/>
      <w:sz w:val="24"/>
      <w:szCs w:val="32"/>
      <w:lang w:val="en-US" w:eastAsia="zh-CN" w:bidi="ar-SA"/>
    </w:rPr>
  </w:style>
  <w:style w:type="character" w:customStyle="1" w:styleId="92">
    <w:name w:val="纯文本 Char"/>
    <w:link w:val="25"/>
    <w:qFormat/>
    <w:uiPriority w:val="0"/>
    <w:rPr>
      <w:rFonts w:ascii="宋体" w:hAnsi="Courier New" w:eastAsia="宋体"/>
      <w:kern w:val="2"/>
      <w:sz w:val="11"/>
      <w:lang w:val="en-US" w:eastAsia="zh-CN" w:bidi="ar-SA"/>
    </w:rPr>
  </w:style>
  <w:style w:type="character" w:customStyle="1" w:styleId="93">
    <w:name w:val="样式 小四"/>
    <w:qFormat/>
    <w:uiPriority w:val="0"/>
    <w:rPr>
      <w:rFonts w:eastAsia="宋体"/>
      <w:sz w:val="24"/>
    </w:rPr>
  </w:style>
  <w:style w:type="character" w:customStyle="1" w:styleId="94">
    <w:name w:val="正文文本 字符"/>
    <w:qFormat/>
    <w:uiPriority w:val="99"/>
    <w:rPr>
      <w:rFonts w:hint="default" w:ascii="Tahoma" w:hAnsi="Tahoma" w:eastAsia="Tahoma" w:cs="Tahoma"/>
    </w:rPr>
  </w:style>
  <w:style w:type="character" w:customStyle="1" w:styleId="95">
    <w:name w:val="正文 正文 Char Char"/>
    <w:link w:val="96"/>
    <w:qFormat/>
    <w:locked/>
    <w:uiPriority w:val="0"/>
    <w:rPr>
      <w:sz w:val="24"/>
      <w:szCs w:val="24"/>
      <w:lang w:bidi="ar-SA"/>
    </w:rPr>
  </w:style>
  <w:style w:type="paragraph" w:customStyle="1" w:styleId="96">
    <w:name w:val="正文 正文"/>
    <w:basedOn w:val="1"/>
    <w:link w:val="95"/>
    <w:qFormat/>
    <w:uiPriority w:val="0"/>
    <w:pPr>
      <w:spacing w:beforeLines="50" w:line="360" w:lineRule="auto"/>
      <w:ind w:firstLine="480" w:firstLineChars="200"/>
    </w:pPr>
    <w:rPr>
      <w:kern w:val="0"/>
      <w:sz w:val="24"/>
      <w:szCs w:val="24"/>
    </w:rPr>
  </w:style>
  <w:style w:type="character" w:customStyle="1" w:styleId="97">
    <w:name w:val="列出段落 Char"/>
    <w:link w:val="98"/>
    <w:qFormat/>
    <w:uiPriority w:val="34"/>
    <w:rPr>
      <w:rFonts w:eastAsia="宋体"/>
      <w:kern w:val="2"/>
      <w:sz w:val="21"/>
      <w:szCs w:val="24"/>
      <w:lang w:val="en-US" w:eastAsia="zh-CN" w:bidi="ar-SA"/>
    </w:rPr>
  </w:style>
  <w:style w:type="paragraph" w:styleId="98">
    <w:name w:val="List Paragraph"/>
    <w:basedOn w:val="1"/>
    <w:link w:val="97"/>
    <w:qFormat/>
    <w:uiPriority w:val="34"/>
    <w:pPr>
      <w:ind w:firstLine="420" w:firstLineChars="200"/>
    </w:pPr>
    <w:rPr>
      <w:szCs w:val="24"/>
    </w:rPr>
  </w:style>
  <w:style w:type="character" w:customStyle="1" w:styleId="99">
    <w:name w:val="7）页眉页脚"/>
    <w:qFormat/>
    <w:uiPriority w:val="0"/>
    <w:rPr>
      <w:rFonts w:ascii="仿宋_GB2312" w:eastAsia="仿宋_GB2312"/>
      <w:b/>
      <w:i/>
      <w:sz w:val="18"/>
      <w:vertAlign w:val="baseline"/>
    </w:rPr>
  </w:style>
  <w:style w:type="character" w:customStyle="1" w:styleId="100">
    <w:name w:val="样式 Arial"/>
    <w:qFormat/>
    <w:uiPriority w:val="0"/>
    <w:rPr>
      <w:rFonts w:hint="default" w:ascii="Times New Roman" w:hAnsi="Times New Roman" w:eastAsia="宋体" w:cs="Times New Roman"/>
      <w:sz w:val="21"/>
      <w:szCs w:val="21"/>
    </w:rPr>
  </w:style>
  <w:style w:type="character" w:customStyle="1" w:styleId="101">
    <w:name w:val="标题 1 Char"/>
    <w:qFormat/>
    <w:uiPriority w:val="0"/>
    <w:rPr>
      <w:rFonts w:ascii="黑体" w:eastAsia="黑体"/>
      <w:b/>
      <w:kern w:val="2"/>
      <w:sz w:val="36"/>
      <w:lang w:val="en-US" w:eastAsia="zh-CN" w:bidi="ar-SA"/>
    </w:rPr>
  </w:style>
  <w:style w:type="character" w:customStyle="1" w:styleId="102">
    <w:name w:val="Default Text Char Char"/>
    <w:qFormat/>
    <w:uiPriority w:val="99"/>
    <w:rPr>
      <w:rFonts w:eastAsia="宋体"/>
      <w:color w:val="000000"/>
      <w:sz w:val="24"/>
      <w:lang w:val="en-US" w:eastAsia="zh-CN" w:bidi="ar-SA"/>
    </w:rPr>
  </w:style>
  <w:style w:type="character" w:customStyle="1" w:styleId="103">
    <w:name w:val="search_content1"/>
    <w:qFormat/>
    <w:uiPriority w:val="0"/>
    <w:rPr>
      <w:sz w:val="20"/>
      <w:szCs w:val="20"/>
    </w:rPr>
  </w:style>
  <w:style w:type="character" w:customStyle="1" w:styleId="104">
    <w:name w:val="ui-area-common-c-i-r1"/>
    <w:qFormat/>
    <w:uiPriority w:val="0"/>
    <w:rPr>
      <w:color w:val="F30213"/>
    </w:rPr>
  </w:style>
  <w:style w:type="paragraph" w:customStyle="1" w:styleId="105">
    <w:name w:val="p21"/>
    <w:basedOn w:val="1"/>
    <w:qFormat/>
    <w:uiPriority w:val="0"/>
    <w:pPr>
      <w:widowControl/>
      <w:ind w:firstLine="420"/>
    </w:pPr>
    <w:rPr>
      <w:kern w:val="0"/>
      <w:szCs w:val="21"/>
    </w:rPr>
  </w:style>
  <w:style w:type="paragraph" w:customStyle="1" w:styleId="106">
    <w:name w:val="样式3-24"/>
    <w:basedOn w:val="107"/>
    <w:qFormat/>
    <w:uiPriority w:val="0"/>
    <w:pPr>
      <w:tabs>
        <w:tab w:val="left" w:pos="420"/>
        <w:tab w:val="left" w:pos="600"/>
        <w:tab w:val="left" w:pos="675"/>
        <w:tab w:val="left" w:pos="1695"/>
      </w:tabs>
      <w:ind w:left="1695"/>
    </w:pPr>
  </w:style>
  <w:style w:type="paragraph" w:customStyle="1" w:styleId="107">
    <w:name w:val="样式3-19"/>
    <w:basedOn w:val="108"/>
    <w:qFormat/>
    <w:uiPriority w:val="0"/>
    <w:pPr>
      <w:tabs>
        <w:tab w:val="left" w:pos="420"/>
        <w:tab w:val="left" w:pos="600"/>
        <w:tab w:val="left" w:pos="675"/>
      </w:tabs>
      <w:ind w:left="420" w:hanging="420"/>
    </w:pPr>
  </w:style>
  <w:style w:type="paragraph" w:customStyle="1" w:styleId="108">
    <w:name w:val="样式3-18"/>
    <w:basedOn w:val="109"/>
    <w:qFormat/>
    <w:uiPriority w:val="0"/>
    <w:pPr>
      <w:tabs>
        <w:tab w:val="left" w:pos="600"/>
        <w:tab w:val="left" w:pos="675"/>
      </w:tabs>
      <w:ind w:left="675" w:hanging="360"/>
      <w:jc w:val="left"/>
    </w:pPr>
  </w:style>
  <w:style w:type="paragraph" w:customStyle="1" w:styleId="109">
    <w:name w:val="样式3-4"/>
    <w:basedOn w:val="1"/>
    <w:qFormat/>
    <w:uiPriority w:val="0"/>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shadow/>
      <w:color w:val="000000"/>
      <w:kern w:val="28"/>
      <w:sz w:val="24"/>
    </w:rPr>
  </w:style>
  <w:style w:type="paragraph" w:customStyle="1" w:styleId="110">
    <w:name w:val="标准"/>
    <w:basedOn w:val="1"/>
    <w:qFormat/>
    <w:uiPriority w:val="0"/>
    <w:pPr>
      <w:adjustRightInd w:val="0"/>
      <w:spacing w:line="360" w:lineRule="auto"/>
      <w:textAlignment w:val="baseline"/>
    </w:pPr>
    <w:rPr>
      <w:rFonts w:eastAsia="仿宋体"/>
      <w:kern w:val="0"/>
      <w:sz w:val="28"/>
    </w:rPr>
  </w:style>
  <w:style w:type="paragraph" w:customStyle="1" w:styleId="111">
    <w:name w:val="普通(网站)1"/>
    <w:basedOn w:val="1"/>
    <w:qFormat/>
    <w:uiPriority w:val="0"/>
    <w:pPr>
      <w:widowControl/>
      <w:adjustRightInd w:val="0"/>
      <w:snapToGrid w:val="0"/>
      <w:jc w:val="left"/>
    </w:pPr>
    <w:rPr>
      <w:rFonts w:ascii="宋体" w:hAnsi="宋体" w:cs="宋体"/>
      <w:color w:val="000000"/>
      <w:kern w:val="0"/>
      <w:sz w:val="18"/>
      <w:szCs w:val="18"/>
    </w:rPr>
  </w:style>
  <w:style w:type="paragraph" w:customStyle="1" w:styleId="112">
    <w:name w:val="1.1点"/>
    <w:basedOn w:val="1"/>
    <w:qFormat/>
    <w:uiPriority w:val="0"/>
    <w:pPr>
      <w:spacing w:line="360" w:lineRule="auto"/>
    </w:pPr>
    <w:rPr>
      <w:rFonts w:ascii="Arial" w:hAnsi="Arial"/>
      <w:sz w:val="24"/>
    </w:rPr>
  </w:style>
  <w:style w:type="paragraph" w:customStyle="1" w:styleId="113">
    <w:name w:val="段标题"/>
    <w:basedOn w:val="1"/>
    <w:next w:val="1"/>
    <w:qFormat/>
    <w:uiPriority w:val="0"/>
    <w:pPr>
      <w:tabs>
        <w:tab w:val="left" w:pos="737"/>
      </w:tabs>
      <w:spacing w:line="360" w:lineRule="auto"/>
      <w:ind w:left="737" w:hanging="737"/>
    </w:pPr>
    <w:rPr>
      <w:rFonts w:ascii="Arial" w:hAnsi="Arial"/>
      <w:b/>
      <w:sz w:val="28"/>
    </w:rPr>
  </w:style>
  <w:style w:type="paragraph" w:customStyle="1" w:styleId="114">
    <w:name w:val="答复"/>
    <w:basedOn w:val="1"/>
    <w:qFormat/>
    <w:uiPriority w:val="0"/>
    <w:pPr>
      <w:spacing w:before="60" w:after="60" w:line="360" w:lineRule="auto"/>
    </w:pPr>
    <w:rPr>
      <w:b/>
      <w:sz w:val="24"/>
    </w:rPr>
  </w:style>
  <w:style w:type="paragraph" w:customStyle="1" w:styleId="115">
    <w:name w:val="_Style 2"/>
    <w:basedOn w:val="1"/>
    <w:qFormat/>
    <w:uiPriority w:val="99"/>
    <w:pPr>
      <w:ind w:firstLine="420" w:firstLineChars="200"/>
    </w:pPr>
    <w:rPr>
      <w:szCs w:val="24"/>
    </w:rPr>
  </w:style>
  <w:style w:type="paragraph" w:customStyle="1" w:styleId="11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17">
    <w:name w:val="表格文字"/>
    <w:basedOn w:val="1"/>
    <w:qFormat/>
    <w:uiPriority w:val="0"/>
    <w:pPr>
      <w:jc w:val="left"/>
    </w:pPr>
    <w:rPr>
      <w:rFonts w:ascii="宋体"/>
      <w:color w:val="000000"/>
      <w:kern w:val="0"/>
    </w:rPr>
  </w:style>
  <w:style w:type="paragraph" w:customStyle="1" w:styleId="118">
    <w:name w:val="章标题"/>
    <w:next w:val="1"/>
    <w:qFormat/>
    <w:uiPriority w:val="0"/>
    <w:pPr>
      <w:widowControl w:val="0"/>
      <w:spacing w:line="320" w:lineRule="exact"/>
      <w:jc w:val="both"/>
    </w:pPr>
    <w:rPr>
      <w:rFonts w:ascii="黑体" w:hAnsi="Calibri" w:eastAsia="黑体" w:cs="Times New Roman"/>
      <w:kern w:val="2"/>
      <w:sz w:val="21"/>
      <w:szCs w:val="24"/>
      <w:lang w:val="en-US" w:eastAsia="zh-CN" w:bidi="ar-SA"/>
    </w:rPr>
  </w:style>
  <w:style w:type="paragraph" w:customStyle="1" w:styleId="119">
    <w:name w:val="Default Paragraph Char Char Char Char"/>
    <w:basedOn w:val="1"/>
    <w:next w:val="1"/>
    <w:qFormat/>
    <w:uiPriority w:val="0"/>
    <w:pPr>
      <w:widowControl/>
      <w:spacing w:line="360" w:lineRule="auto"/>
      <w:jc w:val="left"/>
    </w:pPr>
  </w:style>
  <w:style w:type="paragraph" w:customStyle="1" w:styleId="120">
    <w:name w:val="样式13"/>
    <w:basedOn w:val="1"/>
    <w:qFormat/>
    <w:uiPriority w:val="0"/>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121">
    <w:name w:val="表头"/>
    <w:basedOn w:val="1"/>
    <w:qFormat/>
    <w:uiPriority w:val="0"/>
    <w:pPr>
      <w:spacing w:after="60"/>
      <w:jc w:val="center"/>
    </w:pPr>
    <w:rPr>
      <w:rFonts w:hint="eastAsia" w:ascii="宋体"/>
    </w:rPr>
  </w:style>
  <w:style w:type="paragraph" w:customStyle="1" w:styleId="122">
    <w:name w:val="6）表格文字 居中"/>
    <w:basedOn w:val="1"/>
    <w:qFormat/>
    <w:uiPriority w:val="0"/>
    <w:pPr>
      <w:jc w:val="center"/>
    </w:pPr>
    <w:rPr>
      <w:rFonts w:ascii="仿宋_GB2312" w:hAnsi="宋体" w:eastAsia="仿宋_GB2312"/>
      <w:snapToGrid w:val="0"/>
      <w:color w:val="000000"/>
      <w:kern w:val="0"/>
      <w:sz w:val="24"/>
    </w:rPr>
  </w:style>
  <w:style w:type="paragraph" w:customStyle="1" w:styleId="123">
    <w:name w:val="列出段落3"/>
    <w:basedOn w:val="1"/>
    <w:qFormat/>
    <w:uiPriority w:val="0"/>
    <w:pPr>
      <w:ind w:firstLine="420" w:firstLineChars="200"/>
    </w:pPr>
    <w:rPr>
      <w:szCs w:val="22"/>
    </w:rPr>
  </w:style>
  <w:style w:type="paragraph" w:customStyle="1" w:styleId="124">
    <w:name w:val="样式1-4"/>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25">
    <w:name w:val="封面"/>
    <w:basedOn w:val="1"/>
    <w:qFormat/>
    <w:uiPriority w:val="0"/>
    <w:pPr>
      <w:spacing w:before="120" w:after="120"/>
      <w:jc w:val="center"/>
    </w:pPr>
    <w:rPr>
      <w:b/>
      <w:kern w:val="0"/>
      <w:sz w:val="52"/>
    </w:rPr>
  </w:style>
  <w:style w:type="paragraph" w:customStyle="1" w:styleId="126">
    <w:name w:val="表格"/>
    <w:basedOn w:val="1"/>
    <w:qFormat/>
    <w:uiPriority w:val="0"/>
    <w:pPr>
      <w:tabs>
        <w:tab w:val="left" w:pos="840"/>
      </w:tabs>
      <w:adjustRightInd w:val="0"/>
      <w:spacing w:before="40" w:after="80" w:line="360" w:lineRule="exact"/>
      <w:textAlignment w:val="baseline"/>
    </w:pPr>
    <w:rPr>
      <w:kern w:val="0"/>
    </w:rPr>
  </w:style>
  <w:style w:type="paragraph" w:customStyle="1" w:styleId="127">
    <w:name w:val="表"/>
    <w:basedOn w:val="21"/>
    <w:qFormat/>
    <w:uiPriority w:val="0"/>
    <w:pPr>
      <w:keepNext/>
      <w:keepLines/>
      <w:suppressLineNumbers/>
      <w:suppressAutoHyphens/>
      <w:autoSpaceDE w:val="0"/>
      <w:autoSpaceDN w:val="0"/>
      <w:adjustRightInd w:val="0"/>
      <w:spacing w:line="240" w:lineRule="auto"/>
      <w:ind w:left="-102" w:firstLine="34" w:firstLineChars="0"/>
      <w:jc w:val="center"/>
    </w:pPr>
    <w:rPr>
      <w:rFonts w:ascii="仿宋_GB2312" w:hAnsi="Times New Roman" w:eastAsia="仿宋_GB2312"/>
      <w:color w:val="000000"/>
      <w:kern w:val="21"/>
      <w:sz w:val="21"/>
      <w:szCs w:val="20"/>
    </w:rPr>
  </w:style>
  <w:style w:type="paragraph" w:customStyle="1" w:styleId="128">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29">
    <w:name w:val="正文4编0"/>
    <w:basedOn w:val="1"/>
    <w:qFormat/>
    <w:uiPriority w:val="0"/>
    <w:pPr>
      <w:tabs>
        <w:tab w:val="left" w:pos="567"/>
        <w:tab w:val="left" w:pos="1134"/>
      </w:tabs>
      <w:spacing w:line="560" w:lineRule="exact"/>
      <w:ind w:left="1134" w:hanging="1134"/>
    </w:pPr>
    <w:rPr>
      <w:sz w:val="28"/>
    </w:rPr>
  </w:style>
  <w:style w:type="paragraph" w:customStyle="1" w:styleId="130">
    <w:name w:val="列出段落1"/>
    <w:basedOn w:val="1"/>
    <w:qFormat/>
    <w:uiPriority w:val="34"/>
    <w:pPr>
      <w:ind w:firstLine="420" w:firstLineChars="200"/>
    </w:pPr>
    <w:rPr>
      <w:szCs w:val="24"/>
    </w:rPr>
  </w:style>
  <w:style w:type="paragraph" w:customStyle="1" w:styleId="131">
    <w:name w:val="列出段落2"/>
    <w:basedOn w:val="1"/>
    <w:qFormat/>
    <w:uiPriority w:val="34"/>
    <w:pPr>
      <w:ind w:firstLine="420" w:firstLineChars="200"/>
    </w:pPr>
    <w:rPr>
      <w:szCs w:val="22"/>
    </w:rPr>
  </w:style>
  <w:style w:type="paragraph" w:customStyle="1" w:styleId="132">
    <w:name w:val="标题411"/>
    <w:basedOn w:val="7"/>
    <w:qFormat/>
    <w:uiPriority w:val="0"/>
    <w:pPr>
      <w:widowControl/>
      <w:suppressLineNumbers/>
      <w:tabs>
        <w:tab w:val="left" w:pos="1984"/>
        <w:tab w:val="clear" w:pos="864"/>
      </w:tabs>
      <w:suppressAutoHyphens/>
      <w:autoSpaceDE w:val="0"/>
      <w:autoSpaceDN w:val="0"/>
      <w:snapToGrid w:val="0"/>
      <w:spacing w:before="0" w:after="0" w:line="360" w:lineRule="auto"/>
      <w:ind w:left="1984" w:hanging="708"/>
      <w:textAlignment w:val="auto"/>
    </w:pPr>
    <w:rPr>
      <w:rFonts w:ascii="仿宋_GB2312" w:hAnsi="Times New Roman" w:eastAsia="仿宋_GB2312"/>
      <w:b w:val="0"/>
      <w:shadow/>
      <w:color w:val="000000"/>
      <w:kern w:val="28"/>
      <w:sz w:val="24"/>
    </w:rPr>
  </w:style>
  <w:style w:type="paragraph" w:customStyle="1" w:styleId="133">
    <w:name w:val="答复表样式"/>
    <w:basedOn w:val="1"/>
    <w:qFormat/>
    <w:uiPriority w:val="0"/>
    <w:pPr>
      <w:spacing w:line="240" w:lineRule="atLeast"/>
      <w:jc w:val="center"/>
    </w:pPr>
    <w:rPr>
      <w:b/>
      <w:color w:val="000000"/>
    </w:rPr>
  </w:style>
  <w:style w:type="paragraph" w:customStyle="1" w:styleId="134">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135">
    <w:name w:val="样式7"/>
    <w:basedOn w:val="136"/>
    <w:qFormat/>
    <w:uiPriority w:val="0"/>
    <w:pPr>
      <w:tabs>
        <w:tab w:val="left" w:pos="1050"/>
        <w:tab w:val="left" w:pos="1134"/>
        <w:tab w:val="left" w:pos="1350"/>
      </w:tabs>
      <w:ind w:left="1350" w:hanging="720"/>
    </w:pPr>
  </w:style>
  <w:style w:type="paragraph" w:customStyle="1" w:styleId="136">
    <w:name w:val="样式6"/>
    <w:basedOn w:val="137"/>
    <w:qFormat/>
    <w:uiPriority w:val="0"/>
    <w:pPr>
      <w:tabs>
        <w:tab w:val="left" w:pos="1134"/>
      </w:tabs>
      <w:ind w:left="1134" w:hanging="567"/>
    </w:pPr>
    <w:rPr>
      <w:rFonts w:ascii="宋体"/>
    </w:rPr>
  </w:style>
  <w:style w:type="paragraph" w:customStyle="1" w:styleId="137">
    <w:name w:val="样式5"/>
    <w:basedOn w:val="1"/>
    <w:qFormat/>
    <w:uiPriority w:val="0"/>
    <w:pPr>
      <w:autoSpaceDE w:val="0"/>
      <w:autoSpaceDN w:val="0"/>
      <w:adjustRightInd w:val="0"/>
      <w:spacing w:line="360" w:lineRule="auto"/>
      <w:ind w:left="540" w:firstLine="549"/>
    </w:pPr>
    <w:rPr>
      <w:rFonts w:ascii="仿宋_GB2312" w:eastAsia="仿宋_GB2312"/>
      <w:shadow/>
      <w:color w:val="000000"/>
      <w:kern w:val="28"/>
      <w:sz w:val="24"/>
    </w:rPr>
  </w:style>
  <w:style w:type="paragraph" w:customStyle="1" w:styleId="138">
    <w:name w:val="Table_Title"/>
    <w:basedOn w:val="1"/>
    <w:next w:val="1"/>
    <w:qFormat/>
    <w:uiPriority w:val="0"/>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139">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140">
    <w:name w:val="2"/>
    <w:basedOn w:val="1"/>
    <w:next w:val="25"/>
    <w:qFormat/>
    <w:uiPriority w:val="0"/>
    <w:rPr>
      <w:rFonts w:ascii="宋体" w:hAnsi="Courier New" w:cs="Courier New"/>
      <w:szCs w:val="21"/>
    </w:rPr>
  </w:style>
  <w:style w:type="paragraph" w:customStyle="1" w:styleId="141">
    <w:name w:val="4）小标题 加黑 左对齐"/>
    <w:basedOn w:val="1"/>
    <w:next w:val="116"/>
    <w:qFormat/>
    <w:uiPriority w:val="0"/>
    <w:pPr>
      <w:keepNext/>
      <w:spacing w:beforeLines="20" w:afterLines="20" w:line="500" w:lineRule="exact"/>
      <w:ind w:firstLine="482" w:firstLineChars="200"/>
    </w:pPr>
    <w:rPr>
      <w:rFonts w:ascii="仿宋_GB2312" w:hAnsi="宋体" w:eastAsia="仿宋_GB2312"/>
      <w:b/>
      <w:sz w:val="28"/>
    </w:rPr>
  </w:style>
  <w:style w:type="paragraph" w:customStyle="1" w:styleId="142">
    <w:name w:val="样式8"/>
    <w:basedOn w:val="1"/>
    <w:qFormat/>
    <w:uiPriority w:val="0"/>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143">
    <w:name w:val="1.1"/>
    <w:basedOn w:val="1"/>
    <w:qFormat/>
    <w:uiPriority w:val="0"/>
    <w:pPr>
      <w:tabs>
        <w:tab w:val="left" w:pos="1440"/>
      </w:tabs>
      <w:spacing w:line="360" w:lineRule="auto"/>
      <w:ind w:left="737" w:hanging="737"/>
    </w:pPr>
    <w:rPr>
      <w:rFonts w:ascii="Arial" w:hAnsi="Arial"/>
      <w:sz w:val="24"/>
    </w:rPr>
  </w:style>
  <w:style w:type="paragraph" w:customStyle="1" w:styleId="144">
    <w:name w:val="Char1 Char Char Char"/>
    <w:basedOn w:val="1"/>
    <w:qFormat/>
    <w:uiPriority w:val="0"/>
    <w:rPr>
      <w:kern w:val="0"/>
      <w:sz w:val="24"/>
      <w:szCs w:val="24"/>
    </w:rPr>
  </w:style>
  <w:style w:type="paragraph" w:customStyle="1" w:styleId="145">
    <w:name w:val="样式 正文缩进正文（首行缩进两字）1 + 首行缩进:  2 字符"/>
    <w:basedOn w:val="14"/>
    <w:qFormat/>
    <w:uiPriority w:val="0"/>
    <w:pPr>
      <w:spacing w:line="300" w:lineRule="auto"/>
      <w:ind w:firstLine="480" w:firstLineChars="200"/>
    </w:pPr>
    <w:rPr>
      <w:rFonts w:cs="宋体"/>
    </w:rPr>
  </w:style>
  <w:style w:type="paragraph" w:customStyle="1" w:styleId="146">
    <w:name w:val="4"/>
    <w:basedOn w:val="1"/>
    <w:next w:val="25"/>
    <w:qFormat/>
    <w:uiPriority w:val="0"/>
    <w:rPr>
      <w:rFonts w:ascii="宋体" w:hAnsi="Courier New"/>
    </w:rPr>
  </w:style>
  <w:style w:type="paragraph" w:customStyle="1" w:styleId="147">
    <w:name w:val="招标标题"/>
    <w:basedOn w:val="1"/>
    <w:next w:val="1"/>
    <w:qFormat/>
    <w:uiPriority w:val="0"/>
    <w:rPr>
      <w:kern w:val="0"/>
      <w:sz w:val="24"/>
    </w:rPr>
  </w:style>
  <w:style w:type="paragraph" w:customStyle="1" w:styleId="148">
    <w:name w:val="Definition List"/>
    <w:basedOn w:val="1"/>
    <w:next w:val="149"/>
    <w:qFormat/>
    <w:uiPriority w:val="0"/>
    <w:pPr>
      <w:autoSpaceDE w:val="0"/>
      <w:autoSpaceDN w:val="0"/>
      <w:adjustRightInd w:val="0"/>
      <w:ind w:left="360"/>
      <w:jc w:val="left"/>
    </w:pPr>
    <w:rPr>
      <w:kern w:val="0"/>
      <w:sz w:val="24"/>
    </w:rPr>
  </w:style>
  <w:style w:type="paragraph" w:customStyle="1" w:styleId="149">
    <w:name w:val="Definition Term"/>
    <w:basedOn w:val="1"/>
    <w:next w:val="148"/>
    <w:qFormat/>
    <w:uiPriority w:val="0"/>
    <w:pPr>
      <w:autoSpaceDE w:val="0"/>
      <w:autoSpaceDN w:val="0"/>
      <w:adjustRightInd w:val="0"/>
      <w:jc w:val="left"/>
    </w:pPr>
    <w:rPr>
      <w:kern w:val="0"/>
      <w:sz w:val="24"/>
    </w:rPr>
  </w:style>
  <w:style w:type="paragraph" w:customStyle="1" w:styleId="150">
    <w:name w:val="Char1"/>
    <w:basedOn w:val="1"/>
    <w:qFormat/>
    <w:uiPriority w:val="0"/>
    <w:rPr>
      <w:rFonts w:ascii="Tahoma" w:hAnsi="Tahoma"/>
      <w:sz w:val="24"/>
    </w:rPr>
  </w:style>
  <w:style w:type="paragraph" w:customStyle="1" w:styleId="151">
    <w:name w:val="封面署名"/>
    <w:basedOn w:val="1"/>
    <w:qFormat/>
    <w:uiPriority w:val="0"/>
    <w:pPr>
      <w:jc w:val="center"/>
    </w:pPr>
    <w:rPr>
      <w:b/>
      <w:kern w:val="0"/>
      <w:sz w:val="28"/>
    </w:rPr>
  </w:style>
  <w:style w:type="paragraph" w:customStyle="1" w:styleId="152">
    <w:name w:val="样式3-25"/>
    <w:basedOn w:val="106"/>
    <w:qFormat/>
    <w:uiPriority w:val="0"/>
    <w:pPr>
      <w:tabs>
        <w:tab w:val="left" w:pos="1134"/>
        <w:tab w:val="clear" w:pos="1695"/>
      </w:tabs>
      <w:ind w:left="1134" w:hanging="567"/>
    </w:pPr>
  </w:style>
  <w:style w:type="paragraph" w:customStyle="1" w:styleId="153">
    <w:name w:val="样式3-26"/>
    <w:basedOn w:val="152"/>
    <w:qFormat/>
    <w:uiPriority w:val="0"/>
    <w:pPr>
      <w:tabs>
        <w:tab w:val="left" w:pos="1170"/>
        <w:tab w:val="clear" w:pos="1134"/>
      </w:tabs>
      <w:ind w:left="1170" w:hanging="270"/>
    </w:pPr>
  </w:style>
  <w:style w:type="paragraph" w:customStyle="1" w:styleId="154">
    <w:name w:val="msolistparagraph"/>
    <w:basedOn w:val="1"/>
    <w:qFormat/>
    <w:uiPriority w:val="0"/>
    <w:pPr>
      <w:widowControl/>
      <w:adjustRightInd w:val="0"/>
      <w:snapToGrid w:val="0"/>
      <w:spacing w:after="200"/>
      <w:ind w:left="720"/>
      <w:contextualSpacing/>
      <w:jc w:val="left"/>
    </w:pPr>
    <w:rPr>
      <w:rFonts w:ascii="Tahoma" w:hAnsi="Tahoma" w:eastAsia="微软雅黑"/>
      <w:kern w:val="0"/>
      <w:sz w:val="22"/>
      <w:szCs w:val="22"/>
    </w:rPr>
  </w:style>
  <w:style w:type="paragraph" w:customStyle="1" w:styleId="155">
    <w:name w:val="标题 81"/>
    <w:basedOn w:val="1"/>
    <w:qFormat/>
    <w:uiPriority w:val="0"/>
    <w:pPr>
      <w:autoSpaceDE w:val="0"/>
      <w:autoSpaceDN w:val="0"/>
      <w:adjustRightInd w:val="0"/>
      <w:spacing w:before="56"/>
      <w:ind w:left="147"/>
      <w:jc w:val="left"/>
      <w:outlineLvl w:val="7"/>
    </w:pPr>
    <w:rPr>
      <w:rFonts w:cs="Calibri"/>
      <w:b/>
      <w:bCs/>
      <w:kern w:val="0"/>
      <w:sz w:val="16"/>
      <w:szCs w:val="16"/>
    </w:rPr>
  </w:style>
  <w:style w:type="paragraph" w:customStyle="1" w:styleId="156">
    <w:name w:val="表样式"/>
    <w:basedOn w:val="1"/>
    <w:qFormat/>
    <w:uiPriority w:val="0"/>
    <w:pPr>
      <w:autoSpaceDE w:val="0"/>
      <w:autoSpaceDN w:val="0"/>
      <w:adjustRightInd w:val="0"/>
      <w:spacing w:line="240" w:lineRule="atLeast"/>
      <w:jc w:val="center"/>
      <w:textAlignment w:val="baseline"/>
    </w:pPr>
    <w:rPr>
      <w:rFonts w:ascii="宋体"/>
      <w:kern w:val="0"/>
      <w:sz w:val="22"/>
    </w:rPr>
  </w:style>
  <w:style w:type="paragraph" w:customStyle="1" w:styleId="157">
    <w:name w:val="标题11111"/>
    <w:basedOn w:val="4"/>
    <w:qFormat/>
    <w:uiPriority w:val="0"/>
    <w:pPr>
      <w:suppressLineNumbers/>
      <w:tabs>
        <w:tab w:val="left" w:pos="567"/>
        <w:tab w:val="clear" w:pos="720"/>
      </w:tabs>
      <w:suppressAutoHyphens/>
      <w:autoSpaceDE w:val="0"/>
      <w:autoSpaceDN w:val="0"/>
      <w:spacing w:before="0" w:after="0" w:line="522" w:lineRule="exact"/>
      <w:ind w:left="567" w:hanging="567"/>
      <w:textAlignment w:val="auto"/>
    </w:pPr>
    <w:rPr>
      <w:rFonts w:ascii="仿宋_GB2312" w:eastAsia="仿宋_GB2312"/>
      <w:color w:val="000000"/>
      <w:kern w:val="28"/>
      <w:sz w:val="24"/>
    </w:rPr>
  </w:style>
  <w:style w:type="paragraph" w:customStyle="1" w:styleId="158">
    <w:name w:val="p15"/>
    <w:basedOn w:val="1"/>
    <w:qFormat/>
    <w:uiPriority w:val="0"/>
    <w:pPr>
      <w:widowControl/>
      <w:spacing w:line="480" w:lineRule="atLeast"/>
      <w:ind w:firstLine="420"/>
    </w:pPr>
    <w:rPr>
      <w:rFonts w:ascii="仿宋_GB2312" w:hAnsi="宋体" w:eastAsia="仿宋_GB2312" w:cs="宋体"/>
      <w:kern w:val="0"/>
      <w:sz w:val="28"/>
      <w:szCs w:val="28"/>
    </w:rPr>
  </w:style>
  <w:style w:type="paragraph" w:customStyle="1" w:styleId="159">
    <w:name w:val="目录"/>
    <w:basedOn w:val="1"/>
    <w:next w:val="1"/>
    <w:qFormat/>
    <w:uiPriority w:val="0"/>
    <w:pPr>
      <w:spacing w:before="120" w:after="120" w:line="360" w:lineRule="auto"/>
      <w:jc w:val="center"/>
    </w:pPr>
    <w:rPr>
      <w:b/>
      <w:kern w:val="0"/>
      <w:sz w:val="32"/>
    </w:rPr>
  </w:style>
  <w:style w:type="paragraph" w:customStyle="1" w:styleId="160">
    <w:name w:val="3"/>
    <w:basedOn w:val="1"/>
    <w:next w:val="25"/>
    <w:qFormat/>
    <w:uiPriority w:val="0"/>
    <w:rPr>
      <w:rFonts w:ascii="宋体" w:hAnsi="Courier New" w:cs="Courier New"/>
      <w:szCs w:val="21"/>
    </w:rPr>
  </w:style>
  <w:style w:type="paragraph" w:customStyle="1" w:styleId="161">
    <w:name w:val="Char1 Char Char Char1"/>
    <w:basedOn w:val="1"/>
    <w:qFormat/>
    <w:uiPriority w:val="0"/>
    <w:rPr>
      <w:szCs w:val="24"/>
    </w:rPr>
  </w:style>
  <w:style w:type="paragraph" w:customStyle="1" w:styleId="162">
    <w:name w:val="dt2"/>
    <w:basedOn w:val="1"/>
    <w:qFormat/>
    <w:uiPriority w:val="0"/>
    <w:pPr>
      <w:jc w:val="left"/>
    </w:pPr>
    <w:rPr>
      <w:kern w:val="0"/>
      <w:szCs w:val="24"/>
    </w:rPr>
  </w:style>
  <w:style w:type="paragraph" w:customStyle="1" w:styleId="163">
    <w:name w:val="叙述"/>
    <w:basedOn w:val="164"/>
    <w:qFormat/>
    <w:uiPriority w:val="0"/>
    <w:pPr>
      <w:tabs>
        <w:tab w:val="left" w:pos="540"/>
        <w:tab w:val="left" w:pos="737"/>
      </w:tabs>
      <w:ind w:left="1440" w:leftChars="300" w:hanging="720"/>
    </w:pPr>
  </w:style>
  <w:style w:type="paragraph" w:customStyle="1" w:styleId="164">
    <w:name w:val="(1)"/>
    <w:basedOn w:val="1"/>
    <w:qFormat/>
    <w:uiPriority w:val="0"/>
    <w:pPr>
      <w:tabs>
        <w:tab w:val="left" w:pos="737"/>
      </w:tabs>
      <w:spacing w:line="360" w:lineRule="auto"/>
      <w:ind w:left="737" w:hanging="737"/>
    </w:pPr>
    <w:rPr>
      <w:rFonts w:ascii="Arial" w:hAnsi="Arial"/>
      <w:sz w:val="24"/>
    </w:rPr>
  </w:style>
  <w:style w:type="paragraph" w:customStyle="1" w:styleId="165">
    <w:name w:val="列出段落11"/>
    <w:basedOn w:val="1"/>
    <w:qFormat/>
    <w:uiPriority w:val="0"/>
    <w:pPr>
      <w:ind w:firstLine="420" w:firstLineChars="200"/>
    </w:pPr>
    <w:rPr>
      <w:rFonts w:cs="宋体"/>
      <w:szCs w:val="21"/>
    </w:rPr>
  </w:style>
  <w:style w:type="paragraph" w:customStyle="1" w:styleId="166">
    <w:name w:val="样式3-27"/>
    <w:basedOn w:val="153"/>
    <w:qFormat/>
    <w:uiPriority w:val="0"/>
    <w:pPr>
      <w:tabs>
        <w:tab w:val="left" w:pos="735"/>
        <w:tab w:val="clear" w:pos="1170"/>
      </w:tabs>
      <w:ind w:left="735" w:hanging="255"/>
    </w:pPr>
  </w:style>
  <w:style w:type="paragraph" w:customStyle="1" w:styleId="167">
    <w:name w:val="默认段落字体 Para Char Char Char Char"/>
    <w:basedOn w:val="1"/>
    <w:qFormat/>
    <w:uiPriority w:val="0"/>
  </w:style>
  <w:style w:type="paragraph" w:customStyle="1" w:styleId="168">
    <w:name w:val="样式1-5"/>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69">
    <w:name w:val="样式14"/>
    <w:basedOn w:val="1"/>
    <w:qFormat/>
    <w:uiPriority w:val="0"/>
    <w:pPr>
      <w:tabs>
        <w:tab w:val="left" w:pos="1134"/>
      </w:tabs>
      <w:autoSpaceDE w:val="0"/>
      <w:autoSpaceDN w:val="0"/>
      <w:adjustRightInd w:val="0"/>
      <w:spacing w:line="360" w:lineRule="auto"/>
      <w:ind w:left="1134" w:hanging="567"/>
    </w:pPr>
    <w:rPr>
      <w:rFonts w:ascii="黑体" w:eastAsia="仿宋_GB2312"/>
      <w:shadow/>
      <w:color w:val="000000"/>
      <w:kern w:val="28"/>
      <w:sz w:val="24"/>
    </w:rPr>
  </w:style>
  <w:style w:type="paragraph" w:customStyle="1" w:styleId="170">
    <w:name w:val="样式1-6"/>
    <w:basedOn w:val="21"/>
    <w:qFormat/>
    <w:uiPriority w:val="0"/>
    <w:pPr>
      <w:keepNext/>
      <w:keepLines/>
      <w:suppressLineNumbers/>
      <w:tabs>
        <w:tab w:val="left" w:pos="1134"/>
      </w:tabs>
      <w:suppressAutoHyphens/>
      <w:autoSpaceDE w:val="0"/>
      <w:autoSpaceDN w:val="0"/>
      <w:adjustRightInd w:val="0"/>
      <w:ind w:left="1134" w:hanging="567" w:firstLineChars="0"/>
    </w:pPr>
    <w:rPr>
      <w:rFonts w:ascii="仿宋_GB2312" w:hAnsi="Times New Roman" w:eastAsia="仿宋_GB2312"/>
      <w:color w:val="000000"/>
      <w:kern w:val="28"/>
      <w:szCs w:val="20"/>
    </w:rPr>
  </w:style>
  <w:style w:type="paragraph" w:customStyle="1" w:styleId="171">
    <w:name w:val="p19"/>
    <w:basedOn w:val="1"/>
    <w:qFormat/>
    <w:uiPriority w:val="0"/>
    <w:pPr>
      <w:widowControl/>
      <w:spacing w:before="480" w:line="273" w:lineRule="auto"/>
      <w:jc w:val="left"/>
    </w:pPr>
    <w:rPr>
      <w:rFonts w:ascii="Cambria" w:hAnsi="Cambria" w:cs="宋体"/>
      <w:b/>
      <w:bCs/>
      <w:color w:val="365F90"/>
      <w:kern w:val="0"/>
      <w:sz w:val="28"/>
      <w:szCs w:val="28"/>
    </w:rPr>
  </w:style>
  <w:style w:type="paragraph" w:customStyle="1" w:styleId="172">
    <w:name w:val="标书原文"/>
    <w:basedOn w:val="1"/>
    <w:qFormat/>
    <w:uiPriority w:val="0"/>
    <w:pPr>
      <w:spacing w:line="360" w:lineRule="auto"/>
      <w:ind w:firstLine="454"/>
    </w:pPr>
    <w:rPr>
      <w:rFonts w:ascii="宋体"/>
      <w:sz w:val="24"/>
    </w:rPr>
  </w:style>
  <w:style w:type="paragraph" w:customStyle="1" w:styleId="173">
    <w:name w:val="ptdl"/>
    <w:basedOn w:val="1"/>
    <w:qFormat/>
    <w:uiPriority w:val="0"/>
    <w:pPr>
      <w:spacing w:after="156"/>
      <w:ind w:firstLine="480"/>
    </w:pPr>
    <w:rPr>
      <w:sz w:val="24"/>
    </w:rPr>
  </w:style>
  <w:style w:type="paragraph" w:customStyle="1" w:styleId="174">
    <w:name w:val="样式 Arial 首行缩进:  2 字符"/>
    <w:basedOn w:val="1"/>
    <w:qFormat/>
    <w:uiPriority w:val="0"/>
    <w:pPr>
      <w:ind w:firstLine="403" w:firstLineChars="200"/>
    </w:pPr>
    <w:rPr>
      <w:rFonts w:cs="华文新魏"/>
      <w:szCs w:val="21"/>
    </w:rPr>
  </w:style>
  <w:style w:type="paragraph" w:customStyle="1" w:styleId="175">
    <w:name w:val="标书表样式"/>
    <w:basedOn w:val="1"/>
    <w:qFormat/>
    <w:uiPriority w:val="0"/>
    <w:pPr>
      <w:spacing w:line="240" w:lineRule="atLeast"/>
      <w:jc w:val="center"/>
    </w:pPr>
    <w:rPr>
      <w:rFonts w:ascii="宋体"/>
      <w:color w:val="000000"/>
    </w:rPr>
  </w:style>
  <w:style w:type="paragraph" w:customStyle="1" w:styleId="176">
    <w:name w:val="正文表样式"/>
    <w:basedOn w:val="1"/>
    <w:qFormat/>
    <w:uiPriority w:val="0"/>
    <w:pPr>
      <w:spacing w:line="240" w:lineRule="atLeast"/>
      <w:jc w:val="center"/>
      <w:outlineLvl w:val="8"/>
    </w:pPr>
    <w:rPr>
      <w:rFonts w:ascii="宋体"/>
      <w:b/>
      <w:sz w:val="18"/>
    </w:rPr>
  </w:style>
  <w:style w:type="paragraph" w:customStyle="1" w:styleId="177">
    <w:name w:val="表格正文"/>
    <w:basedOn w:val="1"/>
    <w:qFormat/>
    <w:uiPriority w:val="0"/>
    <w:pPr>
      <w:autoSpaceDE w:val="0"/>
      <w:autoSpaceDN w:val="0"/>
      <w:adjustRightInd w:val="0"/>
      <w:snapToGrid w:val="0"/>
      <w:spacing w:before="60" w:after="60"/>
      <w:jc w:val="center"/>
      <w:textAlignment w:val="baseline"/>
    </w:pPr>
    <w:rPr>
      <w:kern w:val="0"/>
      <w:sz w:val="24"/>
    </w:rPr>
  </w:style>
  <w:style w:type="paragraph" w:customStyle="1" w:styleId="178">
    <w:name w:val="dot"/>
    <w:basedOn w:val="1"/>
    <w:qFormat/>
    <w:uiPriority w:val="0"/>
    <w:pPr>
      <w:spacing w:before="60" w:after="60" w:line="400" w:lineRule="atLeast"/>
      <w:ind w:firstLine="510"/>
      <w:outlineLvl w:val="8"/>
    </w:pPr>
    <w:rPr>
      <w:rFonts w:hint="eastAsia" w:ascii="宋体"/>
      <w:b/>
      <w:sz w:val="24"/>
    </w:rPr>
  </w:style>
  <w:style w:type="paragraph" w:customStyle="1" w:styleId="179">
    <w:name w:val="Char Char Char Char Char Char Char Char Char Char"/>
    <w:basedOn w:val="17"/>
    <w:qFormat/>
    <w:uiPriority w:val="0"/>
    <w:pPr>
      <w:shd w:val="clear" w:color="auto" w:fill="auto"/>
      <w:ind w:firstLine="437"/>
      <w:jc w:val="center"/>
    </w:pPr>
    <w:rPr>
      <w:rFonts w:ascii="宋体" w:hAnsi="宋体"/>
      <w:lang w:val="fr-FR"/>
    </w:rPr>
  </w:style>
  <w:style w:type="paragraph" w:customStyle="1" w:styleId="180">
    <w:name w:val="样式 首行缩进:  2 字符"/>
    <w:basedOn w:val="1"/>
    <w:qFormat/>
    <w:uiPriority w:val="0"/>
    <w:pPr>
      <w:widowControl/>
      <w:ind w:firstLine="420" w:firstLineChars="200"/>
      <w:jc w:val="left"/>
    </w:pPr>
    <w:rPr>
      <w:rFonts w:ascii="宋体" w:hAnsi="宋体" w:cs="宋体"/>
      <w:kern w:val="0"/>
      <w:sz w:val="28"/>
    </w:rPr>
  </w:style>
  <w:style w:type="paragraph" w:customStyle="1" w:styleId="181">
    <w:name w:val="标题211"/>
    <w:basedOn w:val="21"/>
    <w:qFormat/>
    <w:uiPriority w:val="0"/>
    <w:pPr>
      <w:keepNext/>
      <w:keepLines/>
      <w:suppressLineNumbers/>
      <w:tabs>
        <w:tab w:val="left" w:pos="360"/>
      </w:tabs>
      <w:suppressAutoHyphens/>
      <w:autoSpaceDE w:val="0"/>
      <w:autoSpaceDN w:val="0"/>
      <w:adjustRightInd w:val="0"/>
      <w:ind w:left="360" w:hanging="360" w:firstLineChars="0"/>
    </w:pPr>
    <w:rPr>
      <w:rFonts w:ascii="仿宋_GB2312" w:hAnsi="Times New Roman" w:eastAsia="仿宋_GB2312"/>
      <w:color w:val="000000"/>
      <w:kern w:val="28"/>
      <w:szCs w:val="20"/>
    </w:rPr>
  </w:style>
  <w:style w:type="paragraph" w:styleId="182">
    <w:name w:val="No Spacing"/>
    <w:basedOn w:val="1"/>
    <w:qFormat/>
    <w:uiPriority w:val="99"/>
    <w:pPr>
      <w:adjustRightInd w:val="0"/>
      <w:snapToGrid w:val="0"/>
      <w:spacing w:beforeAutospacing="1"/>
    </w:pPr>
    <w:rPr>
      <w:rFonts w:ascii="Tahoma" w:hAnsi="Tahoma" w:eastAsia="微软雅黑" w:cs="Times New Roman"/>
      <w:sz w:val="22"/>
      <w:szCs w:val="22"/>
      <w:lang w:val="en-US" w:eastAsia="zh-CN" w:bidi="ar-SA"/>
    </w:rPr>
  </w:style>
  <w:style w:type="paragraph" w:customStyle="1" w:styleId="183">
    <w:name w:val="p0"/>
    <w:basedOn w:val="1"/>
    <w:qFormat/>
    <w:uiPriority w:val="0"/>
    <w:pPr>
      <w:widowControl/>
    </w:pPr>
    <w:rPr>
      <w:rFonts w:cs="宋体"/>
      <w:kern w:val="0"/>
      <w:szCs w:val="21"/>
    </w:rPr>
  </w:style>
  <w:style w:type="paragraph" w:customStyle="1" w:styleId="18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5">
    <w:name w:val="2）二级标题 段前分页"/>
    <w:basedOn w:val="1"/>
    <w:qFormat/>
    <w:uiPriority w:val="0"/>
    <w:pPr>
      <w:spacing w:beforeLines="100" w:afterLines="50" w:line="400" w:lineRule="exact"/>
      <w:jc w:val="center"/>
    </w:pPr>
    <w:rPr>
      <w:rFonts w:ascii="仿宋_GB2312" w:hAnsi="宋体" w:eastAsia="仿宋_GB2312"/>
      <w:b/>
      <w:color w:val="000000"/>
      <w:sz w:val="36"/>
    </w:rPr>
  </w:style>
  <w:style w:type="paragraph" w:customStyle="1" w:styleId="186">
    <w:name w:val="Char Char Char Char"/>
    <w:basedOn w:val="1"/>
    <w:qFormat/>
    <w:uiPriority w:val="0"/>
    <w:pPr>
      <w:tabs>
        <w:tab w:val="left" w:pos="360"/>
      </w:tabs>
    </w:pPr>
    <w:rPr>
      <w:sz w:val="24"/>
      <w:szCs w:val="24"/>
    </w:rPr>
  </w:style>
  <w:style w:type="paragraph" w:customStyle="1" w:styleId="187">
    <w:name w:val="文（缩进）"/>
    <w:basedOn w:val="25"/>
    <w:qFormat/>
    <w:uiPriority w:val="0"/>
    <w:pPr>
      <w:spacing w:line="400" w:lineRule="exact"/>
      <w:ind w:firstLine="420" w:firstLineChars="200"/>
    </w:pPr>
    <w:rPr>
      <w:rFonts w:ascii="Arial" w:hAnsi="Arial" w:cs="Arial"/>
      <w:snapToGrid w:val="0"/>
      <w:kern w:val="0"/>
      <w:sz w:val="21"/>
      <w:szCs w:val="21"/>
    </w:rPr>
  </w:style>
  <w:style w:type="paragraph" w:customStyle="1" w:styleId="188">
    <w:name w:val="样式16"/>
    <w:basedOn w:val="21"/>
    <w:qFormat/>
    <w:uiPriority w:val="0"/>
    <w:pPr>
      <w:tabs>
        <w:tab w:val="left" w:pos="1134"/>
      </w:tabs>
      <w:autoSpaceDE w:val="0"/>
      <w:autoSpaceDN w:val="0"/>
      <w:adjustRightInd w:val="0"/>
      <w:ind w:left="1134" w:hanging="567" w:firstLineChars="0"/>
    </w:pPr>
    <w:rPr>
      <w:rFonts w:ascii="仿宋_GB2312" w:hAnsi="Times New Roman" w:eastAsia="黑体"/>
      <w:kern w:val="28"/>
      <w:szCs w:val="20"/>
    </w:rPr>
  </w:style>
  <w:style w:type="paragraph" w:customStyle="1" w:styleId="189">
    <w:name w:val="答复表头"/>
    <w:basedOn w:val="190"/>
    <w:next w:val="1"/>
    <w:qFormat/>
    <w:uiPriority w:val="0"/>
    <w:pPr>
      <w:tabs>
        <w:tab w:val="left" w:pos="480"/>
      </w:tabs>
    </w:pPr>
    <w:rPr>
      <w:b/>
    </w:rPr>
  </w:style>
  <w:style w:type="paragraph" w:customStyle="1" w:styleId="190">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191">
    <w:name w:val="标题311"/>
    <w:basedOn w:val="21"/>
    <w:qFormat/>
    <w:uiPriority w:val="0"/>
    <w:pPr>
      <w:keepNext/>
      <w:keepLines/>
      <w:suppressLineNumbers/>
      <w:suppressAutoHyphens/>
      <w:autoSpaceDE w:val="0"/>
      <w:autoSpaceDN w:val="0"/>
      <w:adjustRightInd w:val="0"/>
      <w:spacing w:line="522" w:lineRule="exact"/>
      <w:ind w:left="540" w:firstLine="0" w:firstLineChars="0"/>
      <w:jc w:val="left"/>
    </w:pPr>
    <w:rPr>
      <w:rFonts w:ascii="仿宋_GB2312" w:hAnsi="Times New Roman" w:eastAsia="仿宋_GB2312"/>
      <w:color w:val="000000"/>
      <w:kern w:val="28"/>
      <w:szCs w:val="20"/>
    </w:rPr>
  </w:style>
  <w:style w:type="paragraph" w:customStyle="1" w:styleId="192">
    <w:name w:val="33-1级列表编号-1"/>
    <w:basedOn w:val="1"/>
    <w:next w:val="1"/>
    <w:qFormat/>
    <w:uiPriority w:val="0"/>
    <w:pPr>
      <w:tabs>
        <w:tab w:val="left" w:pos="0"/>
      </w:tabs>
      <w:adjustRightInd w:val="0"/>
      <w:spacing w:line="360" w:lineRule="exact"/>
      <w:ind w:left="987" w:hanging="420"/>
    </w:pPr>
    <w:rPr>
      <w:szCs w:val="24"/>
    </w:rPr>
  </w:style>
  <w:style w:type="paragraph" w:customStyle="1" w:styleId="193">
    <w:name w:val="纯文本1"/>
    <w:basedOn w:val="1"/>
    <w:qFormat/>
    <w:uiPriority w:val="0"/>
    <w:pPr>
      <w:autoSpaceDE w:val="0"/>
      <w:autoSpaceDN w:val="0"/>
      <w:adjustRightInd w:val="0"/>
      <w:textAlignment w:val="baseline"/>
    </w:pPr>
    <w:rPr>
      <w:rFonts w:ascii="宋体"/>
      <w:kern w:val="0"/>
      <w:sz w:val="28"/>
    </w:rPr>
  </w:style>
  <w:style w:type="paragraph" w:customStyle="1" w:styleId="194">
    <w:name w:val="1"/>
    <w:basedOn w:val="1"/>
    <w:next w:val="1"/>
    <w:qFormat/>
    <w:uiPriority w:val="0"/>
    <w:rPr>
      <w:szCs w:val="24"/>
    </w:rPr>
  </w:style>
  <w:style w:type="paragraph" w:customStyle="1" w:styleId="195">
    <w:name w:val="List Paragraph1"/>
    <w:basedOn w:val="1"/>
    <w:qFormat/>
    <w:uiPriority w:val="34"/>
    <w:pPr>
      <w:ind w:firstLine="420" w:firstLineChars="200"/>
    </w:pPr>
    <w:rPr>
      <w:szCs w:val="22"/>
    </w:rPr>
  </w:style>
  <w:style w:type="paragraph" w:customStyle="1" w:styleId="196">
    <w:name w:val="列出段落12"/>
    <w:basedOn w:val="1"/>
    <w:qFormat/>
    <w:uiPriority w:val="0"/>
    <w:pPr>
      <w:ind w:firstLine="420" w:firstLineChars="200"/>
    </w:pPr>
    <w:rPr>
      <w:szCs w:val="21"/>
    </w:rPr>
  </w:style>
  <w:style w:type="paragraph" w:customStyle="1" w:styleId="197">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样式1-3"/>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shadow/>
      <w:color w:val="000000"/>
      <w:kern w:val="28"/>
      <w:sz w:val="24"/>
    </w:rPr>
  </w:style>
  <w:style w:type="paragraph" w:customStyle="1" w:styleId="199">
    <w:name w:val="样式10"/>
    <w:basedOn w:val="1"/>
    <w:qFormat/>
    <w:uiPriority w:val="0"/>
    <w:pPr>
      <w:tabs>
        <w:tab w:val="left" w:pos="1134"/>
      </w:tabs>
      <w:autoSpaceDE w:val="0"/>
      <w:autoSpaceDN w:val="0"/>
      <w:adjustRightInd w:val="0"/>
      <w:spacing w:line="360" w:lineRule="auto"/>
      <w:ind w:left="1134" w:hanging="567"/>
    </w:pPr>
    <w:rPr>
      <w:rFonts w:ascii="仿宋_GB2312" w:eastAsia="仿宋_GB2312"/>
      <w:shadow/>
      <w:color w:val="000000"/>
      <w:kern w:val="28"/>
      <w:sz w:val="24"/>
    </w:rPr>
  </w:style>
  <w:style w:type="paragraph" w:customStyle="1" w:styleId="200">
    <w:name w:val="dd"/>
    <w:basedOn w:val="1"/>
    <w:qFormat/>
    <w:uiPriority w:val="0"/>
    <w:pPr>
      <w:jc w:val="left"/>
    </w:pPr>
    <w:rPr>
      <w:kern w:val="0"/>
      <w:szCs w:val="24"/>
    </w:rPr>
  </w:style>
  <w:style w:type="paragraph" w:customStyle="1" w:styleId="201">
    <w:name w:val="1.1.1"/>
    <w:basedOn w:val="143"/>
    <w:qFormat/>
    <w:uiPriority w:val="0"/>
    <w:pPr>
      <w:tabs>
        <w:tab w:val="clear" w:pos="1440"/>
      </w:tabs>
      <w:ind w:left="0" w:firstLine="0"/>
    </w:pPr>
  </w:style>
  <w:style w:type="paragraph" w:customStyle="1" w:styleId="202">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20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05">
    <w:name w:val="Char2"/>
    <w:basedOn w:val="1"/>
    <w:qFormat/>
    <w:uiPriority w:val="0"/>
    <w:pPr>
      <w:tabs>
        <w:tab w:val="left" w:pos="360"/>
      </w:tabs>
    </w:pPr>
    <w:rPr>
      <w:sz w:val="24"/>
      <w:szCs w:val="24"/>
    </w:rPr>
  </w:style>
  <w:style w:type="paragraph" w:customStyle="1" w:styleId="206">
    <w:name w:val="列出段落4"/>
    <w:basedOn w:val="1"/>
    <w:qFormat/>
    <w:uiPriority w:val="34"/>
    <w:pPr>
      <w:ind w:firstLine="420" w:firstLineChars="200"/>
    </w:pPr>
    <w:rPr>
      <w:rFonts w:ascii="Cambria" w:hAnsi="Cambria"/>
      <w:sz w:val="24"/>
      <w:szCs w:val="24"/>
    </w:rPr>
  </w:style>
  <w:style w:type="character" w:customStyle="1" w:styleId="207">
    <w:name w:val="16"/>
    <w:basedOn w:val="45"/>
    <w:qFormat/>
    <w:uiPriority w:val="0"/>
    <w:rPr>
      <w:rFonts w:hint="default" w:ascii="Times New Roman" w:hAnsi="Times New Roman" w:cs="Times New Roman"/>
      <w:b/>
      <w:bCs/>
    </w:rPr>
  </w:style>
  <w:style w:type="character" w:customStyle="1" w:styleId="208">
    <w:name w:val="正文首行缩进 Char"/>
    <w:basedOn w:val="77"/>
    <w:link w:val="2"/>
    <w:qFormat/>
    <w:uiPriority w:val="99"/>
    <w:rPr>
      <w:sz w:val="21"/>
      <w:szCs w:val="22"/>
    </w:rPr>
  </w:style>
  <w:style w:type="character" w:customStyle="1" w:styleId="209">
    <w:name w:val="批注文字 Char"/>
    <w:basedOn w:val="45"/>
    <w:link w:val="18"/>
    <w:qFormat/>
    <w:uiPriority w:val="99"/>
    <w:rPr>
      <w:kern w:val="2"/>
      <w:sz w:val="21"/>
      <w:szCs w:val="22"/>
    </w:rPr>
  </w:style>
  <w:style w:type="paragraph" w:customStyle="1" w:styleId="210">
    <w:name w:val="NormalIndent"/>
    <w:basedOn w:val="1"/>
    <w:qFormat/>
    <w:uiPriority w:val="99"/>
    <w:pPr>
      <w:ind w:firstLine="420"/>
    </w:pPr>
    <w:rPr>
      <w:szCs w:val="22"/>
    </w:rPr>
  </w:style>
  <w:style w:type="paragraph" w:customStyle="1" w:styleId="211">
    <w:name w:val="正文2"/>
    <w:basedOn w:val="1"/>
    <w:qFormat/>
    <w:uiPriority w:val="0"/>
    <w:pPr>
      <w:spacing w:before="156" w:line="360" w:lineRule="auto"/>
      <w:ind w:firstLine="510" w:firstLineChars="200"/>
    </w:pPr>
    <w:rPr>
      <w:sz w:val="24"/>
    </w:rPr>
  </w:style>
  <w:style w:type="paragraph" w:customStyle="1" w:styleId="212">
    <w:name w:val="ASU3000plus正文"/>
    <w:basedOn w:val="1"/>
    <w:next w:val="1"/>
    <w:qFormat/>
    <w:uiPriority w:val="0"/>
    <w:pPr>
      <w:widowControl/>
      <w:spacing w:line="300" w:lineRule="auto"/>
    </w:pPr>
    <w:rPr>
      <w:rFonts w:ascii="Arial" w:hAnsi="Arial" w:cs="Arial"/>
      <w:kern w:val="0"/>
      <w:sz w:val="24"/>
      <w:szCs w:val="22"/>
    </w:rPr>
  </w:style>
  <w:style w:type="character" w:customStyle="1" w:styleId="213">
    <w:name w:val="font21"/>
    <w:basedOn w:val="45"/>
    <w:qFormat/>
    <w:uiPriority w:val="0"/>
    <w:rPr>
      <w:rFonts w:hint="eastAsia" w:ascii="宋体" w:hAnsi="宋体" w:eastAsia="宋体" w:cs="宋体"/>
      <w:color w:val="000000"/>
      <w:sz w:val="22"/>
      <w:szCs w:val="22"/>
      <w:u w:val="none"/>
    </w:rPr>
  </w:style>
  <w:style w:type="paragraph" w:customStyle="1" w:styleId="214">
    <w:name w:val="Table Paragraph"/>
    <w:basedOn w:val="1"/>
    <w:qFormat/>
    <w:uiPriority w:val="1"/>
    <w:rPr>
      <w:szCs w:val="22"/>
    </w:rPr>
  </w:style>
  <w:style w:type="character" w:customStyle="1" w:styleId="215">
    <w:name w:val="font51"/>
    <w:basedOn w:val="45"/>
    <w:qFormat/>
    <w:uiPriority w:val="0"/>
    <w:rPr>
      <w:rFonts w:hint="default" w:ascii="Arial" w:hAnsi="Arial" w:cs="Arial"/>
      <w:color w:val="000000"/>
      <w:sz w:val="18"/>
      <w:szCs w:val="18"/>
      <w:u w:val="none"/>
    </w:rPr>
  </w:style>
  <w:style w:type="character" w:customStyle="1" w:styleId="216">
    <w:name w:val="font61"/>
    <w:basedOn w:val="45"/>
    <w:qFormat/>
    <w:uiPriority w:val="0"/>
    <w:rPr>
      <w:rFonts w:ascii="黑体" w:hAnsi="宋体" w:eastAsia="黑体" w:cs="黑体"/>
      <w:color w:val="000000"/>
      <w:sz w:val="18"/>
      <w:szCs w:val="18"/>
      <w:u w:val="none"/>
    </w:rPr>
  </w:style>
  <w:style w:type="character" w:customStyle="1" w:styleId="217">
    <w:name w:val="批注框文本 Char"/>
    <w:basedOn w:val="45"/>
    <w:link w:val="29"/>
    <w:qFormat/>
    <w:uiPriority w:val="99"/>
    <w:rPr>
      <w:kern w:val="2"/>
      <w:sz w:val="18"/>
      <w:szCs w:val="18"/>
    </w:rPr>
  </w:style>
  <w:style w:type="character" w:customStyle="1" w:styleId="218">
    <w:name w:val="副标题 Char"/>
    <w:basedOn w:val="45"/>
    <w:link w:val="34"/>
    <w:qFormat/>
    <w:uiPriority w:val="0"/>
    <w:rPr>
      <w:rFonts w:ascii="Cambria" w:hAnsi="Cambria"/>
      <w:b/>
      <w:bCs/>
      <w:kern w:val="28"/>
      <w:sz w:val="32"/>
      <w:szCs w:val="32"/>
    </w:rPr>
  </w:style>
  <w:style w:type="character" w:customStyle="1" w:styleId="219">
    <w:name w:val="font01"/>
    <w:basedOn w:val="45"/>
    <w:qFormat/>
    <w:uiPriority w:val="0"/>
    <w:rPr>
      <w:rFonts w:hint="default" w:ascii="GE汉仪中圆简" w:hAnsi="GE汉仪中圆简" w:eastAsia="GE汉仪中圆简" w:cs="GE汉仪中圆简"/>
      <w:color w:val="000000"/>
      <w:sz w:val="22"/>
      <w:szCs w:val="22"/>
      <w:u w:val="none"/>
    </w:rPr>
  </w:style>
  <w:style w:type="character" w:customStyle="1" w:styleId="220">
    <w:name w:val="value"/>
    <w:qFormat/>
    <w:uiPriority w:val="0"/>
  </w:style>
  <w:style w:type="paragraph" w:customStyle="1" w:styleId="221">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2">
    <w:name w:val="!正文"/>
    <w:basedOn w:val="1"/>
    <w:qFormat/>
    <w:uiPriority w:val="0"/>
    <w:pPr>
      <w:spacing w:line="360" w:lineRule="auto"/>
      <w:ind w:firstLine="200" w:firstLineChars="200"/>
    </w:pPr>
    <w:rPr>
      <w:rFonts w:cs="Mongolian Baiti"/>
      <w:szCs w:val="22"/>
    </w:rPr>
  </w:style>
  <w:style w:type="paragraph" w:customStyle="1" w:styleId="223">
    <w:name w:val="A正文小四"/>
    <w:basedOn w:val="1"/>
    <w:qFormat/>
    <w:uiPriority w:val="0"/>
    <w:pPr>
      <w:spacing w:line="360" w:lineRule="auto"/>
      <w:ind w:firstLine="200" w:firstLineChars="200"/>
    </w:pPr>
    <w:rPr>
      <w:rFonts w:ascii="Times New Roman" w:hAnsi="Times New Roman"/>
      <w:sz w:val="24"/>
      <w:szCs w:val="24"/>
    </w:rPr>
  </w:style>
  <w:style w:type="character" w:customStyle="1" w:styleId="224">
    <w:name w:val="NormalCharacter"/>
    <w:qFormat/>
    <w:uiPriority w:val="0"/>
  </w:style>
  <w:style w:type="paragraph" w:customStyle="1" w:styleId="225">
    <w:name w:val="UserStyle_2"/>
    <w:qFormat/>
    <w:uiPriority w:val="0"/>
    <w:pPr>
      <w:textAlignment w:val="baseline"/>
    </w:pPr>
    <w:rPr>
      <w:rFonts w:ascii="Arial" w:hAnsi="Arial" w:eastAsia="宋体" w:cstheme="minorBidi"/>
      <w:color w:val="000000"/>
      <w:sz w:val="24"/>
      <w:szCs w:val="24"/>
      <w:lang w:val="en-US" w:eastAsia="zh-CN" w:bidi="ar-SA"/>
    </w:rPr>
  </w:style>
  <w:style w:type="paragraph" w:customStyle="1" w:styleId="226">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8">
    <w:name w:val="bookmark-item"/>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7AEE0-31A8-4E46-8FC2-8DC53ECEC6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36917</Words>
  <Characters>39560</Characters>
  <Lines>183</Lines>
  <Paragraphs>51</Paragraphs>
  <TotalTime>64</TotalTime>
  <ScaleCrop>false</ScaleCrop>
  <LinksUpToDate>false</LinksUpToDate>
  <CharactersWithSpaces>40973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2023-03-09T09:21:00Z</dcterms:created>
  <dc:creator>创编</dc:creator>
  <cp:lastModifiedBy>董蕊</cp:lastModifiedBy>
  <cp:lastPrinted>2023-03-15T04:06:00Z</cp:lastPrinted>
  <dcterms:modified xsi:type="dcterms:W3CDTF">2023-04-10T01:48:26Z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89C4D5BF3BEB4909848EA3DAD1D4B60F</vt:lpwstr>
  </property>
</Properties>
</file>