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13"/>
          <w:rFonts w:ascii="楷体_GB2312"/>
          <w:b/>
          <w:color w:val="000000"/>
          <w:sz w:val="72"/>
        </w:rPr>
      </w:pPr>
    </w:p>
    <w:p>
      <w:pPr>
        <w:jc w:val="center"/>
        <w:rPr>
          <w:rStyle w:val="13"/>
          <w:rFonts w:ascii="楷体_GB2312"/>
          <w:b/>
          <w:color w:val="000000"/>
          <w:sz w:val="72"/>
        </w:rPr>
      </w:pPr>
    </w:p>
    <w:p>
      <w:pPr>
        <w:jc w:val="center"/>
        <w:rPr>
          <w:rStyle w:val="13"/>
          <w:rFonts w:ascii="楷体_GB2312"/>
          <w:b/>
          <w:color w:val="000000"/>
          <w:sz w:val="72"/>
        </w:rPr>
      </w:pPr>
    </w:p>
    <w:p>
      <w:pPr>
        <w:jc w:val="center"/>
        <w:rPr>
          <w:rStyle w:val="13"/>
          <w:rFonts w:ascii="楷体_GB2312"/>
          <w:b/>
          <w:color w:val="000000"/>
          <w:sz w:val="72"/>
        </w:rPr>
      </w:pPr>
      <w:r>
        <w:rPr>
          <w:rStyle w:val="13"/>
          <w:rFonts w:ascii="楷体_GB2312"/>
          <w:b/>
          <w:color w:val="000000"/>
          <w:sz w:val="72"/>
        </w:rPr>
        <w:t>政  府  采  购</w:t>
      </w:r>
    </w:p>
    <w:p>
      <w:pPr>
        <w:jc w:val="center"/>
        <w:rPr>
          <w:rStyle w:val="13"/>
          <w:rFonts w:ascii="楷体_GB2312"/>
          <w:b/>
          <w:color w:val="000000"/>
          <w:sz w:val="100"/>
        </w:rPr>
      </w:pPr>
      <w:r>
        <w:rPr>
          <w:rStyle w:val="13"/>
          <w:rFonts w:ascii="楷体_GB2312"/>
          <w:b/>
          <w:color w:val="000000"/>
          <w:sz w:val="100"/>
        </w:rPr>
        <w:t>招　标　文　件</w:t>
      </w:r>
    </w:p>
    <w:p>
      <w:pPr>
        <w:rPr>
          <w:rStyle w:val="13"/>
          <w:b/>
          <w:bCs/>
          <w:color w:val="000000"/>
          <w:sz w:val="32"/>
          <w:szCs w:val="32"/>
        </w:rPr>
      </w:pPr>
    </w:p>
    <w:p>
      <w:pPr>
        <w:rPr>
          <w:rStyle w:val="13"/>
          <w:b/>
          <w:bCs/>
          <w:color w:val="000000"/>
          <w:sz w:val="32"/>
          <w:szCs w:val="32"/>
        </w:rPr>
      </w:pPr>
    </w:p>
    <w:p>
      <w:pPr>
        <w:rPr>
          <w:rStyle w:val="13"/>
          <w:b/>
          <w:bCs/>
          <w:color w:val="000000"/>
          <w:sz w:val="32"/>
          <w:szCs w:val="32"/>
        </w:rPr>
      </w:pPr>
    </w:p>
    <w:p>
      <w:pPr>
        <w:pStyle w:val="2"/>
        <w:rPr>
          <w:rStyle w:val="13"/>
          <w:color w:val="000000"/>
        </w:rPr>
      </w:pPr>
    </w:p>
    <w:p>
      <w:pPr>
        <w:rPr>
          <w:rStyle w:val="13"/>
          <w:b/>
          <w:bCs/>
          <w:color w:val="000000"/>
          <w:sz w:val="32"/>
          <w:szCs w:val="32"/>
        </w:rPr>
      </w:pPr>
    </w:p>
    <w:p>
      <w:pPr>
        <w:rPr>
          <w:rStyle w:val="13"/>
          <w:b/>
          <w:color w:val="000000"/>
          <w:sz w:val="30"/>
          <w:szCs w:val="30"/>
        </w:rPr>
      </w:pPr>
      <w:r>
        <w:rPr>
          <w:rStyle w:val="13"/>
          <w:b/>
          <w:color w:val="000000"/>
          <w:sz w:val="30"/>
          <w:szCs w:val="30"/>
        </w:rPr>
        <w:t xml:space="preserve"> </w:t>
      </w:r>
    </w:p>
    <w:p>
      <w:pPr>
        <w:pStyle w:val="20"/>
        <w:rPr>
          <w:rStyle w:val="13"/>
          <w:color w:val="000000"/>
        </w:rPr>
      </w:pPr>
    </w:p>
    <w:p>
      <w:pPr>
        <w:rPr>
          <w:rStyle w:val="13"/>
          <w:b/>
          <w:color w:val="000000"/>
          <w:sz w:val="30"/>
          <w:szCs w:val="30"/>
        </w:rPr>
      </w:pPr>
    </w:p>
    <w:p>
      <w:pPr>
        <w:rPr>
          <w:rStyle w:val="13"/>
          <w:b/>
          <w:color w:val="000000"/>
          <w:sz w:val="30"/>
          <w:szCs w:val="30"/>
        </w:rPr>
      </w:pPr>
    </w:p>
    <w:p>
      <w:pPr>
        <w:pStyle w:val="2"/>
        <w:rPr>
          <w:rStyle w:val="13"/>
          <w:b/>
          <w:color w:val="000000"/>
          <w:sz w:val="30"/>
          <w:szCs w:val="30"/>
        </w:rPr>
      </w:pPr>
    </w:p>
    <w:p>
      <w:pPr>
        <w:pStyle w:val="2"/>
        <w:rPr>
          <w:rStyle w:val="13"/>
          <w:b/>
          <w:color w:val="000000"/>
          <w:sz w:val="30"/>
          <w:szCs w:val="30"/>
        </w:rPr>
      </w:pPr>
    </w:p>
    <w:p>
      <w:pPr>
        <w:rPr>
          <w:rStyle w:val="13"/>
          <w:b/>
          <w:color w:val="000000"/>
          <w:sz w:val="30"/>
          <w:szCs w:val="30"/>
        </w:rPr>
      </w:pPr>
    </w:p>
    <w:p>
      <w:pPr>
        <w:spacing w:line="360" w:lineRule="auto"/>
        <w:jc w:val="center"/>
        <w:textAlignment w:val="auto"/>
        <w:rPr>
          <w:rStyle w:val="13"/>
          <w:b/>
          <w:color w:val="000000"/>
          <w:sz w:val="30"/>
          <w:szCs w:val="30"/>
        </w:rPr>
      </w:pPr>
      <w:r>
        <w:rPr>
          <w:rStyle w:val="13"/>
          <w:b/>
          <w:color w:val="000000"/>
          <w:sz w:val="30"/>
          <w:szCs w:val="30"/>
        </w:rPr>
        <w:t>招标代理：新疆天之源项目管理有限公司</w:t>
      </w:r>
    </w:p>
    <w:p>
      <w:pPr>
        <w:pStyle w:val="85"/>
        <w:numPr>
          <w:ilvl w:val="1"/>
          <w:numId w:val="0"/>
        </w:numPr>
        <w:spacing w:line="360" w:lineRule="auto"/>
        <w:textAlignment w:val="auto"/>
        <w:rPr>
          <w:rStyle w:val="13"/>
        </w:rPr>
      </w:pPr>
      <w:r>
        <w:rPr>
          <w:rStyle w:val="13"/>
          <w:b/>
          <w:color w:val="000000"/>
          <w:sz w:val="30"/>
          <w:szCs w:val="30"/>
        </w:rPr>
        <w:t xml:space="preserve">                     2020年4月</w:t>
      </w:r>
    </w:p>
    <w:p>
      <w:pPr>
        <w:spacing w:line="360" w:lineRule="auto"/>
        <w:textAlignment w:val="auto"/>
        <w:rPr>
          <w:rStyle w:val="13"/>
          <w:b/>
          <w:color w:val="000000"/>
          <w:sz w:val="30"/>
          <w:szCs w:val="30"/>
        </w:rPr>
      </w:pPr>
    </w:p>
    <w:p>
      <w:pPr>
        <w:rPr>
          <w:rStyle w:val="13"/>
          <w:b/>
          <w:color w:val="000000"/>
          <w:sz w:val="30"/>
          <w:szCs w:val="30"/>
        </w:rPr>
      </w:pPr>
    </w:p>
    <w:p>
      <w:pPr>
        <w:rPr>
          <w:rStyle w:val="13"/>
          <w:b/>
          <w:color w:val="000000"/>
          <w:sz w:val="30"/>
          <w:szCs w:val="30"/>
        </w:rPr>
      </w:pPr>
    </w:p>
    <w:p>
      <w:pPr>
        <w:jc w:val="center"/>
        <w:rPr>
          <w:rStyle w:val="13"/>
          <w:rFonts w:ascii="宋体" w:hAnsi="宋体" w:cs="宋体"/>
          <w:bCs/>
          <w:color w:val="000000"/>
          <w:sz w:val="44"/>
          <w:szCs w:val="44"/>
          <w:lang w:val="zh-CN"/>
        </w:rPr>
      </w:pPr>
    </w:p>
    <w:p>
      <w:pPr>
        <w:jc w:val="center"/>
        <w:rPr>
          <w:rStyle w:val="13"/>
          <w:rFonts w:ascii="宋体" w:hAnsi="宋体" w:cs="宋体"/>
          <w:bCs/>
          <w:color w:val="000000"/>
          <w:sz w:val="44"/>
          <w:szCs w:val="44"/>
          <w:lang w:val="zh-CN"/>
        </w:rPr>
        <w:sectPr>
          <w:headerReference r:id="rId3" w:type="default"/>
          <w:footerReference r:id="rId4" w:type="default"/>
          <w:pgSz w:w="11907" w:h="16840"/>
          <w:pgMar w:top="1474" w:right="1814" w:bottom="1474" w:left="1814" w:header="851" w:footer="851" w:gutter="0"/>
          <w:pgNumType w:start="1"/>
          <w:cols w:space="425" w:num="1"/>
          <w:docGrid w:linePitch="462" w:charSpace="0"/>
        </w:sectPr>
      </w:pPr>
    </w:p>
    <w:p>
      <w:pPr>
        <w:jc w:val="center"/>
        <w:rPr>
          <w:rStyle w:val="13"/>
          <w:rFonts w:ascii="宋体" w:hAnsi="宋体"/>
          <w:bCs/>
          <w:color w:val="000000"/>
          <w:sz w:val="44"/>
          <w:szCs w:val="44"/>
          <w:lang w:val="zh-CN"/>
        </w:rPr>
      </w:pPr>
      <w:r>
        <w:rPr>
          <w:rStyle w:val="13"/>
          <w:rFonts w:ascii="宋体" w:hAnsi="宋体" w:cs="宋体"/>
          <w:bCs/>
          <w:color w:val="000000"/>
          <w:sz w:val="44"/>
          <w:szCs w:val="44"/>
          <w:lang w:val="zh-CN"/>
        </w:rPr>
        <w:t>招标文件</w:t>
      </w:r>
    </w:p>
    <w:p>
      <w:pPr>
        <w:ind w:left="4375" w:leftChars="150" w:hanging="4060" w:hangingChars="1450"/>
        <w:rPr>
          <w:rStyle w:val="13"/>
          <w:rFonts w:ascii="宋体" w:hAnsi="宋体" w:cs="宋体"/>
          <w:bCs/>
          <w:color w:val="000000"/>
          <w:kern w:val="0"/>
          <w:sz w:val="28"/>
          <w:szCs w:val="28"/>
          <w:lang w:val="zh-CN"/>
        </w:rPr>
      </w:pPr>
    </w:p>
    <w:p>
      <w:pPr>
        <w:ind w:left="4375" w:leftChars="150" w:hanging="4060" w:hangingChars="1450"/>
        <w:rPr>
          <w:rStyle w:val="13"/>
          <w:rFonts w:ascii="宋体" w:hAnsi="宋体" w:cs="宋体"/>
          <w:bCs/>
          <w:color w:val="000000"/>
          <w:kern w:val="0"/>
          <w:sz w:val="28"/>
          <w:szCs w:val="28"/>
          <w:lang w:val="zh-CN"/>
        </w:rPr>
      </w:pPr>
    </w:p>
    <w:p>
      <w:pPr>
        <w:spacing w:line="480" w:lineRule="auto"/>
        <w:ind w:left="1959" w:leftChars="133" w:hanging="1680" w:hangingChars="600"/>
        <w:textAlignment w:val="auto"/>
        <w:rPr>
          <w:rStyle w:val="13"/>
          <w:rFonts w:ascii="宋体" w:hAnsi="宋体" w:cs="宋体"/>
          <w:bCs/>
          <w:color w:val="000000"/>
          <w:sz w:val="28"/>
          <w:szCs w:val="28"/>
          <w:lang w:val="zh-CN"/>
        </w:rPr>
      </w:pPr>
      <w:r>
        <w:rPr>
          <w:rStyle w:val="13"/>
          <w:rFonts w:ascii="宋体" w:hAnsi="宋体" w:cs="宋体"/>
          <w:bCs/>
          <w:color w:val="000000"/>
          <w:sz w:val="28"/>
          <w:szCs w:val="28"/>
        </w:rPr>
        <w:t>项目</w:t>
      </w:r>
      <w:r>
        <w:rPr>
          <w:rStyle w:val="13"/>
          <w:rFonts w:ascii="宋体" w:hAnsi="宋体" w:cs="宋体"/>
          <w:bCs/>
          <w:color w:val="000000"/>
          <w:sz w:val="28"/>
          <w:szCs w:val="28"/>
          <w:lang w:val="zh-CN"/>
        </w:rPr>
        <w:t>名称：皮山县AI+紧密型医共体项目</w:t>
      </w:r>
    </w:p>
    <w:p>
      <w:pPr>
        <w:spacing w:line="480" w:lineRule="auto"/>
        <w:ind w:left="4375" w:leftChars="150" w:hanging="4060" w:hangingChars="1450"/>
        <w:textAlignment w:val="auto"/>
        <w:rPr>
          <w:rStyle w:val="13"/>
          <w:rFonts w:ascii="宋体" w:hAnsi="宋体" w:cs="宋体"/>
          <w:bCs/>
          <w:color w:val="000000"/>
          <w:sz w:val="28"/>
          <w:szCs w:val="28"/>
          <w:lang w:val="zh-CN"/>
        </w:rPr>
      </w:pPr>
      <w:r>
        <w:rPr>
          <w:rStyle w:val="13"/>
          <w:rFonts w:ascii="宋体" w:hAnsi="宋体" w:cs="宋体"/>
          <w:bCs/>
          <w:color w:val="000000"/>
          <w:sz w:val="28"/>
          <w:szCs w:val="28"/>
          <w:lang w:val="zh-CN"/>
        </w:rPr>
        <w:t>招 标 人（盖章）：皮山县卫生健康委员会</w:t>
      </w:r>
    </w:p>
    <w:p>
      <w:pPr>
        <w:spacing w:line="480" w:lineRule="auto"/>
        <w:ind w:left="4375" w:leftChars="150" w:hanging="4060" w:hangingChars="1450"/>
        <w:textAlignment w:val="auto"/>
        <w:rPr>
          <w:rStyle w:val="13"/>
          <w:rFonts w:ascii="宋体" w:hAnsi="宋体" w:cs="宋体"/>
          <w:bCs/>
          <w:color w:val="000000"/>
          <w:sz w:val="28"/>
          <w:szCs w:val="28"/>
          <w:lang w:val="zh-CN"/>
        </w:rPr>
      </w:pPr>
      <w:r>
        <w:rPr>
          <w:rStyle w:val="13"/>
          <w:rFonts w:ascii="宋体" w:hAnsi="宋体" w:cs="宋体"/>
          <w:bCs/>
          <w:color w:val="000000"/>
          <w:sz w:val="28"/>
          <w:szCs w:val="28"/>
          <w:lang w:val="zh-CN"/>
        </w:rPr>
        <w:t>联 系 人：</w:t>
      </w:r>
      <w:r>
        <w:rPr>
          <w:rStyle w:val="13"/>
          <w:rFonts w:ascii="宋体" w:hAnsi="宋体" w:cs="宋体"/>
          <w:bCs/>
          <w:color w:val="000000"/>
          <w:sz w:val="28"/>
          <w:szCs w:val="28"/>
        </w:rPr>
        <w:t>买买提明</w:t>
      </w:r>
      <w:r>
        <w:rPr>
          <w:rStyle w:val="13"/>
          <w:rFonts w:ascii="宋体" w:hAnsi="宋体" w:cs="宋体"/>
          <w:bCs/>
          <w:color w:val="000000"/>
          <w:sz w:val="28"/>
          <w:szCs w:val="28"/>
          <w:lang w:val="zh-CN"/>
        </w:rPr>
        <w:t xml:space="preserve">              </w:t>
      </w:r>
    </w:p>
    <w:p>
      <w:pPr>
        <w:spacing w:line="480" w:lineRule="auto"/>
        <w:ind w:left="4375" w:leftChars="150" w:hanging="4060" w:hangingChars="1450"/>
        <w:textAlignment w:val="auto"/>
        <w:rPr>
          <w:rStyle w:val="13"/>
          <w:rFonts w:hint="eastAsia" w:ascii="宋体" w:hAnsi="宋体" w:eastAsia="宋体" w:cs="宋体"/>
          <w:bCs/>
          <w:color w:val="000000"/>
          <w:sz w:val="28"/>
          <w:szCs w:val="28"/>
          <w:lang w:eastAsia="zh-CN"/>
        </w:rPr>
      </w:pPr>
      <w:r>
        <w:rPr>
          <w:rStyle w:val="13"/>
          <w:rFonts w:ascii="宋体" w:hAnsi="宋体" w:cs="宋体"/>
          <w:bCs/>
          <w:color w:val="000000"/>
          <w:sz w:val="28"/>
          <w:szCs w:val="28"/>
          <w:lang w:val="zh-CN"/>
        </w:rPr>
        <w:t>电    话：</w:t>
      </w:r>
      <w:r>
        <w:rPr>
          <w:rStyle w:val="13"/>
          <w:rFonts w:hint="eastAsia" w:ascii="宋体" w:hAnsi="宋体" w:cs="宋体"/>
          <w:bCs/>
          <w:color w:val="000000"/>
          <w:sz w:val="28"/>
          <w:szCs w:val="28"/>
          <w:lang w:eastAsia="zh-CN"/>
        </w:rPr>
        <w:t>0903-6426716</w:t>
      </w:r>
    </w:p>
    <w:p>
      <w:pPr>
        <w:spacing w:line="480" w:lineRule="auto"/>
        <w:ind w:left="4375" w:leftChars="150" w:hanging="4060" w:hangingChars="1450"/>
        <w:textAlignment w:val="auto"/>
        <w:rPr>
          <w:rStyle w:val="13"/>
          <w:color w:val="000000"/>
          <w:lang w:val="zh-CN"/>
        </w:rPr>
      </w:pPr>
      <w:r>
        <w:rPr>
          <w:rStyle w:val="13"/>
          <w:rFonts w:ascii="宋体" w:hAnsi="宋体" w:cs="宋体"/>
          <w:bCs/>
          <w:color w:val="000000"/>
          <w:sz w:val="28"/>
          <w:szCs w:val="28"/>
          <w:lang w:val="zh-CN"/>
        </w:rPr>
        <w:t>详细地址：</w:t>
      </w:r>
      <w:r>
        <w:rPr>
          <w:rStyle w:val="13"/>
          <w:rFonts w:ascii="宋体" w:hAnsi="宋体" w:cs="宋体"/>
          <w:bCs/>
          <w:color w:val="000000"/>
          <w:sz w:val="28"/>
          <w:szCs w:val="28"/>
        </w:rPr>
        <w:t>皮山县</w:t>
      </w:r>
    </w:p>
    <w:p>
      <w:pPr>
        <w:textAlignment w:val="auto"/>
        <w:rPr>
          <w:rStyle w:val="13"/>
          <w:rFonts w:ascii="宋体" w:hAnsi="宋体"/>
          <w:bCs/>
          <w:color w:val="000000"/>
          <w:sz w:val="28"/>
          <w:szCs w:val="28"/>
          <w:u w:val="single"/>
        </w:rPr>
      </w:pPr>
    </w:p>
    <w:p>
      <w:pPr>
        <w:textAlignment w:val="auto"/>
        <w:rPr>
          <w:rStyle w:val="13"/>
          <w:rFonts w:ascii="宋体" w:hAnsi="宋体"/>
          <w:bCs/>
          <w:color w:val="000000"/>
          <w:sz w:val="28"/>
          <w:szCs w:val="28"/>
          <w:u w:val="single"/>
        </w:rPr>
      </w:pPr>
    </w:p>
    <w:p>
      <w:pPr>
        <w:textAlignment w:val="auto"/>
        <w:rPr>
          <w:rStyle w:val="13"/>
          <w:rFonts w:ascii="宋体" w:hAnsi="宋体"/>
          <w:bCs/>
          <w:color w:val="000000"/>
          <w:sz w:val="28"/>
          <w:szCs w:val="28"/>
          <w:u w:val="single"/>
        </w:rPr>
      </w:pPr>
    </w:p>
    <w:p>
      <w:pPr>
        <w:textAlignment w:val="auto"/>
        <w:rPr>
          <w:rStyle w:val="13"/>
          <w:rFonts w:ascii="宋体" w:hAnsi="宋体"/>
          <w:bCs/>
          <w:color w:val="000000"/>
          <w:sz w:val="28"/>
          <w:szCs w:val="28"/>
          <w:u w:val="single"/>
        </w:rPr>
      </w:pPr>
    </w:p>
    <w:p>
      <w:pPr>
        <w:textAlignment w:val="auto"/>
        <w:rPr>
          <w:rStyle w:val="13"/>
          <w:rFonts w:ascii="宋体" w:hAnsi="宋体"/>
          <w:bCs/>
          <w:color w:val="000000"/>
          <w:sz w:val="28"/>
          <w:szCs w:val="28"/>
          <w:u w:val="single"/>
        </w:rPr>
      </w:pPr>
    </w:p>
    <w:p>
      <w:pPr>
        <w:textAlignment w:val="auto"/>
        <w:rPr>
          <w:rStyle w:val="13"/>
          <w:rFonts w:ascii="宋体" w:hAnsi="宋体"/>
          <w:bCs/>
          <w:color w:val="000000"/>
          <w:sz w:val="28"/>
          <w:szCs w:val="28"/>
          <w:u w:val="single"/>
        </w:rPr>
      </w:pPr>
    </w:p>
    <w:p>
      <w:pPr>
        <w:textAlignment w:val="auto"/>
        <w:rPr>
          <w:rStyle w:val="13"/>
          <w:rFonts w:ascii="宋体" w:hAnsi="宋体"/>
          <w:bCs/>
          <w:color w:val="000000"/>
          <w:sz w:val="28"/>
          <w:szCs w:val="28"/>
          <w:u w:val="single"/>
        </w:rPr>
      </w:pPr>
    </w:p>
    <w:p>
      <w:pPr>
        <w:textAlignment w:val="auto"/>
        <w:rPr>
          <w:rStyle w:val="13"/>
          <w:rFonts w:ascii="宋体" w:hAnsi="宋体"/>
          <w:bCs/>
          <w:color w:val="000000"/>
          <w:sz w:val="28"/>
          <w:szCs w:val="28"/>
          <w:u w:val="single"/>
        </w:rPr>
      </w:pPr>
    </w:p>
    <w:p>
      <w:pPr>
        <w:textAlignment w:val="auto"/>
        <w:rPr>
          <w:rStyle w:val="13"/>
          <w:rFonts w:ascii="宋体" w:hAnsi="宋体"/>
          <w:bCs/>
          <w:color w:val="000000"/>
          <w:sz w:val="28"/>
          <w:szCs w:val="28"/>
          <w:u w:val="single"/>
        </w:rPr>
      </w:pPr>
    </w:p>
    <w:p>
      <w:pPr>
        <w:textAlignment w:val="auto"/>
        <w:rPr>
          <w:rStyle w:val="13"/>
          <w:rFonts w:ascii="宋体" w:hAnsi="宋体"/>
          <w:bCs/>
          <w:color w:val="000000"/>
          <w:sz w:val="28"/>
          <w:szCs w:val="28"/>
          <w:u w:val="single"/>
        </w:rPr>
      </w:pPr>
    </w:p>
    <w:p>
      <w:pPr>
        <w:textAlignment w:val="auto"/>
        <w:rPr>
          <w:rStyle w:val="13"/>
          <w:rFonts w:ascii="宋体" w:hAnsi="宋体"/>
          <w:bCs/>
          <w:color w:val="000000"/>
          <w:sz w:val="28"/>
          <w:szCs w:val="28"/>
          <w:u w:val="single"/>
        </w:rPr>
      </w:pPr>
    </w:p>
    <w:p>
      <w:pPr>
        <w:textAlignment w:val="auto"/>
        <w:rPr>
          <w:rStyle w:val="13"/>
          <w:rFonts w:ascii="宋体" w:hAnsi="宋体" w:cs="宋体"/>
          <w:bCs/>
          <w:color w:val="000000"/>
          <w:sz w:val="28"/>
          <w:szCs w:val="28"/>
          <w:lang w:val="zh-CN"/>
        </w:rPr>
      </w:pPr>
      <w:r>
        <w:rPr>
          <w:rStyle w:val="13"/>
          <w:rFonts w:ascii="宋体" w:hAnsi="宋体"/>
          <w:bCs/>
          <w:color w:val="000000"/>
          <w:sz w:val="28"/>
          <w:szCs w:val="28"/>
          <w:u w:val="single"/>
        </w:rPr>
        <w:t xml:space="preserve">                                                  </w:t>
      </w:r>
      <w:r>
        <w:rPr>
          <w:rStyle w:val="13"/>
          <w:rFonts w:ascii="宋体" w:hAnsi="宋体"/>
          <w:bCs/>
          <w:color w:val="000000"/>
          <w:sz w:val="28"/>
          <w:szCs w:val="28"/>
        </w:rPr>
        <w:t xml:space="preserve">                </w:t>
      </w:r>
      <w:r>
        <w:rPr>
          <w:rStyle w:val="13"/>
          <w:rFonts w:ascii="宋体" w:hAnsi="宋体"/>
          <w:bCs/>
          <w:color w:val="000000"/>
          <w:sz w:val="28"/>
          <w:szCs w:val="28"/>
          <w:u w:val="single"/>
        </w:rPr>
        <w:t xml:space="preserve">                                                  </w:t>
      </w:r>
    </w:p>
    <w:p>
      <w:pPr>
        <w:spacing w:line="480" w:lineRule="auto"/>
        <w:ind w:left="4375" w:leftChars="150" w:hanging="4060" w:hangingChars="1450"/>
        <w:textAlignment w:val="auto"/>
        <w:rPr>
          <w:rStyle w:val="13"/>
          <w:rFonts w:ascii="宋体" w:hAnsi="宋体" w:cs="宋体"/>
          <w:bCs/>
          <w:color w:val="000000"/>
          <w:sz w:val="28"/>
          <w:szCs w:val="28"/>
        </w:rPr>
      </w:pPr>
      <w:r>
        <w:rPr>
          <w:rStyle w:val="13"/>
          <w:rFonts w:ascii="宋体" w:hAnsi="宋体" w:cs="宋体"/>
          <w:bCs/>
          <w:color w:val="000000"/>
          <w:sz w:val="28"/>
          <w:szCs w:val="28"/>
          <w:lang w:val="zh-CN"/>
        </w:rPr>
        <w:t>招标代理机构</w:t>
      </w:r>
      <w:r>
        <w:rPr>
          <w:rStyle w:val="13"/>
          <w:rFonts w:ascii="宋体" w:hAnsi="宋体"/>
          <w:color w:val="000000"/>
          <w:sz w:val="28"/>
          <w:szCs w:val="28"/>
          <w:lang w:val="zh-CN"/>
        </w:rPr>
        <w:t>（盖章）</w:t>
      </w:r>
      <w:r>
        <w:rPr>
          <w:rStyle w:val="13"/>
          <w:rFonts w:ascii="宋体" w:hAnsi="宋体" w:cs="宋体"/>
          <w:bCs/>
          <w:color w:val="000000"/>
          <w:sz w:val="28"/>
          <w:szCs w:val="28"/>
          <w:lang w:val="zh-CN"/>
        </w:rPr>
        <w:t>：</w:t>
      </w:r>
      <w:r>
        <w:rPr>
          <w:rStyle w:val="13"/>
          <w:rFonts w:ascii="宋体" w:hAnsi="宋体" w:cs="宋体"/>
          <w:bCs/>
          <w:color w:val="000000"/>
          <w:sz w:val="28"/>
          <w:szCs w:val="28"/>
        </w:rPr>
        <w:t>新疆天之源项目管理有限公司</w:t>
      </w:r>
    </w:p>
    <w:p>
      <w:pPr>
        <w:spacing w:line="480" w:lineRule="auto"/>
        <w:ind w:left="315" w:leftChars="150"/>
        <w:textAlignment w:val="auto"/>
        <w:rPr>
          <w:rStyle w:val="13"/>
          <w:rFonts w:ascii="宋体" w:hAnsi="宋体"/>
          <w:bCs/>
          <w:color w:val="000000"/>
          <w:sz w:val="28"/>
          <w:szCs w:val="28"/>
        </w:rPr>
      </w:pPr>
      <w:r>
        <w:rPr>
          <w:rStyle w:val="13"/>
          <w:rFonts w:ascii="宋体" w:hAnsi="宋体" w:cs="宋体"/>
          <w:bCs/>
          <w:color w:val="000000"/>
          <w:kern w:val="0"/>
          <w:sz w:val="28"/>
          <w:szCs w:val="28"/>
          <w:lang w:val="zh-CN"/>
        </w:rPr>
        <w:t>项目负责人</w:t>
      </w:r>
      <w:r>
        <w:rPr>
          <w:rStyle w:val="13"/>
          <w:rFonts w:ascii="宋体" w:hAnsi="宋体" w:cs="宋体"/>
          <w:bCs/>
          <w:color w:val="000000"/>
          <w:sz w:val="28"/>
          <w:szCs w:val="28"/>
          <w:lang w:val="zh-CN"/>
        </w:rPr>
        <w:t>：赵梅风</w:t>
      </w:r>
    </w:p>
    <w:tbl>
      <w:tblPr>
        <w:tblStyle w:val="10"/>
        <w:tblpPr w:leftFromText="180" w:rightFromText="180" w:vertAnchor="text" w:tblpX="10201" w:tblpY="377"/>
        <w:tblOverlap w:val="never"/>
        <w:tblW w:w="130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 w:hRule="atLeast"/>
        </w:trPr>
        <w:tc>
          <w:tcPr>
            <w:tcW w:w="1302" w:type="dxa"/>
            <w:tcBorders>
              <w:top w:val="single" w:color="000000" w:sz="4" w:space="0"/>
              <w:left w:val="single" w:color="000000" w:sz="4" w:space="0"/>
              <w:bottom w:val="single" w:color="000000" w:sz="4" w:space="0"/>
              <w:right w:val="single" w:color="000000" w:sz="4" w:space="0"/>
            </w:tcBorders>
          </w:tcPr>
          <w:p>
            <w:pPr>
              <w:spacing w:line="480" w:lineRule="auto"/>
              <w:textAlignment w:val="auto"/>
              <w:rPr>
                <w:rStyle w:val="13"/>
                <w:rFonts w:ascii="宋体" w:hAnsi="宋体" w:cs="宋体"/>
                <w:bCs/>
                <w:color w:val="000000"/>
                <w:kern w:val="0"/>
                <w:sz w:val="28"/>
                <w:szCs w:val="28"/>
                <w:lang w:val="zh-CN"/>
              </w:rPr>
            </w:pPr>
          </w:p>
        </w:tc>
      </w:tr>
    </w:tbl>
    <w:p>
      <w:pPr>
        <w:spacing w:line="480" w:lineRule="auto"/>
        <w:ind w:left="315" w:leftChars="150"/>
        <w:textAlignment w:val="auto"/>
        <w:rPr>
          <w:rStyle w:val="13"/>
          <w:rFonts w:ascii="宋体" w:hAnsi="宋体" w:cs="宋体"/>
          <w:bCs/>
          <w:color w:val="000000"/>
          <w:sz w:val="28"/>
          <w:szCs w:val="28"/>
        </w:rPr>
      </w:pPr>
      <w:r>
        <w:rPr>
          <w:rStyle w:val="13"/>
          <w:rFonts w:ascii="宋体" w:hAnsi="宋体" w:cs="宋体"/>
          <w:bCs/>
          <w:color w:val="000000"/>
          <w:kern w:val="0"/>
          <w:sz w:val="28"/>
          <w:szCs w:val="28"/>
          <w:lang w:val="zh-CN"/>
        </w:rPr>
        <w:t xml:space="preserve">电   </w:t>
      </w:r>
      <w:r>
        <w:rPr>
          <w:rStyle w:val="13"/>
          <w:rFonts w:ascii="宋体" w:hAnsi="宋体" w:cs="宋体"/>
          <w:bCs/>
          <w:color w:val="000000"/>
          <w:kern w:val="0"/>
          <w:sz w:val="28"/>
          <w:szCs w:val="28"/>
        </w:rPr>
        <w:t xml:space="preserve">  </w:t>
      </w:r>
      <w:r>
        <w:rPr>
          <w:rStyle w:val="13"/>
          <w:rFonts w:ascii="宋体" w:hAnsi="宋体" w:cs="宋体"/>
          <w:bCs/>
          <w:color w:val="000000"/>
          <w:kern w:val="0"/>
          <w:sz w:val="28"/>
          <w:szCs w:val="28"/>
          <w:lang w:val="zh-CN"/>
        </w:rPr>
        <w:t xml:space="preserve"> 话</w:t>
      </w:r>
      <w:r>
        <w:rPr>
          <w:rStyle w:val="13"/>
          <w:rFonts w:ascii="宋体" w:hAnsi="宋体" w:cs="宋体"/>
          <w:bCs/>
          <w:color w:val="000000"/>
          <w:sz w:val="28"/>
          <w:szCs w:val="28"/>
          <w:lang w:val="zh-CN"/>
        </w:rPr>
        <w:t>：</w:t>
      </w:r>
      <w:r>
        <w:rPr>
          <w:rStyle w:val="13"/>
          <w:rFonts w:ascii="宋体" w:hAnsi="宋体" w:cs="宋体"/>
          <w:bCs/>
          <w:color w:val="000000"/>
          <w:sz w:val="28"/>
          <w:szCs w:val="28"/>
        </w:rPr>
        <w:t>0903-7827070</w:t>
      </w:r>
      <w:r>
        <w:rPr>
          <w:rStyle w:val="13"/>
          <w:rFonts w:ascii="宋体" w:hAnsi="宋体" w:cs="宋体"/>
          <w:bCs/>
          <w:color w:val="000000"/>
          <w:sz w:val="28"/>
          <w:szCs w:val="28"/>
          <w:lang w:val="zh-CN"/>
        </w:rPr>
        <w:t> </w:t>
      </w:r>
    </w:p>
    <w:p>
      <w:pPr>
        <w:spacing w:line="480" w:lineRule="auto"/>
        <w:ind w:left="315" w:leftChars="150"/>
        <w:textAlignment w:val="auto"/>
        <w:rPr>
          <w:rStyle w:val="13"/>
          <w:rFonts w:ascii="宋体" w:hAnsi="宋体" w:cs="宋体"/>
          <w:bCs/>
          <w:color w:val="000000"/>
          <w:kern w:val="0"/>
          <w:sz w:val="28"/>
          <w:szCs w:val="28"/>
        </w:rPr>
      </w:pPr>
      <w:r>
        <w:rPr>
          <w:rStyle w:val="13"/>
          <w:rFonts w:ascii="宋体" w:hAnsi="宋体" w:cs="宋体"/>
          <w:bCs/>
          <w:color w:val="000000"/>
          <w:kern w:val="0"/>
          <w:sz w:val="28"/>
          <w:szCs w:val="28"/>
          <w:lang w:val="zh-CN"/>
        </w:rPr>
        <w:t>详细地址：</w:t>
      </w:r>
      <w:r>
        <w:rPr>
          <w:rStyle w:val="13"/>
          <w:rFonts w:ascii="宋体" w:hAnsi="宋体" w:cs="宋体"/>
          <w:bCs/>
          <w:color w:val="000000"/>
          <w:kern w:val="0"/>
          <w:sz w:val="28"/>
          <w:szCs w:val="28"/>
        </w:rPr>
        <w:t>和田市人民街玉都国际广场金座7楼</w:t>
      </w:r>
    </w:p>
    <w:p>
      <w:pPr>
        <w:rPr>
          <w:rStyle w:val="13"/>
          <w:rFonts w:ascii="宋体" w:hAnsi="宋体"/>
          <w:b/>
          <w:bCs/>
          <w:color w:val="000000"/>
          <w:sz w:val="28"/>
          <w:szCs w:val="28"/>
        </w:rPr>
      </w:pPr>
    </w:p>
    <w:p>
      <w:pPr>
        <w:rPr>
          <w:rStyle w:val="13"/>
          <w:rFonts w:ascii="宋体" w:hAnsi="宋体"/>
          <w:b/>
          <w:bCs/>
          <w:color w:val="000000"/>
          <w:sz w:val="28"/>
          <w:szCs w:val="28"/>
        </w:rPr>
      </w:pPr>
    </w:p>
    <w:p>
      <w:pPr>
        <w:pStyle w:val="85"/>
        <w:numPr>
          <w:ilvl w:val="1"/>
          <w:numId w:val="0"/>
        </w:numPr>
        <w:rPr>
          <w:rStyle w:val="13"/>
        </w:rPr>
      </w:pPr>
    </w:p>
    <w:p>
      <w:pPr>
        <w:rPr>
          <w:rStyle w:val="13"/>
          <w:rFonts w:ascii="宋体" w:hAnsi="宋体"/>
          <w:b/>
          <w:bCs/>
          <w:color w:val="000000"/>
          <w:sz w:val="28"/>
          <w:szCs w:val="28"/>
        </w:rPr>
      </w:pPr>
    </w:p>
    <w:p>
      <w:pPr>
        <w:rPr>
          <w:rStyle w:val="13"/>
          <w:rFonts w:ascii="宋体" w:hAnsi="宋体"/>
          <w:b/>
          <w:bCs/>
          <w:color w:val="000000"/>
          <w:sz w:val="28"/>
          <w:szCs w:val="28"/>
        </w:rPr>
        <w:sectPr>
          <w:footerReference r:id="rId5" w:type="default"/>
          <w:pgSz w:w="11907" w:h="16840"/>
          <w:pgMar w:top="1474" w:right="1814" w:bottom="1474" w:left="1814" w:header="851" w:footer="851" w:gutter="0"/>
          <w:pgNumType w:start="1"/>
          <w:cols w:space="425" w:num="1"/>
          <w:docGrid w:linePitch="462" w:charSpace="0"/>
        </w:sectPr>
      </w:pPr>
    </w:p>
    <w:p>
      <w:pPr>
        <w:rPr>
          <w:rStyle w:val="13"/>
          <w:rFonts w:ascii="宋体" w:hAnsi="宋体"/>
          <w:b/>
          <w:bCs/>
          <w:color w:val="000000"/>
          <w:sz w:val="28"/>
          <w:szCs w:val="28"/>
        </w:rPr>
      </w:pPr>
      <w:r>
        <w:rPr>
          <w:rStyle w:val="13"/>
          <w:rFonts w:ascii="宋体" w:hAnsi="宋体"/>
          <w:b/>
          <w:bCs/>
          <w:color w:val="000000"/>
          <w:sz w:val="28"/>
          <w:szCs w:val="28"/>
        </w:rPr>
        <w:t>采购办备案登记栏</w:t>
      </w:r>
    </w:p>
    <w:tbl>
      <w:tblPr>
        <w:tblStyle w:val="10"/>
        <w:tblpPr w:leftFromText="180" w:rightFromText="180" w:vertAnchor="text" w:horzAnchor="page" w:tblpXSpec="center" w:tblpY="368"/>
        <w:tblOverlap w:val="never"/>
        <w:tblW w:w="84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66" w:hRule="atLeast"/>
          <w:jc w:val="center"/>
        </w:trPr>
        <w:tc>
          <w:tcPr>
            <w:tcW w:w="8477" w:type="dxa"/>
            <w:tcBorders>
              <w:top w:val="single" w:color="000000" w:sz="4" w:space="0"/>
              <w:left w:val="single" w:color="000000" w:sz="4" w:space="0"/>
              <w:bottom w:val="single" w:color="000000" w:sz="4" w:space="0"/>
              <w:right w:val="single" w:color="000000" w:sz="4" w:space="0"/>
            </w:tcBorders>
          </w:tcPr>
          <w:p>
            <w:pPr>
              <w:jc w:val="center"/>
              <w:rPr>
                <w:rStyle w:val="13"/>
                <w:rFonts w:ascii="宋体" w:hAnsi="宋体"/>
                <w:color w:val="000000"/>
                <w:sz w:val="28"/>
                <w:szCs w:val="28"/>
              </w:rPr>
            </w:pPr>
          </w:p>
          <w:p>
            <w:pPr>
              <w:jc w:val="center"/>
              <w:rPr>
                <w:rStyle w:val="13"/>
                <w:rFonts w:ascii="宋体" w:hAnsi="宋体"/>
                <w:color w:val="000000"/>
                <w:sz w:val="28"/>
                <w:szCs w:val="28"/>
              </w:rPr>
            </w:pPr>
          </w:p>
          <w:p>
            <w:pPr>
              <w:jc w:val="center"/>
              <w:rPr>
                <w:rStyle w:val="13"/>
                <w:rFonts w:ascii="宋体" w:hAnsi="宋体"/>
                <w:color w:val="000000"/>
                <w:sz w:val="28"/>
                <w:szCs w:val="28"/>
              </w:rPr>
            </w:pPr>
          </w:p>
          <w:p>
            <w:pPr>
              <w:jc w:val="center"/>
              <w:rPr>
                <w:rStyle w:val="13"/>
                <w:rFonts w:ascii="宋体" w:hAnsi="宋体"/>
                <w:color w:val="000000"/>
                <w:sz w:val="28"/>
                <w:szCs w:val="28"/>
              </w:rPr>
            </w:pPr>
          </w:p>
          <w:p>
            <w:pPr>
              <w:jc w:val="center"/>
              <w:rPr>
                <w:rStyle w:val="13"/>
                <w:rFonts w:ascii="宋体" w:hAnsi="宋体"/>
                <w:color w:val="000000"/>
                <w:sz w:val="28"/>
                <w:szCs w:val="28"/>
              </w:rPr>
            </w:pPr>
          </w:p>
          <w:p>
            <w:pPr>
              <w:rPr>
                <w:rStyle w:val="13"/>
                <w:rFonts w:ascii="宋体" w:hAnsi="宋体"/>
                <w:color w:val="000000"/>
                <w:sz w:val="28"/>
                <w:szCs w:val="28"/>
              </w:rPr>
            </w:pPr>
          </w:p>
          <w:p>
            <w:pPr>
              <w:pStyle w:val="20"/>
              <w:rPr>
                <w:rStyle w:val="13"/>
                <w:color w:val="000000"/>
              </w:rPr>
            </w:pPr>
          </w:p>
          <w:p>
            <w:pPr>
              <w:jc w:val="center"/>
              <w:rPr>
                <w:rStyle w:val="13"/>
                <w:rFonts w:ascii="宋体" w:hAnsi="宋体"/>
                <w:color w:val="000000"/>
                <w:sz w:val="28"/>
                <w:szCs w:val="28"/>
              </w:rPr>
            </w:pPr>
            <w:r>
              <w:rPr>
                <w:rStyle w:val="13"/>
                <w:rFonts w:ascii="宋体" w:hAnsi="宋体"/>
                <w:color w:val="000000"/>
                <w:sz w:val="28"/>
                <w:szCs w:val="28"/>
              </w:rPr>
              <w:t>本招标文件已报备</w:t>
            </w:r>
          </w:p>
          <w:p>
            <w:pPr>
              <w:jc w:val="center"/>
              <w:rPr>
                <w:rStyle w:val="13"/>
                <w:rFonts w:ascii="宋体" w:hAnsi="宋体"/>
                <w:color w:val="000000"/>
                <w:sz w:val="28"/>
                <w:szCs w:val="28"/>
              </w:rPr>
            </w:pPr>
          </w:p>
          <w:p>
            <w:pPr>
              <w:jc w:val="center"/>
              <w:rPr>
                <w:rStyle w:val="13"/>
                <w:rFonts w:ascii="宋体" w:hAnsi="宋体"/>
                <w:color w:val="000000"/>
                <w:sz w:val="28"/>
                <w:szCs w:val="28"/>
              </w:rPr>
            </w:pPr>
          </w:p>
          <w:p>
            <w:pPr>
              <w:jc w:val="center"/>
              <w:rPr>
                <w:rStyle w:val="13"/>
                <w:rFonts w:ascii="宋体" w:hAnsi="宋体"/>
                <w:color w:val="000000"/>
                <w:sz w:val="28"/>
                <w:szCs w:val="28"/>
              </w:rPr>
            </w:pPr>
          </w:p>
          <w:p>
            <w:pPr>
              <w:jc w:val="center"/>
              <w:rPr>
                <w:rStyle w:val="13"/>
                <w:rFonts w:ascii="宋体" w:hAnsi="宋体"/>
                <w:color w:val="000000"/>
                <w:sz w:val="28"/>
                <w:szCs w:val="28"/>
              </w:rPr>
            </w:pPr>
          </w:p>
          <w:p>
            <w:pPr>
              <w:rPr>
                <w:rStyle w:val="13"/>
                <w:rFonts w:ascii="宋体" w:hAnsi="宋体"/>
                <w:b/>
                <w:bCs/>
                <w:color w:val="000000"/>
                <w:sz w:val="28"/>
                <w:szCs w:val="28"/>
              </w:rPr>
            </w:pPr>
          </w:p>
          <w:p>
            <w:pPr>
              <w:pStyle w:val="20"/>
              <w:rPr>
                <w:rStyle w:val="13"/>
                <w:color w:val="000000"/>
              </w:rPr>
            </w:pPr>
          </w:p>
          <w:p>
            <w:pPr>
              <w:rPr>
                <w:rStyle w:val="13"/>
                <w:color w:val="000000"/>
              </w:rPr>
            </w:pPr>
          </w:p>
          <w:p>
            <w:pPr>
              <w:pStyle w:val="20"/>
              <w:rPr>
                <w:rStyle w:val="13"/>
                <w:color w:val="000000"/>
              </w:rPr>
            </w:pPr>
          </w:p>
          <w:p>
            <w:pPr>
              <w:rPr>
                <w:rStyle w:val="13"/>
                <w:color w:val="000000"/>
              </w:rPr>
            </w:pPr>
          </w:p>
          <w:p>
            <w:pPr>
              <w:jc w:val="center"/>
              <w:rPr>
                <w:rStyle w:val="13"/>
                <w:rFonts w:ascii="宋体" w:hAnsi="宋体"/>
                <w:b/>
                <w:bCs/>
                <w:color w:val="000000"/>
                <w:sz w:val="28"/>
                <w:szCs w:val="28"/>
              </w:rPr>
            </w:pPr>
          </w:p>
          <w:p>
            <w:pPr>
              <w:pStyle w:val="20"/>
              <w:rPr>
                <w:rStyle w:val="13"/>
              </w:rPr>
            </w:pPr>
          </w:p>
          <w:p>
            <w:pPr>
              <w:rPr>
                <w:rStyle w:val="13"/>
                <w:rFonts w:ascii="宋体" w:hAnsi="宋体"/>
                <w:b/>
                <w:bCs/>
                <w:color w:val="000000"/>
                <w:sz w:val="28"/>
                <w:szCs w:val="28"/>
              </w:rPr>
            </w:pPr>
          </w:p>
          <w:p>
            <w:pPr>
              <w:rPr>
                <w:rStyle w:val="13"/>
                <w:rFonts w:ascii="宋体" w:hAnsi="宋体"/>
                <w:bCs/>
                <w:color w:val="000000"/>
                <w:sz w:val="28"/>
                <w:szCs w:val="28"/>
              </w:rPr>
            </w:pPr>
            <w:r>
              <w:rPr>
                <w:rStyle w:val="13"/>
                <w:rFonts w:ascii="宋体" w:hAnsi="宋体"/>
                <w:bCs/>
                <w:color w:val="000000"/>
                <w:sz w:val="28"/>
                <w:szCs w:val="28"/>
              </w:rPr>
              <w:t>项目名称：皮山县AI+紧密型医共体项目</w:t>
            </w:r>
          </w:p>
          <w:p>
            <w:pPr>
              <w:pStyle w:val="2"/>
              <w:rPr>
                <w:rStyle w:val="13"/>
              </w:rPr>
            </w:pPr>
          </w:p>
          <w:p>
            <w:pPr>
              <w:rPr>
                <w:rStyle w:val="13"/>
                <w:rFonts w:ascii="宋体" w:hAnsi="宋体"/>
                <w:color w:val="000000"/>
                <w:sz w:val="28"/>
                <w:szCs w:val="28"/>
              </w:rPr>
            </w:pPr>
          </w:p>
          <w:p>
            <w:pPr>
              <w:rPr>
                <w:rStyle w:val="13"/>
                <w:rFonts w:ascii="宋体" w:hAnsi="宋体"/>
                <w:b/>
                <w:bCs/>
                <w:color w:val="000000"/>
                <w:sz w:val="28"/>
                <w:szCs w:val="28"/>
              </w:rPr>
            </w:pPr>
            <w:r>
              <w:rPr>
                <w:rStyle w:val="13"/>
                <w:rFonts w:ascii="宋体" w:hAnsi="宋体"/>
                <w:bCs/>
                <w:color w:val="000000"/>
                <w:sz w:val="28"/>
                <w:szCs w:val="28"/>
              </w:rPr>
              <w:t>备案日期：</w:t>
            </w:r>
          </w:p>
        </w:tc>
      </w:tr>
    </w:tbl>
    <w:p>
      <w:pPr>
        <w:ind w:right="4" w:rightChars="2"/>
        <w:rPr>
          <w:rStyle w:val="13"/>
          <w:rFonts w:ascii="宋体" w:hAnsi="宋体"/>
          <w:b/>
          <w:color w:val="000000"/>
          <w:sz w:val="44"/>
        </w:rPr>
      </w:pPr>
    </w:p>
    <w:p>
      <w:pPr>
        <w:ind w:right="4" w:rightChars="2"/>
        <w:rPr>
          <w:rStyle w:val="13"/>
          <w:rFonts w:ascii="宋体" w:hAnsi="宋体"/>
          <w:b/>
          <w:color w:val="000000"/>
          <w:sz w:val="44"/>
        </w:rPr>
      </w:pPr>
    </w:p>
    <w:p>
      <w:pPr>
        <w:ind w:right="4" w:rightChars="2"/>
        <w:jc w:val="center"/>
        <w:rPr>
          <w:rStyle w:val="13"/>
          <w:rFonts w:ascii="宋体" w:hAnsi="宋体"/>
          <w:b/>
          <w:color w:val="000000"/>
          <w:sz w:val="44"/>
        </w:rPr>
        <w:sectPr>
          <w:footerReference r:id="rId6" w:type="default"/>
          <w:pgSz w:w="11907" w:h="16840"/>
          <w:pgMar w:top="1474" w:right="1814" w:bottom="1474" w:left="1814" w:header="851" w:footer="851" w:gutter="0"/>
          <w:pgNumType w:start="1"/>
          <w:cols w:space="425" w:num="1"/>
          <w:docGrid w:linePitch="462" w:charSpace="0"/>
        </w:sectPr>
      </w:pPr>
    </w:p>
    <w:p>
      <w:pPr>
        <w:ind w:right="4" w:rightChars="2"/>
        <w:jc w:val="center"/>
        <w:rPr>
          <w:rStyle w:val="13"/>
          <w:rFonts w:ascii="宋体"/>
          <w:b/>
          <w:color w:val="000000"/>
          <w:sz w:val="44"/>
        </w:rPr>
      </w:pPr>
      <w:r>
        <w:rPr>
          <w:rStyle w:val="13"/>
          <w:rFonts w:ascii="宋体" w:hAnsi="宋体"/>
          <w:b/>
          <w:color w:val="000000"/>
          <w:sz w:val="44"/>
        </w:rPr>
        <w:t>目　　录</w:t>
      </w:r>
    </w:p>
    <w:p>
      <w:pPr>
        <w:rPr>
          <w:rStyle w:val="13"/>
          <w:rFonts w:ascii="宋体"/>
          <w:color w:val="000000"/>
          <w:sz w:val="24"/>
        </w:rPr>
      </w:pPr>
    </w:p>
    <w:p>
      <w:pPr>
        <w:spacing w:line="360" w:lineRule="auto"/>
        <w:rPr>
          <w:rStyle w:val="13"/>
          <w:rFonts w:ascii="宋体"/>
          <w:color w:val="000000"/>
          <w:sz w:val="24"/>
        </w:rPr>
      </w:pPr>
      <w:r>
        <w:rPr>
          <w:rStyle w:val="13"/>
          <w:rFonts w:ascii="宋体" w:hAnsi="宋体"/>
          <w:color w:val="000000"/>
          <w:sz w:val="24"/>
        </w:rPr>
        <w:t>第一部分　采购公告</w:t>
      </w:r>
    </w:p>
    <w:p>
      <w:pPr>
        <w:spacing w:line="360" w:lineRule="auto"/>
        <w:rPr>
          <w:rStyle w:val="13"/>
          <w:rFonts w:ascii="宋体"/>
          <w:color w:val="000000"/>
          <w:sz w:val="24"/>
        </w:rPr>
      </w:pPr>
      <w:r>
        <w:rPr>
          <w:rStyle w:val="13"/>
          <w:rFonts w:ascii="宋体" w:hAnsi="宋体"/>
          <w:color w:val="000000"/>
          <w:sz w:val="24"/>
        </w:rPr>
        <w:t>第二部分　投标须知</w:t>
      </w:r>
    </w:p>
    <w:p>
      <w:pPr>
        <w:spacing w:line="360" w:lineRule="auto"/>
        <w:rPr>
          <w:rStyle w:val="13"/>
          <w:rFonts w:ascii="宋体" w:hAnsi="宋体"/>
          <w:color w:val="000000"/>
          <w:sz w:val="24"/>
        </w:rPr>
      </w:pPr>
      <w:r>
        <w:rPr>
          <w:rStyle w:val="13"/>
          <w:rFonts w:ascii="宋体" w:hAnsi="宋体"/>
          <w:color w:val="000000"/>
          <w:sz w:val="24"/>
        </w:rPr>
        <w:t>第三部分　货物采购要求、技术参数、规格及需求表</w:t>
      </w:r>
    </w:p>
    <w:p>
      <w:pPr>
        <w:spacing w:line="360" w:lineRule="auto"/>
        <w:rPr>
          <w:rStyle w:val="13"/>
          <w:rFonts w:ascii="宋体" w:hAnsi="宋体"/>
          <w:color w:val="000000"/>
          <w:sz w:val="24"/>
        </w:rPr>
      </w:pPr>
      <w:r>
        <w:rPr>
          <w:rStyle w:val="13"/>
          <w:rFonts w:ascii="宋体" w:hAnsi="宋体"/>
          <w:color w:val="000000"/>
          <w:sz w:val="24"/>
        </w:rPr>
        <w:t>第四部分　采购合同（范本）</w:t>
      </w:r>
    </w:p>
    <w:p>
      <w:pPr>
        <w:spacing w:line="360" w:lineRule="auto"/>
        <w:rPr>
          <w:rStyle w:val="13"/>
          <w:rFonts w:ascii="宋体" w:hAnsi="宋体"/>
          <w:color w:val="000000"/>
          <w:sz w:val="24"/>
        </w:rPr>
      </w:pPr>
      <w:r>
        <w:rPr>
          <w:rStyle w:val="13"/>
          <w:rFonts w:ascii="宋体" w:hAnsi="宋体"/>
          <w:color w:val="000000"/>
          <w:sz w:val="24"/>
        </w:rPr>
        <w:t>第五部分　投标文件内容及格式</w:t>
      </w:r>
    </w:p>
    <w:p>
      <w:pPr>
        <w:spacing w:line="500" w:lineRule="exact"/>
        <w:jc w:val="center"/>
        <w:rPr>
          <w:rStyle w:val="13"/>
          <w:rFonts w:ascii="宋体" w:hAnsi="宋体"/>
          <w:b/>
          <w:color w:val="000000"/>
          <w:sz w:val="28"/>
          <w:szCs w:val="28"/>
        </w:rPr>
      </w:pPr>
    </w:p>
    <w:p>
      <w:pPr>
        <w:pStyle w:val="20"/>
        <w:rPr>
          <w:rStyle w:val="13"/>
          <w:rFonts w:ascii="宋体" w:hAnsi="宋体"/>
          <w:b/>
          <w:color w:val="000000"/>
          <w:sz w:val="28"/>
          <w:szCs w:val="28"/>
        </w:rPr>
      </w:pPr>
    </w:p>
    <w:p>
      <w:pPr>
        <w:rPr>
          <w:rStyle w:val="13"/>
          <w:rFonts w:ascii="宋体" w:hAnsi="宋体"/>
          <w:b/>
          <w:color w:val="000000"/>
          <w:sz w:val="28"/>
          <w:szCs w:val="28"/>
        </w:rPr>
      </w:pPr>
    </w:p>
    <w:p>
      <w:pPr>
        <w:pStyle w:val="20"/>
        <w:rPr>
          <w:rStyle w:val="13"/>
          <w:rFonts w:ascii="宋体" w:hAnsi="宋体"/>
          <w:b/>
          <w:color w:val="000000"/>
          <w:sz w:val="28"/>
          <w:szCs w:val="28"/>
        </w:rPr>
      </w:pPr>
    </w:p>
    <w:p>
      <w:pPr>
        <w:rPr>
          <w:rStyle w:val="13"/>
          <w:rFonts w:ascii="宋体" w:hAnsi="宋体"/>
          <w:b/>
          <w:color w:val="000000"/>
          <w:sz w:val="28"/>
          <w:szCs w:val="28"/>
        </w:rPr>
      </w:pPr>
    </w:p>
    <w:p>
      <w:pPr>
        <w:pStyle w:val="20"/>
        <w:rPr>
          <w:rStyle w:val="13"/>
          <w:rFonts w:ascii="宋体" w:hAnsi="宋体"/>
          <w:b/>
          <w:color w:val="000000"/>
          <w:sz w:val="28"/>
          <w:szCs w:val="28"/>
        </w:rPr>
      </w:pPr>
    </w:p>
    <w:p>
      <w:pPr>
        <w:rPr>
          <w:rStyle w:val="13"/>
          <w:rFonts w:ascii="宋体" w:hAnsi="宋体"/>
          <w:b/>
          <w:color w:val="000000"/>
          <w:sz w:val="28"/>
          <w:szCs w:val="28"/>
        </w:rPr>
      </w:pPr>
    </w:p>
    <w:p>
      <w:pPr>
        <w:pStyle w:val="20"/>
        <w:rPr>
          <w:rStyle w:val="13"/>
          <w:rFonts w:ascii="宋体" w:hAnsi="宋体"/>
          <w:b/>
          <w:color w:val="000000"/>
          <w:sz w:val="28"/>
          <w:szCs w:val="28"/>
        </w:rPr>
      </w:pPr>
    </w:p>
    <w:p>
      <w:pPr>
        <w:rPr>
          <w:rStyle w:val="13"/>
          <w:rFonts w:ascii="宋体" w:hAnsi="宋体"/>
          <w:b/>
          <w:color w:val="000000"/>
          <w:sz w:val="28"/>
          <w:szCs w:val="28"/>
        </w:rPr>
      </w:pPr>
    </w:p>
    <w:p>
      <w:pPr>
        <w:pStyle w:val="20"/>
        <w:rPr>
          <w:rStyle w:val="13"/>
        </w:rPr>
      </w:pPr>
    </w:p>
    <w:p>
      <w:pPr>
        <w:rPr>
          <w:rStyle w:val="13"/>
        </w:rPr>
      </w:pPr>
    </w:p>
    <w:p>
      <w:pPr>
        <w:pStyle w:val="20"/>
        <w:rPr>
          <w:rStyle w:val="13"/>
        </w:rPr>
      </w:pPr>
    </w:p>
    <w:p>
      <w:pPr>
        <w:rPr>
          <w:rStyle w:val="13"/>
        </w:rPr>
      </w:pPr>
    </w:p>
    <w:p>
      <w:pPr>
        <w:spacing w:line="500" w:lineRule="exact"/>
        <w:jc w:val="center"/>
        <w:rPr>
          <w:rStyle w:val="13"/>
          <w:rFonts w:ascii="宋体" w:hAnsi="宋体"/>
          <w:b/>
          <w:color w:val="000000"/>
          <w:sz w:val="28"/>
          <w:szCs w:val="28"/>
        </w:rPr>
      </w:pPr>
    </w:p>
    <w:p>
      <w:pPr>
        <w:spacing w:line="500" w:lineRule="exact"/>
        <w:jc w:val="center"/>
        <w:rPr>
          <w:rStyle w:val="13"/>
          <w:rFonts w:ascii="宋体" w:hAnsi="宋体"/>
          <w:b/>
          <w:color w:val="000000"/>
          <w:sz w:val="28"/>
          <w:szCs w:val="28"/>
        </w:rPr>
      </w:pPr>
    </w:p>
    <w:p>
      <w:pPr>
        <w:spacing w:line="500" w:lineRule="exact"/>
        <w:jc w:val="center"/>
        <w:rPr>
          <w:rStyle w:val="13"/>
          <w:rFonts w:ascii="宋体" w:hAnsi="宋体" w:cs="宋体"/>
          <w:b/>
          <w:bCs/>
          <w:color w:val="000000"/>
          <w:sz w:val="36"/>
          <w:szCs w:val="36"/>
        </w:rPr>
      </w:pPr>
      <w:r>
        <w:rPr>
          <w:rStyle w:val="13"/>
          <w:rFonts w:ascii="宋体" w:hAnsi="宋体"/>
          <w:b/>
          <w:color w:val="000000"/>
          <w:sz w:val="28"/>
          <w:szCs w:val="28"/>
        </w:rPr>
        <w:t>第一部分   采购公告</w:t>
      </w:r>
    </w:p>
    <w:p>
      <w:pPr>
        <w:jc w:val="center"/>
        <w:rPr>
          <w:rStyle w:val="13"/>
          <w:rFonts w:ascii="宋体" w:hAnsi="宋体" w:cs="宋体"/>
          <w:b/>
          <w:bCs/>
          <w:color w:val="000000"/>
          <w:sz w:val="32"/>
          <w:szCs w:val="32"/>
        </w:rPr>
      </w:pPr>
      <w:r>
        <w:rPr>
          <w:rStyle w:val="13"/>
          <w:rFonts w:ascii="宋体" w:hAnsi="宋体" w:cs="宋体"/>
          <w:b/>
          <w:bCs/>
          <w:color w:val="000000"/>
          <w:sz w:val="32"/>
          <w:szCs w:val="32"/>
        </w:rPr>
        <w:t>皮山县AI+紧密型医共体项目公开招标公告</w:t>
      </w:r>
    </w:p>
    <w:p>
      <w:pPr>
        <w:spacing w:after="75"/>
        <w:jc w:val="left"/>
        <w:rPr>
          <w:rStyle w:val="13"/>
          <w:rFonts w:ascii="宋体" w:hAnsi="宋体"/>
          <w:color w:val="000000"/>
          <w:szCs w:val="22"/>
        </w:rPr>
      </w:pPr>
      <w:r>
        <w:rPr>
          <w:rStyle w:val="13"/>
          <w:rFonts w:ascii="宋体" w:hAnsi="宋体"/>
          <w:color w:val="000000"/>
        </w:rPr>
        <w:t>一、招标项目编号</w:t>
      </w:r>
      <w:r>
        <w:rPr>
          <w:rStyle w:val="13"/>
          <w:rFonts w:ascii="宋体" w:hAnsi="宋体"/>
          <w:color w:val="000000"/>
          <w:szCs w:val="22"/>
        </w:rPr>
        <w:t xml:space="preserve">： </w:t>
      </w:r>
      <w:r>
        <w:rPr>
          <w:rStyle w:val="13"/>
          <w:rFonts w:hint="eastAsia" w:ascii="宋体" w:hAnsi="宋体"/>
          <w:color w:val="000000"/>
          <w:szCs w:val="22"/>
        </w:rPr>
        <w:t>PSXZC2020-013</w:t>
      </w:r>
    </w:p>
    <w:p>
      <w:pPr>
        <w:spacing w:before="75" w:after="75"/>
        <w:jc w:val="left"/>
        <w:rPr>
          <w:rStyle w:val="13"/>
          <w:rFonts w:ascii="宋体" w:hAnsi="宋体"/>
          <w:color w:val="000000"/>
        </w:rPr>
      </w:pPr>
      <w:r>
        <w:rPr>
          <w:rStyle w:val="13"/>
          <w:rFonts w:ascii="宋体" w:hAnsi="宋体"/>
          <w:color w:val="000000"/>
        </w:rPr>
        <w:t>二、采购组织类型：分散采购-分散委托中介 </w:t>
      </w:r>
    </w:p>
    <w:p>
      <w:pPr>
        <w:spacing w:before="75" w:after="75"/>
        <w:jc w:val="left"/>
        <w:rPr>
          <w:rStyle w:val="13"/>
          <w:rFonts w:ascii="宋体" w:hAnsi="宋体"/>
          <w:color w:val="000000"/>
        </w:rPr>
      </w:pPr>
      <w:r>
        <w:rPr>
          <w:rStyle w:val="13"/>
          <w:rFonts w:ascii="宋体" w:hAnsi="宋体"/>
          <w:color w:val="000000"/>
        </w:rPr>
        <w:t>三、招标项目概况</w:t>
      </w:r>
    </w:p>
    <w:tbl>
      <w:tblPr>
        <w:tblStyle w:val="10"/>
        <w:tblW w:w="86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7"/>
        <w:gridCol w:w="1843"/>
        <w:gridCol w:w="1418"/>
        <w:gridCol w:w="3544"/>
        <w:gridCol w:w="12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spacing w:after="150"/>
              <w:jc w:val="center"/>
              <w:rPr>
                <w:rStyle w:val="13"/>
                <w:rFonts w:ascii="宋体" w:hAnsi="宋体"/>
                <w:color w:val="000000"/>
              </w:rPr>
            </w:pPr>
            <w:r>
              <w:rPr>
                <w:rStyle w:val="13"/>
                <w:rFonts w:ascii="宋体" w:hAnsi="宋体"/>
                <w:color w:val="000000"/>
              </w:rPr>
              <w:t>标项序号</w:t>
            </w:r>
          </w:p>
        </w:tc>
        <w:tc>
          <w:tcPr>
            <w:tcW w:w="1843" w:type="dxa"/>
            <w:tcBorders>
              <w:top w:val="single" w:color="000000" w:sz="4" w:space="0"/>
              <w:left w:val="single" w:color="000000" w:sz="4" w:space="0"/>
              <w:bottom w:val="single" w:color="000000" w:sz="4" w:space="0"/>
              <w:right w:val="single" w:color="000000" w:sz="4" w:space="0"/>
            </w:tcBorders>
            <w:vAlign w:val="center"/>
          </w:tcPr>
          <w:p>
            <w:pPr>
              <w:spacing w:after="150"/>
              <w:jc w:val="center"/>
              <w:rPr>
                <w:rStyle w:val="13"/>
                <w:rFonts w:ascii="宋体" w:hAnsi="宋体"/>
                <w:color w:val="000000"/>
              </w:rPr>
            </w:pPr>
            <w:r>
              <w:rPr>
                <w:rStyle w:val="13"/>
                <w:rFonts w:ascii="宋体" w:hAnsi="宋体"/>
                <w:color w:val="000000"/>
              </w:rPr>
              <w:t>标项名称</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after="150"/>
              <w:jc w:val="center"/>
              <w:rPr>
                <w:rStyle w:val="13"/>
                <w:rFonts w:ascii="宋体" w:hAnsi="宋体"/>
                <w:color w:val="000000"/>
              </w:rPr>
            </w:pPr>
            <w:r>
              <w:rPr>
                <w:rStyle w:val="13"/>
                <w:rFonts w:ascii="宋体" w:hAnsi="宋体"/>
                <w:color w:val="000000"/>
              </w:rPr>
              <w:t>预算金额(万元)</w:t>
            </w:r>
          </w:p>
        </w:tc>
        <w:tc>
          <w:tcPr>
            <w:tcW w:w="3544" w:type="dxa"/>
            <w:tcBorders>
              <w:top w:val="single" w:color="000000" w:sz="4" w:space="0"/>
              <w:left w:val="single" w:color="000000" w:sz="4" w:space="0"/>
              <w:bottom w:val="single" w:color="000000" w:sz="4" w:space="0"/>
              <w:right w:val="single" w:color="000000" w:sz="4" w:space="0"/>
            </w:tcBorders>
            <w:vAlign w:val="center"/>
          </w:tcPr>
          <w:p>
            <w:pPr>
              <w:spacing w:after="150"/>
              <w:jc w:val="center"/>
              <w:rPr>
                <w:rStyle w:val="13"/>
                <w:rFonts w:ascii="宋体" w:hAnsi="宋体"/>
                <w:color w:val="000000"/>
              </w:rPr>
            </w:pPr>
            <w:r>
              <w:rPr>
                <w:rStyle w:val="13"/>
                <w:rFonts w:ascii="宋体" w:hAnsi="宋体"/>
                <w:color w:val="000000"/>
              </w:rPr>
              <w:t>简要规格描述</w:t>
            </w:r>
          </w:p>
        </w:tc>
        <w:tc>
          <w:tcPr>
            <w:tcW w:w="1224" w:type="dxa"/>
            <w:tcBorders>
              <w:top w:val="single" w:color="000000" w:sz="4" w:space="0"/>
              <w:left w:val="single" w:color="000000" w:sz="4" w:space="0"/>
              <w:bottom w:val="single" w:color="000000" w:sz="4" w:space="0"/>
              <w:right w:val="single" w:color="000000" w:sz="4" w:space="0"/>
            </w:tcBorders>
            <w:vAlign w:val="center"/>
          </w:tcPr>
          <w:p>
            <w:pPr>
              <w:spacing w:after="150"/>
              <w:jc w:val="center"/>
              <w:rPr>
                <w:rStyle w:val="13"/>
                <w:rFonts w:ascii="宋体" w:hAnsi="宋体"/>
                <w:color w:val="000000"/>
              </w:rPr>
            </w:pPr>
            <w:r>
              <w:rPr>
                <w:rStyle w:val="13"/>
                <w:rFonts w:ascii="宋体" w:hAnsi="宋体"/>
                <w:color w:val="0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6"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spacing w:after="150"/>
              <w:jc w:val="center"/>
              <w:rPr>
                <w:rStyle w:val="13"/>
                <w:rFonts w:ascii="宋体" w:hAnsi="宋体"/>
                <w:color w:val="000000"/>
              </w:rPr>
            </w:pPr>
            <w:r>
              <w:rPr>
                <w:rStyle w:val="13"/>
                <w:rFonts w:ascii="宋体" w:hAnsi="宋体"/>
                <w:color w:val="000000"/>
              </w:rPr>
              <w:t>1</w:t>
            </w:r>
          </w:p>
        </w:tc>
        <w:tc>
          <w:tcPr>
            <w:tcW w:w="1843" w:type="dxa"/>
            <w:tcBorders>
              <w:top w:val="single" w:color="000000" w:sz="4" w:space="0"/>
              <w:left w:val="single" w:color="000000" w:sz="4" w:space="0"/>
              <w:bottom w:val="single" w:color="000000" w:sz="4" w:space="0"/>
              <w:right w:val="single" w:color="000000" w:sz="4" w:space="0"/>
            </w:tcBorders>
            <w:vAlign w:val="center"/>
          </w:tcPr>
          <w:p>
            <w:pPr>
              <w:spacing w:after="150"/>
              <w:jc w:val="center"/>
              <w:rPr>
                <w:rStyle w:val="13"/>
                <w:rFonts w:ascii="宋体" w:hAnsi="宋体"/>
                <w:color w:val="000000"/>
              </w:rPr>
            </w:pPr>
            <w:r>
              <w:rPr>
                <w:rStyle w:val="13"/>
                <w:rFonts w:ascii="宋体" w:hAnsi="宋体"/>
                <w:color w:val="000000"/>
              </w:rPr>
              <w:t>皮山县AI+紧密型医共体项目</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after="150"/>
              <w:jc w:val="center"/>
              <w:rPr>
                <w:rStyle w:val="13"/>
                <w:rFonts w:ascii="宋体" w:hAnsi="宋体"/>
                <w:color w:val="000000"/>
              </w:rPr>
            </w:pPr>
            <w:r>
              <w:rPr>
                <w:rStyle w:val="13"/>
                <w:rFonts w:ascii="宋体" w:hAnsi="宋体"/>
                <w:color w:val="000000"/>
              </w:rPr>
              <w:t>3067.8万元</w:t>
            </w:r>
          </w:p>
        </w:tc>
        <w:tc>
          <w:tcPr>
            <w:tcW w:w="3544" w:type="dxa"/>
            <w:tcBorders>
              <w:top w:val="single" w:color="000000" w:sz="4" w:space="0"/>
              <w:left w:val="single" w:color="000000" w:sz="4" w:space="0"/>
              <w:bottom w:val="single" w:color="000000" w:sz="4" w:space="0"/>
              <w:right w:val="single" w:color="000000" w:sz="4" w:space="0"/>
            </w:tcBorders>
            <w:vAlign w:val="center"/>
          </w:tcPr>
          <w:p>
            <w:pPr>
              <w:spacing w:after="150"/>
              <w:jc w:val="left"/>
              <w:rPr>
                <w:rStyle w:val="13"/>
                <w:rFonts w:ascii="宋体" w:hAnsi="宋体"/>
                <w:color w:val="000000"/>
                <w:sz w:val="20"/>
                <w:szCs w:val="22"/>
              </w:rPr>
            </w:pPr>
            <w:r>
              <w:rPr>
                <w:rStyle w:val="13"/>
                <w:rFonts w:ascii="宋体" w:hAnsi="宋体"/>
                <w:color w:val="000000"/>
              </w:rPr>
              <w:t>建设医学人工智能能力平台、人工智能应用系统、多语言智能窗口话务系统、基层服务平台、互联网医疗平台、综合监测平台及相关硬件设备。</w:t>
            </w:r>
          </w:p>
        </w:tc>
        <w:tc>
          <w:tcPr>
            <w:tcW w:w="1224" w:type="dxa"/>
            <w:tcBorders>
              <w:top w:val="single" w:color="000000" w:sz="4" w:space="0"/>
              <w:left w:val="single" w:color="000000" w:sz="4" w:space="0"/>
              <w:bottom w:val="single" w:color="000000" w:sz="4" w:space="0"/>
              <w:right w:val="single" w:color="000000" w:sz="4" w:space="0"/>
            </w:tcBorders>
            <w:vAlign w:val="center"/>
          </w:tcPr>
          <w:p>
            <w:pPr>
              <w:spacing w:after="150"/>
              <w:jc w:val="center"/>
              <w:rPr>
                <w:rStyle w:val="13"/>
                <w:rFonts w:ascii="宋体" w:hAnsi="宋体"/>
                <w:color w:val="000000"/>
              </w:rPr>
            </w:pPr>
            <w:r>
              <w:rPr>
                <w:rStyle w:val="13"/>
                <w:rFonts w:ascii="宋体" w:hAnsi="宋体"/>
                <w:color w:val="000000"/>
              </w:rPr>
              <w:t>具体参数详见招标文件</w:t>
            </w:r>
          </w:p>
          <w:p>
            <w:pPr>
              <w:spacing w:after="150"/>
              <w:jc w:val="center"/>
              <w:rPr>
                <w:rStyle w:val="13"/>
                <w:rFonts w:ascii="宋体" w:hAnsi="宋体"/>
                <w:color w:val="000000"/>
              </w:rPr>
            </w:pPr>
          </w:p>
        </w:tc>
      </w:tr>
    </w:tbl>
    <w:p>
      <w:pPr>
        <w:spacing w:before="75" w:after="75"/>
        <w:jc w:val="left"/>
        <w:rPr>
          <w:rStyle w:val="13"/>
          <w:rFonts w:ascii="宋体" w:hAnsi="宋体"/>
          <w:color w:val="000000"/>
        </w:rPr>
      </w:pPr>
      <w:r>
        <w:rPr>
          <w:rStyle w:val="13"/>
          <w:rFonts w:ascii="宋体" w:hAnsi="宋体"/>
          <w:color w:val="000000"/>
        </w:rPr>
        <w:t> 四、投标供应商资格要求:</w:t>
      </w:r>
    </w:p>
    <w:p>
      <w:pPr>
        <w:spacing w:before="75" w:after="75"/>
        <w:jc w:val="left"/>
        <w:rPr>
          <w:rStyle w:val="13"/>
          <w:rFonts w:ascii="宋体" w:hAnsi="宋体"/>
          <w:color w:val="000000"/>
        </w:rPr>
      </w:pPr>
      <w:r>
        <w:rPr>
          <w:rStyle w:val="13"/>
          <w:rFonts w:ascii="宋体" w:hAnsi="宋体"/>
          <w:color w:val="000000"/>
        </w:rPr>
        <w:t>1、供应商必须符合《中华人民共和国政府采购法》第二十二条规定：具有独立承担民事责任的能力、具有良好的商业信誉和健全的财务会计制度、具有履行合同所必需的设备和专业技术能力、有依法缴纳税收和社会保障资金的良好记录</w:t>
      </w:r>
      <w:r>
        <w:rPr>
          <w:rStyle w:val="13"/>
          <w:rFonts w:ascii="宋体" w:hAnsi="宋体"/>
          <w:color w:val="000000"/>
          <w:u w:val="single"/>
        </w:rPr>
        <w:t>、</w:t>
      </w:r>
      <w:r>
        <w:rPr>
          <w:rStyle w:val="13"/>
          <w:rFonts w:ascii="宋体" w:hAnsi="宋体"/>
          <w:color w:val="000000"/>
        </w:rPr>
        <w:t>参加政府采购活动前三年内在经营活动中没有重大违法记录，法律、行政法规规定的其他条件；</w:t>
      </w:r>
    </w:p>
    <w:p>
      <w:pPr>
        <w:spacing w:before="75" w:after="75"/>
        <w:jc w:val="left"/>
        <w:rPr>
          <w:rStyle w:val="13"/>
          <w:rFonts w:ascii="宋体" w:hAnsi="宋体"/>
          <w:color w:val="000000"/>
        </w:rPr>
      </w:pPr>
      <w:r>
        <w:rPr>
          <w:rStyle w:val="13"/>
          <w:rFonts w:ascii="宋体" w:hAnsi="宋体"/>
          <w:color w:val="000000"/>
        </w:rPr>
        <w:t>2、报名需提供经年审合格（三证合一）的营业执照；</w:t>
      </w:r>
      <w:r>
        <w:rPr>
          <w:rStyle w:val="13"/>
          <w:rFonts w:hint="eastAsia" w:ascii="宋体" w:hAnsi="宋体"/>
          <w:color w:val="000000"/>
        </w:rPr>
        <w:t>投标企业请认真核实营业执照经营范围，开标时将严格按照营业执照经营范围核实，无经营范围的企业一切责任将由贵公司自行承担。</w:t>
      </w:r>
    </w:p>
    <w:p>
      <w:pPr>
        <w:spacing w:before="75" w:after="75"/>
        <w:jc w:val="left"/>
        <w:rPr>
          <w:rStyle w:val="13"/>
          <w:rFonts w:ascii="宋体" w:hAnsi="宋体"/>
          <w:color w:val="000000"/>
        </w:rPr>
      </w:pPr>
      <w:r>
        <w:rPr>
          <w:rStyle w:val="13"/>
          <w:rFonts w:ascii="宋体" w:hAnsi="宋体"/>
          <w:color w:val="000000"/>
        </w:rPr>
        <w:t>3、近三年内（本项目投标截止期前）在“信用中国网（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以上网站页面截图并加盖单位鲜公章；</w:t>
      </w:r>
    </w:p>
    <w:p>
      <w:pPr>
        <w:spacing w:before="75" w:after="75"/>
        <w:jc w:val="left"/>
        <w:rPr>
          <w:rStyle w:val="13"/>
          <w:rFonts w:ascii="宋体" w:hAnsi="宋体"/>
          <w:color w:val="000000"/>
        </w:rPr>
      </w:pPr>
      <w:r>
        <w:rPr>
          <w:rStyle w:val="13"/>
          <w:rFonts w:ascii="宋体" w:hAnsi="宋体"/>
          <w:color w:val="000000"/>
        </w:rPr>
        <w:t>4、企业负责人为同一人或者存在直接控股、管理关系的不同投标人，不得参加同一合同项下的政府采购活动。否则，皆取消投标资格；</w:t>
      </w:r>
    </w:p>
    <w:p>
      <w:pPr>
        <w:spacing w:before="75" w:after="75"/>
        <w:jc w:val="left"/>
        <w:rPr>
          <w:rStyle w:val="13"/>
          <w:rFonts w:ascii="宋体" w:hAnsi="宋体"/>
          <w:color w:val="000000"/>
        </w:rPr>
      </w:pPr>
      <w:r>
        <w:rPr>
          <w:rStyle w:val="13"/>
          <w:rFonts w:ascii="宋体" w:hAnsi="宋体"/>
          <w:color w:val="000000"/>
        </w:rPr>
        <w:t>5、本项目不接受联合体投标。</w:t>
      </w:r>
    </w:p>
    <w:p>
      <w:pPr>
        <w:spacing w:before="75" w:after="75"/>
        <w:jc w:val="left"/>
        <w:rPr>
          <w:rStyle w:val="13"/>
          <w:rFonts w:ascii="宋体" w:hAnsi="宋体"/>
          <w:color w:val="000000"/>
        </w:rPr>
      </w:pPr>
      <w:r>
        <w:rPr>
          <w:rStyle w:val="13"/>
          <w:rFonts w:ascii="宋体" w:hAnsi="宋体"/>
          <w:color w:val="000000"/>
        </w:rPr>
        <w:t>五、招标文件的报名/发售时间、地址、售价:</w:t>
      </w:r>
    </w:p>
    <w:p>
      <w:pPr>
        <w:spacing w:before="75" w:after="75"/>
        <w:ind w:firstLine="420" w:firstLineChars="200"/>
        <w:jc w:val="left"/>
        <w:rPr>
          <w:rStyle w:val="13"/>
          <w:rFonts w:ascii="宋体" w:hAnsi="宋体"/>
          <w:color w:val="000000"/>
        </w:rPr>
      </w:pPr>
      <w:r>
        <w:rPr>
          <w:rStyle w:val="13"/>
          <w:rFonts w:ascii="宋体" w:hAnsi="宋体"/>
          <w:color w:val="000000"/>
        </w:rPr>
        <w:t>1．报名（发售／获取）时间：2020-4-13至2020-4-21 </w:t>
      </w:r>
    </w:p>
    <w:p>
      <w:pPr>
        <w:spacing w:before="75" w:after="75"/>
        <w:ind w:firstLine="420" w:firstLineChars="200"/>
        <w:jc w:val="left"/>
        <w:rPr>
          <w:rStyle w:val="13"/>
          <w:rFonts w:ascii="宋体" w:hAnsi="宋体"/>
          <w:color w:val="000000"/>
        </w:rPr>
      </w:pPr>
      <w:r>
        <w:rPr>
          <w:rStyle w:val="13"/>
          <w:rFonts w:ascii="宋体" w:hAnsi="宋体"/>
          <w:color w:val="000000"/>
        </w:rPr>
        <w:t>2．报名（发售／获取）地址：在新疆政府采购网该采购公告附件中的招标（采购）文件可直接下载。 </w:t>
      </w:r>
    </w:p>
    <w:p>
      <w:pPr>
        <w:spacing w:before="75" w:after="75"/>
        <w:ind w:firstLine="420" w:firstLineChars="200"/>
        <w:jc w:val="left"/>
        <w:rPr>
          <w:rStyle w:val="13"/>
          <w:rFonts w:ascii="宋体" w:hAnsi="宋体"/>
          <w:color w:val="000000"/>
        </w:rPr>
      </w:pPr>
      <w:r>
        <w:rPr>
          <w:rStyle w:val="13"/>
          <w:rFonts w:ascii="宋体" w:hAnsi="宋体"/>
          <w:color w:val="000000"/>
        </w:rPr>
        <w:t>3．标书售价(元)：200/份（开标现场缴纳招标文件费）。 </w:t>
      </w:r>
    </w:p>
    <w:p>
      <w:pPr>
        <w:spacing w:before="75" w:after="75"/>
        <w:ind w:firstLine="420" w:firstLineChars="200"/>
        <w:jc w:val="left"/>
        <w:rPr>
          <w:rStyle w:val="13"/>
          <w:rFonts w:ascii="宋体" w:hAnsi="宋体"/>
          <w:color w:val="000000"/>
        </w:rPr>
      </w:pPr>
      <w:r>
        <w:rPr>
          <w:rStyle w:val="13"/>
          <w:rFonts w:ascii="宋体" w:hAnsi="宋体"/>
          <w:color w:val="000000"/>
        </w:rPr>
        <w:t>4.投标人购买标书时应提交的资料：无，在开标时一并进行资格审核 </w:t>
      </w:r>
    </w:p>
    <w:p>
      <w:pPr>
        <w:spacing w:before="75" w:after="75"/>
        <w:jc w:val="left"/>
        <w:textAlignment w:val="auto"/>
        <w:rPr>
          <w:rStyle w:val="13"/>
          <w:rFonts w:ascii="宋体" w:hAnsi="宋体"/>
          <w:color w:val="000000"/>
          <w:szCs w:val="21"/>
        </w:rPr>
      </w:pPr>
      <w:r>
        <w:rPr>
          <w:rStyle w:val="13"/>
          <w:rFonts w:ascii="宋体" w:hAnsi="宋体"/>
          <w:color w:val="000000"/>
          <w:szCs w:val="21"/>
        </w:rPr>
        <w:t>六、投标截止时间：2020-5-</w:t>
      </w:r>
      <w:r>
        <w:rPr>
          <w:rStyle w:val="13"/>
          <w:rFonts w:hint="eastAsia" w:ascii="宋体" w:hAnsi="宋体"/>
          <w:color w:val="000000"/>
          <w:szCs w:val="21"/>
        </w:rPr>
        <w:t>3</w:t>
      </w:r>
      <w:r>
        <w:rPr>
          <w:rStyle w:val="13"/>
          <w:rFonts w:ascii="宋体" w:hAnsi="宋体"/>
          <w:color w:val="000000"/>
          <w:szCs w:val="21"/>
        </w:rPr>
        <w:t xml:space="preserve">  11:00:00 </w:t>
      </w:r>
    </w:p>
    <w:p>
      <w:pPr>
        <w:spacing w:before="75" w:after="75"/>
        <w:jc w:val="left"/>
        <w:textAlignment w:val="auto"/>
        <w:rPr>
          <w:rStyle w:val="13"/>
          <w:rFonts w:ascii="宋体" w:hAnsi="宋体"/>
          <w:color w:val="000000"/>
        </w:rPr>
      </w:pPr>
      <w:r>
        <w:rPr>
          <w:rStyle w:val="13"/>
          <w:rFonts w:ascii="宋体" w:hAnsi="宋体"/>
          <w:color w:val="000000"/>
          <w:szCs w:val="21"/>
        </w:rPr>
        <w:t>七、投标地址：皮山县政府投资交易中心四楼开标二室（新城</w:t>
      </w:r>
      <w:r>
        <w:rPr>
          <w:rStyle w:val="13"/>
          <w:rFonts w:ascii="宋体" w:hAnsi="宋体"/>
          <w:color w:val="000000"/>
        </w:rPr>
        <w:t>区东经2路南端） </w:t>
      </w:r>
    </w:p>
    <w:p>
      <w:pPr>
        <w:spacing w:before="75" w:after="75"/>
        <w:jc w:val="left"/>
        <w:textAlignment w:val="auto"/>
        <w:rPr>
          <w:rStyle w:val="13"/>
          <w:rFonts w:ascii="宋体" w:hAnsi="宋体"/>
          <w:color w:val="000000"/>
        </w:rPr>
      </w:pPr>
      <w:r>
        <w:rPr>
          <w:rStyle w:val="13"/>
          <w:rFonts w:ascii="宋体" w:hAnsi="宋体"/>
          <w:color w:val="000000"/>
        </w:rPr>
        <w:t>八、开标时间：</w:t>
      </w:r>
      <w:r>
        <w:rPr>
          <w:rStyle w:val="13"/>
          <w:rFonts w:ascii="宋体" w:hAnsi="宋体"/>
          <w:color w:val="000000"/>
          <w:szCs w:val="21"/>
        </w:rPr>
        <w:t>2020-5-</w:t>
      </w:r>
      <w:r>
        <w:rPr>
          <w:rStyle w:val="13"/>
          <w:rFonts w:hint="eastAsia" w:ascii="宋体" w:hAnsi="宋体"/>
          <w:color w:val="000000"/>
          <w:szCs w:val="21"/>
        </w:rPr>
        <w:t>3</w:t>
      </w:r>
      <w:r>
        <w:rPr>
          <w:rStyle w:val="13"/>
          <w:rFonts w:ascii="宋体" w:hAnsi="宋体"/>
          <w:color w:val="000000"/>
          <w:szCs w:val="21"/>
        </w:rPr>
        <w:t xml:space="preserve"> 11:00:00  </w:t>
      </w:r>
    </w:p>
    <w:p>
      <w:pPr>
        <w:spacing w:before="75" w:after="75"/>
        <w:jc w:val="left"/>
        <w:textAlignment w:val="auto"/>
        <w:rPr>
          <w:rStyle w:val="13"/>
          <w:rFonts w:ascii="宋体" w:hAnsi="宋体"/>
          <w:color w:val="000000"/>
        </w:rPr>
      </w:pPr>
      <w:r>
        <w:rPr>
          <w:rStyle w:val="13"/>
          <w:rFonts w:ascii="宋体" w:hAnsi="宋体"/>
          <w:color w:val="000000"/>
        </w:rPr>
        <w:t>九、开标地址：皮山县政府投资交易中心四楼开标二室（新城区东经2路南端） </w:t>
      </w:r>
    </w:p>
    <w:p>
      <w:pPr>
        <w:spacing w:before="75" w:after="75"/>
        <w:jc w:val="left"/>
        <w:rPr>
          <w:rStyle w:val="13"/>
          <w:rFonts w:ascii="宋体" w:hAnsi="宋体"/>
          <w:color w:val="000000"/>
        </w:rPr>
      </w:pPr>
      <w:r>
        <w:rPr>
          <w:rStyle w:val="13"/>
          <w:rFonts w:ascii="宋体" w:hAnsi="宋体"/>
          <w:color w:val="000000"/>
        </w:rPr>
        <w:t>十、投标保证金：</w:t>
      </w:r>
    </w:p>
    <w:tbl>
      <w:tblPr>
        <w:tblStyle w:val="10"/>
        <w:tblW w:w="108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1"/>
        <w:gridCol w:w="1228"/>
        <w:gridCol w:w="1069"/>
        <w:gridCol w:w="989"/>
        <w:gridCol w:w="2619"/>
        <w:gridCol w:w="3160"/>
        <w:gridCol w:w="1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jc w:val="center"/>
        </w:trPr>
        <w:tc>
          <w:tcPr>
            <w:tcW w:w="441" w:type="dxa"/>
            <w:tcBorders>
              <w:top w:val="single" w:color="000000" w:sz="4" w:space="0"/>
              <w:left w:val="single" w:color="000000" w:sz="4" w:space="0"/>
              <w:bottom w:val="single" w:color="000000" w:sz="4" w:space="0"/>
              <w:right w:val="single" w:color="000000" w:sz="4" w:space="0"/>
            </w:tcBorders>
            <w:vAlign w:val="center"/>
          </w:tcPr>
          <w:p>
            <w:pPr>
              <w:spacing w:after="150"/>
              <w:jc w:val="center"/>
              <w:rPr>
                <w:rStyle w:val="13"/>
                <w:rFonts w:ascii="宋体" w:hAnsi="宋体"/>
                <w:color w:val="000000"/>
              </w:rPr>
            </w:pPr>
            <w:r>
              <w:rPr>
                <w:rStyle w:val="13"/>
                <w:rFonts w:ascii="宋体" w:hAnsi="宋体"/>
                <w:color w:val="000000"/>
              </w:rPr>
              <w:t>序号</w:t>
            </w:r>
          </w:p>
        </w:tc>
        <w:tc>
          <w:tcPr>
            <w:tcW w:w="1228" w:type="dxa"/>
            <w:tcBorders>
              <w:top w:val="single" w:color="000000" w:sz="4" w:space="0"/>
              <w:left w:val="single" w:color="000000" w:sz="4" w:space="0"/>
              <w:bottom w:val="single" w:color="000000" w:sz="4" w:space="0"/>
              <w:right w:val="single" w:color="000000" w:sz="4" w:space="0"/>
            </w:tcBorders>
            <w:vAlign w:val="center"/>
          </w:tcPr>
          <w:p>
            <w:pPr>
              <w:spacing w:after="150"/>
              <w:jc w:val="center"/>
              <w:rPr>
                <w:rStyle w:val="13"/>
                <w:rFonts w:ascii="宋体" w:hAnsi="宋体"/>
                <w:color w:val="000000"/>
              </w:rPr>
            </w:pPr>
            <w:r>
              <w:rPr>
                <w:rStyle w:val="13"/>
                <w:rFonts w:ascii="宋体" w:hAnsi="宋体"/>
                <w:color w:val="000000"/>
              </w:rPr>
              <w:t>标项名称</w:t>
            </w:r>
          </w:p>
        </w:tc>
        <w:tc>
          <w:tcPr>
            <w:tcW w:w="1069" w:type="dxa"/>
            <w:tcBorders>
              <w:top w:val="single" w:color="000000" w:sz="4" w:space="0"/>
              <w:left w:val="single" w:color="000000" w:sz="4" w:space="0"/>
              <w:bottom w:val="single" w:color="000000" w:sz="4" w:space="0"/>
              <w:right w:val="single" w:color="000000" w:sz="4" w:space="0"/>
            </w:tcBorders>
            <w:vAlign w:val="center"/>
          </w:tcPr>
          <w:p>
            <w:pPr>
              <w:spacing w:after="150"/>
              <w:jc w:val="center"/>
              <w:rPr>
                <w:rStyle w:val="13"/>
                <w:rFonts w:ascii="宋体" w:hAnsi="宋体"/>
                <w:color w:val="000000"/>
              </w:rPr>
            </w:pPr>
            <w:r>
              <w:rPr>
                <w:rStyle w:val="13"/>
                <w:rFonts w:ascii="宋体" w:hAnsi="宋体"/>
                <w:color w:val="000000"/>
              </w:rPr>
              <w:t>投标保证金金额（元）</w:t>
            </w:r>
          </w:p>
        </w:tc>
        <w:tc>
          <w:tcPr>
            <w:tcW w:w="989" w:type="dxa"/>
            <w:tcBorders>
              <w:top w:val="single" w:color="000000" w:sz="4" w:space="0"/>
              <w:left w:val="single" w:color="000000" w:sz="4" w:space="0"/>
              <w:bottom w:val="single" w:color="000000" w:sz="4" w:space="0"/>
              <w:right w:val="single" w:color="000000" w:sz="4" w:space="0"/>
            </w:tcBorders>
            <w:vAlign w:val="center"/>
          </w:tcPr>
          <w:p>
            <w:pPr>
              <w:spacing w:after="150"/>
              <w:jc w:val="center"/>
              <w:rPr>
                <w:rStyle w:val="13"/>
                <w:rFonts w:ascii="宋体" w:hAnsi="宋体"/>
                <w:color w:val="000000"/>
              </w:rPr>
            </w:pPr>
            <w:r>
              <w:rPr>
                <w:rStyle w:val="13"/>
                <w:rFonts w:ascii="宋体" w:hAnsi="宋体"/>
                <w:color w:val="000000"/>
              </w:rPr>
              <w:t>开户银行</w:t>
            </w:r>
          </w:p>
        </w:tc>
        <w:tc>
          <w:tcPr>
            <w:tcW w:w="2619" w:type="dxa"/>
            <w:tcBorders>
              <w:top w:val="single" w:color="000000" w:sz="4" w:space="0"/>
              <w:left w:val="single" w:color="000000" w:sz="4" w:space="0"/>
              <w:bottom w:val="single" w:color="000000" w:sz="4" w:space="0"/>
              <w:right w:val="single" w:color="000000" w:sz="4" w:space="0"/>
            </w:tcBorders>
            <w:vAlign w:val="center"/>
          </w:tcPr>
          <w:p>
            <w:pPr>
              <w:spacing w:after="150"/>
              <w:jc w:val="center"/>
              <w:rPr>
                <w:rStyle w:val="13"/>
                <w:rFonts w:ascii="宋体" w:hAnsi="宋体"/>
                <w:color w:val="000000"/>
              </w:rPr>
            </w:pPr>
            <w:r>
              <w:rPr>
                <w:rStyle w:val="13"/>
                <w:rFonts w:ascii="宋体" w:hAnsi="宋体"/>
                <w:color w:val="000000"/>
              </w:rPr>
              <w:t>收款账号</w:t>
            </w:r>
          </w:p>
        </w:tc>
        <w:tc>
          <w:tcPr>
            <w:tcW w:w="3160" w:type="dxa"/>
            <w:tcBorders>
              <w:top w:val="single" w:color="000000" w:sz="4" w:space="0"/>
              <w:left w:val="single" w:color="000000" w:sz="4" w:space="0"/>
              <w:bottom w:val="single" w:color="000000" w:sz="4" w:space="0"/>
              <w:right w:val="single" w:color="000000" w:sz="4" w:space="0"/>
            </w:tcBorders>
            <w:vAlign w:val="center"/>
          </w:tcPr>
          <w:p>
            <w:pPr>
              <w:spacing w:after="150"/>
              <w:jc w:val="center"/>
              <w:rPr>
                <w:rStyle w:val="13"/>
                <w:rFonts w:ascii="宋体" w:hAnsi="宋体"/>
                <w:color w:val="000000"/>
              </w:rPr>
            </w:pPr>
            <w:r>
              <w:rPr>
                <w:rStyle w:val="13"/>
                <w:rFonts w:ascii="宋体" w:hAnsi="宋体"/>
                <w:color w:val="000000"/>
              </w:rPr>
              <w:t>交付方式</w:t>
            </w:r>
          </w:p>
        </w:tc>
        <w:tc>
          <w:tcPr>
            <w:tcW w:w="1340" w:type="dxa"/>
            <w:tcBorders>
              <w:top w:val="single" w:color="000000" w:sz="4" w:space="0"/>
              <w:left w:val="single" w:color="000000" w:sz="4" w:space="0"/>
              <w:bottom w:val="single" w:color="000000" w:sz="4" w:space="0"/>
              <w:right w:val="single" w:color="000000" w:sz="4" w:space="0"/>
            </w:tcBorders>
            <w:vAlign w:val="center"/>
          </w:tcPr>
          <w:p>
            <w:pPr>
              <w:spacing w:after="150"/>
              <w:jc w:val="center"/>
              <w:rPr>
                <w:rStyle w:val="13"/>
                <w:rFonts w:ascii="宋体" w:hAnsi="宋体"/>
                <w:color w:val="000000"/>
              </w:rPr>
            </w:pPr>
            <w:r>
              <w:rPr>
                <w:rStyle w:val="13"/>
                <w:rFonts w:ascii="宋体" w:hAnsi="宋体"/>
                <w:color w:val="0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7" w:hRule="atLeast"/>
          <w:jc w:val="center"/>
        </w:trPr>
        <w:tc>
          <w:tcPr>
            <w:tcW w:w="441" w:type="dxa"/>
            <w:tcBorders>
              <w:top w:val="single" w:color="000000" w:sz="4" w:space="0"/>
              <w:left w:val="single" w:color="000000" w:sz="4" w:space="0"/>
              <w:bottom w:val="single" w:color="000000" w:sz="4" w:space="0"/>
              <w:right w:val="single" w:color="000000" w:sz="4" w:space="0"/>
            </w:tcBorders>
            <w:vAlign w:val="center"/>
          </w:tcPr>
          <w:p>
            <w:pPr>
              <w:spacing w:after="150"/>
              <w:jc w:val="center"/>
              <w:rPr>
                <w:rStyle w:val="13"/>
                <w:rFonts w:ascii="宋体" w:hAnsi="宋体"/>
                <w:color w:val="000000"/>
              </w:rPr>
            </w:pPr>
            <w:r>
              <w:rPr>
                <w:rStyle w:val="13"/>
                <w:rFonts w:ascii="宋体" w:hAnsi="宋体"/>
                <w:color w:val="000000"/>
              </w:rPr>
              <w:t>1</w:t>
            </w:r>
          </w:p>
        </w:tc>
        <w:tc>
          <w:tcPr>
            <w:tcW w:w="1228" w:type="dxa"/>
            <w:tcBorders>
              <w:top w:val="single" w:color="000000" w:sz="4" w:space="0"/>
              <w:left w:val="single" w:color="000000" w:sz="4" w:space="0"/>
              <w:bottom w:val="single" w:color="000000" w:sz="4" w:space="0"/>
              <w:right w:val="single" w:color="000000" w:sz="4" w:space="0"/>
            </w:tcBorders>
            <w:vAlign w:val="center"/>
          </w:tcPr>
          <w:p>
            <w:pPr>
              <w:spacing w:after="150"/>
              <w:jc w:val="center"/>
              <w:rPr>
                <w:rStyle w:val="13"/>
                <w:rFonts w:ascii="宋体" w:hAnsi="宋体"/>
                <w:color w:val="000000"/>
              </w:rPr>
            </w:pPr>
            <w:r>
              <w:rPr>
                <w:rStyle w:val="13"/>
                <w:rFonts w:ascii="宋体" w:hAnsi="宋体"/>
                <w:color w:val="000000"/>
              </w:rPr>
              <w:t>皮山县AI+紧密型医共体项目</w:t>
            </w:r>
          </w:p>
        </w:tc>
        <w:tc>
          <w:tcPr>
            <w:tcW w:w="1069" w:type="dxa"/>
            <w:tcBorders>
              <w:top w:val="single" w:color="000000" w:sz="4" w:space="0"/>
              <w:left w:val="single" w:color="000000" w:sz="4" w:space="0"/>
              <w:bottom w:val="single" w:color="000000" w:sz="4" w:space="0"/>
              <w:right w:val="single" w:color="000000" w:sz="4" w:space="0"/>
            </w:tcBorders>
            <w:vAlign w:val="center"/>
          </w:tcPr>
          <w:p>
            <w:pPr>
              <w:spacing w:after="150"/>
              <w:jc w:val="center"/>
              <w:rPr>
                <w:rStyle w:val="13"/>
                <w:rFonts w:ascii="宋体" w:hAnsi="宋体"/>
                <w:color w:val="000000"/>
              </w:rPr>
            </w:pPr>
            <w:r>
              <w:rPr>
                <w:rStyle w:val="13"/>
                <w:color w:val="000000"/>
              </w:rPr>
              <w:t>600000</w:t>
            </w:r>
          </w:p>
        </w:tc>
        <w:tc>
          <w:tcPr>
            <w:tcW w:w="989" w:type="dxa"/>
            <w:tcBorders>
              <w:top w:val="single" w:color="000000" w:sz="4" w:space="0"/>
              <w:left w:val="single" w:color="000000" w:sz="4" w:space="0"/>
              <w:bottom w:val="single" w:color="000000" w:sz="4" w:space="0"/>
              <w:right w:val="single" w:color="000000" w:sz="4" w:space="0"/>
            </w:tcBorders>
            <w:vAlign w:val="center"/>
          </w:tcPr>
          <w:p>
            <w:pPr>
              <w:spacing w:after="150"/>
              <w:jc w:val="center"/>
              <w:rPr>
                <w:rStyle w:val="13"/>
                <w:rFonts w:ascii="宋体" w:hAnsi="宋体"/>
                <w:color w:val="000000"/>
              </w:rPr>
            </w:pPr>
            <w:r>
              <w:rPr>
                <w:rStyle w:val="13"/>
              </w:rPr>
              <w:t>新疆皮山县农村信用合作联社</w:t>
            </w:r>
          </w:p>
        </w:tc>
        <w:tc>
          <w:tcPr>
            <w:tcW w:w="2619" w:type="dxa"/>
            <w:tcBorders>
              <w:top w:val="single" w:color="000000" w:sz="4" w:space="0"/>
              <w:left w:val="single" w:color="000000" w:sz="4" w:space="0"/>
              <w:bottom w:val="single" w:color="000000" w:sz="4" w:space="0"/>
              <w:right w:val="single" w:color="000000" w:sz="4" w:space="0"/>
            </w:tcBorders>
            <w:vAlign w:val="center"/>
          </w:tcPr>
          <w:p>
            <w:pPr>
              <w:spacing w:after="150"/>
              <w:jc w:val="center"/>
              <w:rPr>
                <w:rStyle w:val="13"/>
                <w:rFonts w:ascii="宋体" w:hAnsi="宋体"/>
                <w:color w:val="000000"/>
              </w:rPr>
            </w:pPr>
            <w:r>
              <w:rPr>
                <w:rStyle w:val="13"/>
                <w:rFonts w:ascii="宋体" w:hAnsi="宋体"/>
                <w:color w:val="000000"/>
              </w:rPr>
              <w:t>878010012010101011990</w:t>
            </w:r>
          </w:p>
        </w:tc>
        <w:tc>
          <w:tcPr>
            <w:tcW w:w="3160" w:type="dxa"/>
            <w:tcBorders>
              <w:top w:val="single" w:color="000000" w:sz="4" w:space="0"/>
              <w:left w:val="single" w:color="000000" w:sz="4" w:space="0"/>
              <w:bottom w:val="single" w:color="000000" w:sz="4" w:space="0"/>
              <w:right w:val="single" w:color="000000" w:sz="4" w:space="0"/>
            </w:tcBorders>
            <w:vAlign w:val="center"/>
          </w:tcPr>
          <w:p>
            <w:pPr>
              <w:spacing w:after="150"/>
              <w:jc w:val="center"/>
              <w:rPr>
                <w:rStyle w:val="13"/>
                <w:rFonts w:ascii="宋体" w:hAnsi="宋体"/>
                <w:color w:val="000000"/>
              </w:rPr>
            </w:pPr>
            <w:r>
              <w:rPr>
                <w:rStyle w:val="13"/>
                <w:rFonts w:ascii="宋体" w:hAnsi="宋体"/>
                <w:color w:val="000000"/>
              </w:rPr>
              <w:t>1、由投标人基本账户汇出，且不得以分公司的名义转账； 2、投标保证金需在2020年5月</w:t>
            </w:r>
            <w:r>
              <w:rPr>
                <w:rStyle w:val="13"/>
                <w:rFonts w:hint="eastAsia" w:ascii="宋体" w:hAnsi="宋体"/>
                <w:color w:val="000000"/>
              </w:rPr>
              <w:t>2</w:t>
            </w:r>
            <w:r>
              <w:rPr>
                <w:rStyle w:val="13"/>
                <w:rFonts w:ascii="宋体" w:hAnsi="宋体"/>
                <w:color w:val="000000"/>
              </w:rPr>
              <w:t>日20：00前到账，超过时间则不予认可； 3、投标单位须在汇款单备注栏标明：XXX项目XXX包段（标段）或项目编号； 4、账户名称：皮山县政府投资交易中心，行号：402896400017</w:t>
            </w:r>
          </w:p>
        </w:tc>
        <w:tc>
          <w:tcPr>
            <w:tcW w:w="1340" w:type="dxa"/>
            <w:tcBorders>
              <w:top w:val="single" w:color="000000" w:sz="4" w:space="0"/>
              <w:left w:val="single" w:color="000000" w:sz="4" w:space="0"/>
              <w:bottom w:val="single" w:color="000000" w:sz="4" w:space="0"/>
              <w:right w:val="single" w:color="000000" w:sz="4" w:space="0"/>
            </w:tcBorders>
            <w:vAlign w:val="center"/>
          </w:tcPr>
          <w:p>
            <w:pPr>
              <w:spacing w:after="150"/>
              <w:jc w:val="center"/>
              <w:rPr>
                <w:rStyle w:val="13"/>
                <w:rFonts w:ascii="宋体" w:hAnsi="宋体"/>
                <w:color w:val="000000"/>
              </w:rPr>
            </w:pPr>
            <w:r>
              <w:rPr>
                <w:rStyle w:val="13"/>
                <w:rFonts w:ascii="宋体" w:hAnsi="宋体"/>
                <w:color w:val="000000"/>
              </w:rPr>
              <w:t>投标保证金通过基本账户一笔汇出，分笔汇出银行系统将不予统计</w:t>
            </w:r>
          </w:p>
        </w:tc>
      </w:tr>
    </w:tbl>
    <w:p>
      <w:pPr>
        <w:spacing w:before="75" w:after="75"/>
        <w:jc w:val="left"/>
        <w:rPr>
          <w:rStyle w:val="13"/>
          <w:rFonts w:ascii="宋体" w:hAnsi="宋体"/>
          <w:color w:val="000000"/>
        </w:rPr>
      </w:pPr>
      <w:r>
        <w:rPr>
          <w:rStyle w:val="13"/>
          <w:rFonts w:ascii="宋体" w:hAnsi="宋体"/>
          <w:color w:val="000000"/>
        </w:rPr>
        <w:t> 十一、其他事项：</w:t>
      </w:r>
    </w:p>
    <w:p>
      <w:pPr>
        <w:spacing w:before="75" w:after="75"/>
        <w:ind w:firstLine="420" w:firstLineChars="200"/>
        <w:jc w:val="left"/>
        <w:rPr>
          <w:rStyle w:val="13"/>
          <w:rFonts w:ascii="宋体" w:hAnsi="宋体"/>
          <w:color w:val="000000"/>
        </w:rPr>
      </w:pPr>
      <w:r>
        <w:rPr>
          <w:rStyle w:val="13"/>
          <w:rFonts w:ascii="宋体" w:hAnsi="宋体"/>
          <w:color w:val="000000"/>
        </w:rPr>
        <w:t>1、本项目公告期限为7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before="75" w:after="75"/>
        <w:ind w:firstLine="420" w:firstLineChars="200"/>
        <w:jc w:val="left"/>
        <w:rPr>
          <w:rStyle w:val="13"/>
          <w:rFonts w:ascii="宋体" w:hAnsi="宋体"/>
          <w:color w:val="000000"/>
        </w:rPr>
      </w:pPr>
      <w:r>
        <w:rPr>
          <w:rStyle w:val="13"/>
          <w:rFonts w:ascii="宋体" w:hAnsi="宋体"/>
          <w:color w:val="000000"/>
        </w:rPr>
        <w:t>2、采购项目需要落实的政府采购政策</w:t>
      </w:r>
    </w:p>
    <w:p>
      <w:pPr>
        <w:spacing w:before="75" w:after="75"/>
        <w:jc w:val="left"/>
        <w:rPr>
          <w:rStyle w:val="13"/>
          <w:rFonts w:ascii="宋体" w:hAnsi="宋体"/>
          <w:color w:val="000000"/>
        </w:rPr>
      </w:pPr>
      <w:r>
        <w:rPr>
          <w:rStyle w:val="13"/>
          <w:rFonts w:ascii="宋体" w:hAnsi="宋体"/>
          <w:color w:val="000000"/>
        </w:rPr>
        <w:t>  （一）根据财政部、工业和信息化部关于印发《政府采购促进中小企业发展暂行办法》的通知(财库[2011]181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等政府采购政策。  </w:t>
      </w:r>
    </w:p>
    <w:p>
      <w:pPr>
        <w:spacing w:before="75" w:after="75"/>
        <w:jc w:val="left"/>
        <w:rPr>
          <w:rStyle w:val="13"/>
          <w:rFonts w:ascii="宋体" w:hAnsi="宋体"/>
          <w:color w:val="000000"/>
        </w:rPr>
      </w:pPr>
      <w:r>
        <w:rPr>
          <w:rStyle w:val="13"/>
          <w:rFonts w:ascii="宋体" w:hAnsi="宋体"/>
          <w:color w:val="000000"/>
        </w:rPr>
        <w:t>十二、联系方式</w:t>
      </w:r>
    </w:p>
    <w:p>
      <w:pPr>
        <w:spacing w:before="75" w:after="75"/>
        <w:jc w:val="left"/>
        <w:rPr>
          <w:rStyle w:val="13"/>
          <w:rFonts w:ascii="宋体" w:hAnsi="宋体"/>
          <w:color w:val="000000"/>
        </w:rPr>
      </w:pPr>
      <w:r>
        <w:rPr>
          <w:rStyle w:val="13"/>
          <w:rFonts w:ascii="宋体" w:hAnsi="宋体"/>
          <w:color w:val="000000"/>
        </w:rPr>
        <w:t>1、采购代理机构名称：新疆天之源项目管理有限公司 </w:t>
      </w:r>
    </w:p>
    <w:p>
      <w:pPr>
        <w:spacing w:before="75" w:after="75"/>
        <w:jc w:val="left"/>
        <w:rPr>
          <w:rStyle w:val="13"/>
          <w:rFonts w:ascii="宋体" w:hAnsi="宋体"/>
          <w:color w:val="000000"/>
        </w:rPr>
      </w:pPr>
      <w:r>
        <w:rPr>
          <w:rStyle w:val="13"/>
          <w:rFonts w:ascii="宋体" w:hAnsi="宋体"/>
          <w:color w:val="000000"/>
        </w:rPr>
        <w:t>联系人：赵梅风        联系电话：0903-7827070  </w:t>
      </w:r>
    </w:p>
    <w:p>
      <w:pPr>
        <w:spacing w:before="75" w:after="75"/>
        <w:ind w:firstLine="2310" w:firstLineChars="1100"/>
        <w:jc w:val="left"/>
        <w:rPr>
          <w:rStyle w:val="13"/>
          <w:rFonts w:ascii="宋体" w:hAnsi="宋体"/>
          <w:color w:val="000000"/>
        </w:rPr>
      </w:pPr>
      <w:r>
        <w:rPr>
          <w:rStyle w:val="13"/>
          <w:rFonts w:ascii="宋体" w:hAnsi="宋体"/>
          <w:color w:val="000000"/>
        </w:rPr>
        <w:t>邮箱：2739774438@qq.com</w:t>
      </w:r>
    </w:p>
    <w:p>
      <w:pPr>
        <w:spacing w:before="75" w:after="75"/>
        <w:jc w:val="left"/>
        <w:rPr>
          <w:rStyle w:val="13"/>
          <w:rFonts w:ascii="宋体" w:hAnsi="宋体"/>
          <w:color w:val="000000"/>
        </w:rPr>
      </w:pPr>
      <w:r>
        <w:rPr>
          <w:rStyle w:val="13"/>
          <w:rFonts w:ascii="宋体" w:hAnsi="宋体"/>
          <w:color w:val="000000"/>
        </w:rPr>
        <w:t>地址：</w:t>
      </w:r>
      <w:r>
        <w:rPr>
          <w:rStyle w:val="13"/>
          <w:rFonts w:ascii="宋体" w:hAnsi="宋体"/>
          <w:color w:val="000000"/>
          <w:lang w:val="zh-CN"/>
        </w:rPr>
        <w:t>和田市人民街玉都国际广场金座</w:t>
      </w:r>
      <w:r>
        <w:rPr>
          <w:rStyle w:val="13"/>
          <w:rFonts w:ascii="宋体" w:hAnsi="宋体"/>
          <w:color w:val="000000"/>
        </w:rPr>
        <w:t>7</w:t>
      </w:r>
      <w:r>
        <w:rPr>
          <w:rStyle w:val="13"/>
          <w:rFonts w:ascii="宋体" w:hAnsi="宋体"/>
          <w:color w:val="000000"/>
          <w:lang w:val="zh-CN"/>
        </w:rPr>
        <w:t>楼</w:t>
      </w:r>
    </w:p>
    <w:p>
      <w:pPr>
        <w:spacing w:before="75" w:after="75"/>
        <w:jc w:val="left"/>
        <w:rPr>
          <w:rStyle w:val="13"/>
          <w:rFonts w:ascii="宋体" w:hAnsi="宋体"/>
          <w:color w:val="000000"/>
        </w:rPr>
      </w:pPr>
      <w:r>
        <w:rPr>
          <w:rStyle w:val="13"/>
          <w:rFonts w:ascii="宋体" w:hAnsi="宋体"/>
          <w:color w:val="000000"/>
        </w:rPr>
        <w:t>2、采购人名称：皮山县卫生健康委员会 </w:t>
      </w:r>
    </w:p>
    <w:p>
      <w:pPr>
        <w:spacing w:before="75" w:after="75"/>
        <w:jc w:val="left"/>
        <w:rPr>
          <w:rStyle w:val="13"/>
          <w:rFonts w:hint="eastAsia" w:ascii="宋体" w:hAnsi="宋体" w:eastAsia="宋体"/>
          <w:color w:val="000000"/>
          <w:lang w:eastAsia="zh-CN"/>
        </w:rPr>
      </w:pPr>
      <w:r>
        <w:rPr>
          <w:rStyle w:val="13"/>
          <w:rFonts w:ascii="宋体" w:hAnsi="宋体"/>
          <w:color w:val="000000"/>
        </w:rPr>
        <w:t>联系人：买买提明                 联系电话：</w:t>
      </w:r>
      <w:r>
        <w:rPr>
          <w:rStyle w:val="13"/>
          <w:rFonts w:hint="eastAsia" w:ascii="宋体" w:hAnsi="宋体"/>
          <w:color w:val="000000"/>
          <w:lang w:eastAsia="zh-CN"/>
        </w:rPr>
        <w:t>0903-6426716</w:t>
      </w:r>
    </w:p>
    <w:p>
      <w:pPr>
        <w:spacing w:before="75" w:after="75"/>
        <w:jc w:val="left"/>
        <w:rPr>
          <w:rStyle w:val="13"/>
          <w:rFonts w:ascii="宋体" w:hAnsi="宋体"/>
          <w:color w:val="000000"/>
        </w:rPr>
      </w:pPr>
      <w:r>
        <w:rPr>
          <w:rStyle w:val="13"/>
          <w:rFonts w:ascii="宋体" w:hAnsi="宋体"/>
          <w:color w:val="000000"/>
        </w:rPr>
        <w:t>3、同级政府采购监督管理部门名称：皮山县政府采购办 </w:t>
      </w:r>
    </w:p>
    <w:p>
      <w:pPr>
        <w:spacing w:before="75" w:after="75"/>
        <w:jc w:val="left"/>
        <w:rPr>
          <w:rStyle w:val="13"/>
          <w:rFonts w:ascii="宋体" w:hAnsi="宋体"/>
          <w:color w:val="000000"/>
        </w:rPr>
      </w:pPr>
      <w:r>
        <w:rPr>
          <w:rStyle w:val="13"/>
          <w:rFonts w:ascii="宋体" w:hAnsi="宋体"/>
          <w:color w:val="000000"/>
        </w:rPr>
        <w:t>联系人：张勇                   监督投诉电话：0903-7864616 ​</w:t>
      </w:r>
    </w:p>
    <w:p>
      <w:pPr>
        <w:spacing w:before="75" w:after="75"/>
        <w:ind w:firstLine="420" w:firstLineChars="200"/>
        <w:jc w:val="center"/>
        <w:rPr>
          <w:rStyle w:val="13"/>
          <w:rFonts w:ascii="宋体" w:hAnsi="宋体"/>
          <w:color w:val="000000"/>
        </w:rPr>
      </w:pPr>
      <w:r>
        <w:rPr>
          <w:rStyle w:val="13"/>
          <w:rFonts w:ascii="宋体" w:hAnsi="宋体"/>
          <w:color w:val="000000"/>
        </w:rPr>
        <w:t>皮山县卫生健康委员会                            新疆天之源项目管理有限公司</w:t>
      </w:r>
    </w:p>
    <w:p>
      <w:pPr>
        <w:spacing w:before="75" w:after="75"/>
        <w:ind w:firstLine="420" w:firstLineChars="200"/>
        <w:jc w:val="center"/>
        <w:rPr>
          <w:rStyle w:val="13"/>
        </w:rPr>
      </w:pPr>
      <w:r>
        <w:rPr>
          <w:rStyle w:val="13"/>
          <w:rFonts w:ascii="宋体" w:hAnsi="宋体"/>
          <w:color w:val="000000"/>
        </w:rPr>
        <w:t>2020年4月13日                                   2020年4月13日</w:t>
      </w:r>
    </w:p>
    <w:p>
      <w:pPr>
        <w:pStyle w:val="2"/>
        <w:ind w:firstLine="0"/>
        <w:rPr>
          <w:rStyle w:val="13"/>
          <w:rFonts w:ascii="黑体" w:hAnsi="黑体" w:eastAsia="黑体" w:cs="宋体"/>
          <w:b/>
          <w:bCs/>
          <w:color w:val="FF0000"/>
          <w:sz w:val="32"/>
        </w:rPr>
      </w:pPr>
    </w:p>
    <w:p>
      <w:pPr>
        <w:pStyle w:val="2"/>
        <w:ind w:firstLine="0"/>
        <w:rPr>
          <w:rStyle w:val="13"/>
          <w:rFonts w:ascii="黑体" w:hAnsi="黑体" w:eastAsia="黑体" w:cs="宋体"/>
          <w:b/>
          <w:bCs/>
          <w:color w:val="FF0000"/>
          <w:sz w:val="32"/>
        </w:rPr>
      </w:pPr>
    </w:p>
    <w:p>
      <w:pPr>
        <w:pStyle w:val="2"/>
        <w:ind w:firstLine="0"/>
        <w:rPr>
          <w:rStyle w:val="13"/>
          <w:rFonts w:ascii="黑体" w:hAnsi="黑体" w:eastAsia="黑体" w:cs="宋体"/>
          <w:b/>
          <w:bCs/>
          <w:color w:val="FF0000"/>
          <w:sz w:val="32"/>
        </w:rPr>
      </w:pPr>
    </w:p>
    <w:p>
      <w:pPr>
        <w:pStyle w:val="2"/>
        <w:ind w:firstLine="0"/>
        <w:rPr>
          <w:rStyle w:val="13"/>
          <w:rFonts w:ascii="黑体" w:hAnsi="黑体" w:eastAsia="黑体" w:cs="宋体"/>
          <w:b/>
          <w:bCs/>
          <w:color w:val="FF0000"/>
          <w:sz w:val="32"/>
        </w:rPr>
      </w:pPr>
    </w:p>
    <w:p>
      <w:pPr>
        <w:pStyle w:val="2"/>
        <w:ind w:firstLine="0"/>
        <w:jc w:val="left"/>
        <w:rPr>
          <w:rStyle w:val="13"/>
          <w:rFonts w:ascii="黑体" w:hAnsi="黑体" w:eastAsia="黑体" w:cs="宋体"/>
          <w:b/>
          <w:bCs/>
          <w:color w:val="FF0000"/>
          <w:sz w:val="28"/>
          <w:szCs w:val="18"/>
        </w:rPr>
      </w:pPr>
      <w:r>
        <w:rPr>
          <w:rStyle w:val="13"/>
          <w:rFonts w:ascii="黑体" w:hAnsi="黑体" w:eastAsia="黑体" w:cs="宋体"/>
          <w:b/>
          <w:bCs/>
          <w:color w:val="FF0000"/>
          <w:sz w:val="28"/>
          <w:szCs w:val="18"/>
        </w:rPr>
        <w:t>特别提醒：</w:t>
      </w:r>
    </w:p>
    <w:p>
      <w:pPr>
        <w:spacing w:line="360" w:lineRule="auto"/>
        <w:jc w:val="left"/>
        <w:rPr>
          <w:rStyle w:val="13"/>
          <w:rFonts w:hint="eastAsia" w:ascii="黑体" w:hAnsi="黑体" w:eastAsia="黑体"/>
          <w:b/>
          <w:color w:val="FF0000"/>
          <w:sz w:val="28"/>
          <w:szCs w:val="22"/>
        </w:rPr>
      </w:pPr>
      <w:r>
        <w:rPr>
          <w:rStyle w:val="13"/>
          <w:rFonts w:hint="eastAsia" w:ascii="黑体" w:hAnsi="黑体" w:eastAsia="黑体"/>
          <w:b/>
          <w:color w:val="FF0000"/>
          <w:sz w:val="28"/>
          <w:szCs w:val="22"/>
        </w:rPr>
        <w:t>1、投标企业请认真核实营业执照经营范围，开标时将严格按照营业执照经营范围核实，无经营范围的企业一切责任将由贵公司自行承担。</w:t>
      </w:r>
    </w:p>
    <w:p>
      <w:pPr>
        <w:spacing w:line="360" w:lineRule="auto"/>
        <w:jc w:val="left"/>
        <w:rPr>
          <w:rStyle w:val="13"/>
          <w:rFonts w:hint="eastAsia" w:ascii="黑体" w:hAnsi="黑体" w:eastAsia="黑体"/>
          <w:b/>
          <w:color w:val="FF0000"/>
          <w:sz w:val="28"/>
          <w:szCs w:val="22"/>
        </w:rPr>
      </w:pPr>
      <w:r>
        <w:rPr>
          <w:rStyle w:val="13"/>
          <w:rFonts w:hint="eastAsia" w:ascii="黑体" w:hAnsi="黑体" w:eastAsia="黑体"/>
          <w:b/>
          <w:color w:val="FF0000"/>
          <w:sz w:val="28"/>
          <w:szCs w:val="22"/>
        </w:rPr>
        <w:t>2、由投标人基本账户汇出（投标保证金需一笔汇出，分笔汇出银行系统将不予统计），且不得以分公司的名义转账，投标保证金需在2020年5月2日20：00前到账，超过时间则不予认可。投标单位须在汇款单备注栏标明：XXX项目XXX包段（标段）或采购项目编号。该项目不换取保证金收据，由银行出具投标企业保证金缴纳情况。晚于规定时间缴纳保证金的企业一切责任将由贵公司自行承担。</w:t>
      </w:r>
    </w:p>
    <w:p>
      <w:pPr>
        <w:spacing w:line="360" w:lineRule="auto"/>
        <w:jc w:val="left"/>
        <w:rPr>
          <w:rStyle w:val="13"/>
          <w:rFonts w:hint="eastAsia" w:ascii="黑体" w:hAnsi="黑体" w:eastAsia="黑体"/>
          <w:b/>
          <w:color w:val="FF0000"/>
          <w:sz w:val="28"/>
          <w:szCs w:val="22"/>
        </w:rPr>
      </w:pPr>
      <w:r>
        <w:rPr>
          <w:rStyle w:val="13"/>
          <w:rFonts w:hint="eastAsia" w:ascii="黑体" w:hAnsi="黑体" w:eastAsia="黑体"/>
          <w:b/>
          <w:color w:val="FF0000"/>
          <w:sz w:val="28"/>
          <w:szCs w:val="22"/>
        </w:rPr>
        <w:t>3、投标企业下载招标文件后请仔细阅读，如对招标文件内容有质疑，投标人应在投标截止7日前按招标文件中载明的邮箱：2739774438@qq.com地址，以书面形式通知招标人。招标人认为必要时，将（澄清）修改后的公告发布在新疆政府采购网，敬请投标企业及时关注。在规定期限内投标企业未提出质疑的视为投标企业默认招标文件不存在质疑的相关问题。超过招标文件质疑时间将不再接受投标企业所提出的质疑。</w:t>
      </w:r>
    </w:p>
    <w:p>
      <w:pPr>
        <w:spacing w:line="360" w:lineRule="auto"/>
        <w:jc w:val="left"/>
        <w:rPr>
          <w:rStyle w:val="13"/>
          <w:rFonts w:ascii="宋体" w:hAnsi="宋体"/>
          <w:b/>
          <w:color w:val="000000"/>
          <w:sz w:val="24"/>
          <w:szCs w:val="24"/>
        </w:rPr>
      </w:pPr>
      <w:r>
        <w:rPr>
          <w:rStyle w:val="13"/>
          <w:rFonts w:hint="eastAsia" w:ascii="黑体" w:hAnsi="黑体" w:eastAsia="黑体"/>
          <w:b/>
          <w:color w:val="FF0000"/>
          <w:sz w:val="28"/>
          <w:szCs w:val="22"/>
        </w:rPr>
        <w:t>4、为确保投标保证金的及时退还，评标结束后投标企业需提供保证金汇款凭证、开户许可证复印件、收据并注明开户行行号、联系方式（加盖公司鲜公章）交至皮山县政府投资交易中心财务室办理。（注：废标项目投标保证金在后续项目再次招标时银行系统不做统计，请投标企业及时办理退款）。</w:t>
      </w:r>
    </w:p>
    <w:p>
      <w:pPr>
        <w:spacing w:line="360" w:lineRule="auto"/>
        <w:jc w:val="center"/>
        <w:rPr>
          <w:rStyle w:val="13"/>
          <w:rFonts w:ascii="宋体" w:hAnsi="宋体"/>
          <w:b/>
          <w:color w:val="000000"/>
          <w:sz w:val="28"/>
          <w:szCs w:val="28"/>
        </w:rPr>
      </w:pPr>
    </w:p>
    <w:p>
      <w:pPr>
        <w:spacing w:line="360" w:lineRule="auto"/>
        <w:rPr>
          <w:rStyle w:val="13"/>
          <w:rFonts w:ascii="宋体" w:hAnsi="宋体"/>
          <w:b/>
          <w:color w:val="000000"/>
          <w:sz w:val="28"/>
          <w:szCs w:val="28"/>
        </w:rPr>
      </w:pPr>
    </w:p>
    <w:p>
      <w:pPr>
        <w:spacing w:line="360" w:lineRule="auto"/>
        <w:jc w:val="center"/>
        <w:rPr>
          <w:rStyle w:val="13"/>
          <w:rFonts w:ascii="宋体"/>
          <w:b/>
          <w:color w:val="000000"/>
          <w:sz w:val="28"/>
          <w:szCs w:val="28"/>
        </w:rPr>
      </w:pPr>
      <w:r>
        <w:rPr>
          <w:rStyle w:val="13"/>
          <w:rFonts w:ascii="宋体" w:hAnsi="宋体"/>
          <w:b/>
          <w:color w:val="000000"/>
          <w:sz w:val="28"/>
          <w:szCs w:val="28"/>
        </w:rPr>
        <w:t>第二部分  投标须知前附表</w:t>
      </w:r>
    </w:p>
    <w:tbl>
      <w:tblPr>
        <w:tblStyle w:val="10"/>
        <w:tblW w:w="9684"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823"/>
        <w:gridCol w:w="1714"/>
        <w:gridCol w:w="714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90" w:hRule="atLeast"/>
          <w:jc w:val="center"/>
        </w:trPr>
        <w:tc>
          <w:tcPr>
            <w:tcW w:w="823" w:type="dxa"/>
            <w:tcBorders>
              <w:top w:val="single" w:color="000000" w:sz="12" w:space="0"/>
              <w:left w:val="single" w:color="000000" w:sz="12" w:space="0"/>
              <w:bottom w:val="single" w:color="000000" w:sz="6" w:space="0"/>
              <w:right w:val="single" w:color="000000" w:sz="6" w:space="0"/>
            </w:tcBorders>
            <w:vAlign w:val="center"/>
          </w:tcPr>
          <w:p>
            <w:pPr>
              <w:jc w:val="center"/>
              <w:rPr>
                <w:rStyle w:val="13"/>
                <w:rFonts w:ascii="宋体"/>
                <w:b/>
                <w:color w:val="000000"/>
                <w:sz w:val="24"/>
              </w:rPr>
            </w:pPr>
            <w:r>
              <w:rPr>
                <w:rStyle w:val="13"/>
                <w:rFonts w:ascii="宋体" w:hAnsi="宋体"/>
                <w:b/>
                <w:color w:val="000000"/>
                <w:sz w:val="24"/>
              </w:rPr>
              <w:t>序号</w:t>
            </w:r>
          </w:p>
        </w:tc>
        <w:tc>
          <w:tcPr>
            <w:tcW w:w="1714" w:type="dxa"/>
            <w:tcBorders>
              <w:top w:val="single" w:color="000000" w:sz="12" w:space="0"/>
              <w:left w:val="single" w:color="000000" w:sz="6" w:space="0"/>
              <w:bottom w:val="single" w:color="000000" w:sz="6" w:space="0"/>
              <w:right w:val="single" w:color="000000" w:sz="4" w:space="0"/>
            </w:tcBorders>
            <w:vAlign w:val="center"/>
          </w:tcPr>
          <w:p>
            <w:pPr>
              <w:jc w:val="center"/>
              <w:rPr>
                <w:rStyle w:val="13"/>
                <w:rFonts w:ascii="宋体"/>
                <w:b/>
                <w:color w:val="000000"/>
                <w:sz w:val="24"/>
              </w:rPr>
            </w:pPr>
            <w:r>
              <w:rPr>
                <w:rStyle w:val="13"/>
                <w:rFonts w:ascii="宋体" w:hAnsi="宋体"/>
                <w:b/>
                <w:color w:val="000000"/>
                <w:sz w:val="24"/>
              </w:rPr>
              <w:t>条款名称</w:t>
            </w:r>
          </w:p>
        </w:tc>
        <w:tc>
          <w:tcPr>
            <w:tcW w:w="7147" w:type="dxa"/>
            <w:tcBorders>
              <w:top w:val="single" w:color="000000" w:sz="12" w:space="0"/>
              <w:left w:val="single" w:color="000000" w:sz="4" w:space="0"/>
              <w:bottom w:val="single" w:color="000000" w:sz="6" w:space="0"/>
              <w:right w:val="single" w:color="000000" w:sz="12" w:space="0"/>
            </w:tcBorders>
            <w:vAlign w:val="center"/>
          </w:tcPr>
          <w:p>
            <w:pPr>
              <w:jc w:val="center"/>
              <w:rPr>
                <w:rStyle w:val="13"/>
                <w:rFonts w:ascii="宋体"/>
                <w:b/>
                <w:color w:val="000000"/>
                <w:sz w:val="24"/>
              </w:rPr>
            </w:pPr>
            <w:r>
              <w:rPr>
                <w:rStyle w:val="13"/>
                <w:rFonts w:ascii="宋体" w:hAnsi="宋体"/>
                <w:b/>
                <w:color w:val="000000"/>
                <w:sz w:val="24"/>
              </w:rPr>
              <w:t>说明和要求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87" w:hRule="atLeast"/>
          <w:jc w:val="center"/>
        </w:trPr>
        <w:tc>
          <w:tcPr>
            <w:tcW w:w="823" w:type="dxa"/>
            <w:tcBorders>
              <w:top w:val="single" w:color="000000" w:sz="6" w:space="0"/>
              <w:left w:val="single" w:color="000000" w:sz="12" w:space="0"/>
              <w:bottom w:val="single" w:color="000000" w:sz="6" w:space="0"/>
              <w:right w:val="single" w:color="000000" w:sz="6" w:space="0"/>
            </w:tcBorders>
            <w:vAlign w:val="center"/>
          </w:tcPr>
          <w:p>
            <w:pPr>
              <w:jc w:val="center"/>
              <w:rPr>
                <w:rStyle w:val="13"/>
                <w:rFonts w:ascii="宋体"/>
                <w:color w:val="000000"/>
                <w:sz w:val="24"/>
              </w:rPr>
            </w:pPr>
            <w:r>
              <w:rPr>
                <w:rStyle w:val="13"/>
                <w:rFonts w:ascii="宋体" w:hAnsi="宋体"/>
                <w:color w:val="000000"/>
                <w:sz w:val="24"/>
              </w:rPr>
              <w:t>1</w:t>
            </w:r>
          </w:p>
        </w:tc>
        <w:tc>
          <w:tcPr>
            <w:tcW w:w="1714" w:type="dxa"/>
            <w:tcBorders>
              <w:top w:val="single" w:color="000000" w:sz="6" w:space="0"/>
              <w:left w:val="single" w:color="000000" w:sz="6" w:space="0"/>
              <w:bottom w:val="single" w:color="000000" w:sz="6" w:space="0"/>
              <w:right w:val="single" w:color="000000" w:sz="4" w:space="0"/>
            </w:tcBorders>
            <w:vAlign w:val="center"/>
          </w:tcPr>
          <w:p>
            <w:pPr>
              <w:jc w:val="center"/>
              <w:rPr>
                <w:rStyle w:val="13"/>
                <w:rFonts w:ascii="宋体"/>
                <w:color w:val="000000"/>
                <w:sz w:val="24"/>
              </w:rPr>
            </w:pPr>
            <w:r>
              <w:rPr>
                <w:rStyle w:val="13"/>
                <w:rFonts w:ascii="宋体" w:hAnsi="宋体"/>
                <w:color w:val="000000"/>
                <w:sz w:val="24"/>
              </w:rPr>
              <w:t>采购人</w:t>
            </w:r>
          </w:p>
        </w:tc>
        <w:tc>
          <w:tcPr>
            <w:tcW w:w="7147" w:type="dxa"/>
            <w:tcBorders>
              <w:top w:val="single" w:color="000000" w:sz="6" w:space="0"/>
              <w:left w:val="single" w:color="000000" w:sz="4" w:space="0"/>
              <w:bottom w:val="single" w:color="000000" w:sz="6" w:space="0"/>
              <w:right w:val="single" w:color="000000" w:sz="12" w:space="0"/>
            </w:tcBorders>
            <w:vAlign w:val="center"/>
          </w:tcPr>
          <w:p>
            <w:pPr>
              <w:rPr>
                <w:rStyle w:val="13"/>
                <w:rFonts w:ascii="宋体"/>
                <w:color w:val="000000"/>
                <w:kern w:val="0"/>
                <w:sz w:val="24"/>
              </w:rPr>
            </w:pPr>
            <w:r>
              <w:rPr>
                <w:rStyle w:val="13"/>
                <w:rFonts w:ascii="宋体" w:hAnsi="宋体"/>
                <w:color w:val="000000"/>
                <w:kern w:val="0"/>
                <w:sz w:val="24"/>
              </w:rPr>
              <w:t>名  称：皮山县卫生健康委员会</w:t>
            </w:r>
          </w:p>
          <w:p>
            <w:pPr>
              <w:rPr>
                <w:rStyle w:val="13"/>
                <w:rFonts w:ascii="宋体"/>
                <w:color w:val="000000"/>
                <w:kern w:val="0"/>
                <w:sz w:val="24"/>
              </w:rPr>
            </w:pPr>
            <w:r>
              <w:rPr>
                <w:rStyle w:val="13"/>
                <w:rFonts w:ascii="宋体" w:hAnsi="宋体"/>
                <w:color w:val="000000"/>
                <w:kern w:val="0"/>
                <w:sz w:val="24"/>
              </w:rPr>
              <w:t>联系人: 买买提明</w:t>
            </w:r>
          </w:p>
          <w:p>
            <w:pPr>
              <w:rPr>
                <w:rStyle w:val="13"/>
                <w:rFonts w:ascii="宋体"/>
                <w:color w:val="000000"/>
                <w:sz w:val="24"/>
              </w:rPr>
            </w:pPr>
            <w:r>
              <w:rPr>
                <w:rStyle w:val="13"/>
                <w:rFonts w:ascii="宋体" w:hAnsi="宋体"/>
                <w:color w:val="000000"/>
                <w:sz w:val="24"/>
              </w:rPr>
              <w:t>电  话：</w:t>
            </w:r>
            <w:r>
              <w:rPr>
                <w:rStyle w:val="13"/>
                <w:rFonts w:hint="eastAsia" w:ascii="宋体" w:hAnsi="宋体"/>
                <w:color w:val="000000"/>
                <w:sz w:val="24"/>
                <w:lang w:eastAsia="zh-CN"/>
              </w:rPr>
              <w:t>0903-6426716</w:t>
            </w:r>
            <w:r>
              <w:rPr>
                <w:rStyle w:val="13"/>
                <w:rFonts w:ascii="宋体" w:hAnsi="宋体"/>
                <w:color w:val="000000"/>
                <w:sz w:val="24"/>
              </w:rPr>
              <w:t>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61" w:hRule="atLeast"/>
          <w:jc w:val="center"/>
        </w:trPr>
        <w:tc>
          <w:tcPr>
            <w:tcW w:w="823" w:type="dxa"/>
            <w:tcBorders>
              <w:top w:val="single" w:color="000000" w:sz="6" w:space="0"/>
              <w:left w:val="single" w:color="000000" w:sz="12" w:space="0"/>
              <w:bottom w:val="single" w:color="000000" w:sz="6" w:space="0"/>
              <w:right w:val="single" w:color="000000" w:sz="6" w:space="0"/>
            </w:tcBorders>
            <w:vAlign w:val="center"/>
          </w:tcPr>
          <w:p>
            <w:pPr>
              <w:jc w:val="center"/>
              <w:rPr>
                <w:rStyle w:val="13"/>
                <w:rFonts w:ascii="宋体"/>
                <w:color w:val="000000"/>
                <w:sz w:val="24"/>
              </w:rPr>
            </w:pPr>
            <w:r>
              <w:rPr>
                <w:rStyle w:val="13"/>
                <w:rFonts w:ascii="宋体" w:hAnsi="宋体"/>
                <w:color w:val="000000"/>
                <w:sz w:val="24"/>
              </w:rPr>
              <w:t>2</w:t>
            </w:r>
          </w:p>
        </w:tc>
        <w:tc>
          <w:tcPr>
            <w:tcW w:w="1714" w:type="dxa"/>
            <w:tcBorders>
              <w:top w:val="single" w:color="000000" w:sz="6" w:space="0"/>
              <w:left w:val="single" w:color="000000" w:sz="6" w:space="0"/>
              <w:bottom w:val="single" w:color="000000" w:sz="6" w:space="0"/>
              <w:right w:val="single" w:color="000000" w:sz="4" w:space="0"/>
            </w:tcBorders>
            <w:vAlign w:val="center"/>
          </w:tcPr>
          <w:p>
            <w:pPr>
              <w:jc w:val="center"/>
              <w:rPr>
                <w:rStyle w:val="13"/>
                <w:rFonts w:ascii="宋体"/>
                <w:color w:val="000000"/>
                <w:sz w:val="24"/>
              </w:rPr>
            </w:pPr>
            <w:r>
              <w:rPr>
                <w:rStyle w:val="13"/>
                <w:rFonts w:ascii="宋体" w:hAnsi="宋体"/>
                <w:color w:val="000000"/>
                <w:sz w:val="24"/>
              </w:rPr>
              <w:t>代理机构</w:t>
            </w:r>
          </w:p>
        </w:tc>
        <w:tc>
          <w:tcPr>
            <w:tcW w:w="7147" w:type="dxa"/>
            <w:tcBorders>
              <w:top w:val="single" w:color="000000" w:sz="6" w:space="0"/>
              <w:left w:val="single" w:color="000000" w:sz="4" w:space="0"/>
              <w:bottom w:val="single" w:color="000000" w:sz="6" w:space="0"/>
              <w:right w:val="single" w:color="000000" w:sz="12" w:space="0"/>
            </w:tcBorders>
            <w:vAlign w:val="center"/>
          </w:tcPr>
          <w:p>
            <w:pPr>
              <w:rPr>
                <w:rStyle w:val="13"/>
                <w:rFonts w:ascii="宋体"/>
                <w:color w:val="000000"/>
                <w:sz w:val="24"/>
              </w:rPr>
            </w:pPr>
            <w:r>
              <w:rPr>
                <w:rStyle w:val="13"/>
                <w:rFonts w:ascii="宋体" w:hAnsi="宋体"/>
                <w:color w:val="000000"/>
                <w:sz w:val="24"/>
              </w:rPr>
              <w:t>名  称：新疆天之源项目管理有限公司</w:t>
            </w:r>
          </w:p>
          <w:p>
            <w:pPr>
              <w:rPr>
                <w:rStyle w:val="13"/>
                <w:rFonts w:ascii="宋体"/>
                <w:color w:val="000000"/>
                <w:sz w:val="24"/>
              </w:rPr>
            </w:pPr>
            <w:r>
              <w:rPr>
                <w:rStyle w:val="13"/>
                <w:rFonts w:ascii="宋体" w:hAnsi="宋体"/>
                <w:color w:val="000000"/>
                <w:sz w:val="24"/>
              </w:rPr>
              <w:t>地  址：</w:t>
            </w:r>
            <w:r>
              <w:rPr>
                <w:rStyle w:val="13"/>
                <w:rFonts w:ascii="宋体" w:hAnsi="宋体"/>
                <w:color w:val="000000"/>
                <w:sz w:val="24"/>
                <w:lang w:val="zh-CN"/>
              </w:rPr>
              <w:t>和田市人民街玉都国际广场金座7楼</w:t>
            </w:r>
          </w:p>
          <w:p>
            <w:pPr>
              <w:rPr>
                <w:rStyle w:val="13"/>
                <w:rFonts w:ascii="宋体"/>
                <w:color w:val="000000"/>
                <w:sz w:val="24"/>
              </w:rPr>
            </w:pPr>
            <w:r>
              <w:rPr>
                <w:rStyle w:val="13"/>
                <w:rFonts w:ascii="宋体" w:hAnsi="宋体"/>
                <w:color w:val="000000"/>
                <w:sz w:val="24"/>
              </w:rPr>
              <w:t xml:space="preserve">联系人：赵梅风 </w:t>
            </w:r>
          </w:p>
          <w:p>
            <w:pPr>
              <w:rPr>
                <w:rStyle w:val="13"/>
                <w:rFonts w:ascii="宋体"/>
                <w:color w:val="000000"/>
                <w:sz w:val="24"/>
              </w:rPr>
            </w:pPr>
            <w:r>
              <w:rPr>
                <w:rStyle w:val="13"/>
                <w:rFonts w:ascii="宋体" w:hAnsi="宋体"/>
                <w:color w:val="000000"/>
                <w:sz w:val="24"/>
              </w:rPr>
              <w:t>电  话：0903-7827070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8" w:hRule="atLeast"/>
          <w:jc w:val="center"/>
        </w:trPr>
        <w:tc>
          <w:tcPr>
            <w:tcW w:w="823" w:type="dxa"/>
            <w:tcBorders>
              <w:top w:val="single" w:color="000000" w:sz="6" w:space="0"/>
              <w:left w:val="single" w:color="000000" w:sz="12" w:space="0"/>
              <w:bottom w:val="single" w:color="000000" w:sz="6" w:space="0"/>
              <w:right w:val="single" w:color="000000" w:sz="6" w:space="0"/>
            </w:tcBorders>
            <w:vAlign w:val="center"/>
          </w:tcPr>
          <w:p>
            <w:pPr>
              <w:jc w:val="center"/>
              <w:rPr>
                <w:rStyle w:val="13"/>
                <w:rFonts w:ascii="宋体"/>
                <w:color w:val="000000"/>
                <w:sz w:val="24"/>
              </w:rPr>
            </w:pPr>
            <w:r>
              <w:rPr>
                <w:rStyle w:val="13"/>
                <w:rFonts w:ascii="宋体" w:hAnsi="宋体"/>
                <w:color w:val="000000"/>
                <w:sz w:val="24"/>
              </w:rPr>
              <w:t>3</w:t>
            </w:r>
          </w:p>
        </w:tc>
        <w:tc>
          <w:tcPr>
            <w:tcW w:w="1714" w:type="dxa"/>
            <w:tcBorders>
              <w:top w:val="single" w:color="000000" w:sz="6" w:space="0"/>
              <w:left w:val="single" w:color="000000" w:sz="6" w:space="0"/>
              <w:bottom w:val="single" w:color="000000" w:sz="6" w:space="0"/>
              <w:right w:val="single" w:color="000000" w:sz="4" w:space="0"/>
            </w:tcBorders>
            <w:vAlign w:val="center"/>
          </w:tcPr>
          <w:p>
            <w:pPr>
              <w:rPr>
                <w:rStyle w:val="13"/>
                <w:rFonts w:ascii="宋体"/>
                <w:color w:val="000000"/>
                <w:sz w:val="24"/>
              </w:rPr>
            </w:pPr>
            <w:r>
              <w:rPr>
                <w:rStyle w:val="13"/>
                <w:rFonts w:ascii="宋体" w:hAnsi="宋体"/>
                <w:color w:val="000000"/>
                <w:sz w:val="24"/>
              </w:rPr>
              <w:t>采购项目名称</w:t>
            </w:r>
          </w:p>
        </w:tc>
        <w:tc>
          <w:tcPr>
            <w:tcW w:w="7147" w:type="dxa"/>
            <w:tcBorders>
              <w:top w:val="single" w:color="000000" w:sz="6" w:space="0"/>
              <w:left w:val="single" w:color="000000" w:sz="4" w:space="0"/>
              <w:bottom w:val="single" w:color="000000" w:sz="6" w:space="0"/>
              <w:right w:val="single" w:color="000000" w:sz="12" w:space="0"/>
            </w:tcBorders>
            <w:vAlign w:val="center"/>
          </w:tcPr>
          <w:p>
            <w:pPr>
              <w:jc w:val="left"/>
              <w:rPr>
                <w:rStyle w:val="13"/>
                <w:rFonts w:ascii="新宋体" w:hAnsi="新宋体" w:eastAsia="新宋体" w:cs="宋体"/>
                <w:bCs/>
                <w:color w:val="000000"/>
                <w:kern w:val="0"/>
                <w:sz w:val="24"/>
              </w:rPr>
            </w:pPr>
            <w:r>
              <w:rPr>
                <w:rStyle w:val="13"/>
                <w:rFonts w:ascii="新宋体" w:hAnsi="新宋体" w:eastAsia="新宋体" w:cs="宋体"/>
                <w:bCs/>
                <w:color w:val="000000"/>
                <w:kern w:val="0"/>
                <w:sz w:val="24"/>
              </w:rPr>
              <w:t>皮山县AI+紧密型医共体项目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8" w:hRule="atLeast"/>
          <w:jc w:val="center"/>
        </w:trPr>
        <w:tc>
          <w:tcPr>
            <w:tcW w:w="823" w:type="dxa"/>
            <w:tcBorders>
              <w:top w:val="single" w:color="000000" w:sz="6" w:space="0"/>
              <w:left w:val="single" w:color="000000" w:sz="12" w:space="0"/>
              <w:bottom w:val="single" w:color="000000" w:sz="6" w:space="0"/>
              <w:right w:val="single" w:color="000000" w:sz="6" w:space="0"/>
            </w:tcBorders>
            <w:vAlign w:val="center"/>
          </w:tcPr>
          <w:p>
            <w:pPr>
              <w:jc w:val="center"/>
              <w:rPr>
                <w:rStyle w:val="13"/>
                <w:rFonts w:ascii="宋体" w:hAnsi="宋体"/>
                <w:color w:val="000000"/>
                <w:sz w:val="24"/>
              </w:rPr>
            </w:pPr>
            <w:r>
              <w:rPr>
                <w:rStyle w:val="13"/>
                <w:rFonts w:ascii="宋体" w:hAnsi="宋体"/>
                <w:color w:val="000000"/>
                <w:sz w:val="24"/>
              </w:rPr>
              <w:t>4</w:t>
            </w:r>
          </w:p>
        </w:tc>
        <w:tc>
          <w:tcPr>
            <w:tcW w:w="1714" w:type="dxa"/>
            <w:tcBorders>
              <w:top w:val="single" w:color="000000" w:sz="6" w:space="0"/>
              <w:left w:val="single" w:color="000000" w:sz="6" w:space="0"/>
              <w:bottom w:val="single" w:color="000000" w:sz="6" w:space="0"/>
              <w:right w:val="single" w:color="000000" w:sz="4" w:space="0"/>
            </w:tcBorders>
            <w:vAlign w:val="center"/>
          </w:tcPr>
          <w:p>
            <w:pPr>
              <w:rPr>
                <w:rStyle w:val="13"/>
                <w:rFonts w:ascii="宋体" w:hAnsi="宋体"/>
                <w:color w:val="000000"/>
                <w:sz w:val="24"/>
              </w:rPr>
            </w:pPr>
            <w:r>
              <w:rPr>
                <w:rStyle w:val="13"/>
                <w:rFonts w:ascii="宋体" w:hAnsi="宋体"/>
                <w:color w:val="000000"/>
                <w:sz w:val="24"/>
              </w:rPr>
              <w:t>采购内容</w:t>
            </w:r>
          </w:p>
        </w:tc>
        <w:tc>
          <w:tcPr>
            <w:tcW w:w="7147" w:type="dxa"/>
            <w:tcBorders>
              <w:top w:val="single" w:color="000000" w:sz="6" w:space="0"/>
              <w:left w:val="single" w:color="000000" w:sz="4" w:space="0"/>
              <w:bottom w:val="single" w:color="000000" w:sz="6" w:space="0"/>
              <w:right w:val="single" w:color="000000" w:sz="12" w:space="0"/>
            </w:tcBorders>
            <w:vAlign w:val="center"/>
          </w:tcPr>
          <w:p>
            <w:pPr>
              <w:jc w:val="left"/>
              <w:rPr>
                <w:rStyle w:val="13"/>
                <w:rFonts w:ascii="新宋体" w:hAnsi="新宋体" w:eastAsia="新宋体" w:cs="宋体"/>
                <w:bCs/>
                <w:color w:val="000000"/>
                <w:kern w:val="0"/>
                <w:sz w:val="24"/>
              </w:rPr>
            </w:pPr>
            <w:r>
              <w:rPr>
                <w:rStyle w:val="13"/>
                <w:rFonts w:ascii="新宋体" w:hAnsi="新宋体" w:eastAsia="新宋体" w:cs="宋体"/>
                <w:bCs/>
                <w:color w:val="000000"/>
                <w:kern w:val="0"/>
                <w:sz w:val="24"/>
              </w:rPr>
              <w:t>建设医学人工智能能力平台、人工智能应用系统、多语言智能窗口话务系统、基层服务平台、互联网医疗平台、综合监测平台及相关硬件设备。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0" w:hRule="atLeast"/>
          <w:jc w:val="center"/>
        </w:trPr>
        <w:tc>
          <w:tcPr>
            <w:tcW w:w="823" w:type="dxa"/>
            <w:tcBorders>
              <w:top w:val="single" w:color="000000" w:sz="6" w:space="0"/>
              <w:left w:val="single" w:color="000000" w:sz="12" w:space="0"/>
              <w:bottom w:val="single" w:color="000000" w:sz="6" w:space="0"/>
              <w:right w:val="single" w:color="000000" w:sz="6" w:space="0"/>
            </w:tcBorders>
            <w:vAlign w:val="center"/>
          </w:tcPr>
          <w:p>
            <w:pPr>
              <w:jc w:val="center"/>
              <w:rPr>
                <w:rStyle w:val="13"/>
                <w:rFonts w:ascii="宋体"/>
                <w:color w:val="000000"/>
                <w:sz w:val="24"/>
              </w:rPr>
            </w:pPr>
            <w:r>
              <w:rPr>
                <w:rStyle w:val="13"/>
                <w:rFonts w:ascii="宋体"/>
                <w:color w:val="000000"/>
                <w:sz w:val="24"/>
              </w:rPr>
              <w:t>5</w:t>
            </w:r>
          </w:p>
        </w:tc>
        <w:tc>
          <w:tcPr>
            <w:tcW w:w="1714" w:type="dxa"/>
            <w:tcBorders>
              <w:top w:val="single" w:color="000000" w:sz="6" w:space="0"/>
              <w:left w:val="single" w:color="000000" w:sz="6" w:space="0"/>
              <w:bottom w:val="single" w:color="000000" w:sz="6" w:space="0"/>
              <w:right w:val="single" w:color="000000" w:sz="4" w:space="0"/>
            </w:tcBorders>
            <w:vAlign w:val="center"/>
          </w:tcPr>
          <w:p>
            <w:pPr>
              <w:tabs>
                <w:tab w:val="left" w:pos="900"/>
              </w:tabs>
              <w:jc w:val="center"/>
              <w:rPr>
                <w:rStyle w:val="13"/>
                <w:rFonts w:ascii="宋体"/>
                <w:color w:val="000000"/>
                <w:sz w:val="24"/>
              </w:rPr>
            </w:pPr>
            <w:r>
              <w:rPr>
                <w:rStyle w:val="13"/>
                <w:rFonts w:ascii="宋体" w:hAnsi="宋体"/>
                <w:color w:val="000000"/>
                <w:sz w:val="24"/>
              </w:rPr>
              <w:t>资金来源</w:t>
            </w:r>
          </w:p>
        </w:tc>
        <w:tc>
          <w:tcPr>
            <w:tcW w:w="7147" w:type="dxa"/>
            <w:tcBorders>
              <w:top w:val="single" w:color="000000" w:sz="6" w:space="0"/>
              <w:left w:val="single" w:color="000000" w:sz="4" w:space="0"/>
              <w:bottom w:val="single" w:color="000000" w:sz="6" w:space="0"/>
              <w:right w:val="single" w:color="000000" w:sz="12" w:space="0"/>
            </w:tcBorders>
            <w:vAlign w:val="bottom"/>
          </w:tcPr>
          <w:p>
            <w:pPr>
              <w:rPr>
                <w:rStyle w:val="13"/>
                <w:rFonts w:ascii="宋体"/>
                <w:color w:val="000000"/>
                <w:kern w:val="0"/>
                <w:sz w:val="24"/>
              </w:rPr>
            </w:pPr>
            <w:r>
              <w:rPr>
                <w:rStyle w:val="13"/>
                <w:rFonts w:ascii="宋体"/>
                <w:color w:val="000000"/>
                <w:kern w:val="0"/>
                <w:sz w:val="24"/>
              </w:rPr>
              <w:t>安徽援</w:t>
            </w:r>
            <w:r>
              <w:rPr>
                <w:rStyle w:val="13"/>
                <w:rFonts w:hint="eastAsia" w:ascii="宋体"/>
                <w:color w:val="000000"/>
                <w:kern w:val="0"/>
                <w:sz w:val="24"/>
                <w:lang w:eastAsia="zh-CN"/>
              </w:rPr>
              <w:t>疆</w:t>
            </w:r>
            <w:r>
              <w:rPr>
                <w:rStyle w:val="13"/>
                <w:rFonts w:ascii="宋体"/>
                <w:color w:val="000000"/>
                <w:kern w:val="0"/>
                <w:sz w:val="24"/>
              </w:rPr>
              <w:t>资金</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823" w:type="dxa"/>
            <w:tcBorders>
              <w:top w:val="single" w:color="000000" w:sz="6" w:space="0"/>
              <w:left w:val="single" w:color="000000" w:sz="12" w:space="0"/>
              <w:bottom w:val="single" w:color="000000" w:sz="6" w:space="0"/>
              <w:right w:val="single" w:color="000000" w:sz="6" w:space="0"/>
            </w:tcBorders>
            <w:vAlign w:val="center"/>
          </w:tcPr>
          <w:p>
            <w:pPr>
              <w:jc w:val="center"/>
              <w:rPr>
                <w:rStyle w:val="13"/>
                <w:rFonts w:ascii="宋体"/>
                <w:color w:val="000000"/>
                <w:sz w:val="24"/>
              </w:rPr>
            </w:pPr>
            <w:r>
              <w:rPr>
                <w:rStyle w:val="13"/>
                <w:rFonts w:ascii="宋体"/>
                <w:color w:val="000000"/>
                <w:sz w:val="24"/>
              </w:rPr>
              <w:t>6</w:t>
            </w:r>
          </w:p>
        </w:tc>
        <w:tc>
          <w:tcPr>
            <w:tcW w:w="1714" w:type="dxa"/>
            <w:tcBorders>
              <w:top w:val="single" w:color="000000" w:sz="6" w:space="0"/>
              <w:left w:val="single" w:color="000000" w:sz="6" w:space="0"/>
              <w:bottom w:val="single" w:color="000000" w:sz="6" w:space="0"/>
              <w:right w:val="single" w:color="000000" w:sz="4" w:space="0"/>
            </w:tcBorders>
            <w:vAlign w:val="center"/>
          </w:tcPr>
          <w:p>
            <w:pPr>
              <w:jc w:val="left"/>
              <w:rPr>
                <w:rStyle w:val="13"/>
                <w:rFonts w:ascii="新宋体" w:hAnsi="新宋体" w:eastAsia="新宋体" w:cs="宋体"/>
                <w:bCs/>
                <w:color w:val="000000"/>
                <w:kern w:val="0"/>
                <w:sz w:val="24"/>
                <w:szCs w:val="22"/>
              </w:rPr>
            </w:pPr>
            <w:r>
              <w:rPr>
                <w:rStyle w:val="13"/>
                <w:rFonts w:ascii="新宋体" w:hAnsi="新宋体" w:eastAsia="新宋体" w:cs="宋体"/>
                <w:bCs/>
                <w:color w:val="000000"/>
                <w:kern w:val="0"/>
                <w:sz w:val="24"/>
                <w:szCs w:val="22"/>
              </w:rPr>
              <w:t>采购概算价</w:t>
            </w:r>
          </w:p>
        </w:tc>
        <w:tc>
          <w:tcPr>
            <w:tcW w:w="7147" w:type="dxa"/>
            <w:tcBorders>
              <w:top w:val="single" w:color="000000" w:sz="6" w:space="0"/>
              <w:left w:val="single" w:color="000000" w:sz="4" w:space="0"/>
              <w:bottom w:val="single" w:color="000000" w:sz="6" w:space="0"/>
              <w:right w:val="single" w:color="000000" w:sz="12" w:space="0"/>
            </w:tcBorders>
            <w:vAlign w:val="center"/>
          </w:tcPr>
          <w:p>
            <w:pPr>
              <w:jc w:val="left"/>
              <w:rPr>
                <w:rStyle w:val="13"/>
                <w:rFonts w:ascii="新宋体" w:hAnsi="新宋体" w:eastAsia="新宋体" w:cs="宋体"/>
                <w:bCs/>
                <w:color w:val="000000"/>
                <w:kern w:val="0"/>
                <w:sz w:val="24"/>
                <w:szCs w:val="22"/>
              </w:rPr>
            </w:pPr>
            <w:r>
              <w:rPr>
                <w:rStyle w:val="13"/>
                <w:rFonts w:hint="eastAsia" w:ascii="新宋体" w:hAnsi="新宋体" w:eastAsia="新宋体" w:cs="宋体"/>
                <w:bCs/>
                <w:color w:val="000000"/>
                <w:kern w:val="0"/>
                <w:sz w:val="24"/>
                <w:szCs w:val="22"/>
              </w:rPr>
              <w:t>3067.8万元（此采购金额为最高限价，如超过预算价的报价为无效报价。）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55" w:hRule="atLeast"/>
          <w:jc w:val="center"/>
        </w:trPr>
        <w:tc>
          <w:tcPr>
            <w:tcW w:w="823" w:type="dxa"/>
            <w:tcBorders>
              <w:top w:val="single" w:color="000000" w:sz="6" w:space="0"/>
              <w:left w:val="single" w:color="000000" w:sz="12" w:space="0"/>
              <w:bottom w:val="single" w:color="000000" w:sz="6" w:space="0"/>
              <w:right w:val="single" w:color="000000" w:sz="6" w:space="0"/>
            </w:tcBorders>
            <w:vAlign w:val="center"/>
          </w:tcPr>
          <w:p>
            <w:pPr>
              <w:jc w:val="center"/>
              <w:rPr>
                <w:rStyle w:val="13"/>
                <w:rFonts w:ascii="宋体"/>
                <w:color w:val="000000"/>
                <w:sz w:val="24"/>
              </w:rPr>
            </w:pPr>
            <w:r>
              <w:rPr>
                <w:rStyle w:val="13"/>
                <w:rFonts w:ascii="宋体"/>
                <w:color w:val="000000"/>
                <w:sz w:val="24"/>
              </w:rPr>
              <w:t>7</w:t>
            </w:r>
          </w:p>
        </w:tc>
        <w:tc>
          <w:tcPr>
            <w:tcW w:w="1714" w:type="dxa"/>
            <w:tcBorders>
              <w:top w:val="single" w:color="000000" w:sz="6" w:space="0"/>
              <w:left w:val="single" w:color="000000" w:sz="6" w:space="0"/>
              <w:bottom w:val="single" w:color="000000" w:sz="6" w:space="0"/>
              <w:right w:val="single" w:color="000000" w:sz="4" w:space="0"/>
            </w:tcBorders>
            <w:vAlign w:val="center"/>
          </w:tcPr>
          <w:p>
            <w:pPr>
              <w:jc w:val="center"/>
              <w:rPr>
                <w:rStyle w:val="13"/>
                <w:rFonts w:ascii="宋体"/>
                <w:color w:val="000000"/>
                <w:sz w:val="24"/>
                <w:u w:val="single"/>
              </w:rPr>
            </w:pPr>
            <w:r>
              <w:rPr>
                <w:rStyle w:val="13"/>
                <w:rFonts w:ascii="宋体" w:hAnsi="宋体"/>
                <w:color w:val="000000"/>
                <w:kern w:val="0"/>
                <w:sz w:val="24"/>
              </w:rPr>
              <w:t>采购方式</w:t>
            </w:r>
          </w:p>
        </w:tc>
        <w:tc>
          <w:tcPr>
            <w:tcW w:w="7147" w:type="dxa"/>
            <w:tcBorders>
              <w:top w:val="single" w:color="000000" w:sz="6" w:space="0"/>
              <w:left w:val="single" w:color="000000" w:sz="4" w:space="0"/>
              <w:bottom w:val="single" w:color="000000" w:sz="6" w:space="0"/>
              <w:right w:val="single" w:color="000000" w:sz="12" w:space="0"/>
            </w:tcBorders>
            <w:vAlign w:val="center"/>
          </w:tcPr>
          <w:p>
            <w:pPr>
              <w:jc w:val="left"/>
              <w:rPr>
                <w:rStyle w:val="13"/>
                <w:rFonts w:ascii="宋体"/>
                <w:color w:val="000000"/>
                <w:sz w:val="24"/>
                <w:u w:val="single"/>
              </w:rPr>
            </w:pPr>
            <w:r>
              <w:rPr>
                <w:rStyle w:val="13"/>
                <w:rFonts w:ascii="宋体" w:hAnsi="宋体"/>
                <w:color w:val="000000"/>
                <w:sz w:val="24"/>
              </w:rPr>
              <w:t>公开招标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823" w:type="dxa"/>
            <w:tcBorders>
              <w:top w:val="single" w:color="000000" w:sz="6" w:space="0"/>
              <w:left w:val="single" w:color="000000" w:sz="12" w:space="0"/>
              <w:bottom w:val="single" w:color="000000" w:sz="6" w:space="0"/>
              <w:right w:val="single" w:color="000000" w:sz="6" w:space="0"/>
            </w:tcBorders>
            <w:vAlign w:val="center"/>
          </w:tcPr>
          <w:p>
            <w:pPr>
              <w:jc w:val="center"/>
              <w:rPr>
                <w:rStyle w:val="13"/>
                <w:rFonts w:ascii="宋体"/>
                <w:color w:val="000000"/>
                <w:sz w:val="24"/>
              </w:rPr>
            </w:pPr>
            <w:r>
              <w:rPr>
                <w:rStyle w:val="13"/>
                <w:rFonts w:ascii="宋体"/>
                <w:color w:val="000000"/>
                <w:sz w:val="24"/>
              </w:rPr>
              <w:t>8</w:t>
            </w:r>
          </w:p>
        </w:tc>
        <w:tc>
          <w:tcPr>
            <w:tcW w:w="1714" w:type="dxa"/>
            <w:tcBorders>
              <w:top w:val="single" w:color="000000" w:sz="6" w:space="0"/>
              <w:left w:val="single" w:color="000000" w:sz="6" w:space="0"/>
              <w:bottom w:val="single" w:color="000000" w:sz="6" w:space="0"/>
              <w:right w:val="single" w:color="000000" w:sz="4" w:space="0"/>
            </w:tcBorders>
            <w:vAlign w:val="center"/>
          </w:tcPr>
          <w:p>
            <w:pPr>
              <w:jc w:val="center"/>
              <w:rPr>
                <w:rStyle w:val="13"/>
                <w:rFonts w:ascii="宋体"/>
                <w:color w:val="000000"/>
                <w:sz w:val="24"/>
              </w:rPr>
            </w:pPr>
            <w:r>
              <w:rPr>
                <w:rStyle w:val="13"/>
                <w:rFonts w:ascii="宋体" w:hAnsi="宋体"/>
                <w:color w:val="000000"/>
                <w:sz w:val="24"/>
              </w:rPr>
              <w:t>评标方法</w:t>
            </w:r>
          </w:p>
        </w:tc>
        <w:tc>
          <w:tcPr>
            <w:tcW w:w="7147" w:type="dxa"/>
            <w:tcBorders>
              <w:top w:val="single" w:color="000000" w:sz="6" w:space="0"/>
              <w:left w:val="single" w:color="000000" w:sz="4" w:space="0"/>
              <w:bottom w:val="single" w:color="000000" w:sz="6" w:space="0"/>
              <w:right w:val="single" w:color="000000" w:sz="12" w:space="0"/>
            </w:tcBorders>
            <w:vAlign w:val="center"/>
          </w:tcPr>
          <w:p>
            <w:pPr>
              <w:jc w:val="left"/>
              <w:rPr>
                <w:rStyle w:val="13"/>
                <w:rFonts w:ascii="宋体"/>
                <w:color w:val="000000"/>
                <w:sz w:val="24"/>
              </w:rPr>
            </w:pPr>
            <w:r>
              <w:rPr>
                <w:rStyle w:val="13"/>
                <w:rFonts w:ascii="宋体"/>
                <w:b/>
                <w:bCs/>
                <w:color w:val="000000"/>
                <w:sz w:val="24"/>
              </w:rPr>
              <w:t>综合评分法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915" w:hRule="atLeast"/>
          <w:jc w:val="center"/>
        </w:trPr>
        <w:tc>
          <w:tcPr>
            <w:tcW w:w="823" w:type="dxa"/>
            <w:tcBorders>
              <w:top w:val="single" w:color="000000" w:sz="6" w:space="0"/>
              <w:left w:val="single" w:color="000000" w:sz="12" w:space="0"/>
              <w:right w:val="single" w:color="000000" w:sz="6" w:space="0"/>
            </w:tcBorders>
            <w:vAlign w:val="center"/>
          </w:tcPr>
          <w:p>
            <w:pPr>
              <w:jc w:val="center"/>
              <w:rPr>
                <w:rStyle w:val="13"/>
                <w:rFonts w:ascii="宋体"/>
                <w:color w:val="000000"/>
                <w:sz w:val="24"/>
              </w:rPr>
            </w:pPr>
            <w:r>
              <w:rPr>
                <w:rStyle w:val="13"/>
                <w:rFonts w:ascii="宋体"/>
                <w:color w:val="000000"/>
                <w:sz w:val="24"/>
              </w:rPr>
              <w:t>9</w:t>
            </w:r>
          </w:p>
        </w:tc>
        <w:tc>
          <w:tcPr>
            <w:tcW w:w="1714" w:type="dxa"/>
            <w:tcBorders>
              <w:top w:val="single" w:color="000000" w:sz="6" w:space="0"/>
              <w:left w:val="single" w:color="000000" w:sz="6" w:space="0"/>
              <w:right w:val="single" w:color="000000" w:sz="4" w:space="0"/>
            </w:tcBorders>
            <w:vAlign w:val="center"/>
          </w:tcPr>
          <w:p>
            <w:pPr>
              <w:jc w:val="center"/>
              <w:rPr>
                <w:rStyle w:val="13"/>
                <w:rFonts w:ascii="宋体" w:hAnsi="宋体"/>
                <w:color w:val="000000"/>
                <w:sz w:val="24"/>
                <w:szCs w:val="22"/>
                <w:highlight w:val="white"/>
              </w:rPr>
            </w:pPr>
            <w:r>
              <w:rPr>
                <w:rStyle w:val="13"/>
                <w:rFonts w:ascii="宋体" w:hAnsi="宋体"/>
                <w:color w:val="000000"/>
                <w:sz w:val="24"/>
                <w:highlight w:val="white"/>
              </w:rPr>
              <w:t>交货地点</w:t>
            </w:r>
            <w:r>
              <w:rPr>
                <w:rStyle w:val="13"/>
                <w:rFonts w:hint="eastAsia" w:ascii="宋体" w:hAnsi="宋体"/>
                <w:color w:val="000000"/>
                <w:sz w:val="24"/>
                <w:highlight w:val="white"/>
                <w:lang w:eastAsia="zh-CN"/>
              </w:rPr>
              <w:t>、</w:t>
            </w:r>
            <w:r>
              <w:rPr>
                <w:rStyle w:val="13"/>
                <w:rFonts w:ascii="宋体" w:hAnsi="宋体"/>
                <w:color w:val="000000"/>
                <w:sz w:val="24"/>
                <w:szCs w:val="22"/>
                <w:highlight w:val="white"/>
              </w:rPr>
              <w:t>交付期、交付方式</w:t>
            </w:r>
          </w:p>
        </w:tc>
        <w:tc>
          <w:tcPr>
            <w:tcW w:w="7147" w:type="dxa"/>
            <w:tcBorders>
              <w:top w:val="single" w:color="000000" w:sz="6" w:space="0"/>
              <w:left w:val="single" w:color="000000" w:sz="4" w:space="0"/>
              <w:bottom w:val="single" w:color="000000" w:sz="6" w:space="0"/>
              <w:right w:val="single" w:color="000000" w:sz="12" w:space="0"/>
            </w:tcBorders>
            <w:vAlign w:val="center"/>
          </w:tcPr>
          <w:p>
            <w:pPr>
              <w:rPr>
                <w:rStyle w:val="13"/>
                <w:rFonts w:ascii="宋体" w:hAnsi="宋体"/>
                <w:color w:val="000000"/>
                <w:sz w:val="24"/>
                <w:highlight w:val="white"/>
              </w:rPr>
            </w:pPr>
            <w:r>
              <w:rPr>
                <w:rStyle w:val="13"/>
                <w:rFonts w:ascii="宋体" w:hAnsi="宋体"/>
                <w:color w:val="000000"/>
                <w:sz w:val="24"/>
                <w:highlight w:val="white"/>
              </w:rPr>
              <w:t>交货地点</w:t>
            </w:r>
            <w:r>
              <w:rPr>
                <w:rStyle w:val="13"/>
                <w:rFonts w:hint="eastAsia" w:ascii="宋体" w:hAnsi="宋体"/>
                <w:color w:val="000000"/>
                <w:sz w:val="24"/>
                <w:highlight w:val="white"/>
                <w:lang w:eastAsia="zh-CN"/>
              </w:rPr>
              <w:t>：</w:t>
            </w:r>
            <w:r>
              <w:rPr>
                <w:rStyle w:val="13"/>
                <w:rFonts w:ascii="宋体" w:hAnsi="宋体"/>
                <w:color w:val="000000"/>
                <w:sz w:val="24"/>
                <w:highlight w:val="white"/>
              </w:rPr>
              <w:t>业主指定地点（皮山县卫生健康委员会指定）</w:t>
            </w:r>
          </w:p>
          <w:p>
            <w:pPr>
              <w:jc w:val="left"/>
              <w:rPr>
                <w:rStyle w:val="13"/>
                <w:rFonts w:ascii="新宋体" w:hAnsi="新宋体" w:eastAsia="新宋体" w:cs="宋体"/>
                <w:bCs/>
                <w:color w:val="000000"/>
                <w:kern w:val="0"/>
                <w:sz w:val="24"/>
                <w:szCs w:val="22"/>
              </w:rPr>
            </w:pPr>
            <w:r>
              <w:rPr>
                <w:rStyle w:val="13"/>
                <w:rFonts w:ascii="宋体" w:hAnsi="宋体"/>
                <w:sz w:val="24"/>
              </w:rPr>
              <w:t>交付期：自合同签订之日起12个月内完成。</w:t>
            </w:r>
          </w:p>
          <w:p>
            <w:pPr>
              <w:jc w:val="left"/>
              <w:rPr>
                <w:rStyle w:val="13"/>
                <w:rFonts w:ascii="新宋体" w:hAnsi="新宋体" w:eastAsia="新宋体" w:cs="宋体"/>
                <w:bCs/>
                <w:color w:val="000000"/>
                <w:kern w:val="0"/>
                <w:sz w:val="24"/>
                <w:szCs w:val="22"/>
              </w:rPr>
            </w:pPr>
            <w:r>
              <w:rPr>
                <w:rStyle w:val="13"/>
                <w:rFonts w:hint="eastAsia" w:ascii="新宋体" w:hAnsi="新宋体" w:eastAsia="新宋体" w:cs="宋体"/>
                <w:bCs/>
                <w:color w:val="000000"/>
                <w:kern w:val="0"/>
                <w:sz w:val="24"/>
                <w:szCs w:val="22"/>
                <w:lang w:eastAsia="zh-CN"/>
              </w:rPr>
              <w:t>交付方式：</w:t>
            </w:r>
            <w:r>
              <w:rPr>
                <w:rStyle w:val="13"/>
                <w:rFonts w:ascii="新宋体" w:hAnsi="新宋体" w:eastAsia="新宋体" w:cs="宋体"/>
                <w:bCs/>
                <w:color w:val="000000"/>
                <w:kern w:val="0"/>
                <w:sz w:val="24"/>
                <w:szCs w:val="22"/>
              </w:rPr>
              <w:t>本次皮山县AI+紧密型医共体项目建设内容包含软件部分和硬件部分，付款方式如下：</w:t>
            </w:r>
          </w:p>
          <w:p>
            <w:pPr>
              <w:jc w:val="left"/>
              <w:rPr>
                <w:rStyle w:val="13"/>
                <w:rFonts w:ascii="新宋体" w:hAnsi="新宋体" w:eastAsia="新宋体" w:cs="宋体"/>
                <w:bCs/>
                <w:color w:val="000000"/>
                <w:kern w:val="0"/>
                <w:sz w:val="24"/>
                <w:szCs w:val="22"/>
              </w:rPr>
            </w:pPr>
            <w:r>
              <w:rPr>
                <w:rStyle w:val="13"/>
                <w:rFonts w:hint="eastAsia" w:ascii="新宋体" w:hAnsi="新宋体" w:eastAsia="新宋体" w:cs="宋体"/>
                <w:bCs/>
                <w:color w:val="000000"/>
                <w:kern w:val="0"/>
                <w:sz w:val="24"/>
                <w:szCs w:val="22"/>
              </w:rPr>
              <w:t>1)</w:t>
            </w:r>
            <w:r>
              <w:rPr>
                <w:rFonts w:ascii="宋体" w:hAnsi="宋体" w:eastAsia="宋体" w:cs="宋体"/>
                <w:sz w:val="24"/>
                <w:szCs w:val="24"/>
              </w:rPr>
              <w:t>合同硬件到货后7个工作日内付合同额的5%</w:t>
            </w:r>
            <w:r>
              <w:rPr>
                <w:rStyle w:val="13"/>
                <w:rFonts w:hint="eastAsia" w:ascii="新宋体" w:hAnsi="新宋体" w:eastAsia="新宋体" w:cs="宋体"/>
                <w:bCs/>
                <w:color w:val="000000"/>
                <w:kern w:val="0"/>
                <w:sz w:val="24"/>
                <w:szCs w:val="22"/>
              </w:rPr>
              <w:t>；</w:t>
            </w:r>
          </w:p>
          <w:p>
            <w:pPr>
              <w:jc w:val="left"/>
              <w:rPr>
                <w:rStyle w:val="13"/>
                <w:rFonts w:ascii="新宋体" w:hAnsi="新宋体" w:eastAsia="新宋体" w:cs="宋体"/>
                <w:bCs/>
                <w:color w:val="000000"/>
                <w:kern w:val="0"/>
                <w:sz w:val="24"/>
                <w:szCs w:val="22"/>
              </w:rPr>
            </w:pPr>
            <w:r>
              <w:rPr>
                <w:rStyle w:val="13"/>
                <w:rFonts w:hint="eastAsia" w:ascii="新宋体" w:hAnsi="新宋体" w:eastAsia="新宋体" w:cs="宋体"/>
                <w:bCs/>
                <w:color w:val="000000"/>
                <w:kern w:val="0"/>
                <w:sz w:val="24"/>
                <w:szCs w:val="22"/>
              </w:rPr>
              <w:t>2)硬件安装完毕且系统安装调试完毕，7个工作日内支付合同额45%；</w:t>
            </w:r>
          </w:p>
          <w:p>
            <w:pPr>
              <w:jc w:val="left"/>
              <w:rPr>
                <w:rStyle w:val="13"/>
                <w:rFonts w:ascii="新宋体" w:hAnsi="新宋体" w:eastAsia="新宋体" w:cs="宋体"/>
                <w:bCs/>
                <w:color w:val="000000"/>
                <w:kern w:val="0"/>
                <w:sz w:val="24"/>
                <w:szCs w:val="22"/>
              </w:rPr>
            </w:pPr>
            <w:r>
              <w:rPr>
                <w:rStyle w:val="13"/>
                <w:rFonts w:hint="eastAsia" w:ascii="新宋体" w:hAnsi="新宋体" w:eastAsia="新宋体" w:cs="宋体"/>
                <w:bCs/>
                <w:color w:val="000000"/>
                <w:kern w:val="0"/>
                <w:sz w:val="24"/>
                <w:szCs w:val="22"/>
              </w:rPr>
              <w:t>3)验收合格7个工作日内支付软件合同额的</w:t>
            </w:r>
            <w:r>
              <w:rPr>
                <w:rStyle w:val="13"/>
                <w:rFonts w:hint="eastAsia" w:ascii="新宋体" w:hAnsi="新宋体" w:eastAsia="新宋体" w:cs="宋体"/>
                <w:bCs/>
                <w:color w:val="000000"/>
                <w:kern w:val="0"/>
                <w:sz w:val="24"/>
                <w:szCs w:val="22"/>
                <w:lang w:val="en-US" w:eastAsia="zh-CN"/>
              </w:rPr>
              <w:t>40</w:t>
            </w:r>
            <w:r>
              <w:rPr>
                <w:rStyle w:val="13"/>
                <w:rFonts w:hint="eastAsia" w:ascii="新宋体" w:hAnsi="新宋体" w:eastAsia="新宋体" w:cs="宋体"/>
                <w:bCs/>
                <w:color w:val="000000"/>
                <w:kern w:val="0"/>
                <w:sz w:val="24"/>
                <w:szCs w:val="22"/>
              </w:rPr>
              <w:t>%；</w:t>
            </w:r>
          </w:p>
          <w:p>
            <w:pPr>
              <w:jc w:val="left"/>
              <w:rPr>
                <w:rStyle w:val="13"/>
                <w:rFonts w:ascii="新宋体" w:hAnsi="新宋体" w:eastAsia="新宋体" w:cs="宋体"/>
                <w:bCs/>
                <w:color w:val="000000"/>
                <w:kern w:val="0"/>
                <w:sz w:val="24"/>
                <w:szCs w:val="22"/>
              </w:rPr>
            </w:pPr>
            <w:r>
              <w:rPr>
                <w:rStyle w:val="13"/>
                <w:rFonts w:hint="eastAsia" w:ascii="新宋体" w:hAnsi="新宋体" w:eastAsia="新宋体" w:cs="宋体"/>
                <w:bCs/>
                <w:color w:val="000000"/>
                <w:kern w:val="0"/>
                <w:sz w:val="24"/>
                <w:szCs w:val="22"/>
              </w:rPr>
              <w:t>4)质保期结束以后，7个工作日内支付软件合同额的</w:t>
            </w:r>
            <w:r>
              <w:rPr>
                <w:rStyle w:val="13"/>
                <w:rFonts w:hint="eastAsia" w:ascii="新宋体" w:hAnsi="新宋体" w:eastAsia="新宋体" w:cs="宋体"/>
                <w:bCs/>
                <w:color w:val="000000"/>
                <w:kern w:val="0"/>
                <w:sz w:val="24"/>
                <w:szCs w:val="22"/>
                <w:lang w:val="en-US" w:eastAsia="zh-CN"/>
              </w:rPr>
              <w:t>10</w:t>
            </w:r>
            <w:r>
              <w:rPr>
                <w:rStyle w:val="13"/>
                <w:rFonts w:hint="eastAsia" w:ascii="新宋体" w:hAnsi="新宋体" w:eastAsia="新宋体" w:cs="宋体"/>
                <w:bCs/>
                <w:color w:val="000000"/>
                <w:kern w:val="0"/>
                <w:sz w:val="24"/>
                <w:szCs w:val="22"/>
              </w:rPr>
              <w:t>%质保金；</w:t>
            </w:r>
          </w:p>
          <w:p>
            <w:pPr>
              <w:jc w:val="left"/>
              <w:rPr>
                <w:rStyle w:val="13"/>
                <w:rFonts w:ascii="宋体" w:hAnsi="宋体"/>
                <w:color w:val="000000"/>
                <w:sz w:val="24"/>
                <w:highlight w:val="white"/>
              </w:rPr>
            </w:pPr>
            <w:r>
              <w:rPr>
                <w:rStyle w:val="13"/>
                <w:rFonts w:hint="eastAsia" w:ascii="新宋体" w:hAnsi="新宋体" w:eastAsia="新宋体" w:cs="宋体"/>
                <w:bCs/>
                <w:color w:val="000000"/>
                <w:kern w:val="0"/>
                <w:sz w:val="24"/>
                <w:szCs w:val="22"/>
              </w:rPr>
              <w:t>每次付款，供应商均需要提供真实、合法、有效的等额发票。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823" w:type="dxa"/>
            <w:tcBorders>
              <w:top w:val="single" w:color="000000" w:sz="6" w:space="0"/>
              <w:left w:val="single" w:color="000000" w:sz="12" w:space="0"/>
              <w:bottom w:val="single" w:color="000000" w:sz="6" w:space="0"/>
              <w:right w:val="single" w:color="000000" w:sz="6" w:space="0"/>
            </w:tcBorders>
            <w:vAlign w:val="center"/>
          </w:tcPr>
          <w:p>
            <w:pPr>
              <w:jc w:val="center"/>
              <w:rPr>
                <w:rStyle w:val="13"/>
                <w:rFonts w:ascii="宋体"/>
                <w:color w:val="000000"/>
                <w:sz w:val="24"/>
              </w:rPr>
            </w:pPr>
            <w:r>
              <w:rPr>
                <w:rStyle w:val="13"/>
                <w:rFonts w:ascii="宋体"/>
                <w:color w:val="000000"/>
                <w:sz w:val="24"/>
              </w:rPr>
              <w:t>10</w:t>
            </w:r>
          </w:p>
        </w:tc>
        <w:tc>
          <w:tcPr>
            <w:tcW w:w="1714" w:type="dxa"/>
            <w:tcBorders>
              <w:top w:val="single" w:color="000000" w:sz="6" w:space="0"/>
              <w:left w:val="single" w:color="000000" w:sz="6" w:space="0"/>
              <w:bottom w:val="single" w:color="000000" w:sz="6" w:space="0"/>
              <w:right w:val="single" w:color="000000" w:sz="4" w:space="0"/>
            </w:tcBorders>
            <w:vAlign w:val="center"/>
          </w:tcPr>
          <w:p>
            <w:pPr>
              <w:jc w:val="center"/>
              <w:rPr>
                <w:rStyle w:val="13"/>
                <w:rFonts w:ascii="宋体"/>
                <w:color w:val="000000"/>
                <w:sz w:val="24"/>
              </w:rPr>
            </w:pPr>
            <w:r>
              <w:rPr>
                <w:rStyle w:val="13"/>
                <w:rFonts w:ascii="宋体" w:hAnsi="宋体"/>
                <w:color w:val="000000"/>
                <w:sz w:val="24"/>
                <w:highlight w:val="white"/>
              </w:rPr>
              <w:t>质量要求</w:t>
            </w:r>
          </w:p>
        </w:tc>
        <w:tc>
          <w:tcPr>
            <w:tcW w:w="7147" w:type="dxa"/>
            <w:tcBorders>
              <w:top w:val="single" w:color="000000" w:sz="6" w:space="0"/>
              <w:left w:val="single" w:color="000000" w:sz="4" w:space="0"/>
              <w:bottom w:val="single" w:color="000000" w:sz="6" w:space="0"/>
              <w:right w:val="single" w:color="000000" w:sz="12" w:space="0"/>
            </w:tcBorders>
            <w:vAlign w:val="center"/>
          </w:tcPr>
          <w:p>
            <w:pPr>
              <w:jc w:val="left"/>
              <w:rPr>
                <w:rStyle w:val="13"/>
                <w:rFonts w:ascii="宋体"/>
                <w:color w:val="000000"/>
                <w:sz w:val="24"/>
              </w:rPr>
            </w:pPr>
            <w:r>
              <w:rPr>
                <w:rStyle w:val="13"/>
                <w:rFonts w:ascii="宋体" w:hAnsi="宋体"/>
                <w:color w:val="000000"/>
                <w:sz w:val="24"/>
                <w:highlight w:val="white"/>
              </w:rPr>
              <w:t>合格，必须达到国家和行业规定标准及招标文件中规定的标准。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35" w:hRule="atLeast"/>
          <w:jc w:val="center"/>
        </w:trPr>
        <w:tc>
          <w:tcPr>
            <w:tcW w:w="823" w:type="dxa"/>
            <w:tcBorders>
              <w:top w:val="single" w:color="000000" w:sz="6" w:space="0"/>
              <w:left w:val="single" w:color="000000" w:sz="12" w:space="0"/>
              <w:bottom w:val="single" w:color="000000" w:sz="6" w:space="0"/>
              <w:right w:val="single" w:color="000000" w:sz="6" w:space="0"/>
            </w:tcBorders>
            <w:vAlign w:val="center"/>
          </w:tcPr>
          <w:p>
            <w:pPr>
              <w:jc w:val="center"/>
              <w:rPr>
                <w:rStyle w:val="13"/>
                <w:rFonts w:ascii="宋体"/>
                <w:color w:val="000000"/>
                <w:sz w:val="24"/>
              </w:rPr>
            </w:pPr>
            <w:r>
              <w:rPr>
                <w:rStyle w:val="13"/>
                <w:rFonts w:ascii="宋体"/>
                <w:color w:val="000000"/>
                <w:sz w:val="24"/>
              </w:rPr>
              <w:t>11</w:t>
            </w:r>
          </w:p>
        </w:tc>
        <w:tc>
          <w:tcPr>
            <w:tcW w:w="1714" w:type="dxa"/>
            <w:tcBorders>
              <w:top w:val="single" w:color="000000" w:sz="6" w:space="0"/>
              <w:left w:val="single" w:color="000000" w:sz="6" w:space="0"/>
              <w:bottom w:val="single" w:color="000000" w:sz="6" w:space="0"/>
              <w:right w:val="single" w:color="000000" w:sz="4" w:space="0"/>
            </w:tcBorders>
            <w:vAlign w:val="center"/>
          </w:tcPr>
          <w:p>
            <w:pPr>
              <w:jc w:val="center"/>
              <w:rPr>
                <w:rStyle w:val="13"/>
                <w:rFonts w:ascii="宋体"/>
                <w:color w:val="000000"/>
                <w:sz w:val="24"/>
              </w:rPr>
            </w:pPr>
            <w:r>
              <w:rPr>
                <w:rStyle w:val="13"/>
                <w:rFonts w:ascii="宋体" w:hAnsi="宋体"/>
                <w:color w:val="000000"/>
                <w:sz w:val="24"/>
              </w:rPr>
              <w:t>联合体投标</w:t>
            </w:r>
          </w:p>
        </w:tc>
        <w:tc>
          <w:tcPr>
            <w:tcW w:w="7147" w:type="dxa"/>
            <w:tcBorders>
              <w:top w:val="single" w:color="000000" w:sz="6" w:space="0"/>
              <w:left w:val="single" w:color="000000" w:sz="4" w:space="0"/>
              <w:bottom w:val="single" w:color="000000" w:sz="6" w:space="0"/>
              <w:right w:val="single" w:color="000000" w:sz="12" w:space="0"/>
            </w:tcBorders>
            <w:vAlign w:val="center"/>
          </w:tcPr>
          <w:p>
            <w:pPr>
              <w:jc w:val="left"/>
              <w:rPr>
                <w:rStyle w:val="13"/>
                <w:rFonts w:ascii="宋体"/>
                <w:color w:val="000000"/>
                <w:sz w:val="24"/>
              </w:rPr>
            </w:pPr>
            <w:r>
              <w:rPr>
                <w:rStyle w:val="13"/>
                <w:rFonts w:ascii="宋体" w:hAnsi="宋体"/>
                <w:color w:val="000000"/>
                <w:sz w:val="24"/>
              </w:rPr>
              <w:t>不接受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71" w:hRule="atLeast"/>
          <w:jc w:val="center"/>
        </w:trPr>
        <w:tc>
          <w:tcPr>
            <w:tcW w:w="823" w:type="dxa"/>
            <w:tcBorders>
              <w:top w:val="single" w:color="000000" w:sz="6" w:space="0"/>
              <w:left w:val="single" w:color="000000" w:sz="12" w:space="0"/>
              <w:bottom w:val="single" w:color="000000" w:sz="6" w:space="0"/>
              <w:right w:val="single" w:color="000000" w:sz="6" w:space="0"/>
            </w:tcBorders>
            <w:vAlign w:val="center"/>
          </w:tcPr>
          <w:p>
            <w:pPr>
              <w:jc w:val="center"/>
              <w:rPr>
                <w:rStyle w:val="13"/>
                <w:rFonts w:ascii="宋体"/>
                <w:color w:val="000000"/>
                <w:sz w:val="24"/>
              </w:rPr>
            </w:pPr>
            <w:r>
              <w:rPr>
                <w:rStyle w:val="13"/>
                <w:rFonts w:ascii="宋体" w:hAnsi="宋体"/>
                <w:color w:val="000000"/>
                <w:sz w:val="24"/>
              </w:rPr>
              <w:t>12</w:t>
            </w:r>
          </w:p>
        </w:tc>
        <w:tc>
          <w:tcPr>
            <w:tcW w:w="1714" w:type="dxa"/>
            <w:tcBorders>
              <w:top w:val="single" w:color="000000" w:sz="6" w:space="0"/>
              <w:left w:val="single" w:color="000000" w:sz="6" w:space="0"/>
              <w:bottom w:val="single" w:color="000000" w:sz="6" w:space="0"/>
              <w:right w:val="single" w:color="000000" w:sz="4" w:space="0"/>
            </w:tcBorders>
            <w:vAlign w:val="center"/>
          </w:tcPr>
          <w:p>
            <w:pPr>
              <w:jc w:val="center"/>
              <w:rPr>
                <w:rStyle w:val="13"/>
                <w:rFonts w:ascii="宋体"/>
                <w:color w:val="000000"/>
                <w:sz w:val="24"/>
              </w:rPr>
            </w:pPr>
            <w:r>
              <w:rPr>
                <w:rStyle w:val="13"/>
                <w:rFonts w:ascii="宋体" w:hAnsi="宋体"/>
                <w:color w:val="000000"/>
                <w:sz w:val="24"/>
              </w:rPr>
              <w:t>投标人对招标文件提出质疑的时间</w:t>
            </w:r>
          </w:p>
        </w:tc>
        <w:tc>
          <w:tcPr>
            <w:tcW w:w="7147" w:type="dxa"/>
            <w:tcBorders>
              <w:top w:val="single" w:color="000000" w:sz="6" w:space="0"/>
              <w:left w:val="single" w:color="000000" w:sz="4" w:space="0"/>
              <w:bottom w:val="single" w:color="000000" w:sz="6" w:space="0"/>
              <w:right w:val="single" w:color="000000" w:sz="12" w:space="0"/>
            </w:tcBorders>
            <w:vAlign w:val="center"/>
          </w:tcPr>
          <w:p>
            <w:pPr>
              <w:jc w:val="left"/>
              <w:rPr>
                <w:rStyle w:val="13"/>
                <w:rFonts w:ascii="宋体"/>
                <w:color w:val="000000"/>
                <w:sz w:val="24"/>
              </w:rPr>
            </w:pPr>
            <w:r>
              <w:rPr>
                <w:rStyle w:val="13"/>
                <w:rFonts w:ascii="宋体" w:hAnsi="宋体"/>
                <w:color w:val="000000"/>
                <w:sz w:val="24"/>
              </w:rPr>
              <w:t>自招标文件发售时间起的</w:t>
            </w:r>
            <w:r>
              <w:rPr>
                <w:rStyle w:val="13"/>
                <w:rFonts w:hint="eastAsia" w:ascii="宋体" w:hAnsi="宋体"/>
                <w:color w:val="000000"/>
                <w:sz w:val="24"/>
                <w:lang w:val="en-US" w:eastAsia="zh-CN"/>
              </w:rPr>
              <w:t>十</w:t>
            </w:r>
            <w:r>
              <w:rPr>
                <w:rStyle w:val="13"/>
                <w:rFonts w:ascii="宋体" w:hAnsi="宋体"/>
                <w:color w:val="000000"/>
                <w:sz w:val="24"/>
              </w:rPr>
              <w:t>个工作日内</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823" w:type="dxa"/>
            <w:tcBorders>
              <w:top w:val="single" w:color="000000" w:sz="6" w:space="0"/>
              <w:left w:val="single" w:color="000000" w:sz="12" w:space="0"/>
              <w:bottom w:val="single" w:color="000000" w:sz="6" w:space="0"/>
              <w:right w:val="single" w:color="000000" w:sz="6" w:space="0"/>
            </w:tcBorders>
            <w:vAlign w:val="center"/>
          </w:tcPr>
          <w:p>
            <w:pPr>
              <w:jc w:val="center"/>
              <w:rPr>
                <w:rStyle w:val="13"/>
                <w:rFonts w:ascii="宋体"/>
                <w:color w:val="000000"/>
                <w:sz w:val="24"/>
              </w:rPr>
            </w:pPr>
            <w:r>
              <w:rPr>
                <w:rStyle w:val="13"/>
                <w:rFonts w:ascii="宋体" w:hAnsi="宋体"/>
                <w:color w:val="000000"/>
                <w:sz w:val="24"/>
              </w:rPr>
              <w:t>13</w:t>
            </w:r>
          </w:p>
        </w:tc>
        <w:tc>
          <w:tcPr>
            <w:tcW w:w="1714" w:type="dxa"/>
            <w:tcBorders>
              <w:top w:val="single" w:color="000000" w:sz="6" w:space="0"/>
              <w:left w:val="single" w:color="000000" w:sz="6" w:space="0"/>
              <w:bottom w:val="single" w:color="000000" w:sz="6" w:space="0"/>
              <w:right w:val="single" w:color="000000" w:sz="4" w:space="0"/>
            </w:tcBorders>
            <w:vAlign w:val="center"/>
          </w:tcPr>
          <w:p>
            <w:pPr>
              <w:jc w:val="center"/>
              <w:rPr>
                <w:rStyle w:val="13"/>
                <w:rFonts w:ascii="宋体"/>
                <w:color w:val="000000"/>
                <w:sz w:val="24"/>
              </w:rPr>
            </w:pPr>
            <w:r>
              <w:rPr>
                <w:rStyle w:val="13"/>
                <w:rFonts w:ascii="宋体" w:hAnsi="宋体"/>
                <w:color w:val="000000"/>
                <w:sz w:val="24"/>
              </w:rPr>
              <w:t>构成招标文件的其他文件</w:t>
            </w:r>
          </w:p>
        </w:tc>
        <w:tc>
          <w:tcPr>
            <w:tcW w:w="7147" w:type="dxa"/>
            <w:tcBorders>
              <w:top w:val="single" w:color="000000" w:sz="6" w:space="0"/>
              <w:left w:val="single" w:color="000000" w:sz="4" w:space="0"/>
              <w:bottom w:val="single" w:color="000000" w:sz="6" w:space="0"/>
              <w:right w:val="single" w:color="000000" w:sz="12" w:space="0"/>
            </w:tcBorders>
            <w:vAlign w:val="center"/>
          </w:tcPr>
          <w:p>
            <w:pPr>
              <w:rPr>
                <w:rStyle w:val="13"/>
                <w:rFonts w:ascii="宋体"/>
                <w:color w:val="000000"/>
                <w:sz w:val="24"/>
              </w:rPr>
            </w:pPr>
            <w:r>
              <w:rPr>
                <w:rStyle w:val="13"/>
                <w:rFonts w:ascii="宋体" w:hAnsi="宋体"/>
                <w:bCs/>
                <w:color w:val="000000"/>
                <w:sz w:val="24"/>
              </w:rPr>
              <w:t>招标文件的澄清、修改书及有关补充通知为招标文件的有效组成部分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823" w:type="dxa"/>
            <w:tcBorders>
              <w:top w:val="single" w:color="000000" w:sz="6" w:space="0"/>
              <w:left w:val="single" w:color="000000" w:sz="12" w:space="0"/>
              <w:bottom w:val="single" w:color="000000" w:sz="6" w:space="0"/>
              <w:right w:val="single" w:color="000000" w:sz="6" w:space="0"/>
            </w:tcBorders>
            <w:vAlign w:val="center"/>
          </w:tcPr>
          <w:p>
            <w:pPr>
              <w:jc w:val="center"/>
              <w:rPr>
                <w:rStyle w:val="13"/>
                <w:rFonts w:ascii="宋体"/>
                <w:color w:val="000000"/>
                <w:sz w:val="24"/>
              </w:rPr>
            </w:pPr>
            <w:r>
              <w:rPr>
                <w:rStyle w:val="13"/>
                <w:rFonts w:ascii="宋体" w:hAnsi="宋体"/>
                <w:color w:val="000000"/>
                <w:sz w:val="24"/>
              </w:rPr>
              <w:t>14</w:t>
            </w:r>
          </w:p>
        </w:tc>
        <w:tc>
          <w:tcPr>
            <w:tcW w:w="1714" w:type="dxa"/>
            <w:tcBorders>
              <w:top w:val="single" w:color="000000" w:sz="6" w:space="0"/>
              <w:left w:val="single" w:color="000000" w:sz="6" w:space="0"/>
              <w:bottom w:val="single" w:color="000000" w:sz="6" w:space="0"/>
              <w:right w:val="single" w:color="000000" w:sz="4" w:space="0"/>
            </w:tcBorders>
            <w:vAlign w:val="center"/>
          </w:tcPr>
          <w:p>
            <w:pPr>
              <w:jc w:val="center"/>
              <w:rPr>
                <w:rStyle w:val="13"/>
                <w:rFonts w:ascii="宋体"/>
                <w:color w:val="000000"/>
                <w:sz w:val="24"/>
              </w:rPr>
            </w:pPr>
            <w:r>
              <w:rPr>
                <w:rStyle w:val="13"/>
                <w:rFonts w:ascii="宋体" w:hAnsi="宋体"/>
                <w:color w:val="000000"/>
                <w:sz w:val="24"/>
              </w:rPr>
              <w:t>投标截止时间</w:t>
            </w:r>
          </w:p>
        </w:tc>
        <w:tc>
          <w:tcPr>
            <w:tcW w:w="7147" w:type="dxa"/>
            <w:tcBorders>
              <w:top w:val="single" w:color="000000" w:sz="6" w:space="0"/>
              <w:left w:val="single" w:color="000000" w:sz="4" w:space="0"/>
              <w:bottom w:val="single" w:color="000000" w:sz="6" w:space="0"/>
              <w:right w:val="single" w:color="000000" w:sz="12" w:space="0"/>
            </w:tcBorders>
            <w:vAlign w:val="center"/>
          </w:tcPr>
          <w:p>
            <w:pPr>
              <w:ind w:left="714" w:leftChars="1" w:hanging="712" w:hangingChars="297"/>
              <w:jc w:val="left"/>
              <w:rPr>
                <w:rStyle w:val="13"/>
                <w:rFonts w:ascii="宋体"/>
                <w:bCs/>
                <w:color w:val="000000"/>
                <w:sz w:val="24"/>
              </w:rPr>
            </w:pPr>
            <w:r>
              <w:rPr>
                <w:rStyle w:val="13"/>
                <w:rFonts w:ascii="宋体" w:hAnsi="宋体"/>
                <w:color w:val="000000"/>
                <w:kern w:val="0"/>
                <w:sz w:val="24"/>
              </w:rPr>
              <w:t>2020年5月</w:t>
            </w:r>
            <w:r>
              <w:rPr>
                <w:rStyle w:val="13"/>
                <w:rFonts w:hint="eastAsia" w:ascii="宋体" w:hAnsi="宋体"/>
                <w:color w:val="000000"/>
                <w:kern w:val="0"/>
                <w:sz w:val="24"/>
              </w:rPr>
              <w:t>3</w:t>
            </w:r>
            <w:r>
              <w:rPr>
                <w:rStyle w:val="13"/>
                <w:rFonts w:ascii="宋体" w:hAnsi="宋体"/>
                <w:color w:val="000000"/>
                <w:kern w:val="0"/>
                <w:sz w:val="24"/>
              </w:rPr>
              <w:t>日11：</w:t>
            </w:r>
            <w:r>
              <w:rPr>
                <w:rStyle w:val="13"/>
                <w:rFonts w:ascii="宋体"/>
                <w:color w:val="000000"/>
                <w:kern w:val="0"/>
                <w:sz w:val="24"/>
              </w:rPr>
              <w:t>00</w:t>
            </w:r>
            <w:r>
              <w:rPr>
                <w:rStyle w:val="13"/>
                <w:rFonts w:ascii="宋体" w:hAnsi="宋体"/>
                <w:color w:val="000000"/>
                <w:kern w:val="0"/>
                <w:sz w:val="24"/>
              </w:rPr>
              <w:t>（北京时间）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12" w:hRule="atLeast"/>
          <w:jc w:val="center"/>
        </w:trPr>
        <w:tc>
          <w:tcPr>
            <w:tcW w:w="823" w:type="dxa"/>
            <w:tcBorders>
              <w:top w:val="single" w:color="000000" w:sz="6" w:space="0"/>
              <w:left w:val="single" w:color="000000" w:sz="12" w:space="0"/>
              <w:bottom w:val="single" w:color="000000" w:sz="6" w:space="0"/>
              <w:right w:val="single" w:color="000000" w:sz="6" w:space="0"/>
            </w:tcBorders>
            <w:vAlign w:val="center"/>
          </w:tcPr>
          <w:p>
            <w:pPr>
              <w:jc w:val="center"/>
              <w:rPr>
                <w:rStyle w:val="13"/>
                <w:rFonts w:ascii="宋体"/>
                <w:color w:val="000000"/>
                <w:sz w:val="24"/>
              </w:rPr>
            </w:pPr>
            <w:r>
              <w:rPr>
                <w:rStyle w:val="13"/>
                <w:rFonts w:ascii="宋体" w:hAnsi="宋体"/>
                <w:color w:val="000000"/>
                <w:sz w:val="24"/>
              </w:rPr>
              <w:t>15</w:t>
            </w:r>
          </w:p>
        </w:tc>
        <w:tc>
          <w:tcPr>
            <w:tcW w:w="1714" w:type="dxa"/>
            <w:tcBorders>
              <w:top w:val="single" w:color="000000" w:sz="6" w:space="0"/>
              <w:left w:val="single" w:color="000000" w:sz="6" w:space="0"/>
              <w:bottom w:val="single" w:color="000000" w:sz="6" w:space="0"/>
              <w:right w:val="single" w:color="000000" w:sz="4" w:space="0"/>
            </w:tcBorders>
            <w:vAlign w:val="center"/>
          </w:tcPr>
          <w:p>
            <w:pPr>
              <w:jc w:val="center"/>
              <w:rPr>
                <w:rStyle w:val="13"/>
                <w:rFonts w:ascii="宋体"/>
                <w:color w:val="000000"/>
                <w:sz w:val="24"/>
              </w:rPr>
            </w:pPr>
            <w:r>
              <w:rPr>
                <w:rStyle w:val="13"/>
                <w:rFonts w:ascii="宋体" w:hAnsi="宋体"/>
                <w:color w:val="000000"/>
                <w:sz w:val="24"/>
              </w:rPr>
              <w:t>投标有效期</w:t>
            </w:r>
          </w:p>
        </w:tc>
        <w:tc>
          <w:tcPr>
            <w:tcW w:w="7147" w:type="dxa"/>
            <w:tcBorders>
              <w:top w:val="single" w:color="000000" w:sz="6" w:space="0"/>
              <w:left w:val="single" w:color="000000" w:sz="4" w:space="0"/>
              <w:bottom w:val="single" w:color="000000" w:sz="6" w:space="0"/>
              <w:right w:val="single" w:color="000000" w:sz="12" w:space="0"/>
            </w:tcBorders>
            <w:vAlign w:val="center"/>
          </w:tcPr>
          <w:p>
            <w:pPr>
              <w:ind w:left="714" w:leftChars="1" w:hanging="712" w:hangingChars="297"/>
              <w:jc w:val="left"/>
              <w:rPr>
                <w:rStyle w:val="13"/>
                <w:rFonts w:ascii="宋体"/>
                <w:bCs/>
                <w:color w:val="000000"/>
                <w:sz w:val="24"/>
              </w:rPr>
            </w:pPr>
            <w:r>
              <w:rPr>
                <w:rStyle w:val="13"/>
                <w:rFonts w:ascii="宋体" w:hAnsi="宋体"/>
                <w:bCs/>
                <w:color w:val="000000"/>
                <w:sz w:val="24"/>
              </w:rPr>
              <w:t>45日历天（从投标截止之日算起）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823" w:type="dxa"/>
            <w:tcBorders>
              <w:top w:val="single" w:color="000000" w:sz="6" w:space="0"/>
              <w:left w:val="single" w:color="000000" w:sz="12" w:space="0"/>
              <w:bottom w:val="single" w:color="000000" w:sz="6" w:space="0"/>
              <w:right w:val="single" w:color="000000" w:sz="6" w:space="0"/>
            </w:tcBorders>
            <w:vAlign w:val="center"/>
          </w:tcPr>
          <w:p>
            <w:pPr>
              <w:jc w:val="center"/>
              <w:rPr>
                <w:rStyle w:val="13"/>
                <w:rFonts w:ascii="宋体"/>
                <w:color w:val="000000"/>
                <w:sz w:val="24"/>
              </w:rPr>
            </w:pPr>
            <w:r>
              <w:rPr>
                <w:rStyle w:val="13"/>
                <w:rFonts w:ascii="宋体" w:hAnsi="宋体"/>
                <w:color w:val="000000"/>
                <w:sz w:val="24"/>
              </w:rPr>
              <w:t>16</w:t>
            </w:r>
          </w:p>
        </w:tc>
        <w:tc>
          <w:tcPr>
            <w:tcW w:w="1714" w:type="dxa"/>
            <w:tcBorders>
              <w:top w:val="single" w:color="000000" w:sz="6" w:space="0"/>
              <w:left w:val="single" w:color="000000" w:sz="6" w:space="0"/>
              <w:bottom w:val="single" w:color="000000" w:sz="6" w:space="0"/>
              <w:right w:val="single" w:color="000000" w:sz="4" w:space="0"/>
            </w:tcBorders>
            <w:vAlign w:val="center"/>
          </w:tcPr>
          <w:p>
            <w:pPr>
              <w:jc w:val="center"/>
              <w:rPr>
                <w:rStyle w:val="13"/>
                <w:rFonts w:ascii="宋体"/>
                <w:color w:val="000000"/>
                <w:sz w:val="24"/>
              </w:rPr>
            </w:pPr>
            <w:r>
              <w:rPr>
                <w:rStyle w:val="13"/>
                <w:rFonts w:ascii="宋体" w:hAnsi="宋体"/>
                <w:color w:val="000000"/>
                <w:sz w:val="24"/>
              </w:rPr>
              <w:t>投标保证金</w:t>
            </w:r>
          </w:p>
        </w:tc>
        <w:tc>
          <w:tcPr>
            <w:tcW w:w="7147" w:type="dxa"/>
            <w:tcBorders>
              <w:top w:val="single" w:color="000000" w:sz="6" w:space="0"/>
              <w:left w:val="single" w:color="000000" w:sz="4" w:space="0"/>
              <w:bottom w:val="single" w:color="000000" w:sz="6" w:space="0"/>
              <w:right w:val="single" w:color="000000" w:sz="12" w:space="0"/>
            </w:tcBorders>
            <w:vAlign w:val="center"/>
          </w:tcPr>
          <w:p>
            <w:pPr>
              <w:rPr>
                <w:rStyle w:val="13"/>
                <w:rFonts w:ascii="宋体"/>
                <w:bCs/>
                <w:color w:val="000000"/>
                <w:sz w:val="24"/>
              </w:rPr>
            </w:pPr>
            <w:r>
              <w:rPr>
                <w:rStyle w:val="13"/>
                <w:rFonts w:ascii="宋体"/>
                <w:bCs/>
                <w:color w:val="000000"/>
                <w:sz w:val="24"/>
              </w:rPr>
              <w:t>投标保证金的形式：转账、汇款</w:t>
            </w:r>
          </w:p>
          <w:p>
            <w:pPr>
              <w:rPr>
                <w:rStyle w:val="13"/>
                <w:rFonts w:ascii="宋体"/>
                <w:bCs/>
                <w:color w:val="000000"/>
                <w:sz w:val="24"/>
              </w:rPr>
            </w:pPr>
            <w:r>
              <w:rPr>
                <w:rStyle w:val="13"/>
                <w:rFonts w:ascii="宋体"/>
                <w:bCs/>
                <w:color w:val="000000"/>
                <w:sz w:val="24"/>
              </w:rPr>
              <w:t>投标保证金的金额：600000.00元整（陆拾万元整）</w:t>
            </w:r>
          </w:p>
          <w:p>
            <w:pPr>
              <w:rPr>
                <w:rStyle w:val="13"/>
                <w:rFonts w:ascii="宋体"/>
                <w:bCs/>
                <w:color w:val="000000"/>
                <w:sz w:val="24"/>
              </w:rPr>
            </w:pPr>
            <w:r>
              <w:rPr>
                <w:rStyle w:val="13"/>
                <w:rFonts w:ascii="宋体"/>
                <w:bCs/>
                <w:color w:val="000000"/>
                <w:sz w:val="24"/>
              </w:rPr>
              <w:t>投标保证金缴纳账户：</w:t>
            </w:r>
          </w:p>
          <w:p>
            <w:pPr>
              <w:rPr>
                <w:rStyle w:val="13"/>
                <w:rFonts w:ascii="宋体"/>
                <w:bCs/>
                <w:sz w:val="24"/>
              </w:rPr>
            </w:pPr>
            <w:r>
              <w:rPr>
                <w:rStyle w:val="13"/>
                <w:rFonts w:ascii="宋体"/>
                <w:bCs/>
                <w:sz w:val="24"/>
              </w:rPr>
              <w:t>账户名称：皮山县政府投资交易中心</w:t>
            </w:r>
          </w:p>
          <w:p>
            <w:pPr>
              <w:rPr>
                <w:rStyle w:val="13"/>
                <w:rFonts w:ascii="宋体"/>
                <w:bCs/>
                <w:sz w:val="24"/>
              </w:rPr>
            </w:pPr>
            <w:r>
              <w:rPr>
                <w:rStyle w:val="13"/>
                <w:rFonts w:ascii="宋体"/>
                <w:bCs/>
                <w:sz w:val="24"/>
              </w:rPr>
              <w:t>帐号：8780 1001 2010 1010 11990</w:t>
            </w:r>
          </w:p>
          <w:p>
            <w:pPr>
              <w:rPr>
                <w:rStyle w:val="13"/>
                <w:rFonts w:ascii="宋体"/>
                <w:bCs/>
                <w:sz w:val="24"/>
              </w:rPr>
            </w:pPr>
            <w:r>
              <w:rPr>
                <w:rStyle w:val="13"/>
                <w:rFonts w:ascii="宋体"/>
                <w:bCs/>
                <w:sz w:val="24"/>
              </w:rPr>
              <w:t>开户银行：新疆皮山县农村信用合作联社</w:t>
            </w:r>
          </w:p>
          <w:p>
            <w:pPr>
              <w:rPr>
                <w:rStyle w:val="13"/>
                <w:rFonts w:ascii="宋体"/>
                <w:bCs/>
                <w:sz w:val="24"/>
              </w:rPr>
            </w:pPr>
            <w:r>
              <w:rPr>
                <w:rStyle w:val="13"/>
                <w:rFonts w:ascii="宋体"/>
                <w:bCs/>
                <w:sz w:val="24"/>
              </w:rPr>
              <w:t>行号：402896400017</w:t>
            </w:r>
          </w:p>
          <w:p>
            <w:pPr>
              <w:rPr>
                <w:rStyle w:val="13"/>
                <w:rFonts w:ascii="宋体"/>
                <w:bCs/>
                <w:sz w:val="24"/>
              </w:rPr>
            </w:pPr>
            <w:r>
              <w:rPr>
                <w:rStyle w:val="13"/>
                <w:rFonts w:ascii="宋体"/>
                <w:bCs/>
                <w:sz w:val="24"/>
              </w:rPr>
              <w:t>注：1、由投标人基本账户汇出，且不得以分公司的名义转账；</w:t>
            </w:r>
          </w:p>
          <w:p>
            <w:pPr>
              <w:rPr>
                <w:rStyle w:val="13"/>
                <w:rFonts w:hint="eastAsia" w:ascii="宋体" w:eastAsia="宋体"/>
                <w:bCs/>
                <w:sz w:val="24"/>
                <w:lang w:eastAsia="zh-CN"/>
              </w:rPr>
            </w:pPr>
            <w:r>
              <w:rPr>
                <w:rStyle w:val="13"/>
                <w:rFonts w:ascii="宋体"/>
                <w:bCs/>
                <w:sz w:val="24"/>
              </w:rPr>
              <w:t xml:space="preserve"> 2、投</w:t>
            </w:r>
            <w:r>
              <w:rPr>
                <w:rStyle w:val="13"/>
                <w:rFonts w:ascii="宋体"/>
                <w:bCs/>
                <w:sz w:val="24"/>
                <w:szCs w:val="22"/>
              </w:rPr>
              <w:t>标保证金需在2020年5月</w:t>
            </w:r>
            <w:r>
              <w:rPr>
                <w:rStyle w:val="13"/>
                <w:rFonts w:hint="eastAsia" w:ascii="宋体"/>
                <w:bCs/>
                <w:sz w:val="24"/>
                <w:szCs w:val="22"/>
              </w:rPr>
              <w:t>2</w:t>
            </w:r>
            <w:r>
              <w:rPr>
                <w:rStyle w:val="13"/>
                <w:rFonts w:ascii="宋体"/>
                <w:bCs/>
                <w:sz w:val="24"/>
                <w:szCs w:val="22"/>
              </w:rPr>
              <w:t>日20：00前到账，超过时间则不予认可；</w:t>
            </w:r>
            <w:r>
              <w:rPr>
                <w:rStyle w:val="13"/>
                <w:rFonts w:hint="eastAsia" w:ascii="宋体"/>
                <w:bCs/>
                <w:sz w:val="24"/>
                <w:szCs w:val="22"/>
                <w:lang w:eastAsia="zh-CN"/>
              </w:rPr>
              <w:t>（</w:t>
            </w:r>
            <w:r>
              <w:rPr>
                <w:rStyle w:val="13"/>
                <w:rFonts w:ascii="宋体"/>
                <w:bCs/>
                <w:sz w:val="24"/>
                <w:szCs w:val="22"/>
              </w:rPr>
              <w:t>投标保证金通过基本账户一笔汇出，分笔汇出银行系统将不予统计</w:t>
            </w:r>
            <w:r>
              <w:rPr>
                <w:rStyle w:val="13"/>
                <w:rFonts w:hint="eastAsia" w:ascii="宋体"/>
                <w:bCs/>
                <w:sz w:val="24"/>
                <w:szCs w:val="22"/>
                <w:lang w:eastAsia="zh-CN"/>
              </w:rPr>
              <w:t>）</w:t>
            </w:r>
          </w:p>
          <w:p>
            <w:pPr>
              <w:rPr>
                <w:rStyle w:val="13"/>
                <w:rFonts w:ascii="宋体"/>
                <w:b/>
                <w:color w:val="000000"/>
                <w:sz w:val="24"/>
              </w:rPr>
            </w:pPr>
            <w:r>
              <w:rPr>
                <w:rStyle w:val="13"/>
                <w:rFonts w:ascii="宋体"/>
                <w:bCs/>
                <w:sz w:val="24"/>
              </w:rPr>
              <w:t>3、投标单位须在汇款单备注栏标明：XXX项目XXX包段（标段）或项目编号；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3" w:hRule="atLeast"/>
          <w:jc w:val="center"/>
        </w:trPr>
        <w:tc>
          <w:tcPr>
            <w:tcW w:w="823" w:type="dxa"/>
            <w:tcBorders>
              <w:top w:val="single" w:color="000000" w:sz="6" w:space="0"/>
              <w:left w:val="single" w:color="000000" w:sz="12" w:space="0"/>
              <w:bottom w:val="single" w:color="000000" w:sz="6" w:space="0"/>
              <w:right w:val="single" w:color="000000" w:sz="6" w:space="0"/>
            </w:tcBorders>
            <w:vAlign w:val="center"/>
          </w:tcPr>
          <w:p>
            <w:pPr>
              <w:jc w:val="center"/>
              <w:rPr>
                <w:rStyle w:val="13"/>
                <w:rFonts w:ascii="宋体"/>
                <w:color w:val="000000"/>
                <w:sz w:val="24"/>
              </w:rPr>
            </w:pPr>
            <w:r>
              <w:rPr>
                <w:rStyle w:val="13"/>
                <w:rFonts w:ascii="宋体" w:hAnsi="宋体"/>
                <w:color w:val="000000"/>
                <w:sz w:val="24"/>
              </w:rPr>
              <w:t>17</w:t>
            </w:r>
          </w:p>
        </w:tc>
        <w:tc>
          <w:tcPr>
            <w:tcW w:w="1714" w:type="dxa"/>
            <w:tcBorders>
              <w:top w:val="single" w:color="000000" w:sz="6" w:space="0"/>
              <w:left w:val="single" w:color="000000" w:sz="6" w:space="0"/>
              <w:bottom w:val="single" w:color="000000" w:sz="6" w:space="0"/>
              <w:right w:val="single" w:color="000000" w:sz="4" w:space="0"/>
            </w:tcBorders>
            <w:vAlign w:val="center"/>
          </w:tcPr>
          <w:p>
            <w:pPr>
              <w:jc w:val="center"/>
              <w:rPr>
                <w:rStyle w:val="13"/>
                <w:rFonts w:ascii="宋体"/>
                <w:color w:val="000000"/>
                <w:sz w:val="24"/>
              </w:rPr>
            </w:pPr>
            <w:r>
              <w:rPr>
                <w:rStyle w:val="13"/>
                <w:rFonts w:ascii="宋体" w:hAnsi="宋体"/>
                <w:color w:val="000000"/>
                <w:sz w:val="24"/>
              </w:rPr>
              <w:t>备选投标方案和报价</w:t>
            </w:r>
          </w:p>
        </w:tc>
        <w:tc>
          <w:tcPr>
            <w:tcW w:w="7147" w:type="dxa"/>
            <w:tcBorders>
              <w:top w:val="single" w:color="000000" w:sz="6" w:space="0"/>
              <w:left w:val="single" w:color="000000" w:sz="4" w:space="0"/>
              <w:bottom w:val="single" w:color="000000" w:sz="6" w:space="0"/>
              <w:right w:val="single" w:color="000000" w:sz="12" w:space="0"/>
            </w:tcBorders>
            <w:vAlign w:val="center"/>
          </w:tcPr>
          <w:p>
            <w:pPr>
              <w:rPr>
                <w:rStyle w:val="13"/>
              </w:rPr>
            </w:pPr>
            <w:r>
              <w:rPr>
                <w:rStyle w:val="13"/>
                <w:rFonts w:ascii="宋体"/>
                <w:bCs/>
                <w:sz w:val="24"/>
              </w:rPr>
              <w:t>报价应包括采购、运输、装卸、安装、验收、税费、开具发票和相关售后等服务；不接受备选投标方案和多个报价。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03" w:hRule="atLeast"/>
          <w:jc w:val="center"/>
        </w:trPr>
        <w:tc>
          <w:tcPr>
            <w:tcW w:w="823" w:type="dxa"/>
            <w:tcBorders>
              <w:top w:val="single" w:color="000000" w:sz="6" w:space="0"/>
              <w:left w:val="single" w:color="000000" w:sz="12" w:space="0"/>
              <w:bottom w:val="single" w:color="000000" w:sz="6" w:space="0"/>
              <w:right w:val="single" w:color="000000" w:sz="6" w:space="0"/>
            </w:tcBorders>
            <w:vAlign w:val="center"/>
          </w:tcPr>
          <w:p>
            <w:pPr>
              <w:jc w:val="center"/>
              <w:rPr>
                <w:rStyle w:val="13"/>
                <w:rFonts w:ascii="宋体"/>
                <w:color w:val="000000"/>
                <w:sz w:val="24"/>
              </w:rPr>
            </w:pPr>
            <w:r>
              <w:rPr>
                <w:rStyle w:val="13"/>
                <w:rFonts w:ascii="宋体" w:hAnsi="宋体"/>
                <w:color w:val="000000"/>
                <w:sz w:val="24"/>
              </w:rPr>
              <w:t>18</w:t>
            </w:r>
          </w:p>
        </w:tc>
        <w:tc>
          <w:tcPr>
            <w:tcW w:w="1714" w:type="dxa"/>
            <w:tcBorders>
              <w:top w:val="single" w:color="000000" w:sz="6" w:space="0"/>
              <w:left w:val="single" w:color="000000" w:sz="6" w:space="0"/>
              <w:bottom w:val="single" w:color="000000" w:sz="6" w:space="0"/>
              <w:right w:val="single" w:color="000000" w:sz="4" w:space="0"/>
            </w:tcBorders>
            <w:vAlign w:val="center"/>
          </w:tcPr>
          <w:p>
            <w:pPr>
              <w:jc w:val="center"/>
              <w:rPr>
                <w:rStyle w:val="13"/>
                <w:rFonts w:ascii="宋体"/>
                <w:color w:val="000000"/>
                <w:sz w:val="24"/>
              </w:rPr>
            </w:pPr>
            <w:r>
              <w:rPr>
                <w:rStyle w:val="13"/>
                <w:rFonts w:ascii="宋体" w:hAnsi="宋体"/>
                <w:color w:val="000000"/>
                <w:sz w:val="24"/>
              </w:rPr>
              <w:t>签字盖章</w:t>
            </w:r>
          </w:p>
        </w:tc>
        <w:tc>
          <w:tcPr>
            <w:tcW w:w="7147" w:type="dxa"/>
            <w:tcBorders>
              <w:top w:val="single" w:color="000000" w:sz="6" w:space="0"/>
              <w:left w:val="single" w:color="000000" w:sz="4" w:space="0"/>
              <w:bottom w:val="single" w:color="000000" w:sz="6" w:space="0"/>
              <w:right w:val="single" w:color="000000" w:sz="12" w:space="0"/>
            </w:tcBorders>
            <w:vAlign w:val="center"/>
          </w:tcPr>
          <w:p>
            <w:pPr>
              <w:ind w:left="714" w:leftChars="1" w:hanging="712" w:hangingChars="297"/>
              <w:rPr>
                <w:rStyle w:val="13"/>
                <w:rFonts w:ascii="宋体"/>
                <w:bCs/>
                <w:color w:val="000000"/>
                <w:sz w:val="24"/>
              </w:rPr>
            </w:pPr>
            <w:r>
              <w:rPr>
                <w:rStyle w:val="13"/>
                <w:rFonts w:ascii="宋体" w:hAnsi="宋体"/>
                <w:bCs/>
                <w:color w:val="000000"/>
                <w:sz w:val="24"/>
              </w:rPr>
              <w:t>投标人必须按照招标文件的规定和要求签字、盖章（法人代表的字</w:t>
            </w:r>
          </w:p>
          <w:p>
            <w:pPr>
              <w:ind w:left="714" w:leftChars="1" w:hanging="712" w:hangingChars="297"/>
              <w:rPr>
                <w:rStyle w:val="13"/>
                <w:rFonts w:ascii="宋体"/>
                <w:bCs/>
                <w:color w:val="000000"/>
                <w:sz w:val="24"/>
              </w:rPr>
            </w:pPr>
            <w:r>
              <w:rPr>
                <w:rStyle w:val="13"/>
                <w:rFonts w:ascii="宋体" w:hAnsi="宋体"/>
                <w:bCs/>
                <w:color w:val="000000"/>
                <w:sz w:val="24"/>
              </w:rPr>
              <w:t>可用具有法定效力的签字章）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59" w:hRule="atLeast"/>
          <w:jc w:val="center"/>
        </w:trPr>
        <w:tc>
          <w:tcPr>
            <w:tcW w:w="823" w:type="dxa"/>
            <w:tcBorders>
              <w:top w:val="single" w:color="000000" w:sz="6" w:space="0"/>
              <w:left w:val="single" w:color="000000" w:sz="12" w:space="0"/>
              <w:bottom w:val="single" w:color="000000" w:sz="6" w:space="0"/>
              <w:right w:val="single" w:color="000000" w:sz="6" w:space="0"/>
            </w:tcBorders>
            <w:vAlign w:val="center"/>
          </w:tcPr>
          <w:p>
            <w:pPr>
              <w:jc w:val="center"/>
              <w:rPr>
                <w:rStyle w:val="13"/>
                <w:rFonts w:ascii="宋体"/>
                <w:color w:val="000000"/>
                <w:sz w:val="24"/>
              </w:rPr>
            </w:pPr>
            <w:r>
              <w:rPr>
                <w:rStyle w:val="13"/>
                <w:rFonts w:ascii="宋体" w:hAnsi="宋体"/>
                <w:color w:val="000000"/>
                <w:sz w:val="24"/>
              </w:rPr>
              <w:t>19</w:t>
            </w:r>
          </w:p>
        </w:tc>
        <w:tc>
          <w:tcPr>
            <w:tcW w:w="1714" w:type="dxa"/>
            <w:tcBorders>
              <w:top w:val="single" w:color="000000" w:sz="6" w:space="0"/>
              <w:left w:val="single" w:color="000000" w:sz="6" w:space="0"/>
              <w:bottom w:val="single" w:color="000000" w:sz="6" w:space="0"/>
              <w:right w:val="single" w:color="000000" w:sz="4" w:space="0"/>
            </w:tcBorders>
            <w:vAlign w:val="center"/>
          </w:tcPr>
          <w:p>
            <w:pPr>
              <w:jc w:val="center"/>
              <w:rPr>
                <w:rStyle w:val="13"/>
                <w:rFonts w:ascii="宋体"/>
                <w:color w:val="000000"/>
                <w:sz w:val="24"/>
              </w:rPr>
            </w:pPr>
            <w:r>
              <w:rPr>
                <w:rStyle w:val="13"/>
                <w:rFonts w:ascii="宋体" w:hAnsi="宋体"/>
                <w:color w:val="000000"/>
                <w:sz w:val="24"/>
              </w:rPr>
              <w:t>投标文件份数</w:t>
            </w:r>
          </w:p>
        </w:tc>
        <w:tc>
          <w:tcPr>
            <w:tcW w:w="7147" w:type="dxa"/>
            <w:tcBorders>
              <w:top w:val="single" w:color="000000" w:sz="6" w:space="0"/>
              <w:left w:val="single" w:color="000000" w:sz="4" w:space="0"/>
              <w:bottom w:val="single" w:color="000000" w:sz="6" w:space="0"/>
              <w:right w:val="single" w:color="000000" w:sz="12" w:space="0"/>
            </w:tcBorders>
            <w:vAlign w:val="center"/>
          </w:tcPr>
          <w:p>
            <w:pPr>
              <w:numPr>
                <w:ilvl w:val="0"/>
                <w:numId w:val="4"/>
              </w:numPr>
              <w:jc w:val="left"/>
              <w:rPr>
                <w:rStyle w:val="13"/>
                <w:rFonts w:ascii="宋体" w:hAnsi="宋体"/>
                <w:color w:val="000000"/>
                <w:kern w:val="0"/>
                <w:sz w:val="24"/>
              </w:rPr>
            </w:pPr>
            <w:r>
              <w:rPr>
                <w:rStyle w:val="13"/>
                <w:rFonts w:ascii="宋体" w:hAnsi="宋体"/>
                <w:color w:val="000000"/>
                <w:kern w:val="0"/>
                <w:sz w:val="24"/>
              </w:rPr>
              <w:t>投标文件：正本壹份加电子版（电子版投标文件为PDF格式）（密封）；</w:t>
            </w:r>
          </w:p>
          <w:p>
            <w:pPr>
              <w:numPr>
                <w:ilvl w:val="0"/>
                <w:numId w:val="4"/>
              </w:numPr>
              <w:jc w:val="left"/>
              <w:rPr>
                <w:rStyle w:val="13"/>
                <w:rFonts w:ascii="宋体" w:hAnsi="宋体"/>
                <w:color w:val="000000"/>
                <w:kern w:val="0"/>
                <w:sz w:val="24"/>
              </w:rPr>
            </w:pPr>
            <w:r>
              <w:rPr>
                <w:rStyle w:val="13"/>
                <w:rFonts w:ascii="宋体" w:hAnsi="宋体"/>
                <w:color w:val="000000"/>
                <w:kern w:val="0"/>
                <w:sz w:val="24"/>
              </w:rPr>
              <w:t>副本肆份（密封）</w:t>
            </w:r>
          </w:p>
          <w:p>
            <w:pPr>
              <w:numPr>
                <w:ilvl w:val="0"/>
                <w:numId w:val="4"/>
              </w:numPr>
              <w:jc w:val="left"/>
              <w:rPr>
                <w:rStyle w:val="13"/>
                <w:rFonts w:ascii="宋体" w:hAnsi="宋体"/>
                <w:color w:val="000000"/>
                <w:kern w:val="0"/>
                <w:sz w:val="24"/>
              </w:rPr>
            </w:pPr>
            <w:r>
              <w:rPr>
                <w:rStyle w:val="13"/>
                <w:rFonts w:ascii="宋体" w:hAnsi="宋体"/>
                <w:color w:val="000000"/>
                <w:kern w:val="0"/>
                <w:sz w:val="24"/>
              </w:rPr>
              <w:t>各类证件原件及复</w:t>
            </w:r>
            <w:r>
              <w:rPr>
                <w:rStyle w:val="13"/>
                <w:rFonts w:ascii="宋体" w:hAnsi="宋体"/>
                <w:color w:val="000000"/>
                <w:kern w:val="0"/>
                <w:sz w:val="24"/>
                <w:szCs w:val="22"/>
              </w:rPr>
              <w:t>印件含：</w:t>
            </w:r>
          </w:p>
          <w:p>
            <w:pPr>
              <w:numPr>
                <w:ilvl w:val="0"/>
                <w:numId w:val="5"/>
              </w:numPr>
              <w:jc w:val="left"/>
              <w:rPr>
                <w:rStyle w:val="13"/>
                <w:rFonts w:ascii="宋体" w:hAnsi="宋体"/>
                <w:b/>
                <w:bCs/>
                <w:color w:val="000000"/>
                <w:kern w:val="0"/>
                <w:sz w:val="24"/>
              </w:rPr>
            </w:pPr>
            <w:r>
              <w:rPr>
                <w:rStyle w:val="13"/>
                <w:rFonts w:ascii="宋体" w:hAnsi="宋体"/>
                <w:b/>
                <w:bCs/>
                <w:color w:val="000000"/>
                <w:kern w:val="0"/>
                <w:sz w:val="24"/>
              </w:rPr>
              <w:t>经年审合格（三证合一）的营业执照（原件）；</w:t>
            </w:r>
          </w:p>
          <w:p>
            <w:pPr>
              <w:jc w:val="left"/>
              <w:rPr>
                <w:rStyle w:val="13"/>
                <w:rFonts w:hint="eastAsia" w:ascii="宋体" w:hAnsi="宋体"/>
                <w:b/>
                <w:bCs/>
                <w:color w:val="000000"/>
                <w:kern w:val="0"/>
                <w:sz w:val="24"/>
                <w:highlight w:val="none"/>
              </w:rPr>
            </w:pPr>
            <w:r>
              <w:rPr>
                <w:rStyle w:val="13"/>
                <w:rFonts w:hint="eastAsia" w:ascii="宋体" w:hAnsi="宋体"/>
                <w:b/>
                <w:bCs/>
                <w:color w:val="000000"/>
                <w:kern w:val="0"/>
                <w:sz w:val="24"/>
                <w:highlight w:val="none"/>
                <w:lang w:val="en-US" w:eastAsia="zh-CN"/>
              </w:rPr>
              <w:t>2、</w:t>
            </w:r>
            <w:r>
              <w:rPr>
                <w:rStyle w:val="13"/>
                <w:rFonts w:hint="eastAsia" w:ascii="宋体" w:hAnsi="宋体"/>
                <w:b/>
                <w:bCs/>
                <w:color w:val="000000"/>
                <w:kern w:val="0"/>
                <w:sz w:val="24"/>
                <w:highlight w:val="none"/>
              </w:rPr>
              <w:t>被委托人必须是投标单位正式员工，需提供社保部门出具最少提供近一个月的缴纳社保证明（社保缴费凭证及个人明细表）；</w:t>
            </w:r>
          </w:p>
          <w:p>
            <w:pPr>
              <w:jc w:val="left"/>
              <w:rPr>
                <w:rStyle w:val="13"/>
                <w:rFonts w:ascii="宋体" w:hAnsi="宋体"/>
                <w:b/>
                <w:bCs/>
                <w:color w:val="000000"/>
                <w:kern w:val="0"/>
                <w:sz w:val="24"/>
              </w:rPr>
            </w:pPr>
            <w:r>
              <w:rPr>
                <w:rStyle w:val="13"/>
                <w:rFonts w:ascii="宋体" w:hAnsi="宋体"/>
                <w:b/>
                <w:bCs/>
                <w:color w:val="000000"/>
                <w:kern w:val="0"/>
                <w:sz w:val="24"/>
              </w:rPr>
              <w:t>3、手持法定代表人为投标人的需提交法人身份证和法定代表人身份证明；授权委托人作为投标人需提交法定代表人授权委托书及身份证并签字加盖公章（原件）</w:t>
            </w:r>
          </w:p>
          <w:p>
            <w:pPr>
              <w:jc w:val="left"/>
              <w:rPr>
                <w:rStyle w:val="13"/>
                <w:rFonts w:ascii="宋体" w:hAnsi="宋体"/>
                <w:color w:val="000000"/>
                <w:kern w:val="0"/>
                <w:sz w:val="24"/>
              </w:rPr>
            </w:pPr>
            <w:r>
              <w:rPr>
                <w:rStyle w:val="13"/>
                <w:rFonts w:ascii="宋体" w:hAnsi="宋体"/>
                <w:color w:val="000000"/>
                <w:kern w:val="0"/>
                <w:sz w:val="24"/>
              </w:rPr>
              <w:t>以上1至3项密封递交，1到3项须与投标文件中所提供的一致。</w:t>
            </w:r>
          </w:p>
          <w:p>
            <w:pPr>
              <w:jc w:val="left"/>
              <w:rPr>
                <w:rStyle w:val="13"/>
                <w:rFonts w:ascii="宋体"/>
                <w:color w:val="000000"/>
                <w:kern w:val="0"/>
                <w:sz w:val="24"/>
              </w:rPr>
            </w:pPr>
            <w:r>
              <w:rPr>
                <w:rStyle w:val="13"/>
                <w:rFonts w:ascii="宋体" w:hAnsi="宋体"/>
                <w:color w:val="000000"/>
                <w:kern w:val="0"/>
                <w:sz w:val="24"/>
              </w:rPr>
              <w:t>四、投标文件份数为投标企业递交投标文件时由招标代理查验份数，未按照此项提供投标文件份数的将拒绝接受投标文件；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823" w:type="dxa"/>
            <w:tcBorders>
              <w:top w:val="single" w:color="000000" w:sz="6" w:space="0"/>
              <w:left w:val="single" w:color="000000" w:sz="12" w:space="0"/>
              <w:bottom w:val="single" w:color="000000" w:sz="6" w:space="0"/>
              <w:right w:val="single" w:color="000000" w:sz="6" w:space="0"/>
            </w:tcBorders>
            <w:vAlign w:val="center"/>
          </w:tcPr>
          <w:p>
            <w:pPr>
              <w:jc w:val="center"/>
              <w:rPr>
                <w:rStyle w:val="13"/>
                <w:rFonts w:ascii="宋体"/>
                <w:color w:val="000000"/>
                <w:sz w:val="24"/>
              </w:rPr>
            </w:pPr>
            <w:r>
              <w:rPr>
                <w:rStyle w:val="13"/>
                <w:rFonts w:ascii="宋体" w:hAnsi="宋体"/>
                <w:color w:val="000000"/>
                <w:sz w:val="24"/>
              </w:rPr>
              <w:t>20</w:t>
            </w:r>
          </w:p>
        </w:tc>
        <w:tc>
          <w:tcPr>
            <w:tcW w:w="1714" w:type="dxa"/>
            <w:tcBorders>
              <w:top w:val="single" w:color="000000" w:sz="6" w:space="0"/>
              <w:left w:val="single" w:color="000000" w:sz="6" w:space="0"/>
              <w:bottom w:val="single" w:color="000000" w:sz="6" w:space="0"/>
              <w:right w:val="single" w:color="000000" w:sz="4" w:space="0"/>
            </w:tcBorders>
            <w:vAlign w:val="center"/>
          </w:tcPr>
          <w:p>
            <w:pPr>
              <w:jc w:val="center"/>
              <w:rPr>
                <w:rStyle w:val="13"/>
                <w:rFonts w:ascii="宋体"/>
                <w:color w:val="000000"/>
                <w:sz w:val="24"/>
              </w:rPr>
            </w:pPr>
            <w:r>
              <w:rPr>
                <w:rStyle w:val="13"/>
                <w:rFonts w:ascii="宋体" w:hAnsi="宋体"/>
                <w:color w:val="000000"/>
                <w:sz w:val="24"/>
              </w:rPr>
              <w:t>投标文件的装订</w:t>
            </w:r>
          </w:p>
        </w:tc>
        <w:tc>
          <w:tcPr>
            <w:tcW w:w="7147" w:type="dxa"/>
            <w:tcBorders>
              <w:top w:val="single" w:color="000000" w:sz="6" w:space="0"/>
              <w:left w:val="single" w:color="000000" w:sz="4" w:space="0"/>
              <w:bottom w:val="single" w:color="000000" w:sz="6" w:space="0"/>
              <w:right w:val="single" w:color="000000" w:sz="12" w:space="0"/>
            </w:tcBorders>
            <w:vAlign w:val="center"/>
          </w:tcPr>
          <w:p>
            <w:pPr>
              <w:ind w:left="714" w:leftChars="1" w:hanging="712" w:hangingChars="297"/>
              <w:rPr>
                <w:rStyle w:val="13"/>
                <w:rFonts w:ascii="宋体"/>
                <w:bCs/>
                <w:color w:val="000000"/>
                <w:sz w:val="24"/>
              </w:rPr>
            </w:pPr>
            <w:r>
              <w:rPr>
                <w:rStyle w:val="13"/>
                <w:rFonts w:ascii="宋体" w:hAnsi="宋体"/>
                <w:bCs/>
                <w:color w:val="000000"/>
                <w:sz w:val="24"/>
              </w:rPr>
              <w:t>正本、副本分别装订。不得采用活页装订，否则按废标处理。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1" w:hRule="atLeast"/>
          <w:jc w:val="center"/>
        </w:trPr>
        <w:tc>
          <w:tcPr>
            <w:tcW w:w="823" w:type="dxa"/>
            <w:tcBorders>
              <w:top w:val="single" w:color="000000" w:sz="6" w:space="0"/>
              <w:left w:val="single" w:color="000000" w:sz="12" w:space="0"/>
              <w:bottom w:val="single" w:color="000000" w:sz="6" w:space="0"/>
              <w:right w:val="single" w:color="000000" w:sz="6" w:space="0"/>
            </w:tcBorders>
            <w:vAlign w:val="center"/>
          </w:tcPr>
          <w:p>
            <w:pPr>
              <w:jc w:val="center"/>
              <w:rPr>
                <w:rStyle w:val="13"/>
                <w:rFonts w:ascii="宋体"/>
                <w:color w:val="000000"/>
                <w:sz w:val="24"/>
              </w:rPr>
            </w:pPr>
            <w:r>
              <w:rPr>
                <w:rStyle w:val="13"/>
                <w:rFonts w:ascii="宋体" w:hAnsi="宋体"/>
                <w:color w:val="000000"/>
                <w:sz w:val="24"/>
              </w:rPr>
              <w:t>21</w:t>
            </w:r>
          </w:p>
        </w:tc>
        <w:tc>
          <w:tcPr>
            <w:tcW w:w="1714" w:type="dxa"/>
            <w:tcBorders>
              <w:top w:val="single" w:color="000000" w:sz="6" w:space="0"/>
              <w:left w:val="single" w:color="000000" w:sz="6" w:space="0"/>
              <w:bottom w:val="single" w:color="000000" w:sz="6" w:space="0"/>
              <w:right w:val="single" w:color="000000" w:sz="4" w:space="0"/>
            </w:tcBorders>
            <w:vAlign w:val="center"/>
          </w:tcPr>
          <w:p>
            <w:pPr>
              <w:jc w:val="center"/>
              <w:rPr>
                <w:rStyle w:val="13"/>
                <w:rFonts w:ascii="宋体"/>
                <w:color w:val="000000"/>
                <w:sz w:val="24"/>
              </w:rPr>
            </w:pPr>
            <w:r>
              <w:rPr>
                <w:rStyle w:val="13"/>
                <w:rFonts w:ascii="宋体" w:hAnsi="宋体"/>
                <w:color w:val="000000"/>
                <w:sz w:val="24"/>
              </w:rPr>
              <w:t>投标文件封面的标注</w:t>
            </w:r>
          </w:p>
        </w:tc>
        <w:tc>
          <w:tcPr>
            <w:tcW w:w="7147" w:type="dxa"/>
            <w:tcBorders>
              <w:top w:val="single" w:color="000000" w:sz="6" w:space="0"/>
              <w:left w:val="single" w:color="000000" w:sz="4" w:space="0"/>
              <w:bottom w:val="single" w:color="000000" w:sz="6" w:space="0"/>
              <w:right w:val="single" w:color="000000" w:sz="12" w:space="0"/>
            </w:tcBorders>
            <w:vAlign w:val="center"/>
          </w:tcPr>
          <w:p>
            <w:pPr>
              <w:ind w:left="714" w:leftChars="1" w:hanging="712" w:hangingChars="297"/>
              <w:jc w:val="left"/>
              <w:rPr>
                <w:rStyle w:val="13"/>
                <w:rFonts w:ascii="宋体"/>
                <w:bCs/>
                <w:color w:val="000000"/>
                <w:sz w:val="24"/>
              </w:rPr>
            </w:pPr>
            <w:r>
              <w:rPr>
                <w:rStyle w:val="13"/>
                <w:rFonts w:ascii="宋体" w:hAnsi="宋体"/>
                <w:bCs/>
                <w:color w:val="000000"/>
                <w:sz w:val="24"/>
              </w:rPr>
              <w:t>投标文件正本和副本的封面上均应标明：投标项目名称、项目编号、</w:t>
            </w:r>
          </w:p>
          <w:p>
            <w:pPr>
              <w:ind w:left="714" w:leftChars="1" w:hanging="712" w:hangingChars="297"/>
              <w:jc w:val="left"/>
              <w:rPr>
                <w:rStyle w:val="13"/>
                <w:rFonts w:ascii="宋体"/>
                <w:bCs/>
                <w:color w:val="000000"/>
                <w:sz w:val="24"/>
              </w:rPr>
            </w:pPr>
            <w:r>
              <w:rPr>
                <w:rStyle w:val="13"/>
                <w:rFonts w:ascii="宋体" w:hAnsi="宋体"/>
                <w:bCs/>
                <w:color w:val="000000"/>
                <w:sz w:val="24"/>
              </w:rPr>
              <w:t>分包号（如有分包）、投标人名称、年月日；并分别在右上角“正</w:t>
            </w:r>
          </w:p>
          <w:p>
            <w:pPr>
              <w:ind w:left="714" w:leftChars="1" w:hanging="712" w:hangingChars="297"/>
              <w:jc w:val="left"/>
              <w:rPr>
                <w:rStyle w:val="13"/>
                <w:rFonts w:ascii="宋体"/>
                <w:bCs/>
                <w:color w:val="000000"/>
                <w:sz w:val="24"/>
              </w:rPr>
            </w:pPr>
            <w:r>
              <w:rPr>
                <w:rStyle w:val="13"/>
                <w:rFonts w:ascii="宋体" w:hAnsi="宋体"/>
                <w:bCs/>
                <w:color w:val="000000"/>
                <w:sz w:val="24"/>
              </w:rPr>
              <w:t>本”和“副本”字样，并加盖单位公章。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51" w:hRule="atLeast"/>
          <w:jc w:val="center"/>
        </w:trPr>
        <w:tc>
          <w:tcPr>
            <w:tcW w:w="823" w:type="dxa"/>
            <w:tcBorders>
              <w:top w:val="single" w:color="000000" w:sz="6" w:space="0"/>
              <w:left w:val="single" w:color="000000" w:sz="12" w:space="0"/>
              <w:bottom w:val="single" w:color="000000" w:sz="6" w:space="0"/>
              <w:right w:val="single" w:color="000000" w:sz="6" w:space="0"/>
            </w:tcBorders>
            <w:vAlign w:val="center"/>
          </w:tcPr>
          <w:p>
            <w:pPr>
              <w:jc w:val="center"/>
              <w:rPr>
                <w:rStyle w:val="13"/>
                <w:rFonts w:ascii="宋体"/>
                <w:color w:val="000000"/>
                <w:sz w:val="24"/>
              </w:rPr>
            </w:pPr>
            <w:r>
              <w:rPr>
                <w:rStyle w:val="13"/>
                <w:rFonts w:ascii="宋体" w:hAnsi="宋体"/>
                <w:color w:val="000000"/>
                <w:sz w:val="24"/>
              </w:rPr>
              <w:t>22</w:t>
            </w:r>
          </w:p>
        </w:tc>
        <w:tc>
          <w:tcPr>
            <w:tcW w:w="1714" w:type="dxa"/>
            <w:tcBorders>
              <w:top w:val="single" w:color="000000" w:sz="6" w:space="0"/>
              <w:left w:val="single" w:color="000000" w:sz="6" w:space="0"/>
              <w:bottom w:val="single" w:color="000000" w:sz="6" w:space="0"/>
              <w:right w:val="single" w:color="000000" w:sz="4" w:space="0"/>
            </w:tcBorders>
            <w:vAlign w:val="center"/>
          </w:tcPr>
          <w:p>
            <w:pPr>
              <w:jc w:val="center"/>
              <w:rPr>
                <w:rStyle w:val="13"/>
                <w:rFonts w:ascii="宋体"/>
                <w:color w:val="000000"/>
                <w:sz w:val="24"/>
              </w:rPr>
            </w:pPr>
            <w:r>
              <w:rPr>
                <w:rStyle w:val="13"/>
                <w:rFonts w:ascii="宋体" w:hAnsi="宋体"/>
                <w:color w:val="000000"/>
                <w:sz w:val="24"/>
              </w:rPr>
              <w:t>投标文件外层密封袋的标注</w:t>
            </w:r>
          </w:p>
        </w:tc>
        <w:tc>
          <w:tcPr>
            <w:tcW w:w="7147" w:type="dxa"/>
            <w:tcBorders>
              <w:top w:val="single" w:color="000000" w:sz="6" w:space="0"/>
              <w:left w:val="single" w:color="000000" w:sz="4" w:space="0"/>
              <w:bottom w:val="single" w:color="000000" w:sz="6" w:space="0"/>
              <w:right w:val="single" w:color="000000" w:sz="12" w:space="0"/>
            </w:tcBorders>
            <w:vAlign w:val="center"/>
          </w:tcPr>
          <w:p>
            <w:pPr>
              <w:jc w:val="left"/>
              <w:rPr>
                <w:rStyle w:val="13"/>
                <w:rFonts w:ascii="宋体"/>
                <w:bCs/>
                <w:color w:val="000000"/>
                <w:sz w:val="24"/>
              </w:rPr>
            </w:pPr>
            <w:r>
              <w:rPr>
                <w:rStyle w:val="13"/>
                <w:rFonts w:ascii="宋体" w:hAnsi="宋体"/>
                <w:color w:val="000000"/>
                <w:kern w:val="0"/>
                <w:sz w:val="24"/>
                <w:szCs w:val="22"/>
              </w:rPr>
              <w:t>招标项目名称、招标编号、分包号（如有分包）、投标人名称、年</w:t>
            </w:r>
            <w:r>
              <w:rPr>
                <w:rStyle w:val="13"/>
                <w:rFonts w:hint="eastAsia" w:ascii="宋体" w:hAnsi="宋体"/>
                <w:color w:val="000000"/>
                <w:kern w:val="0"/>
                <w:sz w:val="24"/>
                <w:szCs w:val="22"/>
                <w:lang w:eastAsia="zh-CN"/>
              </w:rPr>
              <w:t>、</w:t>
            </w:r>
            <w:r>
              <w:rPr>
                <w:rStyle w:val="13"/>
                <w:rFonts w:ascii="宋体" w:hAnsi="宋体"/>
                <w:color w:val="000000"/>
                <w:kern w:val="0"/>
                <w:sz w:val="24"/>
                <w:szCs w:val="22"/>
              </w:rPr>
              <w:t>月</w:t>
            </w:r>
            <w:r>
              <w:rPr>
                <w:rStyle w:val="13"/>
                <w:rFonts w:hint="eastAsia" w:ascii="宋体" w:hAnsi="宋体"/>
                <w:color w:val="000000"/>
                <w:kern w:val="0"/>
                <w:sz w:val="24"/>
                <w:szCs w:val="22"/>
                <w:lang w:eastAsia="zh-CN"/>
              </w:rPr>
              <w:t>、</w:t>
            </w:r>
            <w:r>
              <w:rPr>
                <w:rStyle w:val="13"/>
                <w:rFonts w:ascii="宋体" w:hAnsi="宋体"/>
                <w:color w:val="000000"/>
                <w:kern w:val="0"/>
                <w:sz w:val="24"/>
                <w:szCs w:val="22"/>
              </w:rPr>
              <w:t>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08" w:hRule="atLeast"/>
          <w:jc w:val="center"/>
        </w:trPr>
        <w:tc>
          <w:tcPr>
            <w:tcW w:w="823" w:type="dxa"/>
            <w:tcBorders>
              <w:top w:val="single" w:color="000000" w:sz="6" w:space="0"/>
              <w:left w:val="single" w:color="000000" w:sz="12" w:space="0"/>
              <w:bottom w:val="single" w:color="000000" w:sz="12" w:space="0"/>
              <w:right w:val="single" w:color="000000" w:sz="6" w:space="0"/>
            </w:tcBorders>
            <w:vAlign w:val="center"/>
          </w:tcPr>
          <w:p>
            <w:pPr>
              <w:jc w:val="center"/>
              <w:rPr>
                <w:rStyle w:val="13"/>
                <w:rFonts w:ascii="宋体"/>
                <w:color w:val="000000"/>
                <w:sz w:val="24"/>
              </w:rPr>
            </w:pPr>
            <w:r>
              <w:rPr>
                <w:rStyle w:val="13"/>
                <w:rFonts w:ascii="宋体" w:hAnsi="宋体"/>
                <w:color w:val="000000"/>
                <w:sz w:val="24"/>
              </w:rPr>
              <w:t>23</w:t>
            </w:r>
          </w:p>
        </w:tc>
        <w:tc>
          <w:tcPr>
            <w:tcW w:w="1714" w:type="dxa"/>
            <w:tcBorders>
              <w:top w:val="single" w:color="000000" w:sz="6" w:space="0"/>
              <w:left w:val="single" w:color="000000" w:sz="6" w:space="0"/>
              <w:bottom w:val="single" w:color="000000" w:sz="12" w:space="0"/>
              <w:right w:val="single" w:color="000000" w:sz="4" w:space="0"/>
            </w:tcBorders>
            <w:vAlign w:val="center"/>
          </w:tcPr>
          <w:p>
            <w:pPr>
              <w:jc w:val="center"/>
              <w:rPr>
                <w:rStyle w:val="13"/>
                <w:rFonts w:ascii="宋体"/>
                <w:color w:val="000000"/>
                <w:sz w:val="24"/>
              </w:rPr>
            </w:pPr>
            <w:r>
              <w:rPr>
                <w:rStyle w:val="13"/>
                <w:rFonts w:ascii="宋体" w:hAnsi="宋体"/>
                <w:color w:val="000000"/>
                <w:sz w:val="24"/>
              </w:rPr>
              <w:t>递交投标文件的地点</w:t>
            </w:r>
          </w:p>
        </w:tc>
        <w:tc>
          <w:tcPr>
            <w:tcW w:w="7147" w:type="dxa"/>
            <w:tcBorders>
              <w:top w:val="single" w:color="000000" w:sz="6" w:space="0"/>
              <w:left w:val="single" w:color="000000" w:sz="4" w:space="0"/>
              <w:bottom w:val="single" w:color="000000" w:sz="12" w:space="0"/>
              <w:right w:val="single" w:color="000000" w:sz="12" w:space="0"/>
            </w:tcBorders>
            <w:vAlign w:val="center"/>
          </w:tcPr>
          <w:p>
            <w:pPr>
              <w:ind w:left="714" w:leftChars="1" w:hanging="712" w:hangingChars="297"/>
              <w:rPr>
                <w:rStyle w:val="13"/>
                <w:rFonts w:ascii="宋体"/>
                <w:bCs/>
                <w:color w:val="000000"/>
                <w:sz w:val="24"/>
              </w:rPr>
            </w:pPr>
            <w:r>
              <w:rPr>
                <w:rStyle w:val="13"/>
                <w:rFonts w:ascii="宋体"/>
                <w:bCs/>
                <w:color w:val="000000"/>
                <w:sz w:val="24"/>
              </w:rPr>
              <w:t>皮山县政府投资交易中心四楼开标二室（新城区东经二路南端）</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48" w:hRule="atLeast"/>
          <w:jc w:val="center"/>
        </w:trPr>
        <w:tc>
          <w:tcPr>
            <w:tcW w:w="823" w:type="dxa"/>
            <w:tcBorders>
              <w:top w:val="single" w:color="000000" w:sz="12" w:space="0"/>
              <w:left w:val="single" w:color="000000" w:sz="12" w:space="0"/>
              <w:bottom w:val="single" w:color="000000" w:sz="6" w:space="0"/>
              <w:right w:val="single" w:color="000000" w:sz="6" w:space="0"/>
            </w:tcBorders>
            <w:vAlign w:val="center"/>
          </w:tcPr>
          <w:p>
            <w:pPr>
              <w:jc w:val="center"/>
              <w:rPr>
                <w:rStyle w:val="13"/>
                <w:rFonts w:ascii="宋体"/>
                <w:color w:val="000000"/>
                <w:sz w:val="24"/>
              </w:rPr>
            </w:pPr>
            <w:r>
              <w:rPr>
                <w:rStyle w:val="13"/>
                <w:rFonts w:ascii="宋体" w:hAnsi="宋体"/>
                <w:color w:val="000000"/>
                <w:sz w:val="24"/>
              </w:rPr>
              <w:t>24</w:t>
            </w:r>
          </w:p>
        </w:tc>
        <w:tc>
          <w:tcPr>
            <w:tcW w:w="1714" w:type="dxa"/>
            <w:tcBorders>
              <w:top w:val="single" w:color="000000" w:sz="12" w:space="0"/>
              <w:left w:val="single" w:color="000000" w:sz="6" w:space="0"/>
              <w:bottom w:val="single" w:color="000000" w:sz="6" w:space="0"/>
              <w:right w:val="single" w:color="000000" w:sz="4" w:space="0"/>
            </w:tcBorders>
            <w:vAlign w:val="center"/>
          </w:tcPr>
          <w:p>
            <w:pPr>
              <w:ind w:left="714" w:leftChars="1" w:hanging="712" w:hangingChars="297"/>
              <w:rPr>
                <w:rStyle w:val="13"/>
                <w:rFonts w:ascii="宋体"/>
                <w:bCs/>
                <w:color w:val="000000"/>
                <w:sz w:val="24"/>
                <w:szCs w:val="22"/>
              </w:rPr>
            </w:pPr>
            <w:r>
              <w:rPr>
                <w:rStyle w:val="13"/>
                <w:rFonts w:ascii="宋体"/>
                <w:bCs/>
                <w:color w:val="000000"/>
                <w:sz w:val="24"/>
                <w:szCs w:val="22"/>
              </w:rPr>
              <w:t>评标委员的组建</w:t>
            </w:r>
          </w:p>
        </w:tc>
        <w:tc>
          <w:tcPr>
            <w:tcW w:w="7147" w:type="dxa"/>
            <w:tcBorders>
              <w:top w:val="single" w:color="000000" w:sz="12" w:space="0"/>
              <w:left w:val="single" w:color="000000" w:sz="4" w:space="0"/>
              <w:bottom w:val="single" w:color="000000" w:sz="6" w:space="0"/>
              <w:right w:val="single" w:color="000000" w:sz="12" w:space="0"/>
            </w:tcBorders>
            <w:vAlign w:val="center"/>
          </w:tcPr>
          <w:p>
            <w:pPr>
              <w:jc w:val="left"/>
              <w:rPr>
                <w:rStyle w:val="13"/>
                <w:rFonts w:ascii="宋体"/>
                <w:bCs/>
                <w:color w:val="000000"/>
                <w:sz w:val="24"/>
                <w:szCs w:val="22"/>
              </w:rPr>
            </w:pPr>
            <w:r>
              <w:rPr>
                <w:rFonts w:ascii="宋体" w:hAnsi="宋体" w:eastAsia="宋体" w:cs="宋体"/>
                <w:sz w:val="24"/>
                <w:szCs w:val="24"/>
              </w:rPr>
              <w:t>7人或7人以上单数组成，业主专家1人；评标专家确定方式：由招标代理在开标前48小时在政采云专家库中随机抽取此次评标专家。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37" w:hRule="atLeast"/>
          <w:jc w:val="center"/>
        </w:trPr>
        <w:tc>
          <w:tcPr>
            <w:tcW w:w="823" w:type="dxa"/>
            <w:tcBorders>
              <w:top w:val="single" w:color="000000" w:sz="6" w:space="0"/>
              <w:left w:val="single" w:color="000000" w:sz="12" w:space="0"/>
              <w:bottom w:val="single" w:color="000000" w:sz="6" w:space="0"/>
              <w:right w:val="single" w:color="000000" w:sz="6" w:space="0"/>
            </w:tcBorders>
            <w:vAlign w:val="center"/>
          </w:tcPr>
          <w:p>
            <w:pPr>
              <w:jc w:val="center"/>
              <w:rPr>
                <w:rStyle w:val="13"/>
                <w:rFonts w:ascii="宋体"/>
                <w:color w:val="000000"/>
                <w:sz w:val="24"/>
              </w:rPr>
            </w:pPr>
            <w:r>
              <w:rPr>
                <w:rStyle w:val="13"/>
                <w:rFonts w:ascii="宋体" w:hAnsi="宋体"/>
                <w:color w:val="000000"/>
                <w:sz w:val="24"/>
              </w:rPr>
              <w:t>25</w:t>
            </w:r>
          </w:p>
        </w:tc>
        <w:tc>
          <w:tcPr>
            <w:tcW w:w="1714" w:type="dxa"/>
            <w:tcBorders>
              <w:top w:val="single" w:color="000000" w:sz="6" w:space="0"/>
              <w:left w:val="single" w:color="000000" w:sz="6" w:space="0"/>
              <w:bottom w:val="single" w:color="000000" w:sz="6" w:space="0"/>
              <w:right w:val="single" w:color="000000" w:sz="4" w:space="0"/>
            </w:tcBorders>
            <w:vAlign w:val="center"/>
          </w:tcPr>
          <w:p>
            <w:pPr>
              <w:jc w:val="left"/>
              <w:rPr>
                <w:rStyle w:val="13"/>
                <w:rFonts w:ascii="宋体"/>
                <w:color w:val="000000"/>
                <w:sz w:val="24"/>
              </w:rPr>
            </w:pPr>
            <w:r>
              <w:rPr>
                <w:rStyle w:val="13"/>
                <w:rFonts w:ascii="宋体" w:hAnsi="宋体"/>
                <w:color w:val="000000"/>
                <w:sz w:val="24"/>
              </w:rPr>
              <w:t>开标时间和地点</w:t>
            </w:r>
          </w:p>
        </w:tc>
        <w:tc>
          <w:tcPr>
            <w:tcW w:w="7147" w:type="dxa"/>
            <w:tcBorders>
              <w:top w:val="single" w:color="000000" w:sz="6" w:space="0"/>
              <w:left w:val="single" w:color="000000" w:sz="4" w:space="0"/>
              <w:bottom w:val="single" w:color="000000" w:sz="6" w:space="0"/>
              <w:right w:val="single" w:color="000000" w:sz="12" w:space="0"/>
            </w:tcBorders>
            <w:vAlign w:val="center"/>
          </w:tcPr>
          <w:p>
            <w:pPr>
              <w:ind w:left="714" w:leftChars="1" w:hanging="712" w:hangingChars="297"/>
              <w:jc w:val="left"/>
              <w:rPr>
                <w:rStyle w:val="13"/>
                <w:rFonts w:ascii="宋体" w:hAnsi="宋体"/>
                <w:bCs/>
                <w:color w:val="000000"/>
                <w:sz w:val="24"/>
              </w:rPr>
            </w:pPr>
            <w:r>
              <w:rPr>
                <w:rStyle w:val="13"/>
                <w:rFonts w:ascii="宋体" w:hAnsi="宋体"/>
                <w:bCs/>
                <w:color w:val="000000"/>
                <w:sz w:val="24"/>
              </w:rPr>
              <w:t>开标时间：2020年5月</w:t>
            </w:r>
            <w:r>
              <w:rPr>
                <w:rStyle w:val="13"/>
                <w:rFonts w:hint="eastAsia" w:ascii="宋体" w:hAnsi="宋体"/>
                <w:bCs/>
                <w:color w:val="000000"/>
                <w:sz w:val="24"/>
              </w:rPr>
              <w:t>3</w:t>
            </w:r>
            <w:r>
              <w:rPr>
                <w:rStyle w:val="13"/>
                <w:rFonts w:ascii="宋体" w:hAnsi="宋体"/>
                <w:bCs/>
                <w:color w:val="000000"/>
                <w:sz w:val="24"/>
              </w:rPr>
              <w:t>日11:00（北京时间）</w:t>
            </w:r>
          </w:p>
          <w:p>
            <w:pPr>
              <w:ind w:left="714" w:leftChars="1" w:hanging="712" w:hangingChars="297"/>
              <w:jc w:val="left"/>
              <w:rPr>
                <w:rStyle w:val="13"/>
                <w:rFonts w:ascii="宋体"/>
                <w:bCs/>
                <w:color w:val="000000"/>
                <w:sz w:val="24"/>
              </w:rPr>
            </w:pPr>
            <w:r>
              <w:rPr>
                <w:rStyle w:val="13"/>
                <w:rFonts w:ascii="宋体" w:hAnsi="宋体"/>
                <w:bCs/>
                <w:color w:val="000000"/>
                <w:sz w:val="24"/>
              </w:rPr>
              <w:t>开标地点：皮山县政府投资交易中心四楼开标二室（新城区东经二路南端</w:t>
            </w:r>
            <w:r>
              <w:rPr>
                <w:rStyle w:val="13"/>
                <w:rFonts w:ascii="宋体" w:hAnsi="宋体"/>
                <w:bCs/>
                <w:color w:val="000000"/>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96" w:hRule="atLeast"/>
          <w:jc w:val="center"/>
        </w:trPr>
        <w:tc>
          <w:tcPr>
            <w:tcW w:w="823" w:type="dxa"/>
            <w:tcBorders>
              <w:top w:val="single" w:color="000000" w:sz="6" w:space="0"/>
              <w:left w:val="single" w:color="000000" w:sz="12" w:space="0"/>
              <w:bottom w:val="single" w:color="000000" w:sz="6" w:space="0"/>
              <w:right w:val="single" w:color="000000" w:sz="6" w:space="0"/>
            </w:tcBorders>
            <w:vAlign w:val="center"/>
          </w:tcPr>
          <w:p>
            <w:pPr>
              <w:jc w:val="center"/>
              <w:rPr>
                <w:rStyle w:val="13"/>
                <w:rFonts w:ascii="宋体"/>
                <w:color w:val="000000"/>
                <w:sz w:val="24"/>
              </w:rPr>
            </w:pPr>
            <w:r>
              <w:rPr>
                <w:rStyle w:val="13"/>
                <w:rFonts w:ascii="宋体" w:hAnsi="宋体"/>
                <w:color w:val="000000"/>
                <w:sz w:val="24"/>
              </w:rPr>
              <w:t>26</w:t>
            </w:r>
          </w:p>
        </w:tc>
        <w:tc>
          <w:tcPr>
            <w:tcW w:w="1714" w:type="dxa"/>
            <w:tcBorders>
              <w:top w:val="single" w:color="000000" w:sz="6" w:space="0"/>
              <w:left w:val="single" w:color="000000" w:sz="6" w:space="0"/>
              <w:bottom w:val="single" w:color="000000" w:sz="6" w:space="0"/>
              <w:right w:val="single" w:color="000000" w:sz="4" w:space="0"/>
            </w:tcBorders>
            <w:vAlign w:val="center"/>
          </w:tcPr>
          <w:p>
            <w:pPr>
              <w:jc w:val="center"/>
              <w:rPr>
                <w:rStyle w:val="13"/>
                <w:rFonts w:ascii="宋体"/>
                <w:color w:val="000000"/>
                <w:sz w:val="24"/>
              </w:rPr>
            </w:pPr>
            <w:r>
              <w:rPr>
                <w:rStyle w:val="13"/>
                <w:rFonts w:ascii="宋体" w:hAnsi="宋体"/>
                <w:color w:val="000000"/>
                <w:sz w:val="24"/>
              </w:rPr>
              <w:t>关于操作说明</w:t>
            </w:r>
          </w:p>
        </w:tc>
        <w:tc>
          <w:tcPr>
            <w:tcW w:w="7147" w:type="dxa"/>
            <w:tcBorders>
              <w:top w:val="single" w:color="000000" w:sz="6" w:space="0"/>
              <w:left w:val="single" w:color="000000" w:sz="4" w:space="0"/>
              <w:bottom w:val="single" w:color="000000" w:sz="6" w:space="0"/>
              <w:right w:val="single" w:color="000000" w:sz="12" w:space="0"/>
            </w:tcBorders>
            <w:vAlign w:val="center"/>
          </w:tcPr>
          <w:p>
            <w:pPr>
              <w:ind w:left="714" w:leftChars="1" w:hanging="712" w:hangingChars="297"/>
              <w:rPr>
                <w:rStyle w:val="13"/>
                <w:rFonts w:ascii="宋体"/>
                <w:bCs/>
                <w:color w:val="000000"/>
                <w:sz w:val="24"/>
              </w:rPr>
            </w:pPr>
            <w:r>
              <w:rPr>
                <w:rStyle w:val="13"/>
                <w:rFonts w:ascii="宋体" w:hAnsi="宋体"/>
                <w:bCs/>
                <w:color w:val="000000"/>
                <w:sz w:val="24"/>
              </w:rPr>
              <w:t>投标单位所提供关于设备的操作说明如果是英文必须附翻译后中文</w:t>
            </w:r>
          </w:p>
          <w:p>
            <w:pPr>
              <w:ind w:left="714" w:leftChars="1" w:hanging="712" w:hangingChars="297"/>
              <w:rPr>
                <w:rStyle w:val="13"/>
                <w:rFonts w:ascii="宋体"/>
                <w:bCs/>
                <w:color w:val="000000"/>
                <w:sz w:val="24"/>
              </w:rPr>
            </w:pPr>
            <w:r>
              <w:rPr>
                <w:rStyle w:val="13"/>
                <w:rFonts w:ascii="宋体" w:hAnsi="宋体"/>
                <w:bCs/>
                <w:color w:val="000000"/>
                <w:sz w:val="24"/>
              </w:rPr>
              <w:t>说明</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26" w:hRule="atLeast"/>
          <w:jc w:val="center"/>
        </w:trPr>
        <w:tc>
          <w:tcPr>
            <w:tcW w:w="823" w:type="dxa"/>
            <w:tcBorders>
              <w:top w:val="single" w:color="000000" w:sz="6" w:space="0"/>
              <w:left w:val="single" w:color="000000" w:sz="12" w:space="0"/>
              <w:bottom w:val="single" w:color="000000" w:sz="4" w:space="0"/>
              <w:right w:val="single" w:color="000000" w:sz="6" w:space="0"/>
            </w:tcBorders>
            <w:vAlign w:val="center"/>
          </w:tcPr>
          <w:p>
            <w:pPr>
              <w:jc w:val="center"/>
              <w:rPr>
                <w:rStyle w:val="13"/>
                <w:rFonts w:ascii="宋体"/>
                <w:color w:val="000000"/>
                <w:sz w:val="24"/>
              </w:rPr>
            </w:pPr>
            <w:r>
              <w:rPr>
                <w:rStyle w:val="13"/>
                <w:rFonts w:ascii="宋体" w:hAnsi="宋体"/>
                <w:color w:val="000000"/>
                <w:sz w:val="24"/>
              </w:rPr>
              <w:t>27</w:t>
            </w:r>
          </w:p>
        </w:tc>
        <w:tc>
          <w:tcPr>
            <w:tcW w:w="1714" w:type="dxa"/>
            <w:tcBorders>
              <w:top w:val="single" w:color="000000" w:sz="6" w:space="0"/>
              <w:left w:val="single" w:color="000000" w:sz="6" w:space="0"/>
              <w:bottom w:val="single" w:color="000000" w:sz="4" w:space="0"/>
              <w:right w:val="single" w:color="000000" w:sz="4" w:space="0"/>
            </w:tcBorders>
            <w:vAlign w:val="center"/>
          </w:tcPr>
          <w:p>
            <w:pPr>
              <w:jc w:val="center"/>
              <w:rPr>
                <w:rStyle w:val="13"/>
                <w:rFonts w:ascii="宋体"/>
                <w:color w:val="000000"/>
                <w:sz w:val="24"/>
              </w:rPr>
            </w:pPr>
            <w:r>
              <w:rPr>
                <w:rStyle w:val="13"/>
                <w:rFonts w:ascii="宋体" w:hAnsi="宋体"/>
                <w:color w:val="000000"/>
                <w:sz w:val="24"/>
              </w:rPr>
              <w:t>关于运距补充说明</w:t>
            </w:r>
          </w:p>
        </w:tc>
        <w:tc>
          <w:tcPr>
            <w:tcW w:w="7147" w:type="dxa"/>
            <w:tcBorders>
              <w:top w:val="single" w:color="000000" w:sz="6" w:space="0"/>
              <w:left w:val="single" w:color="000000" w:sz="4" w:space="0"/>
              <w:bottom w:val="single" w:color="000000" w:sz="4" w:space="0"/>
              <w:right w:val="single" w:color="000000" w:sz="12" w:space="0"/>
            </w:tcBorders>
            <w:vAlign w:val="center"/>
          </w:tcPr>
          <w:p>
            <w:pPr>
              <w:ind w:left="714" w:leftChars="1" w:hanging="712" w:hangingChars="297"/>
              <w:rPr>
                <w:rStyle w:val="13"/>
                <w:rFonts w:ascii="宋体"/>
                <w:bCs/>
                <w:color w:val="000000"/>
                <w:sz w:val="24"/>
              </w:rPr>
            </w:pPr>
            <w:r>
              <w:rPr>
                <w:rStyle w:val="13"/>
                <w:rFonts w:ascii="宋体" w:hAnsi="宋体"/>
                <w:bCs/>
                <w:color w:val="000000"/>
                <w:sz w:val="24"/>
              </w:rPr>
              <w:t>业主指定地点或合同中指定地点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823" w:type="dxa"/>
            <w:tcBorders>
              <w:top w:val="single" w:color="000000" w:sz="4" w:space="0"/>
              <w:left w:val="single" w:color="000000" w:sz="12" w:space="0"/>
              <w:bottom w:val="single" w:color="000000" w:sz="6" w:space="0"/>
              <w:right w:val="single" w:color="000000" w:sz="6" w:space="0"/>
            </w:tcBorders>
            <w:vAlign w:val="center"/>
          </w:tcPr>
          <w:p>
            <w:pPr>
              <w:jc w:val="center"/>
              <w:rPr>
                <w:rStyle w:val="13"/>
                <w:rFonts w:ascii="宋体" w:hAnsi="宋体"/>
                <w:color w:val="000000"/>
                <w:sz w:val="24"/>
              </w:rPr>
            </w:pPr>
            <w:r>
              <w:rPr>
                <w:rStyle w:val="13"/>
                <w:rFonts w:ascii="宋体" w:hAnsi="宋体"/>
                <w:color w:val="000000"/>
                <w:sz w:val="24"/>
              </w:rPr>
              <w:t>28</w:t>
            </w:r>
          </w:p>
        </w:tc>
        <w:tc>
          <w:tcPr>
            <w:tcW w:w="1714" w:type="dxa"/>
            <w:tcBorders>
              <w:top w:val="single" w:color="000000" w:sz="4" w:space="0"/>
              <w:left w:val="single" w:color="000000" w:sz="6" w:space="0"/>
              <w:bottom w:val="single" w:color="000000" w:sz="6" w:space="0"/>
              <w:right w:val="single" w:color="000000" w:sz="4" w:space="0"/>
            </w:tcBorders>
            <w:vAlign w:val="center"/>
          </w:tcPr>
          <w:p>
            <w:pPr>
              <w:jc w:val="center"/>
              <w:rPr>
                <w:rStyle w:val="13"/>
                <w:rFonts w:ascii="宋体" w:hAnsi="宋体"/>
                <w:color w:val="000000"/>
                <w:sz w:val="24"/>
              </w:rPr>
            </w:pPr>
            <w:r>
              <w:rPr>
                <w:rStyle w:val="13"/>
                <w:rFonts w:ascii="宋体" w:hAnsi="宋体"/>
                <w:color w:val="000000"/>
                <w:sz w:val="24"/>
              </w:rPr>
              <w:t>履约保证金</w:t>
            </w:r>
          </w:p>
        </w:tc>
        <w:tc>
          <w:tcPr>
            <w:tcW w:w="7147" w:type="dxa"/>
            <w:tcBorders>
              <w:top w:val="single" w:color="000000" w:sz="4" w:space="0"/>
              <w:left w:val="single" w:color="000000" w:sz="4" w:space="0"/>
              <w:bottom w:val="single" w:color="000000" w:sz="6" w:space="0"/>
              <w:right w:val="single" w:color="000000" w:sz="12" w:space="0"/>
            </w:tcBorders>
            <w:vAlign w:val="center"/>
          </w:tcPr>
          <w:p>
            <w:pPr>
              <w:textAlignment w:val="auto"/>
              <w:rPr>
                <w:rStyle w:val="13"/>
                <w:rFonts w:ascii="宋体" w:hAnsi="宋体"/>
                <w:bCs/>
                <w:color w:val="000000"/>
                <w:sz w:val="24"/>
              </w:rPr>
            </w:pPr>
            <w:r>
              <w:rPr>
                <w:rStyle w:val="13"/>
                <w:rFonts w:ascii="宋体" w:hAnsi="宋体"/>
                <w:color w:val="000000"/>
                <w:sz w:val="24"/>
              </w:rPr>
              <w:t>合同签订前缴纳中标价的</w:t>
            </w:r>
            <w:r>
              <w:rPr>
                <w:rStyle w:val="13"/>
                <w:rFonts w:hint="eastAsia" w:ascii="宋体" w:hAnsi="宋体"/>
                <w:color w:val="000000"/>
                <w:sz w:val="24"/>
                <w:lang w:val="en-US" w:eastAsia="zh-CN"/>
              </w:rPr>
              <w:t>10</w:t>
            </w:r>
            <w:r>
              <w:rPr>
                <w:rStyle w:val="13"/>
                <w:rFonts w:ascii="宋体" w:hAnsi="宋体"/>
                <w:color w:val="000000"/>
                <w:sz w:val="24"/>
              </w:rPr>
              <w:t>%履约保证金。</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105" w:hRule="atLeast"/>
          <w:jc w:val="center"/>
        </w:trPr>
        <w:tc>
          <w:tcPr>
            <w:tcW w:w="823" w:type="dxa"/>
            <w:tcBorders>
              <w:top w:val="single" w:color="000000" w:sz="6" w:space="0"/>
              <w:left w:val="single" w:color="000000" w:sz="12" w:space="0"/>
              <w:bottom w:val="single" w:color="000000" w:sz="6" w:space="0"/>
              <w:right w:val="single" w:color="000000" w:sz="6" w:space="0"/>
            </w:tcBorders>
            <w:vAlign w:val="center"/>
          </w:tcPr>
          <w:p>
            <w:pPr>
              <w:jc w:val="center"/>
              <w:rPr>
                <w:rStyle w:val="13"/>
                <w:rFonts w:ascii="宋体"/>
                <w:color w:val="000000"/>
                <w:sz w:val="24"/>
              </w:rPr>
            </w:pPr>
            <w:r>
              <w:rPr>
                <w:rStyle w:val="13"/>
                <w:rFonts w:ascii="宋体" w:hAnsi="宋体"/>
                <w:color w:val="000000"/>
                <w:sz w:val="24"/>
              </w:rPr>
              <w:t>29</w:t>
            </w:r>
          </w:p>
        </w:tc>
        <w:tc>
          <w:tcPr>
            <w:tcW w:w="1714" w:type="dxa"/>
            <w:tcBorders>
              <w:top w:val="single" w:color="000000" w:sz="6" w:space="0"/>
              <w:left w:val="single" w:color="000000" w:sz="6" w:space="0"/>
              <w:bottom w:val="single" w:color="000000" w:sz="6" w:space="0"/>
              <w:right w:val="single" w:color="000000" w:sz="4" w:space="0"/>
            </w:tcBorders>
            <w:vAlign w:val="center"/>
          </w:tcPr>
          <w:p>
            <w:pPr>
              <w:jc w:val="center"/>
              <w:rPr>
                <w:rStyle w:val="13"/>
                <w:rFonts w:ascii="宋体"/>
                <w:color w:val="000000"/>
                <w:sz w:val="24"/>
              </w:rPr>
            </w:pPr>
            <w:r>
              <w:rPr>
                <w:rStyle w:val="13"/>
                <w:rFonts w:ascii="宋体" w:hAnsi="宋体"/>
                <w:color w:val="000000"/>
                <w:sz w:val="24"/>
              </w:rPr>
              <w:t>其他说明</w:t>
            </w:r>
          </w:p>
        </w:tc>
        <w:tc>
          <w:tcPr>
            <w:tcW w:w="7147" w:type="dxa"/>
            <w:tcBorders>
              <w:top w:val="single" w:color="000000" w:sz="6" w:space="0"/>
              <w:left w:val="single" w:color="000000" w:sz="4" w:space="0"/>
              <w:bottom w:val="single" w:color="000000" w:sz="6" w:space="0"/>
              <w:right w:val="single" w:color="000000" w:sz="12" w:space="0"/>
            </w:tcBorders>
            <w:vAlign w:val="center"/>
          </w:tcPr>
          <w:p>
            <w:pPr>
              <w:ind w:left="714" w:leftChars="1" w:hanging="712" w:hangingChars="297"/>
              <w:rPr>
                <w:rStyle w:val="13"/>
                <w:rFonts w:ascii="宋体"/>
                <w:bCs/>
                <w:color w:val="000000"/>
                <w:sz w:val="24"/>
              </w:rPr>
            </w:pPr>
            <w:r>
              <w:rPr>
                <w:rStyle w:val="13"/>
                <w:rFonts w:ascii="宋体" w:hAnsi="宋体"/>
                <w:bCs/>
                <w:color w:val="000000"/>
                <w:sz w:val="24"/>
              </w:rPr>
              <w:t>特别提醒：</w:t>
            </w:r>
          </w:p>
          <w:p>
            <w:pPr>
              <w:ind w:left="714" w:leftChars="1" w:hanging="712" w:hangingChars="297"/>
              <w:rPr>
                <w:rStyle w:val="13"/>
                <w:rFonts w:hint="eastAsia" w:ascii="宋体" w:hAnsi="宋体"/>
                <w:bCs/>
                <w:color w:val="000000"/>
                <w:sz w:val="24"/>
              </w:rPr>
            </w:pPr>
            <w:r>
              <w:rPr>
                <w:rStyle w:val="13"/>
                <w:rFonts w:hint="eastAsia" w:ascii="宋体" w:hAnsi="宋体"/>
                <w:bCs/>
                <w:color w:val="000000"/>
                <w:sz w:val="24"/>
              </w:rPr>
              <w:t>1、投标企业请认真核实营业执照经营范围，开标时将严格按照营业执照经营范围核实，无经营范围的企业一切责任将由贵公司自行承担。</w:t>
            </w:r>
          </w:p>
          <w:p>
            <w:pPr>
              <w:ind w:left="714" w:leftChars="1" w:hanging="712" w:hangingChars="297"/>
              <w:rPr>
                <w:rStyle w:val="13"/>
                <w:rFonts w:hint="eastAsia" w:ascii="宋体" w:hAnsi="宋体"/>
                <w:bCs/>
                <w:color w:val="000000"/>
                <w:sz w:val="24"/>
              </w:rPr>
            </w:pPr>
            <w:r>
              <w:rPr>
                <w:rStyle w:val="13"/>
                <w:rFonts w:hint="eastAsia" w:ascii="宋体" w:hAnsi="宋体"/>
                <w:bCs/>
                <w:color w:val="000000"/>
                <w:sz w:val="24"/>
              </w:rPr>
              <w:t>2、由投标人基本账户汇出（投标保证金需一笔汇出，分笔汇出银行系统将不予统计），且不得以分公司的名义转账，投标保证金需在2020年</w:t>
            </w:r>
            <w:r>
              <w:rPr>
                <w:rStyle w:val="13"/>
                <w:rFonts w:hint="eastAsia" w:ascii="宋体" w:hAnsi="宋体"/>
                <w:bCs/>
                <w:color w:val="000000"/>
                <w:sz w:val="24"/>
                <w:lang w:val="en-US" w:eastAsia="zh-CN"/>
              </w:rPr>
              <w:t>5</w:t>
            </w:r>
            <w:r>
              <w:rPr>
                <w:rStyle w:val="13"/>
                <w:rFonts w:hint="eastAsia" w:ascii="宋体" w:hAnsi="宋体"/>
                <w:bCs/>
                <w:color w:val="000000"/>
                <w:sz w:val="24"/>
              </w:rPr>
              <w:t>月</w:t>
            </w:r>
            <w:r>
              <w:rPr>
                <w:rStyle w:val="13"/>
                <w:rFonts w:hint="eastAsia" w:ascii="宋体" w:hAnsi="宋体"/>
                <w:bCs/>
                <w:color w:val="000000"/>
                <w:sz w:val="24"/>
                <w:lang w:val="en-US" w:eastAsia="zh-CN"/>
              </w:rPr>
              <w:t>2</w:t>
            </w:r>
            <w:r>
              <w:rPr>
                <w:rStyle w:val="13"/>
                <w:rFonts w:hint="eastAsia" w:ascii="宋体" w:hAnsi="宋体"/>
                <w:bCs/>
                <w:color w:val="000000"/>
                <w:sz w:val="24"/>
              </w:rPr>
              <w:t>日20：00前到账，超过时间则不予认可。投标单位须在汇款单备注栏标明：XXX项目XXX包段（标段）或采购项目编号。该项目不换取保证金收据，由银行出具投标企业保证金缴纳情况。晚于规定时间缴纳保证金的企业一切责任将由贵公司自行承担。</w:t>
            </w:r>
          </w:p>
          <w:p>
            <w:pPr>
              <w:ind w:left="714" w:leftChars="1" w:hanging="712" w:hangingChars="297"/>
              <w:rPr>
                <w:rStyle w:val="13"/>
                <w:rFonts w:hint="eastAsia" w:ascii="宋体" w:hAnsi="宋体"/>
                <w:bCs/>
                <w:color w:val="000000"/>
                <w:sz w:val="24"/>
              </w:rPr>
            </w:pPr>
            <w:r>
              <w:rPr>
                <w:rStyle w:val="13"/>
                <w:rFonts w:hint="eastAsia" w:ascii="宋体" w:hAnsi="宋体"/>
                <w:bCs/>
                <w:color w:val="000000"/>
                <w:sz w:val="24"/>
              </w:rPr>
              <w:t>3、投标企业下载招标文件后请仔细阅读，如对招标文件内容有质疑，投标人应在投标截止</w:t>
            </w:r>
            <w:r>
              <w:rPr>
                <w:rStyle w:val="13"/>
                <w:rFonts w:hint="eastAsia" w:ascii="宋体" w:hAnsi="宋体"/>
                <w:bCs/>
                <w:color w:val="000000"/>
                <w:sz w:val="24"/>
                <w:lang w:val="en-US" w:eastAsia="zh-CN"/>
              </w:rPr>
              <w:t>7</w:t>
            </w:r>
            <w:r>
              <w:rPr>
                <w:rStyle w:val="13"/>
                <w:rFonts w:hint="eastAsia" w:ascii="宋体" w:hAnsi="宋体"/>
                <w:bCs/>
                <w:color w:val="000000"/>
                <w:sz w:val="24"/>
              </w:rPr>
              <w:t>日前按招标文件中载明的邮箱：</w:t>
            </w:r>
            <w:r>
              <w:rPr>
                <w:rStyle w:val="13"/>
                <w:rFonts w:hint="eastAsia" w:ascii="宋体" w:hAnsi="宋体"/>
                <w:bCs/>
                <w:color w:val="000000"/>
                <w:sz w:val="24"/>
                <w:lang w:val="en-US" w:eastAsia="zh-CN"/>
              </w:rPr>
              <w:t>2739774438</w:t>
            </w:r>
            <w:r>
              <w:rPr>
                <w:rStyle w:val="13"/>
                <w:rFonts w:hint="eastAsia" w:ascii="宋体" w:hAnsi="宋体"/>
                <w:bCs/>
                <w:color w:val="000000"/>
                <w:sz w:val="24"/>
              </w:rPr>
              <w:t>@qq.com地址，以书面形式通知招标人。招标人认为必要时，将（澄清）修改后的公告发布在新疆政府采购网，敬请投标企业及时关注。在规定期限内投标企业未提出质疑的视为投标企业默认招标文件不存在质疑的相关问题。超过招标文件质疑时间将不再接受投标企业所提出的质疑。</w:t>
            </w:r>
          </w:p>
          <w:p>
            <w:pPr>
              <w:ind w:left="714" w:leftChars="1" w:hanging="712" w:hangingChars="297"/>
              <w:rPr>
                <w:rStyle w:val="13"/>
                <w:rFonts w:ascii="宋体"/>
                <w:bCs/>
                <w:color w:val="000000"/>
                <w:sz w:val="24"/>
              </w:rPr>
            </w:pPr>
            <w:r>
              <w:rPr>
                <w:rStyle w:val="13"/>
                <w:rFonts w:hint="eastAsia" w:ascii="宋体" w:hAnsi="宋体"/>
                <w:bCs/>
                <w:color w:val="000000"/>
                <w:sz w:val="24"/>
              </w:rPr>
              <w:t>4、为确保投标保证金的及时退还，评标结束后投标企业需提供保证金汇款凭证、开户许可证复印件、收据并注明开户行行号、联系方式（加盖公司鲜公章）交至皮山县政府投资交易中心财务室办理。（注：废标项目投标保证金在后续项目再次招标时银行系统不做统计，请投标企业及时办理退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7" w:hRule="atLeast"/>
          <w:jc w:val="center"/>
        </w:trPr>
        <w:tc>
          <w:tcPr>
            <w:tcW w:w="823" w:type="dxa"/>
            <w:tcBorders>
              <w:top w:val="single" w:color="000000" w:sz="6" w:space="0"/>
              <w:left w:val="single" w:color="000000" w:sz="12" w:space="0"/>
              <w:bottom w:val="single" w:color="000000" w:sz="6" w:space="0"/>
              <w:right w:val="single" w:color="000000" w:sz="4" w:space="0"/>
            </w:tcBorders>
          </w:tcPr>
          <w:p>
            <w:pPr>
              <w:jc w:val="center"/>
              <w:rPr>
                <w:rStyle w:val="13"/>
                <w:rFonts w:ascii="宋体" w:hAnsi="宋体"/>
                <w:color w:val="000000"/>
                <w:sz w:val="24"/>
              </w:rPr>
            </w:pPr>
          </w:p>
          <w:p>
            <w:pPr>
              <w:jc w:val="center"/>
              <w:rPr>
                <w:rStyle w:val="13"/>
                <w:rFonts w:ascii="宋体" w:hAnsi="宋体"/>
                <w:color w:val="000000"/>
                <w:sz w:val="24"/>
              </w:rPr>
            </w:pPr>
          </w:p>
          <w:p>
            <w:pPr>
              <w:jc w:val="center"/>
              <w:rPr>
                <w:rStyle w:val="13"/>
                <w:rFonts w:ascii="宋体" w:hAnsi="宋体"/>
                <w:color w:val="000000"/>
                <w:sz w:val="24"/>
              </w:rPr>
            </w:pPr>
          </w:p>
          <w:p>
            <w:pPr>
              <w:jc w:val="center"/>
              <w:rPr>
                <w:rStyle w:val="13"/>
                <w:rFonts w:ascii="宋体" w:hAnsi="宋体"/>
                <w:color w:val="000000"/>
                <w:sz w:val="24"/>
              </w:rPr>
            </w:pPr>
          </w:p>
          <w:p>
            <w:pPr>
              <w:jc w:val="center"/>
              <w:rPr>
                <w:rStyle w:val="13"/>
                <w:rFonts w:ascii="宋体" w:hAnsi="宋体"/>
                <w:color w:val="000000"/>
                <w:sz w:val="24"/>
              </w:rPr>
            </w:pPr>
            <w:r>
              <w:rPr>
                <w:rStyle w:val="13"/>
                <w:rFonts w:ascii="宋体" w:hAnsi="宋体"/>
                <w:color w:val="000000"/>
                <w:sz w:val="24"/>
              </w:rPr>
              <w:t>30</w:t>
            </w:r>
          </w:p>
        </w:tc>
        <w:tc>
          <w:tcPr>
            <w:tcW w:w="1714" w:type="dxa"/>
            <w:tcBorders>
              <w:top w:val="single" w:color="000000" w:sz="6" w:space="0"/>
              <w:left w:val="single" w:color="000000" w:sz="4" w:space="0"/>
              <w:bottom w:val="single" w:color="000000" w:sz="6" w:space="0"/>
              <w:right w:val="single" w:color="000000" w:sz="4" w:space="0"/>
            </w:tcBorders>
          </w:tcPr>
          <w:p>
            <w:pPr>
              <w:jc w:val="center"/>
              <w:rPr>
                <w:rStyle w:val="13"/>
                <w:rFonts w:ascii="宋体" w:hAnsi="宋体"/>
                <w:color w:val="000000"/>
                <w:sz w:val="24"/>
              </w:rPr>
            </w:pPr>
          </w:p>
          <w:p>
            <w:pPr>
              <w:jc w:val="center"/>
              <w:rPr>
                <w:rStyle w:val="13"/>
                <w:rFonts w:ascii="宋体" w:hAnsi="宋体"/>
                <w:color w:val="000000"/>
                <w:sz w:val="24"/>
              </w:rPr>
            </w:pPr>
          </w:p>
          <w:p>
            <w:pPr>
              <w:jc w:val="center"/>
              <w:rPr>
                <w:rStyle w:val="13"/>
                <w:rFonts w:ascii="宋体" w:hAnsi="宋体"/>
                <w:color w:val="000000"/>
                <w:sz w:val="24"/>
              </w:rPr>
            </w:pPr>
          </w:p>
          <w:p>
            <w:pPr>
              <w:jc w:val="center"/>
              <w:rPr>
                <w:rStyle w:val="13"/>
                <w:rFonts w:ascii="宋体" w:hAnsi="宋体"/>
                <w:color w:val="000000"/>
                <w:sz w:val="24"/>
              </w:rPr>
            </w:pPr>
          </w:p>
          <w:p>
            <w:pPr>
              <w:jc w:val="center"/>
              <w:rPr>
                <w:rStyle w:val="13"/>
                <w:rFonts w:ascii="宋体" w:hAnsi="宋体"/>
                <w:color w:val="000000"/>
                <w:sz w:val="24"/>
              </w:rPr>
            </w:pPr>
            <w:r>
              <w:rPr>
                <w:rStyle w:val="13"/>
                <w:rFonts w:ascii="宋体" w:hAnsi="宋体"/>
                <w:color w:val="000000"/>
                <w:sz w:val="24"/>
              </w:rPr>
              <w:t>补充说明</w:t>
            </w:r>
          </w:p>
        </w:tc>
        <w:tc>
          <w:tcPr>
            <w:tcW w:w="7147" w:type="dxa"/>
            <w:tcBorders>
              <w:top w:val="single" w:color="000000" w:sz="6" w:space="0"/>
              <w:left w:val="single" w:color="000000" w:sz="4" w:space="0"/>
              <w:bottom w:val="single" w:color="000000" w:sz="6" w:space="0"/>
              <w:right w:val="single" w:color="000000" w:sz="12" w:space="0"/>
            </w:tcBorders>
          </w:tcPr>
          <w:p>
            <w:pPr>
              <w:ind w:left="713" w:leftChars="115" w:hanging="472" w:hangingChars="197"/>
              <w:rPr>
                <w:rStyle w:val="13"/>
                <w:rFonts w:hint="eastAsia" w:ascii="宋体" w:hAnsi="宋体"/>
                <w:bCs/>
                <w:color w:val="000000"/>
                <w:sz w:val="24"/>
                <w:szCs w:val="22"/>
              </w:rPr>
            </w:pPr>
            <w:r>
              <w:rPr>
                <w:rStyle w:val="13"/>
                <w:rFonts w:hint="eastAsia" w:ascii="宋体" w:hAnsi="宋体"/>
                <w:bCs/>
                <w:color w:val="000000"/>
                <w:sz w:val="24"/>
                <w:szCs w:val="22"/>
                <w:lang w:val="en-US" w:eastAsia="zh-CN"/>
              </w:rPr>
              <w:t>1、</w:t>
            </w:r>
            <w:r>
              <w:rPr>
                <w:rStyle w:val="13"/>
                <w:rFonts w:hint="eastAsia" w:ascii="宋体" w:hAnsi="宋体"/>
                <w:bCs/>
                <w:color w:val="000000"/>
                <w:sz w:val="24"/>
                <w:szCs w:val="22"/>
              </w:rPr>
              <w:t>采购项目需要落实的政府采购政策：根据财政部、工业和信息化部关于印发《政府采购促进中小企业发展暂行办法》的通知(财库[2011]181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等政府采购政策。《财政部 发展改革委 生态环境部 市场监管总局 关于调整优化节能产品、环境标志产品政府采购执行机制的通知》（财库〔2019〕9号）。  </w:t>
            </w:r>
          </w:p>
          <w:p>
            <w:pPr>
              <w:pStyle w:val="2"/>
              <w:numPr>
                <w:ilvl w:val="0"/>
                <w:numId w:val="0"/>
              </w:numPr>
              <w:ind w:right="-58" w:rightChars="0" w:firstLine="240" w:firstLineChars="100"/>
            </w:pPr>
            <w:r>
              <w:rPr>
                <w:rFonts w:hint="eastAsia"/>
                <w:lang w:val="en-US" w:eastAsia="zh-CN"/>
              </w:rPr>
              <w:t>2、</w:t>
            </w:r>
            <w:r>
              <w:rPr>
                <w:rFonts w:hint="eastAsia"/>
                <w:lang w:eastAsia="zh-CN"/>
              </w:rPr>
              <w:t>代理费：招标代理费由中标企业支付,参照中标价：（100万以下按1.5%计取、100-500万按1.1%计取、500-1000万按0.8%计取、1000-5000万按0.5%计取，按差额定率累进法计算）。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7" w:hRule="atLeast"/>
          <w:jc w:val="center"/>
        </w:trPr>
        <w:tc>
          <w:tcPr>
            <w:tcW w:w="823" w:type="dxa"/>
            <w:tcBorders>
              <w:top w:val="single" w:color="000000" w:sz="6" w:space="0"/>
              <w:left w:val="single" w:color="000000" w:sz="12" w:space="0"/>
              <w:bottom w:val="single" w:color="000000" w:sz="6" w:space="0"/>
              <w:right w:val="single" w:color="000000" w:sz="4" w:space="0"/>
            </w:tcBorders>
          </w:tcPr>
          <w:p>
            <w:pPr>
              <w:jc w:val="center"/>
              <w:rPr>
                <w:rStyle w:val="13"/>
                <w:rFonts w:hint="eastAsia" w:ascii="宋体" w:hAnsi="宋体"/>
                <w:color w:val="000000"/>
                <w:sz w:val="24"/>
                <w:lang w:val="en-US" w:eastAsia="zh-CN"/>
              </w:rPr>
            </w:pPr>
          </w:p>
          <w:p>
            <w:pPr>
              <w:jc w:val="center"/>
              <w:rPr>
                <w:rStyle w:val="13"/>
                <w:rFonts w:hint="eastAsia" w:ascii="宋体" w:hAnsi="宋体"/>
                <w:color w:val="000000"/>
                <w:sz w:val="24"/>
                <w:lang w:val="en-US" w:eastAsia="zh-CN"/>
              </w:rPr>
            </w:pPr>
          </w:p>
          <w:p>
            <w:pPr>
              <w:jc w:val="center"/>
              <w:rPr>
                <w:rStyle w:val="13"/>
                <w:rFonts w:hint="eastAsia" w:ascii="宋体" w:hAnsi="宋体"/>
                <w:color w:val="000000"/>
                <w:sz w:val="24"/>
                <w:lang w:val="en-US" w:eastAsia="zh-CN"/>
              </w:rPr>
            </w:pPr>
          </w:p>
          <w:p>
            <w:pPr>
              <w:jc w:val="center"/>
              <w:rPr>
                <w:rStyle w:val="13"/>
                <w:rFonts w:hint="eastAsia" w:ascii="宋体" w:hAnsi="宋体"/>
                <w:color w:val="000000"/>
                <w:sz w:val="24"/>
                <w:lang w:val="en-US" w:eastAsia="zh-CN"/>
              </w:rPr>
            </w:pPr>
          </w:p>
          <w:p>
            <w:pPr>
              <w:jc w:val="center"/>
              <w:rPr>
                <w:rStyle w:val="13"/>
                <w:rFonts w:hint="eastAsia" w:ascii="宋体" w:hAnsi="宋体"/>
                <w:color w:val="000000"/>
                <w:sz w:val="24"/>
                <w:lang w:val="en-US" w:eastAsia="zh-CN"/>
              </w:rPr>
            </w:pPr>
          </w:p>
          <w:p>
            <w:pPr>
              <w:jc w:val="center"/>
              <w:rPr>
                <w:rStyle w:val="13"/>
                <w:rFonts w:hint="eastAsia" w:ascii="宋体" w:hAnsi="宋体"/>
                <w:color w:val="000000"/>
                <w:sz w:val="24"/>
                <w:lang w:val="en-US" w:eastAsia="zh-CN"/>
              </w:rPr>
            </w:pPr>
          </w:p>
          <w:p>
            <w:pPr>
              <w:jc w:val="center"/>
              <w:rPr>
                <w:rStyle w:val="13"/>
                <w:rFonts w:hint="eastAsia" w:ascii="宋体" w:hAnsi="宋体"/>
                <w:color w:val="000000"/>
                <w:sz w:val="24"/>
                <w:lang w:val="en-US" w:eastAsia="zh-CN"/>
              </w:rPr>
            </w:pPr>
          </w:p>
          <w:p>
            <w:pPr>
              <w:jc w:val="center"/>
              <w:rPr>
                <w:rStyle w:val="13"/>
                <w:rFonts w:hint="eastAsia" w:ascii="宋体" w:hAnsi="宋体"/>
                <w:color w:val="000000"/>
                <w:sz w:val="24"/>
                <w:lang w:val="en-US" w:eastAsia="zh-CN"/>
              </w:rPr>
            </w:pPr>
          </w:p>
          <w:p>
            <w:pPr>
              <w:jc w:val="center"/>
              <w:rPr>
                <w:rStyle w:val="13"/>
                <w:rFonts w:hint="eastAsia" w:ascii="宋体" w:hAnsi="宋体"/>
                <w:color w:val="000000"/>
                <w:sz w:val="24"/>
                <w:lang w:val="en-US" w:eastAsia="zh-CN"/>
              </w:rPr>
            </w:pPr>
          </w:p>
          <w:p>
            <w:pPr>
              <w:jc w:val="center"/>
              <w:rPr>
                <w:rStyle w:val="13"/>
                <w:rFonts w:hint="eastAsia" w:ascii="宋体" w:hAnsi="宋体"/>
                <w:color w:val="000000"/>
                <w:sz w:val="24"/>
                <w:lang w:val="en-US" w:eastAsia="zh-CN"/>
              </w:rPr>
            </w:pPr>
          </w:p>
          <w:p>
            <w:pPr>
              <w:jc w:val="center"/>
              <w:rPr>
                <w:rStyle w:val="13"/>
                <w:rFonts w:hint="default" w:ascii="宋体" w:hAnsi="宋体" w:eastAsia="宋体"/>
                <w:color w:val="000000"/>
                <w:sz w:val="24"/>
                <w:lang w:val="en-US" w:eastAsia="zh-CN"/>
              </w:rPr>
            </w:pPr>
            <w:r>
              <w:rPr>
                <w:rStyle w:val="13"/>
                <w:rFonts w:hint="eastAsia" w:ascii="宋体" w:hAnsi="宋体"/>
                <w:color w:val="000000"/>
                <w:sz w:val="24"/>
                <w:lang w:val="en-US" w:eastAsia="zh-CN"/>
              </w:rPr>
              <w:t>31</w:t>
            </w:r>
          </w:p>
        </w:tc>
        <w:tc>
          <w:tcPr>
            <w:tcW w:w="1714" w:type="dxa"/>
            <w:tcBorders>
              <w:top w:val="single" w:color="000000" w:sz="6" w:space="0"/>
              <w:left w:val="single" w:color="000000" w:sz="4" w:space="0"/>
              <w:bottom w:val="single" w:color="000000" w:sz="6" w:space="0"/>
              <w:right w:val="single" w:color="000000" w:sz="4" w:space="0"/>
            </w:tcBorders>
          </w:tcPr>
          <w:p>
            <w:pPr>
              <w:jc w:val="center"/>
              <w:rPr>
                <w:rStyle w:val="13"/>
                <w:rFonts w:hint="eastAsia" w:ascii="宋体" w:hAnsi="宋体"/>
                <w:color w:val="000000"/>
                <w:sz w:val="24"/>
                <w:lang w:eastAsia="zh-CN"/>
              </w:rPr>
            </w:pPr>
          </w:p>
          <w:p>
            <w:pPr>
              <w:jc w:val="center"/>
              <w:rPr>
                <w:rStyle w:val="13"/>
                <w:rFonts w:hint="eastAsia" w:ascii="宋体" w:hAnsi="宋体"/>
                <w:color w:val="000000"/>
                <w:sz w:val="24"/>
                <w:lang w:eastAsia="zh-CN"/>
              </w:rPr>
            </w:pPr>
          </w:p>
          <w:p>
            <w:pPr>
              <w:jc w:val="center"/>
              <w:rPr>
                <w:rStyle w:val="13"/>
                <w:rFonts w:hint="eastAsia" w:ascii="宋体" w:hAnsi="宋体"/>
                <w:color w:val="000000"/>
                <w:sz w:val="24"/>
                <w:lang w:eastAsia="zh-CN"/>
              </w:rPr>
            </w:pPr>
          </w:p>
          <w:p>
            <w:pPr>
              <w:jc w:val="center"/>
              <w:rPr>
                <w:rStyle w:val="13"/>
                <w:rFonts w:hint="eastAsia" w:ascii="宋体" w:hAnsi="宋体"/>
                <w:color w:val="000000"/>
                <w:sz w:val="24"/>
                <w:lang w:eastAsia="zh-CN"/>
              </w:rPr>
            </w:pPr>
          </w:p>
          <w:p>
            <w:pPr>
              <w:jc w:val="center"/>
              <w:rPr>
                <w:rStyle w:val="13"/>
                <w:rFonts w:hint="eastAsia" w:ascii="宋体" w:hAnsi="宋体"/>
                <w:color w:val="000000"/>
                <w:sz w:val="24"/>
                <w:lang w:eastAsia="zh-CN"/>
              </w:rPr>
            </w:pPr>
          </w:p>
          <w:p>
            <w:pPr>
              <w:jc w:val="center"/>
              <w:rPr>
                <w:rStyle w:val="13"/>
                <w:rFonts w:hint="eastAsia" w:ascii="宋体" w:hAnsi="宋体"/>
                <w:color w:val="000000"/>
                <w:sz w:val="24"/>
                <w:lang w:eastAsia="zh-CN"/>
              </w:rPr>
            </w:pPr>
          </w:p>
          <w:p>
            <w:pPr>
              <w:jc w:val="center"/>
              <w:rPr>
                <w:rStyle w:val="13"/>
                <w:rFonts w:hint="eastAsia" w:ascii="宋体" w:hAnsi="宋体"/>
                <w:color w:val="000000"/>
                <w:sz w:val="24"/>
                <w:lang w:eastAsia="zh-CN"/>
              </w:rPr>
            </w:pPr>
          </w:p>
          <w:p>
            <w:pPr>
              <w:jc w:val="center"/>
              <w:rPr>
                <w:rStyle w:val="13"/>
                <w:rFonts w:hint="eastAsia" w:ascii="宋体" w:hAnsi="宋体"/>
                <w:color w:val="000000"/>
                <w:sz w:val="24"/>
                <w:lang w:eastAsia="zh-CN"/>
              </w:rPr>
            </w:pPr>
          </w:p>
          <w:p>
            <w:pPr>
              <w:jc w:val="center"/>
              <w:rPr>
                <w:rStyle w:val="13"/>
                <w:rFonts w:hint="eastAsia" w:ascii="宋体" w:hAnsi="宋体"/>
                <w:color w:val="000000"/>
                <w:sz w:val="24"/>
                <w:lang w:eastAsia="zh-CN"/>
              </w:rPr>
            </w:pPr>
          </w:p>
          <w:p>
            <w:pPr>
              <w:jc w:val="center"/>
              <w:rPr>
                <w:rStyle w:val="13"/>
                <w:rFonts w:hint="eastAsia" w:ascii="宋体" w:hAnsi="宋体"/>
                <w:color w:val="000000"/>
                <w:sz w:val="24"/>
                <w:lang w:eastAsia="zh-CN"/>
              </w:rPr>
            </w:pPr>
          </w:p>
          <w:p>
            <w:pPr>
              <w:jc w:val="center"/>
              <w:rPr>
                <w:rStyle w:val="13"/>
                <w:rFonts w:hint="eastAsia" w:ascii="宋体" w:hAnsi="宋体" w:eastAsia="宋体"/>
                <w:color w:val="000000"/>
                <w:sz w:val="24"/>
                <w:lang w:eastAsia="zh-CN"/>
              </w:rPr>
            </w:pPr>
            <w:r>
              <w:rPr>
                <w:rStyle w:val="13"/>
                <w:rFonts w:hint="eastAsia" w:ascii="宋体" w:hAnsi="宋体"/>
                <w:color w:val="000000"/>
                <w:sz w:val="24"/>
                <w:lang w:eastAsia="zh-CN"/>
              </w:rPr>
              <w:t>备注</w:t>
            </w:r>
          </w:p>
        </w:tc>
        <w:tc>
          <w:tcPr>
            <w:tcW w:w="7147" w:type="dxa"/>
            <w:tcBorders>
              <w:top w:val="single" w:color="000000" w:sz="6" w:space="0"/>
              <w:left w:val="single" w:color="000000" w:sz="4" w:space="0"/>
              <w:bottom w:val="single" w:color="000000" w:sz="6" w:space="0"/>
              <w:right w:val="single" w:color="000000" w:sz="12" w:space="0"/>
            </w:tcBorders>
          </w:tcPr>
          <w:p>
            <w:pPr>
              <w:pStyle w:val="20"/>
              <w:spacing w:before="0" w:after="0" w:line="240" w:lineRule="auto"/>
              <w:textAlignment w:val="auto"/>
              <w:rPr>
                <w:rStyle w:val="13"/>
                <w:rFonts w:hint="eastAsia" w:ascii="宋体" w:hAnsi="宋体" w:eastAsia="宋体" w:cs="Times New Roman"/>
                <w:bCs/>
                <w:color w:val="000000"/>
                <w:kern w:val="2"/>
                <w:sz w:val="24"/>
                <w:szCs w:val="22"/>
                <w:lang w:val="en-US" w:eastAsia="zh-CN" w:bidi="ar-SA"/>
              </w:rPr>
            </w:pPr>
            <w:r>
              <w:rPr>
                <w:rStyle w:val="13"/>
                <w:rFonts w:hint="eastAsia" w:ascii="宋体" w:hAnsi="宋体" w:eastAsia="宋体" w:cs="Times New Roman"/>
                <w:bCs/>
                <w:color w:val="000000"/>
                <w:kern w:val="2"/>
                <w:sz w:val="24"/>
                <w:szCs w:val="22"/>
                <w:lang w:val="en-US" w:eastAsia="zh-CN" w:bidi="ar-SA"/>
              </w:rPr>
              <w:t>本项目软件产品质保期1年，服务器等硬件产品质保期3年，硬件终端1年。</w:t>
            </w:r>
          </w:p>
          <w:p>
            <w:pPr>
              <w:spacing w:line="240" w:lineRule="auto"/>
              <w:ind w:firstLine="560"/>
              <w:textAlignment w:val="auto"/>
              <w:rPr>
                <w:rStyle w:val="13"/>
                <w:rFonts w:hint="eastAsia" w:ascii="宋体" w:hAnsi="宋体" w:eastAsia="宋体" w:cs="Times New Roman"/>
                <w:bCs/>
                <w:color w:val="000000"/>
                <w:kern w:val="2"/>
                <w:sz w:val="24"/>
                <w:szCs w:val="22"/>
                <w:lang w:val="en-US" w:eastAsia="zh-CN" w:bidi="ar-SA"/>
              </w:rPr>
            </w:pPr>
            <w:r>
              <w:rPr>
                <w:rStyle w:val="13"/>
                <w:rFonts w:hint="eastAsia" w:ascii="宋体" w:hAnsi="宋体" w:eastAsia="宋体" w:cs="Times New Roman"/>
                <w:bCs/>
                <w:color w:val="000000"/>
                <w:kern w:val="2"/>
                <w:sz w:val="24"/>
                <w:szCs w:val="22"/>
                <w:lang w:val="en-US" w:eastAsia="zh-CN" w:bidi="ar-SA"/>
              </w:rPr>
              <w:t>中标方必须保证系统运行的日常监控，及时发现和排除故障，提供7×24小时的售后服务。</w:t>
            </w:r>
          </w:p>
          <w:p>
            <w:pPr>
              <w:spacing w:line="240" w:lineRule="auto"/>
              <w:ind w:firstLine="560"/>
              <w:textAlignment w:val="auto"/>
              <w:rPr>
                <w:rStyle w:val="13"/>
                <w:rFonts w:hint="eastAsia" w:ascii="宋体" w:hAnsi="宋体" w:eastAsia="宋体" w:cs="Times New Roman"/>
                <w:bCs/>
                <w:color w:val="000000"/>
                <w:kern w:val="2"/>
                <w:sz w:val="24"/>
                <w:szCs w:val="22"/>
                <w:lang w:val="en-US" w:eastAsia="zh-CN" w:bidi="ar-SA"/>
              </w:rPr>
            </w:pPr>
            <w:r>
              <w:rPr>
                <w:rStyle w:val="13"/>
                <w:rFonts w:hint="eastAsia" w:ascii="宋体" w:hAnsi="宋体" w:eastAsia="宋体" w:cs="Times New Roman"/>
                <w:bCs/>
                <w:color w:val="000000"/>
                <w:kern w:val="2"/>
                <w:sz w:val="24"/>
                <w:szCs w:val="22"/>
                <w:lang w:val="en-US" w:eastAsia="zh-CN" w:bidi="ar-SA"/>
              </w:rPr>
              <w:t>在本项目实施及质保期内，必须及时响应用户，当故障发生后及时调查故障原因并修复，需保证其维护响应时限是电话实时响应，如无法远程解决问题，一般正常工作日6小时内到达现场，法定节假日48小时内到达现场，48小时内解决用户问题，直至满足最终验收指标和性能的要求。</w:t>
            </w:r>
          </w:p>
          <w:p>
            <w:pPr>
              <w:spacing w:line="240" w:lineRule="auto"/>
              <w:ind w:firstLine="560"/>
              <w:textAlignment w:val="auto"/>
              <w:rPr>
                <w:rStyle w:val="13"/>
                <w:rFonts w:hint="eastAsia" w:ascii="宋体" w:hAnsi="宋体" w:eastAsia="宋体" w:cs="Times New Roman"/>
                <w:bCs/>
                <w:color w:val="000000"/>
                <w:kern w:val="2"/>
                <w:sz w:val="24"/>
                <w:szCs w:val="22"/>
                <w:lang w:val="en-US" w:eastAsia="zh-CN" w:bidi="ar-SA"/>
              </w:rPr>
            </w:pPr>
            <w:r>
              <w:rPr>
                <w:rStyle w:val="13"/>
                <w:rFonts w:hint="eastAsia" w:ascii="宋体" w:hAnsi="宋体" w:eastAsia="宋体" w:cs="Times New Roman"/>
                <w:bCs/>
                <w:color w:val="000000"/>
                <w:kern w:val="2"/>
                <w:sz w:val="24"/>
                <w:szCs w:val="22"/>
                <w:lang w:val="en-US" w:eastAsia="zh-CN" w:bidi="ar-SA"/>
              </w:rPr>
              <w:t>在质保期内，中标方需要提供2人常驻采购方现场提供驻场服务。</w:t>
            </w:r>
          </w:p>
          <w:p>
            <w:pPr>
              <w:spacing w:line="240" w:lineRule="auto"/>
              <w:ind w:firstLine="560"/>
              <w:textAlignment w:val="auto"/>
              <w:rPr>
                <w:rStyle w:val="13"/>
                <w:rFonts w:hint="eastAsia" w:ascii="宋体" w:hAnsi="宋体" w:eastAsia="宋体" w:cs="Times New Roman"/>
                <w:bCs/>
                <w:color w:val="000000"/>
                <w:kern w:val="2"/>
                <w:sz w:val="24"/>
                <w:szCs w:val="22"/>
                <w:lang w:val="en-US" w:eastAsia="zh-CN" w:bidi="ar-SA"/>
              </w:rPr>
            </w:pPr>
            <w:r>
              <w:rPr>
                <w:rStyle w:val="13"/>
                <w:rFonts w:hint="eastAsia" w:ascii="宋体" w:hAnsi="宋体" w:eastAsia="宋体" w:cs="Times New Roman"/>
                <w:bCs/>
                <w:color w:val="000000"/>
                <w:kern w:val="2"/>
                <w:sz w:val="24"/>
                <w:szCs w:val="22"/>
                <w:lang w:val="en-US" w:eastAsia="zh-CN" w:bidi="ar-SA"/>
              </w:rPr>
              <w:t>在质保期内，中标方向采购方提供必要软件升级、调试服务。</w:t>
            </w:r>
          </w:p>
          <w:p>
            <w:pPr>
              <w:spacing w:line="240" w:lineRule="auto"/>
              <w:ind w:firstLine="560"/>
              <w:textAlignment w:val="auto"/>
              <w:rPr>
                <w:rStyle w:val="13"/>
                <w:rFonts w:hint="eastAsia" w:ascii="宋体" w:hAnsi="宋体" w:eastAsia="宋体" w:cs="Times New Roman"/>
                <w:bCs/>
                <w:color w:val="000000"/>
                <w:kern w:val="2"/>
                <w:sz w:val="24"/>
                <w:szCs w:val="22"/>
                <w:lang w:val="en-US" w:eastAsia="zh-CN" w:bidi="ar-SA"/>
              </w:rPr>
            </w:pPr>
            <w:r>
              <w:rPr>
                <w:rStyle w:val="13"/>
                <w:rFonts w:hint="eastAsia" w:ascii="宋体" w:hAnsi="宋体" w:eastAsia="宋体" w:cs="Times New Roman"/>
                <w:bCs/>
                <w:color w:val="000000"/>
                <w:kern w:val="2"/>
                <w:sz w:val="24"/>
                <w:szCs w:val="22"/>
                <w:lang w:val="en-US" w:eastAsia="zh-CN" w:bidi="ar-SA"/>
              </w:rPr>
              <w:t>在质保期结束前，须进行一次全面检查，任何缺陷必须由中标方负责调试完善，在完善之后，项目实施方应将缺陷原因、完善内容、完成及恢复正常的时间和日期等报告给业主。</w:t>
            </w:r>
          </w:p>
          <w:p>
            <w:pPr>
              <w:spacing w:line="240" w:lineRule="auto"/>
              <w:ind w:firstLine="560"/>
              <w:textAlignment w:val="auto"/>
              <w:rPr>
                <w:rStyle w:val="13"/>
                <w:rFonts w:hint="eastAsia" w:ascii="宋体" w:hAnsi="宋体" w:eastAsia="宋体" w:cs="Times New Roman"/>
                <w:bCs/>
                <w:color w:val="000000"/>
                <w:kern w:val="2"/>
                <w:sz w:val="24"/>
                <w:szCs w:val="22"/>
                <w:lang w:val="en-US" w:eastAsia="zh-CN" w:bidi="ar-SA"/>
              </w:rPr>
            </w:pPr>
            <w:r>
              <w:rPr>
                <w:rStyle w:val="13"/>
                <w:rFonts w:hint="eastAsia" w:ascii="宋体" w:hAnsi="宋体" w:eastAsia="宋体" w:cs="Times New Roman"/>
                <w:bCs/>
                <w:color w:val="000000"/>
                <w:kern w:val="2"/>
                <w:sz w:val="24"/>
                <w:szCs w:val="22"/>
                <w:lang w:val="en-US" w:eastAsia="zh-CN" w:bidi="ar-SA"/>
              </w:rPr>
              <w:t>在线教育培训与管理平台免费升级服务：每年新增的免费、公开病例内容会免费平移到云平台，实现病例的不断更新和病例库的增长。</w:t>
            </w:r>
          </w:p>
          <w:p>
            <w:pPr>
              <w:pStyle w:val="2"/>
              <w:numPr>
                <w:ilvl w:val="0"/>
                <w:numId w:val="0"/>
              </w:numPr>
              <w:ind w:right="-58" w:rightChars="0" w:firstLine="240" w:firstLineChars="100"/>
              <w:rPr>
                <w:rFonts w:hint="eastAsia"/>
                <w:lang w:val="en-US" w:eastAsia="zh-CN"/>
              </w:rPr>
            </w:pPr>
            <w:r>
              <w:rPr>
                <w:rStyle w:val="13"/>
                <w:rFonts w:hint="eastAsia" w:ascii="宋体" w:hAnsi="宋体" w:eastAsia="宋体" w:cs="Times New Roman"/>
                <w:bCs/>
                <w:color w:val="000000"/>
                <w:kern w:val="2"/>
                <w:sz w:val="24"/>
                <w:szCs w:val="22"/>
                <w:lang w:val="en-US" w:eastAsia="zh-CN" w:bidi="ar-SA"/>
              </w:rPr>
              <w:t>质保期满后，维保费用由双方另行友好商议决定，每年维保费最高不超过本合同项目总价的10%，维保服务购买按相应政府采购流程。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32" w:hRule="atLeast"/>
          <w:jc w:val="center"/>
        </w:trPr>
        <w:tc>
          <w:tcPr>
            <w:tcW w:w="9684" w:type="dxa"/>
            <w:gridSpan w:val="3"/>
            <w:tcBorders>
              <w:top w:val="single" w:color="000000" w:sz="6" w:space="0"/>
              <w:left w:val="single" w:color="000000" w:sz="12" w:space="0"/>
              <w:bottom w:val="single" w:color="000000" w:sz="12" w:space="0"/>
              <w:right w:val="single" w:color="000000" w:sz="12" w:space="0"/>
            </w:tcBorders>
          </w:tcPr>
          <w:p>
            <w:pPr>
              <w:ind w:left="718" w:leftChars="1" w:hanging="716" w:hangingChars="297"/>
              <w:jc w:val="left"/>
              <w:rPr>
                <w:rStyle w:val="13"/>
                <w:rFonts w:ascii="宋体" w:hAnsi="宋体"/>
                <w:b/>
                <w:bCs/>
                <w:color w:val="auto"/>
                <w:sz w:val="24"/>
              </w:rPr>
            </w:pPr>
            <w:r>
              <w:rPr>
                <w:rStyle w:val="13"/>
                <w:rFonts w:ascii="宋体" w:hAnsi="宋体"/>
                <w:b/>
                <w:bCs/>
                <w:color w:val="auto"/>
                <w:sz w:val="24"/>
              </w:rPr>
              <w:t>投标人应保证在本项目使用的任何产品和服务（包括部分使用）时，不会产生因第三方提</w:t>
            </w:r>
          </w:p>
          <w:p>
            <w:pPr>
              <w:ind w:left="718" w:leftChars="1" w:hanging="716" w:hangingChars="297"/>
              <w:jc w:val="left"/>
              <w:rPr>
                <w:rStyle w:val="13"/>
                <w:rFonts w:ascii="宋体" w:hAnsi="宋体"/>
                <w:b/>
                <w:bCs/>
                <w:color w:val="auto"/>
                <w:sz w:val="24"/>
              </w:rPr>
            </w:pPr>
            <w:r>
              <w:rPr>
                <w:rStyle w:val="13"/>
                <w:rFonts w:ascii="宋体" w:hAnsi="宋体"/>
                <w:b/>
                <w:bCs/>
                <w:color w:val="auto"/>
                <w:sz w:val="24"/>
              </w:rPr>
              <w:t>出侵犯其专利权、商标权或其它知识产权而引起的法律和经济纠纷，如因专利权、商标权</w:t>
            </w:r>
          </w:p>
          <w:p>
            <w:pPr>
              <w:ind w:left="718" w:leftChars="1" w:hanging="716" w:hangingChars="297"/>
              <w:jc w:val="left"/>
              <w:rPr>
                <w:rStyle w:val="13"/>
                <w:rFonts w:ascii="宋体" w:hAnsi="宋体"/>
                <w:b/>
                <w:bCs/>
                <w:color w:val="auto"/>
                <w:sz w:val="24"/>
              </w:rPr>
            </w:pPr>
            <w:r>
              <w:rPr>
                <w:rStyle w:val="13"/>
                <w:rFonts w:ascii="宋体" w:hAnsi="宋体"/>
                <w:b/>
                <w:bCs/>
                <w:color w:val="auto"/>
                <w:sz w:val="24"/>
              </w:rPr>
              <w:t>或其它知识产权而引起法律和经济纠纷，由投标人承担所有相关责任的同时不得耽误本项</w:t>
            </w:r>
          </w:p>
          <w:p>
            <w:pPr>
              <w:ind w:left="718" w:leftChars="1" w:hanging="716" w:hangingChars="297"/>
              <w:jc w:val="left"/>
              <w:rPr>
                <w:rStyle w:val="13"/>
                <w:rFonts w:ascii="宋体" w:hAnsi="宋体"/>
                <w:b/>
                <w:bCs/>
                <w:color w:val="0000FF"/>
                <w:sz w:val="24"/>
              </w:rPr>
            </w:pPr>
            <w:r>
              <w:rPr>
                <w:rStyle w:val="13"/>
                <w:rFonts w:ascii="宋体" w:hAnsi="宋体"/>
                <w:b/>
                <w:bCs/>
                <w:color w:val="auto"/>
                <w:sz w:val="24"/>
              </w:rPr>
              <w:t>目供货。</w:t>
            </w:r>
          </w:p>
        </w:tc>
      </w:tr>
    </w:tbl>
    <w:p>
      <w:pPr>
        <w:spacing w:line="440" w:lineRule="exact"/>
        <w:rPr>
          <w:rStyle w:val="13"/>
          <w:rFonts w:ascii="宋体" w:hAnsi="宋体"/>
          <w:b/>
          <w:color w:val="000000"/>
          <w:sz w:val="24"/>
        </w:rPr>
      </w:pPr>
      <w:r>
        <w:rPr>
          <w:rStyle w:val="13"/>
          <w:rFonts w:ascii="宋体"/>
          <w:color w:val="000000"/>
          <w:sz w:val="24"/>
        </w:rPr>
        <w:t>注：1、本须知前附表的条款号是与后面招标文件的内容相对应，如有矛盾，应以投标须知前附表为准。</w:t>
      </w:r>
    </w:p>
    <w:p>
      <w:pPr>
        <w:pStyle w:val="85"/>
        <w:numPr>
          <w:ilvl w:val="1"/>
          <w:numId w:val="0"/>
        </w:numPr>
        <w:rPr>
          <w:rStyle w:val="13"/>
          <w:b/>
          <w:color w:val="000000"/>
          <w:sz w:val="24"/>
        </w:rPr>
      </w:pPr>
    </w:p>
    <w:p>
      <w:pPr>
        <w:spacing w:line="360" w:lineRule="auto"/>
        <w:jc w:val="center"/>
        <w:rPr>
          <w:rStyle w:val="13"/>
          <w:rFonts w:ascii="宋体" w:hAnsi="宋体"/>
          <w:b/>
          <w:color w:val="000000"/>
          <w:sz w:val="24"/>
        </w:rPr>
      </w:pPr>
    </w:p>
    <w:p>
      <w:pPr>
        <w:pStyle w:val="2"/>
        <w:rPr>
          <w:rStyle w:val="13"/>
          <w:rFonts w:ascii="宋体" w:hAnsi="宋体"/>
          <w:b/>
          <w:color w:val="000000"/>
          <w:sz w:val="24"/>
        </w:rPr>
      </w:pPr>
    </w:p>
    <w:p>
      <w:pPr>
        <w:pStyle w:val="2"/>
        <w:rPr>
          <w:rStyle w:val="13"/>
          <w:rFonts w:ascii="宋体" w:hAnsi="宋体"/>
          <w:b/>
          <w:color w:val="000000"/>
          <w:sz w:val="24"/>
        </w:rPr>
      </w:pPr>
    </w:p>
    <w:p>
      <w:pPr>
        <w:spacing w:line="360" w:lineRule="auto"/>
        <w:jc w:val="center"/>
        <w:rPr>
          <w:rStyle w:val="13"/>
          <w:rFonts w:ascii="宋体" w:hAnsi="宋体"/>
          <w:b/>
          <w:color w:val="000000"/>
          <w:sz w:val="24"/>
        </w:rPr>
      </w:pPr>
    </w:p>
    <w:p>
      <w:pPr>
        <w:pStyle w:val="2"/>
      </w:pPr>
    </w:p>
    <w:p>
      <w:pPr>
        <w:spacing w:line="360" w:lineRule="auto"/>
        <w:jc w:val="center"/>
        <w:rPr>
          <w:rStyle w:val="13"/>
          <w:rFonts w:ascii="宋体"/>
          <w:b/>
          <w:color w:val="000000"/>
          <w:sz w:val="24"/>
        </w:rPr>
      </w:pPr>
      <w:r>
        <w:rPr>
          <w:rStyle w:val="13"/>
          <w:rFonts w:ascii="宋体" w:hAnsi="宋体"/>
          <w:b/>
          <w:color w:val="000000"/>
          <w:sz w:val="24"/>
        </w:rPr>
        <w:t>A   说明及注意事项</w:t>
      </w:r>
    </w:p>
    <w:p>
      <w:pPr>
        <w:spacing w:line="360" w:lineRule="auto"/>
        <w:ind w:left="718" w:leftChars="1" w:hanging="716" w:hangingChars="297"/>
        <w:rPr>
          <w:rStyle w:val="13"/>
          <w:rFonts w:ascii="宋体"/>
          <w:b/>
          <w:bCs/>
          <w:color w:val="000000"/>
          <w:sz w:val="24"/>
        </w:rPr>
      </w:pPr>
      <w:r>
        <w:rPr>
          <w:rStyle w:val="13"/>
          <w:rFonts w:ascii="宋体" w:hAnsi="宋体"/>
          <w:b/>
          <w:bCs/>
          <w:color w:val="000000"/>
          <w:sz w:val="24"/>
        </w:rPr>
        <w:t>1．</w:t>
      </w:r>
      <w:r>
        <w:rPr>
          <w:rStyle w:val="13"/>
          <w:rFonts w:ascii="宋体"/>
          <w:b/>
          <w:bCs/>
          <w:color w:val="000000"/>
          <w:sz w:val="24"/>
        </w:rPr>
        <w:tab/>
      </w:r>
      <w:r>
        <w:rPr>
          <w:rStyle w:val="13"/>
          <w:rFonts w:ascii="宋体" w:hAnsi="宋体"/>
          <w:b/>
          <w:bCs/>
          <w:color w:val="000000"/>
          <w:sz w:val="24"/>
        </w:rPr>
        <w:t>适用范围</w:t>
      </w:r>
    </w:p>
    <w:p>
      <w:pPr>
        <w:spacing w:line="360" w:lineRule="auto"/>
        <w:ind w:left="714" w:leftChars="1" w:hanging="712" w:hangingChars="297"/>
        <w:rPr>
          <w:rStyle w:val="13"/>
          <w:rFonts w:ascii="宋体"/>
          <w:color w:val="000000"/>
          <w:sz w:val="24"/>
        </w:rPr>
      </w:pPr>
      <w:r>
        <w:rPr>
          <w:rStyle w:val="13"/>
          <w:rFonts w:ascii="宋体" w:hAnsi="宋体"/>
          <w:color w:val="000000"/>
          <w:sz w:val="24"/>
        </w:rPr>
        <w:t>1.1</w:t>
      </w:r>
      <w:r>
        <w:rPr>
          <w:rStyle w:val="13"/>
          <w:rFonts w:ascii="宋体" w:hAnsi="宋体"/>
          <w:color w:val="000000"/>
          <w:sz w:val="24"/>
        </w:rPr>
        <w:tab/>
      </w:r>
      <w:r>
        <w:rPr>
          <w:rStyle w:val="13"/>
          <w:rFonts w:ascii="宋体" w:hAnsi="宋体"/>
          <w:color w:val="000000"/>
          <w:sz w:val="24"/>
        </w:rPr>
        <w:t>本招标文件仅适用于本招标公告中所述的招标项目。</w:t>
      </w:r>
    </w:p>
    <w:p>
      <w:pPr>
        <w:spacing w:line="360" w:lineRule="auto"/>
        <w:ind w:left="718" w:leftChars="1" w:hanging="716" w:hangingChars="297"/>
        <w:rPr>
          <w:rStyle w:val="13"/>
          <w:rFonts w:ascii="宋体"/>
          <w:b/>
          <w:bCs/>
          <w:color w:val="000000"/>
          <w:sz w:val="24"/>
        </w:rPr>
      </w:pPr>
      <w:r>
        <w:rPr>
          <w:rStyle w:val="13"/>
          <w:rFonts w:ascii="宋体" w:hAnsi="宋体"/>
          <w:b/>
          <w:bCs/>
          <w:color w:val="000000"/>
          <w:sz w:val="24"/>
        </w:rPr>
        <w:t>2．</w:t>
      </w:r>
      <w:r>
        <w:rPr>
          <w:rStyle w:val="13"/>
          <w:rFonts w:ascii="宋体"/>
          <w:b/>
          <w:bCs/>
          <w:color w:val="000000"/>
          <w:sz w:val="24"/>
        </w:rPr>
        <w:tab/>
      </w:r>
      <w:r>
        <w:rPr>
          <w:rStyle w:val="13"/>
          <w:rFonts w:ascii="宋体" w:hAnsi="宋体"/>
          <w:b/>
          <w:bCs/>
          <w:color w:val="000000"/>
          <w:sz w:val="24"/>
        </w:rPr>
        <w:t>定义</w:t>
      </w:r>
    </w:p>
    <w:p>
      <w:pPr>
        <w:spacing w:line="360" w:lineRule="auto"/>
        <w:ind w:left="714" w:leftChars="1" w:hanging="712" w:hangingChars="297"/>
        <w:rPr>
          <w:rStyle w:val="13"/>
          <w:rFonts w:ascii="宋体"/>
          <w:color w:val="000000"/>
          <w:sz w:val="24"/>
        </w:rPr>
      </w:pPr>
      <w:r>
        <w:rPr>
          <w:rStyle w:val="13"/>
          <w:rFonts w:ascii="宋体" w:hAnsi="宋体"/>
          <w:color w:val="000000"/>
          <w:sz w:val="24"/>
        </w:rPr>
        <w:t>2.1</w:t>
      </w:r>
      <w:r>
        <w:rPr>
          <w:rStyle w:val="13"/>
          <w:rFonts w:ascii="宋体" w:hAnsi="宋体"/>
          <w:color w:val="000000"/>
          <w:sz w:val="24"/>
        </w:rPr>
        <w:tab/>
      </w:r>
      <w:r>
        <w:rPr>
          <w:rStyle w:val="13"/>
          <w:rFonts w:ascii="宋体" w:hAnsi="宋体"/>
          <w:color w:val="000000"/>
          <w:sz w:val="24"/>
        </w:rPr>
        <w:t>“招标人”系指皮山县卫生健康委员会</w:t>
      </w:r>
    </w:p>
    <w:p>
      <w:pPr>
        <w:spacing w:line="360" w:lineRule="auto"/>
        <w:ind w:left="714" w:leftChars="1" w:hanging="712" w:hangingChars="297"/>
        <w:rPr>
          <w:rStyle w:val="13"/>
          <w:rFonts w:ascii="宋体"/>
          <w:color w:val="000000"/>
          <w:sz w:val="24"/>
        </w:rPr>
      </w:pPr>
      <w:r>
        <w:rPr>
          <w:rStyle w:val="13"/>
          <w:rFonts w:ascii="宋体" w:hAnsi="宋体"/>
          <w:color w:val="000000"/>
          <w:sz w:val="24"/>
        </w:rPr>
        <w:t>2.2</w:t>
      </w:r>
      <w:r>
        <w:rPr>
          <w:rStyle w:val="13"/>
          <w:rFonts w:ascii="宋体" w:hAnsi="宋体"/>
          <w:color w:val="000000"/>
          <w:sz w:val="24"/>
        </w:rPr>
        <w:tab/>
      </w:r>
      <w:r>
        <w:rPr>
          <w:rStyle w:val="13"/>
          <w:rFonts w:ascii="宋体" w:hAnsi="宋体"/>
          <w:color w:val="000000"/>
          <w:sz w:val="24"/>
        </w:rPr>
        <w:t>“投标人”系指向招标人提交投标文件的制造商或供应商；</w:t>
      </w:r>
    </w:p>
    <w:p>
      <w:pPr>
        <w:spacing w:line="360" w:lineRule="auto"/>
        <w:ind w:left="714" w:leftChars="1" w:hanging="712" w:hangingChars="297"/>
        <w:jc w:val="left"/>
        <w:rPr>
          <w:rStyle w:val="13"/>
          <w:rFonts w:ascii="宋体"/>
          <w:color w:val="000000"/>
          <w:sz w:val="24"/>
        </w:rPr>
      </w:pPr>
      <w:r>
        <w:rPr>
          <w:rStyle w:val="13"/>
          <w:rFonts w:ascii="宋体" w:hAnsi="宋体"/>
          <w:color w:val="000000"/>
          <w:sz w:val="24"/>
        </w:rPr>
        <w:t>2.3</w:t>
      </w:r>
      <w:r>
        <w:rPr>
          <w:rStyle w:val="13"/>
          <w:rFonts w:ascii="宋体" w:hAnsi="宋体"/>
          <w:color w:val="000000"/>
          <w:sz w:val="24"/>
        </w:rPr>
        <w:tab/>
      </w:r>
      <w:r>
        <w:rPr>
          <w:rStyle w:val="13"/>
          <w:rFonts w:ascii="宋体" w:hAnsi="宋体"/>
          <w:color w:val="000000"/>
          <w:sz w:val="24"/>
        </w:rPr>
        <w:t>“采购人”系指实际购买使用标的物的单位即皮山县卫生健康委员会</w:t>
      </w:r>
    </w:p>
    <w:p>
      <w:pPr>
        <w:spacing w:line="360" w:lineRule="auto"/>
        <w:ind w:left="714" w:leftChars="1" w:hanging="712" w:hangingChars="297"/>
        <w:jc w:val="left"/>
        <w:rPr>
          <w:rStyle w:val="13"/>
          <w:rFonts w:ascii="宋体"/>
          <w:color w:val="000000"/>
          <w:kern w:val="0"/>
          <w:sz w:val="24"/>
        </w:rPr>
      </w:pPr>
      <w:r>
        <w:rPr>
          <w:rStyle w:val="13"/>
          <w:rFonts w:ascii="宋体" w:hAnsi="宋体"/>
          <w:color w:val="000000"/>
          <w:sz w:val="24"/>
        </w:rPr>
        <w:t>2.4   “采购项目”</w:t>
      </w:r>
      <w:r>
        <w:rPr>
          <w:rStyle w:val="13"/>
          <w:rFonts w:ascii="宋体" w:hAnsi="宋体"/>
          <w:color w:val="000000"/>
          <w:spacing w:val="-18"/>
          <w:sz w:val="24"/>
        </w:rPr>
        <w:t>“皮山县AI+紧密型医共体项目</w:t>
      </w:r>
      <w:r>
        <w:rPr>
          <w:rStyle w:val="13"/>
          <w:rFonts w:ascii="宋体" w:hAnsi="宋体" w:cs="宋体"/>
          <w:bCs/>
          <w:color w:val="000000"/>
          <w:kern w:val="0"/>
          <w:sz w:val="24"/>
        </w:rPr>
        <w:t>”</w:t>
      </w:r>
    </w:p>
    <w:p>
      <w:pPr>
        <w:spacing w:line="360" w:lineRule="auto"/>
        <w:rPr>
          <w:rStyle w:val="13"/>
          <w:rFonts w:ascii="宋体"/>
          <w:color w:val="000000"/>
          <w:sz w:val="24"/>
        </w:rPr>
      </w:pPr>
      <w:r>
        <w:rPr>
          <w:rStyle w:val="13"/>
          <w:rFonts w:ascii="宋体" w:hAnsi="宋体"/>
          <w:color w:val="000000"/>
          <w:sz w:val="24"/>
        </w:rPr>
        <w:t>2.5</w:t>
      </w:r>
      <w:r>
        <w:rPr>
          <w:rStyle w:val="13"/>
          <w:rFonts w:ascii="宋体" w:hAnsi="宋体"/>
          <w:color w:val="000000"/>
          <w:sz w:val="24"/>
        </w:rPr>
        <w:tab/>
      </w:r>
      <w:r>
        <w:rPr>
          <w:rStyle w:val="13"/>
          <w:rFonts w:ascii="宋体" w:hAnsi="宋体"/>
          <w:color w:val="000000"/>
          <w:sz w:val="24"/>
        </w:rPr>
        <w:t xml:space="preserve">  “服务”系指招标文件规定投标人须承担的运输、安装、技术服务、售后服务和其它类似的义务。</w:t>
      </w:r>
    </w:p>
    <w:p>
      <w:pPr>
        <w:spacing w:line="360" w:lineRule="auto"/>
        <w:ind w:left="714" w:leftChars="1" w:hanging="712" w:hangingChars="297"/>
        <w:rPr>
          <w:rStyle w:val="13"/>
          <w:rFonts w:ascii="宋体"/>
          <w:bCs/>
          <w:color w:val="000000"/>
          <w:sz w:val="24"/>
        </w:rPr>
      </w:pPr>
      <w:r>
        <w:rPr>
          <w:rStyle w:val="13"/>
          <w:rFonts w:ascii="宋体" w:hAnsi="宋体"/>
          <w:bCs/>
          <w:color w:val="000000"/>
          <w:sz w:val="24"/>
        </w:rPr>
        <w:t xml:space="preserve">2.6   </w:t>
      </w:r>
      <w:r>
        <w:rPr>
          <w:rStyle w:val="13"/>
          <w:rFonts w:ascii="宋体" w:hAnsi="宋体"/>
          <w:bCs/>
          <w:color w:val="000000"/>
          <w:sz w:val="24"/>
          <w:szCs w:val="20"/>
        </w:rPr>
        <w:t>投标人需在合同签订后在合同约定期限内将所有货物送至招标人指定地点且安装完成。</w:t>
      </w:r>
    </w:p>
    <w:p>
      <w:pPr>
        <w:spacing w:line="360" w:lineRule="auto"/>
        <w:ind w:left="718" w:leftChars="1" w:hanging="716" w:hangingChars="297"/>
        <w:rPr>
          <w:rStyle w:val="13"/>
          <w:rFonts w:ascii="宋体"/>
          <w:b/>
          <w:bCs/>
          <w:color w:val="000000"/>
          <w:sz w:val="24"/>
        </w:rPr>
      </w:pPr>
      <w:r>
        <w:rPr>
          <w:rStyle w:val="13"/>
          <w:rFonts w:ascii="宋体" w:hAnsi="宋体"/>
          <w:b/>
          <w:bCs/>
          <w:color w:val="000000"/>
          <w:sz w:val="24"/>
        </w:rPr>
        <w:t>3．</w:t>
      </w:r>
      <w:r>
        <w:rPr>
          <w:rStyle w:val="13"/>
          <w:rFonts w:ascii="宋体"/>
          <w:b/>
          <w:bCs/>
          <w:color w:val="000000"/>
          <w:sz w:val="24"/>
        </w:rPr>
        <w:tab/>
      </w:r>
      <w:r>
        <w:rPr>
          <w:rStyle w:val="13"/>
          <w:rFonts w:ascii="宋体" w:hAnsi="宋体"/>
          <w:b/>
          <w:bCs/>
          <w:color w:val="000000"/>
          <w:sz w:val="24"/>
        </w:rPr>
        <w:t>合格的投标人</w:t>
      </w:r>
    </w:p>
    <w:p>
      <w:pPr>
        <w:spacing w:line="360" w:lineRule="auto"/>
        <w:ind w:left="714" w:leftChars="1" w:hanging="712" w:hangingChars="297"/>
        <w:rPr>
          <w:rStyle w:val="13"/>
          <w:rFonts w:ascii="宋体"/>
          <w:color w:val="000000"/>
          <w:sz w:val="24"/>
        </w:rPr>
      </w:pPr>
      <w:r>
        <w:rPr>
          <w:rStyle w:val="13"/>
          <w:rFonts w:ascii="宋体" w:hAnsi="宋体"/>
          <w:color w:val="000000"/>
          <w:sz w:val="24"/>
        </w:rPr>
        <w:t>3.1</w:t>
      </w:r>
      <w:r>
        <w:rPr>
          <w:rStyle w:val="13"/>
          <w:rFonts w:ascii="宋体" w:hAnsi="宋体"/>
          <w:color w:val="000000"/>
          <w:sz w:val="24"/>
        </w:rPr>
        <w:tab/>
      </w:r>
      <w:r>
        <w:rPr>
          <w:rStyle w:val="13"/>
          <w:rFonts w:ascii="宋体" w:hAnsi="宋体"/>
          <w:color w:val="000000"/>
          <w:sz w:val="24"/>
        </w:rPr>
        <w:t>具有独立法人资格，且有独立承担民事责任的能力，有相关的经营范围。</w:t>
      </w:r>
    </w:p>
    <w:p>
      <w:pPr>
        <w:spacing w:line="360" w:lineRule="auto"/>
        <w:ind w:left="714" w:leftChars="1" w:hanging="712" w:hangingChars="297"/>
        <w:rPr>
          <w:rStyle w:val="13"/>
          <w:rFonts w:ascii="宋体"/>
          <w:color w:val="000000"/>
          <w:sz w:val="24"/>
        </w:rPr>
      </w:pPr>
      <w:r>
        <w:rPr>
          <w:rStyle w:val="13"/>
          <w:rFonts w:ascii="宋体" w:hAnsi="宋体"/>
          <w:color w:val="000000"/>
          <w:sz w:val="24"/>
        </w:rPr>
        <w:t>3.2</w:t>
      </w:r>
      <w:r>
        <w:rPr>
          <w:rStyle w:val="13"/>
          <w:rFonts w:ascii="宋体" w:hAnsi="宋体"/>
          <w:color w:val="000000"/>
          <w:sz w:val="24"/>
        </w:rPr>
        <w:tab/>
      </w:r>
      <w:r>
        <w:rPr>
          <w:rStyle w:val="13"/>
          <w:rFonts w:ascii="宋体" w:hAnsi="宋体"/>
          <w:color w:val="000000"/>
          <w:sz w:val="24"/>
        </w:rPr>
        <w:t>遵守国家法律、行政法规，具有良好的信誉和诚实的商业道德，有依法缴纳税收和社会保障资金的良好记录</w:t>
      </w:r>
    </w:p>
    <w:p>
      <w:pPr>
        <w:spacing w:line="360" w:lineRule="auto"/>
        <w:ind w:left="714" w:leftChars="1" w:hanging="712" w:hangingChars="297"/>
        <w:rPr>
          <w:rStyle w:val="13"/>
          <w:rFonts w:ascii="宋体"/>
          <w:color w:val="000000"/>
          <w:sz w:val="24"/>
        </w:rPr>
      </w:pPr>
      <w:r>
        <w:rPr>
          <w:rStyle w:val="13"/>
          <w:rFonts w:ascii="宋体" w:hAnsi="宋体"/>
          <w:color w:val="000000"/>
          <w:sz w:val="24"/>
        </w:rPr>
        <w:t>3.3</w:t>
      </w:r>
      <w:r>
        <w:rPr>
          <w:rStyle w:val="13"/>
          <w:rFonts w:ascii="宋体" w:hAnsi="宋体"/>
          <w:color w:val="000000"/>
          <w:sz w:val="24"/>
        </w:rPr>
        <w:tab/>
      </w:r>
      <w:r>
        <w:rPr>
          <w:rStyle w:val="13"/>
          <w:rFonts w:ascii="宋体" w:hAnsi="宋体"/>
          <w:color w:val="000000"/>
          <w:sz w:val="24"/>
        </w:rPr>
        <w:t>承诺履行中华人民共和国政府采购有关规定；</w:t>
      </w:r>
    </w:p>
    <w:p>
      <w:pPr>
        <w:spacing w:line="360" w:lineRule="auto"/>
        <w:ind w:left="714" w:leftChars="1" w:hanging="712" w:hangingChars="297"/>
        <w:rPr>
          <w:rStyle w:val="13"/>
          <w:rFonts w:ascii="宋体"/>
          <w:color w:val="000000"/>
          <w:sz w:val="24"/>
        </w:rPr>
      </w:pPr>
      <w:r>
        <w:rPr>
          <w:rStyle w:val="13"/>
          <w:rFonts w:ascii="宋体" w:hAnsi="宋体"/>
          <w:color w:val="000000"/>
          <w:sz w:val="24"/>
        </w:rPr>
        <w:t>3.4</w:t>
      </w:r>
      <w:r>
        <w:rPr>
          <w:rStyle w:val="13"/>
          <w:rFonts w:ascii="宋体" w:hAnsi="宋体"/>
          <w:color w:val="000000"/>
          <w:sz w:val="24"/>
        </w:rPr>
        <w:tab/>
      </w:r>
      <w:r>
        <w:rPr>
          <w:rStyle w:val="13"/>
          <w:rFonts w:ascii="宋体" w:hAnsi="宋体"/>
          <w:color w:val="000000"/>
          <w:sz w:val="24"/>
        </w:rPr>
        <w:t>具有履行合同的能力和良好的履行合同的记录，及履行合同所必需的设备和专业技术能力</w:t>
      </w:r>
    </w:p>
    <w:p>
      <w:pPr>
        <w:spacing w:line="360" w:lineRule="auto"/>
        <w:ind w:left="714" w:leftChars="1" w:hanging="712" w:hangingChars="297"/>
        <w:rPr>
          <w:rStyle w:val="13"/>
          <w:rFonts w:ascii="宋体"/>
          <w:color w:val="000000"/>
          <w:sz w:val="24"/>
        </w:rPr>
      </w:pPr>
      <w:r>
        <w:rPr>
          <w:rStyle w:val="13"/>
          <w:rFonts w:ascii="宋体" w:hAnsi="宋体"/>
          <w:color w:val="000000"/>
          <w:sz w:val="24"/>
        </w:rPr>
        <w:t>3.5</w:t>
      </w:r>
      <w:r>
        <w:rPr>
          <w:rStyle w:val="13"/>
          <w:rFonts w:ascii="宋体" w:hAnsi="宋体"/>
          <w:color w:val="000000"/>
          <w:sz w:val="24"/>
        </w:rPr>
        <w:tab/>
      </w:r>
      <w:r>
        <w:rPr>
          <w:rStyle w:val="13"/>
          <w:rFonts w:ascii="宋体" w:hAnsi="宋体"/>
          <w:color w:val="000000"/>
          <w:sz w:val="24"/>
        </w:rPr>
        <w:t>良好的资金、财务状况健全的财务会计制度</w:t>
      </w:r>
    </w:p>
    <w:p>
      <w:pPr>
        <w:spacing w:line="360" w:lineRule="auto"/>
        <w:ind w:left="691" w:leftChars="1" w:hanging="689" w:hangingChars="297"/>
        <w:rPr>
          <w:rStyle w:val="13"/>
          <w:rFonts w:ascii="宋体"/>
          <w:color w:val="000000"/>
          <w:spacing w:val="-4"/>
          <w:sz w:val="24"/>
        </w:rPr>
      </w:pPr>
      <w:r>
        <w:rPr>
          <w:rStyle w:val="13"/>
          <w:rFonts w:ascii="宋体" w:hAnsi="宋体"/>
          <w:color w:val="000000"/>
          <w:spacing w:val="-4"/>
          <w:sz w:val="24"/>
        </w:rPr>
        <w:t>3.6</w:t>
      </w:r>
      <w:r>
        <w:rPr>
          <w:rStyle w:val="13"/>
          <w:rFonts w:ascii="宋体" w:hAnsi="宋体"/>
          <w:color w:val="000000"/>
          <w:spacing w:val="-4"/>
          <w:sz w:val="24"/>
        </w:rPr>
        <w:tab/>
      </w:r>
      <w:r>
        <w:rPr>
          <w:rStyle w:val="13"/>
          <w:rFonts w:ascii="宋体" w:hAnsi="宋体"/>
          <w:color w:val="000000"/>
          <w:spacing w:val="-4"/>
          <w:sz w:val="24"/>
        </w:rPr>
        <w:t>生产或销售的产品符合中国政府规定的相应技术标准和环保标准；</w:t>
      </w:r>
    </w:p>
    <w:p>
      <w:pPr>
        <w:spacing w:line="360" w:lineRule="auto"/>
        <w:ind w:left="714" w:leftChars="1" w:hanging="712" w:hangingChars="297"/>
        <w:rPr>
          <w:rStyle w:val="13"/>
          <w:rFonts w:ascii="宋体"/>
          <w:color w:val="000000"/>
          <w:sz w:val="24"/>
        </w:rPr>
      </w:pPr>
      <w:r>
        <w:rPr>
          <w:rStyle w:val="13"/>
          <w:rFonts w:ascii="宋体" w:hAnsi="宋体"/>
          <w:color w:val="000000"/>
          <w:sz w:val="24"/>
        </w:rPr>
        <w:t>3.7</w:t>
      </w:r>
      <w:r>
        <w:rPr>
          <w:rStyle w:val="13"/>
          <w:rFonts w:ascii="宋体" w:hAnsi="宋体"/>
          <w:color w:val="000000"/>
          <w:sz w:val="24"/>
        </w:rPr>
        <w:tab/>
      </w:r>
      <w:r>
        <w:rPr>
          <w:rStyle w:val="13"/>
          <w:rFonts w:ascii="宋体" w:hAnsi="宋体"/>
          <w:color w:val="000000"/>
          <w:sz w:val="24"/>
        </w:rPr>
        <w:t>参加政府采购活动近三年内，在经营活动中没有重大违法记录。</w:t>
      </w:r>
    </w:p>
    <w:p>
      <w:pPr>
        <w:spacing w:line="360" w:lineRule="auto"/>
        <w:ind w:left="714" w:leftChars="1" w:hanging="712" w:hangingChars="297"/>
        <w:rPr>
          <w:rStyle w:val="13"/>
          <w:rFonts w:ascii="宋体"/>
          <w:color w:val="000000"/>
          <w:sz w:val="24"/>
        </w:rPr>
      </w:pPr>
      <w:r>
        <w:rPr>
          <w:rStyle w:val="13"/>
          <w:rFonts w:ascii="宋体" w:hAnsi="宋体"/>
          <w:color w:val="000000"/>
          <w:sz w:val="24"/>
        </w:rPr>
        <w:t>3.8</w:t>
      </w:r>
      <w:r>
        <w:rPr>
          <w:rStyle w:val="13"/>
          <w:rFonts w:ascii="宋体" w:hAnsi="宋体"/>
          <w:color w:val="000000"/>
          <w:sz w:val="24"/>
        </w:rPr>
        <w:tab/>
      </w:r>
      <w:r>
        <w:rPr>
          <w:rStyle w:val="13"/>
          <w:rFonts w:ascii="宋体" w:hAnsi="宋体"/>
          <w:color w:val="000000"/>
          <w:sz w:val="24"/>
        </w:rPr>
        <w:t>满足本招标文件规定的要求。</w:t>
      </w:r>
    </w:p>
    <w:p>
      <w:pPr>
        <w:spacing w:line="360" w:lineRule="auto"/>
        <w:ind w:left="714" w:leftChars="1" w:hanging="712" w:hangingChars="297"/>
        <w:rPr>
          <w:rStyle w:val="13"/>
          <w:rFonts w:ascii="宋体"/>
          <w:color w:val="000000"/>
          <w:sz w:val="24"/>
        </w:rPr>
      </w:pPr>
      <w:r>
        <w:rPr>
          <w:rStyle w:val="13"/>
          <w:rFonts w:ascii="宋体" w:hAnsi="宋体"/>
          <w:color w:val="000000"/>
          <w:sz w:val="24"/>
        </w:rPr>
        <w:t>3.9</w:t>
      </w:r>
      <w:r>
        <w:rPr>
          <w:rStyle w:val="13"/>
          <w:rFonts w:ascii="宋体" w:hAnsi="宋体"/>
          <w:color w:val="000000"/>
          <w:sz w:val="24"/>
        </w:rPr>
        <w:tab/>
      </w:r>
      <w:r>
        <w:rPr>
          <w:rStyle w:val="13"/>
          <w:rFonts w:ascii="宋体" w:hAnsi="宋体"/>
          <w:color w:val="000000"/>
          <w:sz w:val="24"/>
        </w:rPr>
        <w:t>财政部及省级人民政府规定的其它条件。</w:t>
      </w:r>
    </w:p>
    <w:p>
      <w:pPr>
        <w:spacing w:line="360" w:lineRule="auto"/>
        <w:ind w:left="718" w:leftChars="1" w:hanging="716" w:hangingChars="297"/>
        <w:rPr>
          <w:rStyle w:val="13"/>
          <w:rFonts w:ascii="宋体"/>
          <w:b/>
          <w:bCs/>
          <w:color w:val="000000"/>
          <w:sz w:val="24"/>
        </w:rPr>
      </w:pPr>
      <w:r>
        <w:rPr>
          <w:rStyle w:val="13"/>
          <w:rFonts w:ascii="宋体" w:hAnsi="宋体"/>
          <w:b/>
          <w:bCs/>
          <w:color w:val="000000"/>
          <w:sz w:val="24"/>
        </w:rPr>
        <w:t>4.</w:t>
      </w:r>
      <w:r>
        <w:rPr>
          <w:rStyle w:val="13"/>
          <w:rFonts w:ascii="宋体" w:hAnsi="宋体"/>
          <w:b/>
          <w:bCs/>
          <w:color w:val="000000"/>
          <w:sz w:val="24"/>
        </w:rPr>
        <w:tab/>
      </w:r>
      <w:r>
        <w:rPr>
          <w:rStyle w:val="13"/>
          <w:rFonts w:ascii="宋体" w:hAnsi="宋体"/>
          <w:b/>
          <w:bCs/>
          <w:color w:val="000000"/>
          <w:sz w:val="24"/>
        </w:rPr>
        <w:t>联合体投标</w:t>
      </w:r>
    </w:p>
    <w:p>
      <w:pPr>
        <w:spacing w:line="360" w:lineRule="auto"/>
        <w:ind w:left="714" w:leftChars="1" w:hanging="712" w:hangingChars="297"/>
        <w:rPr>
          <w:rStyle w:val="13"/>
          <w:rFonts w:ascii="宋体"/>
          <w:color w:val="000000"/>
          <w:sz w:val="24"/>
        </w:rPr>
      </w:pPr>
      <w:r>
        <w:rPr>
          <w:rStyle w:val="13"/>
          <w:rFonts w:ascii="宋体" w:hAnsi="宋体"/>
          <w:color w:val="000000"/>
          <w:sz w:val="24"/>
          <w:szCs w:val="20"/>
        </w:rPr>
        <w:t>4.1</w:t>
      </w:r>
      <w:r>
        <w:rPr>
          <w:rStyle w:val="13"/>
          <w:rFonts w:ascii="宋体" w:hAnsi="宋体"/>
          <w:color w:val="000000"/>
          <w:sz w:val="24"/>
          <w:szCs w:val="20"/>
        </w:rPr>
        <w:tab/>
      </w:r>
      <w:r>
        <w:rPr>
          <w:rStyle w:val="13"/>
          <w:rFonts w:ascii="宋体" w:hAnsi="宋体"/>
          <w:color w:val="000000"/>
          <w:sz w:val="24"/>
          <w:szCs w:val="20"/>
        </w:rPr>
        <w:t>两个以上供应商可以组成一个投标联合体，以一个投标人的身份投标。</w:t>
      </w:r>
    </w:p>
    <w:p>
      <w:pPr>
        <w:spacing w:line="360" w:lineRule="auto"/>
        <w:ind w:left="714" w:leftChars="1" w:hanging="712" w:hangingChars="297"/>
        <w:rPr>
          <w:rStyle w:val="13"/>
          <w:rFonts w:ascii="宋体"/>
          <w:color w:val="000000"/>
          <w:sz w:val="24"/>
        </w:rPr>
      </w:pPr>
      <w:r>
        <w:rPr>
          <w:rStyle w:val="13"/>
          <w:rFonts w:ascii="宋体" w:hAnsi="宋体"/>
          <w:color w:val="000000"/>
          <w:sz w:val="24"/>
          <w:szCs w:val="20"/>
        </w:rPr>
        <w:t>4.2</w:t>
      </w:r>
      <w:r>
        <w:rPr>
          <w:rStyle w:val="13"/>
          <w:rFonts w:ascii="宋体" w:hAnsi="宋体"/>
          <w:color w:val="000000"/>
          <w:sz w:val="24"/>
          <w:szCs w:val="20"/>
        </w:rPr>
        <w:tab/>
      </w:r>
      <w:r>
        <w:rPr>
          <w:rStyle w:val="13"/>
          <w:rFonts w:ascii="宋体" w:hAnsi="宋体"/>
          <w:color w:val="000000"/>
          <w:sz w:val="24"/>
          <w:szCs w:val="20"/>
        </w:rPr>
        <w:t>以联合体形式参加投标的，联合体各方均应当符合政府采购法第二十三条规定的条件和前面第3条的内容。根据采购项目的特殊要求规定投标人特定条件的，联合体应符合采购人规定的特定条件。</w:t>
      </w:r>
    </w:p>
    <w:p>
      <w:pPr>
        <w:spacing w:line="360" w:lineRule="auto"/>
        <w:ind w:left="714" w:leftChars="1" w:hanging="712" w:hangingChars="297"/>
        <w:rPr>
          <w:rStyle w:val="13"/>
          <w:rFonts w:ascii="宋体"/>
          <w:color w:val="000000"/>
          <w:sz w:val="24"/>
          <w:szCs w:val="20"/>
        </w:rPr>
      </w:pPr>
      <w:r>
        <w:rPr>
          <w:rStyle w:val="13"/>
          <w:rFonts w:ascii="宋体" w:hAnsi="宋体"/>
          <w:color w:val="000000"/>
          <w:sz w:val="24"/>
          <w:szCs w:val="20"/>
        </w:rPr>
        <w:t>4.3</w:t>
      </w:r>
      <w:r>
        <w:rPr>
          <w:rStyle w:val="13"/>
          <w:rFonts w:ascii="宋体" w:hAnsi="宋体"/>
          <w:color w:val="000000"/>
          <w:sz w:val="24"/>
          <w:szCs w:val="20"/>
        </w:rPr>
        <w:tab/>
      </w:r>
      <w:r>
        <w:rPr>
          <w:rStyle w:val="13"/>
          <w:rFonts w:ascii="宋体" w:hAnsi="宋体"/>
          <w:color w:val="000000"/>
          <w:sz w:val="24"/>
          <w:szCs w:val="20"/>
        </w:rPr>
        <w:t>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项目投标。</w:t>
      </w:r>
    </w:p>
    <w:p>
      <w:pPr>
        <w:spacing w:line="360" w:lineRule="auto"/>
        <w:ind w:left="714" w:leftChars="1" w:hanging="712" w:hangingChars="297"/>
        <w:rPr>
          <w:rStyle w:val="13"/>
          <w:rFonts w:ascii="宋体"/>
          <w:color w:val="000000"/>
          <w:sz w:val="24"/>
        </w:rPr>
      </w:pPr>
      <w:r>
        <w:rPr>
          <w:rStyle w:val="13"/>
          <w:rFonts w:ascii="宋体" w:hAnsi="宋体"/>
          <w:color w:val="000000"/>
          <w:sz w:val="24"/>
        </w:rPr>
        <w:t xml:space="preserve">4.4  </w:t>
      </w:r>
      <w:r>
        <w:rPr>
          <w:rStyle w:val="13"/>
          <w:rFonts w:ascii="宋体" w:hAnsi="宋体"/>
          <w:b/>
          <w:color w:val="000000"/>
          <w:sz w:val="24"/>
        </w:rPr>
        <w:t xml:space="preserve"> 本项目不接受联合投标体。</w:t>
      </w:r>
    </w:p>
    <w:p>
      <w:pPr>
        <w:spacing w:line="360" w:lineRule="auto"/>
        <w:ind w:left="718" w:leftChars="1" w:hanging="716" w:hangingChars="297"/>
        <w:rPr>
          <w:rStyle w:val="13"/>
          <w:rFonts w:ascii="宋体"/>
          <w:b/>
          <w:bCs/>
          <w:color w:val="000000"/>
          <w:sz w:val="24"/>
        </w:rPr>
      </w:pPr>
      <w:r>
        <w:rPr>
          <w:rStyle w:val="13"/>
          <w:rFonts w:ascii="宋体" w:hAnsi="宋体"/>
          <w:b/>
          <w:bCs/>
          <w:color w:val="000000"/>
          <w:sz w:val="24"/>
        </w:rPr>
        <w:t>5．</w:t>
      </w:r>
      <w:r>
        <w:rPr>
          <w:rStyle w:val="13"/>
          <w:rFonts w:ascii="宋体"/>
          <w:b/>
          <w:bCs/>
          <w:color w:val="000000"/>
          <w:sz w:val="24"/>
        </w:rPr>
        <w:tab/>
      </w:r>
      <w:r>
        <w:rPr>
          <w:rStyle w:val="13"/>
          <w:rFonts w:ascii="宋体" w:hAnsi="宋体"/>
          <w:b/>
          <w:bCs/>
          <w:color w:val="000000"/>
          <w:sz w:val="24"/>
        </w:rPr>
        <w:t>投标保证金</w:t>
      </w:r>
    </w:p>
    <w:p>
      <w:pPr>
        <w:spacing w:line="360" w:lineRule="auto"/>
        <w:ind w:left="714" w:leftChars="1" w:hanging="712" w:hangingChars="297"/>
        <w:rPr>
          <w:rStyle w:val="13"/>
          <w:rFonts w:ascii="宋体" w:hAnsi="宋体"/>
          <w:color w:val="000000"/>
          <w:sz w:val="24"/>
        </w:rPr>
      </w:pPr>
      <w:r>
        <w:rPr>
          <w:rStyle w:val="13"/>
          <w:rFonts w:ascii="宋体" w:hAnsi="宋体"/>
          <w:color w:val="000000"/>
          <w:sz w:val="24"/>
        </w:rPr>
        <w:t>5.1</w:t>
      </w:r>
      <w:r>
        <w:rPr>
          <w:rStyle w:val="13"/>
          <w:rFonts w:ascii="宋体" w:hAnsi="宋体"/>
          <w:color w:val="000000"/>
          <w:sz w:val="24"/>
        </w:rPr>
        <w:tab/>
      </w:r>
      <w:r>
        <w:rPr>
          <w:rStyle w:val="13"/>
          <w:rFonts w:ascii="宋体" w:hAnsi="宋体"/>
          <w:color w:val="000000"/>
          <w:sz w:val="24"/>
        </w:rPr>
        <w:t>投标保证金的形式：转账</w:t>
      </w:r>
    </w:p>
    <w:p>
      <w:pPr>
        <w:spacing w:line="360" w:lineRule="auto"/>
        <w:ind w:left="720" w:leftChars="343" w:firstLine="4" w:firstLineChars="2"/>
        <w:rPr>
          <w:rStyle w:val="13"/>
          <w:rFonts w:ascii="宋体" w:hAnsi="宋体"/>
          <w:color w:val="000000"/>
          <w:sz w:val="24"/>
        </w:rPr>
      </w:pPr>
      <w:r>
        <w:rPr>
          <w:rStyle w:val="13"/>
          <w:rFonts w:ascii="宋体" w:hAnsi="宋体"/>
          <w:color w:val="000000"/>
          <w:sz w:val="24"/>
        </w:rPr>
        <w:t>投标保证金的金额：600000.00元整（陆拾万元整）</w:t>
      </w:r>
    </w:p>
    <w:p>
      <w:pPr>
        <w:spacing w:line="360" w:lineRule="auto"/>
        <w:ind w:left="720" w:leftChars="343" w:firstLine="4" w:firstLineChars="2"/>
        <w:rPr>
          <w:rStyle w:val="13"/>
          <w:rFonts w:ascii="宋体" w:hAnsi="宋体"/>
          <w:color w:val="000000"/>
          <w:sz w:val="24"/>
        </w:rPr>
      </w:pPr>
      <w:r>
        <w:rPr>
          <w:rStyle w:val="13"/>
          <w:rFonts w:ascii="宋体" w:hAnsi="宋体"/>
          <w:color w:val="000000"/>
          <w:sz w:val="24"/>
        </w:rPr>
        <w:t>投标保证金缴纳账户：</w:t>
      </w:r>
    </w:p>
    <w:p>
      <w:pPr>
        <w:spacing w:line="360" w:lineRule="auto"/>
        <w:ind w:left="720" w:leftChars="343" w:firstLine="4" w:firstLineChars="2"/>
        <w:rPr>
          <w:rStyle w:val="13"/>
          <w:rFonts w:ascii="宋体" w:hAnsi="宋体"/>
          <w:color w:val="000000"/>
          <w:sz w:val="24"/>
        </w:rPr>
      </w:pPr>
      <w:r>
        <w:rPr>
          <w:rStyle w:val="13"/>
          <w:rFonts w:ascii="宋体" w:hAnsi="宋体"/>
          <w:color w:val="000000"/>
          <w:sz w:val="24"/>
        </w:rPr>
        <w:t>账户名称：皮山县政府投资交易中心</w:t>
      </w:r>
    </w:p>
    <w:p>
      <w:pPr>
        <w:spacing w:line="360" w:lineRule="auto"/>
        <w:ind w:firstLine="720" w:firstLineChars="300"/>
        <w:rPr>
          <w:rStyle w:val="13"/>
          <w:rFonts w:ascii="宋体" w:hAnsi="宋体"/>
          <w:color w:val="000000"/>
          <w:sz w:val="24"/>
        </w:rPr>
      </w:pPr>
      <w:r>
        <w:rPr>
          <w:rStyle w:val="13"/>
          <w:rFonts w:ascii="宋体" w:hAnsi="宋体"/>
          <w:color w:val="000000"/>
          <w:sz w:val="24"/>
        </w:rPr>
        <w:t>帐号：</w:t>
      </w:r>
      <w:r>
        <w:rPr>
          <w:rStyle w:val="13"/>
          <w:rFonts w:ascii="宋体"/>
          <w:bCs/>
          <w:color w:val="000000"/>
          <w:sz w:val="24"/>
        </w:rPr>
        <w:t>8780 1001 2010 1010 11990</w:t>
      </w:r>
    </w:p>
    <w:p>
      <w:pPr>
        <w:spacing w:line="360" w:lineRule="auto"/>
        <w:ind w:left="720" w:leftChars="343" w:firstLine="4" w:firstLineChars="2"/>
        <w:rPr>
          <w:rStyle w:val="13"/>
          <w:rFonts w:ascii="宋体" w:hAnsi="宋体"/>
          <w:color w:val="000000"/>
          <w:sz w:val="24"/>
        </w:rPr>
      </w:pPr>
      <w:r>
        <w:rPr>
          <w:rStyle w:val="13"/>
          <w:rFonts w:ascii="宋体" w:hAnsi="宋体"/>
          <w:color w:val="000000"/>
          <w:sz w:val="24"/>
        </w:rPr>
        <w:t>行号：402896400017</w:t>
      </w:r>
    </w:p>
    <w:p>
      <w:pPr>
        <w:spacing w:line="360" w:lineRule="auto"/>
        <w:ind w:left="720" w:leftChars="343" w:firstLine="4" w:firstLineChars="2"/>
        <w:rPr>
          <w:rStyle w:val="13"/>
          <w:rFonts w:ascii="宋体" w:hAnsi="宋体"/>
          <w:color w:val="000000"/>
          <w:sz w:val="24"/>
        </w:rPr>
      </w:pPr>
      <w:r>
        <w:rPr>
          <w:rStyle w:val="13"/>
          <w:rFonts w:ascii="宋体" w:hAnsi="宋体"/>
          <w:color w:val="000000"/>
          <w:sz w:val="24"/>
        </w:rPr>
        <w:t>开户银行：新疆皮山县农村信用合作联社</w:t>
      </w:r>
    </w:p>
    <w:p>
      <w:pPr>
        <w:spacing w:line="360" w:lineRule="auto"/>
        <w:ind w:left="720" w:leftChars="343" w:firstLine="4" w:firstLineChars="2"/>
        <w:rPr>
          <w:rStyle w:val="13"/>
          <w:rFonts w:ascii="宋体" w:hAnsi="宋体"/>
          <w:color w:val="000000"/>
          <w:sz w:val="24"/>
        </w:rPr>
      </w:pPr>
      <w:r>
        <w:rPr>
          <w:rStyle w:val="13"/>
          <w:rFonts w:ascii="宋体" w:hAnsi="宋体"/>
          <w:color w:val="000000"/>
          <w:sz w:val="24"/>
        </w:rPr>
        <w:t>注：投标保证金在下载招标文件后的第二日，由投标单位的基本账户转至皮山县政府采购办指定账户，保证金到账截至时间为2020年5月</w:t>
      </w:r>
      <w:r>
        <w:rPr>
          <w:rStyle w:val="13"/>
          <w:rFonts w:hint="eastAsia" w:ascii="宋体" w:hAnsi="宋体"/>
          <w:color w:val="000000"/>
          <w:sz w:val="24"/>
        </w:rPr>
        <w:t>2</w:t>
      </w:r>
      <w:r>
        <w:rPr>
          <w:rStyle w:val="13"/>
          <w:rFonts w:ascii="宋体" w:hAnsi="宋体"/>
          <w:color w:val="000000"/>
          <w:sz w:val="24"/>
        </w:rPr>
        <w:t>日北京时间20：00之前。</w:t>
      </w:r>
    </w:p>
    <w:p>
      <w:pPr>
        <w:spacing w:line="360" w:lineRule="auto"/>
        <w:rPr>
          <w:rStyle w:val="13"/>
          <w:rFonts w:ascii="宋体"/>
          <w:color w:val="000000"/>
          <w:sz w:val="24"/>
        </w:rPr>
      </w:pPr>
      <w:r>
        <w:rPr>
          <w:rStyle w:val="13"/>
          <w:rFonts w:ascii="宋体" w:hAnsi="宋体"/>
          <w:color w:val="000000"/>
          <w:sz w:val="24"/>
        </w:rPr>
        <w:t>5.2</w:t>
      </w:r>
      <w:r>
        <w:rPr>
          <w:rStyle w:val="13"/>
          <w:rFonts w:ascii="宋体" w:hAnsi="宋体"/>
          <w:color w:val="000000"/>
          <w:sz w:val="24"/>
        </w:rPr>
        <w:tab/>
      </w:r>
      <w:r>
        <w:rPr>
          <w:rStyle w:val="13"/>
          <w:rFonts w:ascii="宋体" w:hAnsi="宋体"/>
          <w:color w:val="000000"/>
          <w:sz w:val="24"/>
        </w:rPr>
        <w:t xml:space="preserve">  招标人不接受非银行款项以外的有价证券抵押、货物抵押、存单抵押、往来款项抵押等形式作为投标保证金； </w:t>
      </w:r>
    </w:p>
    <w:p>
      <w:pPr>
        <w:spacing w:line="360" w:lineRule="auto"/>
        <w:ind w:left="714" w:leftChars="1" w:hanging="712" w:hangingChars="297"/>
        <w:rPr>
          <w:rStyle w:val="13"/>
          <w:rFonts w:ascii="宋体"/>
          <w:color w:val="000000"/>
          <w:sz w:val="24"/>
        </w:rPr>
      </w:pPr>
      <w:r>
        <w:rPr>
          <w:rStyle w:val="13"/>
          <w:rFonts w:ascii="宋体" w:hAnsi="宋体"/>
          <w:color w:val="000000"/>
          <w:sz w:val="24"/>
        </w:rPr>
        <w:t>5.3</w:t>
      </w:r>
      <w:r>
        <w:rPr>
          <w:rStyle w:val="13"/>
          <w:rFonts w:ascii="宋体"/>
          <w:color w:val="000000"/>
          <w:sz w:val="24"/>
        </w:rPr>
        <w:tab/>
      </w:r>
      <w:r>
        <w:rPr>
          <w:rStyle w:val="13"/>
          <w:rFonts w:ascii="宋体" w:hAnsi="宋体"/>
          <w:color w:val="000000"/>
          <w:sz w:val="24"/>
        </w:rPr>
        <w:t>中标人的投标保证金，在签订采购合同后，7个工作日内无息退还。</w:t>
      </w:r>
    </w:p>
    <w:p>
      <w:pPr>
        <w:spacing w:line="360" w:lineRule="auto"/>
        <w:ind w:left="718" w:leftChars="1" w:hanging="716" w:hangingChars="297"/>
        <w:rPr>
          <w:rStyle w:val="13"/>
          <w:rFonts w:ascii="宋体"/>
          <w:b/>
          <w:bCs/>
          <w:color w:val="000000"/>
          <w:sz w:val="24"/>
        </w:rPr>
      </w:pPr>
      <w:r>
        <w:rPr>
          <w:rStyle w:val="13"/>
          <w:rFonts w:ascii="宋体" w:hAnsi="宋体"/>
          <w:b/>
          <w:bCs/>
          <w:color w:val="000000"/>
          <w:sz w:val="24"/>
        </w:rPr>
        <w:t>6．</w:t>
      </w:r>
      <w:r>
        <w:rPr>
          <w:rStyle w:val="13"/>
          <w:rFonts w:ascii="宋体"/>
          <w:b/>
          <w:bCs/>
          <w:color w:val="000000"/>
          <w:sz w:val="24"/>
        </w:rPr>
        <w:tab/>
      </w:r>
      <w:r>
        <w:rPr>
          <w:rStyle w:val="13"/>
          <w:rFonts w:ascii="宋体" w:hAnsi="宋体"/>
          <w:b/>
          <w:bCs/>
          <w:color w:val="000000"/>
          <w:sz w:val="24"/>
        </w:rPr>
        <w:t>投标有效期</w:t>
      </w:r>
    </w:p>
    <w:p>
      <w:pPr>
        <w:spacing w:line="360" w:lineRule="auto"/>
        <w:ind w:left="714" w:leftChars="1" w:hanging="712" w:hangingChars="297"/>
        <w:rPr>
          <w:rStyle w:val="13"/>
          <w:rFonts w:ascii="宋体"/>
          <w:color w:val="000000"/>
          <w:sz w:val="24"/>
        </w:rPr>
      </w:pPr>
      <w:r>
        <w:rPr>
          <w:rStyle w:val="13"/>
          <w:rFonts w:ascii="宋体" w:hAnsi="宋体"/>
          <w:color w:val="000000"/>
          <w:sz w:val="24"/>
        </w:rPr>
        <w:t>6.1</w:t>
      </w:r>
      <w:r>
        <w:rPr>
          <w:rStyle w:val="13"/>
          <w:rFonts w:ascii="宋体" w:hAnsi="宋体"/>
          <w:color w:val="000000"/>
          <w:sz w:val="24"/>
        </w:rPr>
        <w:tab/>
      </w:r>
      <w:r>
        <w:rPr>
          <w:rStyle w:val="13"/>
          <w:rFonts w:ascii="宋体" w:hAnsi="宋体"/>
          <w:color w:val="000000"/>
          <w:sz w:val="24"/>
        </w:rPr>
        <w:t>从投标截止起，投标报价的有效期为45天；</w:t>
      </w:r>
    </w:p>
    <w:p>
      <w:pPr>
        <w:spacing w:line="360" w:lineRule="auto"/>
        <w:ind w:left="714" w:leftChars="1" w:hanging="712" w:hangingChars="297"/>
        <w:rPr>
          <w:rStyle w:val="13"/>
          <w:rFonts w:ascii="宋体"/>
          <w:color w:val="000000"/>
          <w:sz w:val="24"/>
        </w:rPr>
      </w:pPr>
      <w:r>
        <w:rPr>
          <w:rStyle w:val="13"/>
          <w:rFonts w:ascii="宋体" w:hAnsi="宋体"/>
          <w:color w:val="000000"/>
          <w:sz w:val="24"/>
        </w:rPr>
        <w:t>6.2</w:t>
      </w:r>
      <w:r>
        <w:rPr>
          <w:rStyle w:val="13"/>
          <w:rFonts w:ascii="宋体" w:hAnsi="宋体"/>
          <w:color w:val="000000"/>
          <w:sz w:val="24"/>
        </w:rPr>
        <w:tab/>
      </w:r>
      <w:r>
        <w:rPr>
          <w:rStyle w:val="13"/>
          <w:rFonts w:ascii="宋体" w:hAnsi="宋体"/>
          <w:color w:val="000000"/>
          <w:sz w:val="24"/>
        </w:rPr>
        <w:t>特殊情况下，在投标有效期满之前，招标人可以以书面形式要求投标人同意延长投标有效期。投标人可以以书面形式拒绝或接受上述要求。对于接受该要求的投标人，招标人既不要求也不允许其修改投标文件。</w:t>
      </w:r>
    </w:p>
    <w:p>
      <w:pPr>
        <w:spacing w:line="360" w:lineRule="auto"/>
        <w:ind w:left="718" w:leftChars="1" w:hanging="716" w:hangingChars="297"/>
        <w:rPr>
          <w:rStyle w:val="13"/>
          <w:rFonts w:ascii="宋体"/>
          <w:b/>
          <w:bCs/>
          <w:color w:val="000000"/>
          <w:sz w:val="24"/>
        </w:rPr>
      </w:pPr>
      <w:r>
        <w:rPr>
          <w:rStyle w:val="13"/>
          <w:rFonts w:ascii="宋体" w:hAnsi="宋体"/>
          <w:b/>
          <w:bCs/>
          <w:color w:val="000000"/>
          <w:sz w:val="24"/>
        </w:rPr>
        <w:t>7．</w:t>
      </w:r>
      <w:r>
        <w:rPr>
          <w:rStyle w:val="13"/>
          <w:rFonts w:ascii="宋体"/>
          <w:b/>
          <w:bCs/>
          <w:color w:val="000000"/>
          <w:sz w:val="24"/>
        </w:rPr>
        <w:tab/>
      </w:r>
      <w:r>
        <w:rPr>
          <w:rStyle w:val="13"/>
          <w:rFonts w:ascii="宋体" w:hAnsi="宋体"/>
          <w:b/>
          <w:bCs/>
          <w:color w:val="000000"/>
          <w:sz w:val="24"/>
        </w:rPr>
        <w:t>招标文件的澄清</w:t>
      </w:r>
    </w:p>
    <w:p>
      <w:pPr>
        <w:spacing w:line="360" w:lineRule="auto"/>
        <w:ind w:left="714" w:leftChars="1" w:hanging="712" w:hangingChars="297"/>
        <w:rPr>
          <w:rStyle w:val="13"/>
          <w:rFonts w:ascii="宋体"/>
          <w:b/>
          <w:bCs/>
          <w:color w:val="000000"/>
          <w:sz w:val="24"/>
        </w:rPr>
      </w:pPr>
      <w:r>
        <w:rPr>
          <w:rStyle w:val="13"/>
          <w:rFonts w:ascii="宋体" w:hAnsi="宋体"/>
          <w:color w:val="000000"/>
          <w:sz w:val="24"/>
        </w:rPr>
        <w:t>7.1</w:t>
      </w:r>
      <w:r>
        <w:rPr>
          <w:rStyle w:val="13"/>
          <w:rFonts w:ascii="宋体" w:hAnsi="宋体"/>
          <w:color w:val="000000"/>
          <w:sz w:val="24"/>
        </w:rPr>
        <w:tab/>
      </w:r>
      <w:r>
        <w:rPr>
          <w:rStyle w:val="13"/>
          <w:rFonts w:ascii="宋体" w:hAnsi="宋体"/>
          <w:color w:val="000000"/>
          <w:sz w:val="24"/>
        </w:rPr>
        <w:t>澄清是指招标人对招标文件中的遗漏、词义表述不清或对比较复杂的事项进行说明；</w:t>
      </w:r>
    </w:p>
    <w:p>
      <w:pPr>
        <w:spacing w:line="360" w:lineRule="auto"/>
        <w:ind w:left="714" w:leftChars="1" w:hanging="712" w:hangingChars="297"/>
        <w:rPr>
          <w:rStyle w:val="13"/>
          <w:rFonts w:ascii="宋体" w:hAnsi="宋体"/>
          <w:color w:val="FF0000"/>
          <w:sz w:val="24"/>
        </w:rPr>
      </w:pPr>
      <w:r>
        <w:rPr>
          <w:rStyle w:val="13"/>
          <w:rFonts w:ascii="宋体" w:hAnsi="宋体"/>
          <w:color w:val="000000"/>
          <w:sz w:val="24"/>
        </w:rPr>
        <w:t>7.2</w:t>
      </w:r>
      <w:r>
        <w:rPr>
          <w:rStyle w:val="13"/>
          <w:rFonts w:ascii="宋体" w:hAnsi="宋体"/>
          <w:color w:val="000000"/>
          <w:sz w:val="24"/>
        </w:rPr>
        <w:tab/>
      </w:r>
      <w:r>
        <w:rPr>
          <w:rStyle w:val="13"/>
          <w:rFonts w:ascii="宋体" w:hAnsi="宋体"/>
          <w:color w:val="000000"/>
          <w:sz w:val="24"/>
          <w:szCs w:val="22"/>
          <w:highlight w:val="none"/>
        </w:rPr>
        <w:t>投标人对招标文件如有疑点，可要求澄清。如对招标文件内容有质疑，投标人应在投标截止</w:t>
      </w:r>
      <w:r>
        <w:rPr>
          <w:rStyle w:val="13"/>
          <w:rFonts w:hint="eastAsia" w:ascii="宋体" w:hAnsi="宋体"/>
          <w:color w:val="000000"/>
          <w:sz w:val="24"/>
          <w:szCs w:val="22"/>
          <w:highlight w:val="none"/>
          <w:lang w:val="en-US" w:eastAsia="zh-CN"/>
        </w:rPr>
        <w:t>10</w:t>
      </w:r>
      <w:r>
        <w:rPr>
          <w:rStyle w:val="13"/>
          <w:rFonts w:ascii="宋体" w:hAnsi="宋体"/>
          <w:color w:val="000000"/>
          <w:sz w:val="24"/>
          <w:szCs w:val="22"/>
          <w:highlight w:val="none"/>
        </w:rPr>
        <w:t>日前按招标文件中载明的邮箱：2739774438qq.com地址，以书面形式通知招标人。招标人认为必要时，</w:t>
      </w:r>
      <w:r>
        <w:rPr>
          <w:rStyle w:val="13"/>
          <w:rFonts w:ascii="宋体" w:hAnsi="宋体"/>
          <w:color w:val="000000"/>
          <w:sz w:val="24"/>
          <w:szCs w:val="22"/>
        </w:rPr>
        <w:t>将（澄清）修改后的公告发布在新疆政府采购网，敬请投标企业及时关注。</w:t>
      </w:r>
    </w:p>
    <w:p>
      <w:pPr>
        <w:spacing w:line="360" w:lineRule="auto"/>
        <w:ind w:left="718" w:leftChars="1" w:hanging="716" w:hangingChars="297"/>
        <w:rPr>
          <w:rStyle w:val="13"/>
          <w:rFonts w:ascii="宋体"/>
          <w:b/>
          <w:bCs/>
          <w:color w:val="000000"/>
          <w:sz w:val="24"/>
        </w:rPr>
      </w:pPr>
      <w:r>
        <w:rPr>
          <w:rStyle w:val="13"/>
          <w:rFonts w:ascii="宋体" w:hAnsi="宋体"/>
          <w:b/>
          <w:bCs/>
          <w:color w:val="000000"/>
          <w:sz w:val="24"/>
        </w:rPr>
        <w:t>8．</w:t>
      </w:r>
      <w:r>
        <w:rPr>
          <w:rStyle w:val="13"/>
          <w:rFonts w:ascii="宋体"/>
          <w:b/>
          <w:bCs/>
          <w:color w:val="000000"/>
          <w:sz w:val="24"/>
        </w:rPr>
        <w:tab/>
      </w:r>
      <w:r>
        <w:rPr>
          <w:rStyle w:val="13"/>
          <w:rFonts w:ascii="宋体" w:hAnsi="宋体"/>
          <w:b/>
          <w:bCs/>
          <w:color w:val="000000"/>
          <w:sz w:val="24"/>
        </w:rPr>
        <w:t>招标文件的修改</w:t>
      </w:r>
    </w:p>
    <w:p>
      <w:pPr>
        <w:spacing w:line="360" w:lineRule="auto"/>
        <w:ind w:left="714" w:leftChars="1" w:hanging="712" w:hangingChars="297"/>
        <w:rPr>
          <w:rStyle w:val="13"/>
          <w:rFonts w:ascii="宋体"/>
          <w:color w:val="000000"/>
          <w:sz w:val="24"/>
        </w:rPr>
      </w:pPr>
      <w:r>
        <w:rPr>
          <w:rStyle w:val="13"/>
          <w:rFonts w:ascii="宋体" w:hAnsi="宋体"/>
          <w:color w:val="000000"/>
          <w:sz w:val="24"/>
        </w:rPr>
        <w:t>8.1</w:t>
      </w:r>
      <w:r>
        <w:rPr>
          <w:rStyle w:val="13"/>
          <w:rFonts w:ascii="宋体" w:hAnsi="宋体"/>
          <w:color w:val="000000"/>
          <w:sz w:val="24"/>
        </w:rPr>
        <w:tab/>
      </w:r>
      <w:r>
        <w:rPr>
          <w:rStyle w:val="13"/>
          <w:rFonts w:ascii="宋体" w:hAnsi="宋体"/>
          <w:color w:val="000000"/>
          <w:sz w:val="24"/>
        </w:rPr>
        <w:t>在投标截止前，招标人可主动地或在解答投标人提出的澄清问题时对招标文件进行修改；</w:t>
      </w:r>
    </w:p>
    <w:p>
      <w:pPr>
        <w:spacing w:line="360" w:lineRule="auto"/>
        <w:ind w:left="714" w:leftChars="1" w:hanging="712" w:hangingChars="297"/>
        <w:rPr>
          <w:rStyle w:val="13"/>
          <w:rFonts w:ascii="宋体"/>
          <w:color w:val="000000"/>
          <w:sz w:val="24"/>
        </w:rPr>
      </w:pPr>
      <w:r>
        <w:rPr>
          <w:rStyle w:val="13"/>
          <w:rFonts w:ascii="宋体" w:hAnsi="宋体"/>
          <w:color w:val="000000"/>
          <w:sz w:val="24"/>
        </w:rPr>
        <w:t>8.2</w:t>
      </w:r>
      <w:r>
        <w:rPr>
          <w:rStyle w:val="13"/>
          <w:rFonts w:ascii="宋体" w:hAnsi="宋体"/>
          <w:color w:val="000000"/>
          <w:sz w:val="24"/>
        </w:rPr>
        <w:tab/>
      </w:r>
      <w:r>
        <w:rPr>
          <w:rStyle w:val="13"/>
          <w:rFonts w:ascii="宋体" w:hAnsi="宋体"/>
          <w:color w:val="000000"/>
          <w:spacing w:val="-4"/>
          <w:sz w:val="24"/>
        </w:rPr>
        <w:t>招标文件的修改内容称为修改文件，是招标文件的组成部分。如有修改文件，招标人应当在提交投标文件截止时间十五日前，在指定的政府采购信息发布媒体上发布更正公告，并以书面形式（包括信函、传真）告知所有招标文件的收受人。投标人则应以传真、信函等书面形式确认已收到修改文件；</w:t>
      </w:r>
    </w:p>
    <w:p>
      <w:pPr>
        <w:spacing w:line="360" w:lineRule="auto"/>
        <w:ind w:left="714" w:leftChars="1" w:hanging="712" w:hangingChars="297"/>
        <w:rPr>
          <w:rStyle w:val="13"/>
          <w:rFonts w:ascii="宋体"/>
          <w:color w:val="000000"/>
          <w:sz w:val="24"/>
        </w:rPr>
      </w:pPr>
      <w:r>
        <w:rPr>
          <w:rStyle w:val="13"/>
          <w:rFonts w:ascii="宋体" w:hAnsi="宋体"/>
          <w:color w:val="000000"/>
          <w:sz w:val="24"/>
        </w:rPr>
        <w:t>8.3</w:t>
      </w:r>
      <w:r>
        <w:rPr>
          <w:rStyle w:val="13"/>
          <w:rFonts w:ascii="宋体" w:hAnsi="宋体"/>
          <w:color w:val="000000"/>
          <w:sz w:val="24"/>
        </w:rPr>
        <w:tab/>
      </w:r>
      <w:r>
        <w:rPr>
          <w:rStyle w:val="13"/>
          <w:rFonts w:ascii="宋体" w:hAnsi="宋体"/>
          <w:color w:val="000000"/>
          <w:sz w:val="24"/>
        </w:rPr>
        <w:t>为使投标人有充分时间对招标文件进行研究，招标人可酌情延长投标截止日期，但至少应当在提交投标文件的截止时间三日前，将变更时间书面通知所有招标文件收受人，并在指定的政府采购信息发布媒体上发布变更公告。</w:t>
      </w:r>
    </w:p>
    <w:p>
      <w:pPr>
        <w:spacing w:line="360" w:lineRule="auto"/>
        <w:ind w:left="718" w:leftChars="1" w:hanging="716" w:hangingChars="297"/>
        <w:rPr>
          <w:rStyle w:val="13"/>
          <w:rFonts w:ascii="宋体"/>
          <w:b/>
          <w:bCs/>
          <w:color w:val="000000"/>
          <w:sz w:val="24"/>
        </w:rPr>
      </w:pPr>
      <w:r>
        <w:rPr>
          <w:rStyle w:val="13"/>
          <w:rFonts w:ascii="宋体" w:hAnsi="宋体"/>
          <w:b/>
          <w:bCs/>
          <w:color w:val="000000"/>
          <w:sz w:val="24"/>
        </w:rPr>
        <w:t>9．</w:t>
      </w:r>
      <w:r>
        <w:rPr>
          <w:rStyle w:val="13"/>
          <w:rFonts w:ascii="宋体"/>
          <w:b/>
          <w:bCs/>
          <w:color w:val="000000"/>
          <w:sz w:val="24"/>
        </w:rPr>
        <w:tab/>
      </w:r>
      <w:r>
        <w:rPr>
          <w:rStyle w:val="13"/>
          <w:rFonts w:ascii="宋体" w:hAnsi="宋体"/>
          <w:b/>
          <w:bCs/>
          <w:color w:val="000000"/>
          <w:sz w:val="24"/>
        </w:rPr>
        <w:t>投标费用</w:t>
      </w:r>
    </w:p>
    <w:p>
      <w:pPr>
        <w:spacing w:line="360" w:lineRule="auto"/>
        <w:ind w:left="714" w:leftChars="1" w:hanging="712" w:hangingChars="297"/>
        <w:rPr>
          <w:rStyle w:val="13"/>
          <w:rFonts w:ascii="宋体"/>
          <w:color w:val="000000"/>
          <w:sz w:val="24"/>
        </w:rPr>
      </w:pPr>
      <w:r>
        <w:rPr>
          <w:rStyle w:val="13"/>
          <w:rFonts w:ascii="宋体" w:hAnsi="宋体"/>
          <w:color w:val="000000"/>
          <w:sz w:val="24"/>
        </w:rPr>
        <w:t>9.1</w:t>
      </w:r>
      <w:r>
        <w:rPr>
          <w:rStyle w:val="13"/>
          <w:rFonts w:ascii="宋体" w:hAnsi="宋体"/>
          <w:color w:val="000000"/>
          <w:sz w:val="24"/>
        </w:rPr>
        <w:tab/>
      </w:r>
      <w:r>
        <w:rPr>
          <w:rStyle w:val="13"/>
          <w:rFonts w:ascii="宋体" w:hAnsi="宋体"/>
          <w:color w:val="000000"/>
          <w:sz w:val="24"/>
        </w:rPr>
        <w:t>投标人参加投标，无论投标结果如何，投标人自行承担所有与投标有关的全部费用</w:t>
      </w:r>
    </w:p>
    <w:p>
      <w:pPr>
        <w:spacing w:line="360" w:lineRule="auto"/>
        <w:rPr>
          <w:rStyle w:val="13"/>
          <w:color w:val="000000"/>
          <w:sz w:val="24"/>
        </w:rPr>
      </w:pPr>
      <w:r>
        <w:rPr>
          <w:rStyle w:val="13"/>
          <w:rFonts w:ascii="宋体" w:hAnsi="宋体"/>
          <w:color w:val="000000"/>
          <w:sz w:val="24"/>
        </w:rPr>
        <w:t>9.2   本项目招标文件</w:t>
      </w:r>
      <w:r>
        <w:rPr>
          <w:rStyle w:val="13"/>
          <w:color w:val="000000"/>
          <w:sz w:val="24"/>
        </w:rPr>
        <w:t>每份售价人民币200.00元/份 （贰佰元整）（开标现场缴纳招标文件费）。</w:t>
      </w:r>
    </w:p>
    <w:p>
      <w:pPr>
        <w:spacing w:line="360" w:lineRule="auto"/>
        <w:rPr>
          <w:rStyle w:val="13"/>
          <w:rFonts w:ascii="宋体"/>
          <w:color w:val="000000"/>
          <w:sz w:val="24"/>
        </w:rPr>
      </w:pPr>
      <w:r>
        <w:rPr>
          <w:rStyle w:val="13"/>
          <w:rFonts w:ascii="宋体" w:hAnsi="宋体"/>
          <w:color w:val="000000"/>
          <w:sz w:val="24"/>
        </w:rPr>
        <w:t>9.3  本项目招标代理费与采购人签订合同约定。</w:t>
      </w:r>
    </w:p>
    <w:p>
      <w:pPr>
        <w:spacing w:line="360" w:lineRule="auto"/>
        <w:jc w:val="center"/>
        <w:rPr>
          <w:rStyle w:val="13"/>
          <w:rFonts w:hint="eastAsia" w:ascii="宋体" w:hAnsi="宋体"/>
          <w:b/>
          <w:color w:val="000000"/>
          <w:sz w:val="24"/>
        </w:rPr>
      </w:pPr>
      <w:r>
        <w:rPr>
          <w:rStyle w:val="13"/>
          <w:rFonts w:ascii="宋体" w:hAnsi="宋体"/>
          <w:b/>
          <w:color w:val="000000"/>
          <w:sz w:val="24"/>
        </w:rPr>
        <w:t>9.</w:t>
      </w:r>
      <w:r>
        <w:rPr>
          <w:rStyle w:val="13"/>
          <w:rFonts w:hint="eastAsia" w:ascii="宋体" w:hAnsi="宋体"/>
          <w:b/>
          <w:color w:val="000000"/>
          <w:sz w:val="24"/>
        </w:rPr>
        <w:t>4</w:t>
      </w:r>
      <w:r>
        <w:rPr>
          <w:rStyle w:val="13"/>
          <w:rFonts w:ascii="宋体" w:hAnsi="宋体"/>
          <w:b/>
          <w:color w:val="000000"/>
          <w:sz w:val="24"/>
        </w:rPr>
        <w:t xml:space="preserve"> 本项目采购概算价为：3067.8万元</w:t>
      </w:r>
      <w:r>
        <w:rPr>
          <w:rStyle w:val="13"/>
          <w:rFonts w:hint="eastAsia" w:ascii="宋体" w:hAnsi="宋体"/>
          <w:b/>
          <w:color w:val="000000"/>
          <w:sz w:val="24"/>
        </w:rPr>
        <w:t>（此采购金额为最高限价，如超过预算价的报价为无效报价。）</w:t>
      </w:r>
    </w:p>
    <w:p>
      <w:pPr>
        <w:spacing w:line="360" w:lineRule="auto"/>
        <w:jc w:val="center"/>
        <w:rPr>
          <w:rStyle w:val="13"/>
          <w:rFonts w:ascii="宋体"/>
          <w:b/>
          <w:color w:val="000000"/>
          <w:sz w:val="24"/>
        </w:rPr>
      </w:pPr>
      <w:r>
        <w:rPr>
          <w:rStyle w:val="13"/>
          <w:rFonts w:ascii="宋体" w:hAnsi="宋体"/>
          <w:b/>
          <w:color w:val="000000"/>
          <w:sz w:val="24"/>
        </w:rPr>
        <w:t>B   投标文件的编写</w:t>
      </w:r>
    </w:p>
    <w:p>
      <w:pPr>
        <w:spacing w:line="360" w:lineRule="auto"/>
        <w:ind w:left="718" w:leftChars="1" w:hanging="716" w:hangingChars="297"/>
        <w:rPr>
          <w:rStyle w:val="13"/>
          <w:rFonts w:ascii="宋体"/>
          <w:b/>
          <w:bCs/>
          <w:color w:val="000000"/>
          <w:sz w:val="24"/>
        </w:rPr>
      </w:pPr>
      <w:r>
        <w:rPr>
          <w:rStyle w:val="13"/>
          <w:rFonts w:ascii="宋体" w:hAnsi="宋体"/>
          <w:b/>
          <w:bCs/>
          <w:color w:val="000000"/>
          <w:sz w:val="24"/>
        </w:rPr>
        <w:t>10．</w:t>
      </w:r>
      <w:r>
        <w:rPr>
          <w:rStyle w:val="13"/>
          <w:rFonts w:ascii="宋体"/>
          <w:b/>
          <w:bCs/>
          <w:color w:val="000000"/>
          <w:sz w:val="24"/>
        </w:rPr>
        <w:tab/>
      </w:r>
      <w:r>
        <w:rPr>
          <w:rStyle w:val="13"/>
          <w:rFonts w:ascii="宋体" w:hAnsi="宋体"/>
          <w:b/>
          <w:bCs/>
          <w:color w:val="000000"/>
          <w:sz w:val="24"/>
        </w:rPr>
        <w:t>一般要求</w:t>
      </w:r>
    </w:p>
    <w:p>
      <w:pPr>
        <w:spacing w:line="360" w:lineRule="auto"/>
        <w:ind w:left="714" w:leftChars="1" w:hanging="712" w:hangingChars="297"/>
        <w:rPr>
          <w:rStyle w:val="13"/>
          <w:rFonts w:ascii="宋体"/>
          <w:color w:val="000000"/>
          <w:sz w:val="24"/>
        </w:rPr>
      </w:pPr>
      <w:r>
        <w:rPr>
          <w:rStyle w:val="13"/>
          <w:rFonts w:ascii="宋体" w:hAnsi="宋体"/>
          <w:color w:val="000000"/>
          <w:sz w:val="24"/>
        </w:rPr>
        <w:t>10.1</w:t>
      </w:r>
      <w:r>
        <w:rPr>
          <w:rStyle w:val="13"/>
          <w:rFonts w:ascii="宋体" w:hAnsi="宋体"/>
          <w:color w:val="000000"/>
          <w:sz w:val="24"/>
        </w:rPr>
        <w:tab/>
      </w:r>
      <w:r>
        <w:rPr>
          <w:rStyle w:val="13"/>
          <w:rFonts w:ascii="宋体" w:hAnsi="宋体"/>
          <w:color w:val="000000"/>
          <w:sz w:val="24"/>
        </w:rPr>
        <w:t>投标人应仔细阅读招标文件的所有内容，按招标文件的要求提供投标文件，并保证所提供的全部资料真实有效；</w:t>
      </w:r>
    </w:p>
    <w:p>
      <w:pPr>
        <w:spacing w:line="360" w:lineRule="auto"/>
        <w:ind w:left="714" w:leftChars="1" w:hanging="712" w:hangingChars="297"/>
        <w:rPr>
          <w:rStyle w:val="13"/>
          <w:rFonts w:ascii="宋体"/>
          <w:color w:val="000000"/>
          <w:sz w:val="24"/>
        </w:rPr>
      </w:pPr>
      <w:r>
        <w:rPr>
          <w:rStyle w:val="13"/>
          <w:rFonts w:ascii="宋体" w:hAnsi="宋体"/>
          <w:color w:val="000000"/>
          <w:sz w:val="24"/>
        </w:rPr>
        <w:t>10.2</w:t>
      </w:r>
      <w:r>
        <w:rPr>
          <w:rStyle w:val="13"/>
          <w:rFonts w:ascii="宋体" w:hAnsi="宋体"/>
          <w:color w:val="000000"/>
          <w:sz w:val="24"/>
        </w:rPr>
        <w:tab/>
      </w:r>
      <w:r>
        <w:rPr>
          <w:rStyle w:val="13"/>
          <w:rFonts w:ascii="宋体" w:hAnsi="宋体"/>
          <w:color w:val="000000"/>
          <w:sz w:val="24"/>
        </w:rPr>
        <w:t>投标文件的语言文字为中文汉字，外语或少数民族文字，必须译成中文汉字；</w:t>
      </w:r>
    </w:p>
    <w:p>
      <w:pPr>
        <w:spacing w:line="360" w:lineRule="auto"/>
        <w:ind w:left="714" w:leftChars="1" w:hanging="712" w:hangingChars="297"/>
        <w:rPr>
          <w:rStyle w:val="13"/>
          <w:rFonts w:ascii="宋体"/>
          <w:color w:val="000000"/>
          <w:sz w:val="24"/>
        </w:rPr>
      </w:pPr>
      <w:r>
        <w:rPr>
          <w:rStyle w:val="13"/>
          <w:rFonts w:ascii="宋体" w:hAnsi="宋体"/>
          <w:color w:val="000000"/>
          <w:sz w:val="24"/>
        </w:rPr>
        <w:t>10.3</w:t>
      </w:r>
      <w:r>
        <w:rPr>
          <w:rStyle w:val="13"/>
          <w:rFonts w:ascii="宋体" w:hAnsi="宋体"/>
          <w:color w:val="000000"/>
          <w:sz w:val="24"/>
        </w:rPr>
        <w:tab/>
      </w:r>
      <w:r>
        <w:rPr>
          <w:rStyle w:val="13"/>
          <w:rFonts w:ascii="宋体" w:hAnsi="宋体"/>
          <w:color w:val="000000"/>
          <w:sz w:val="24"/>
        </w:rPr>
        <w:t>投标文件的书面内容不得有模糊不清、加行、涂抹或改写；</w:t>
      </w:r>
    </w:p>
    <w:p>
      <w:pPr>
        <w:spacing w:line="360" w:lineRule="auto"/>
        <w:ind w:left="714" w:leftChars="1" w:hanging="712" w:hangingChars="297"/>
        <w:rPr>
          <w:rStyle w:val="13"/>
          <w:rFonts w:ascii="宋体"/>
          <w:color w:val="000000"/>
          <w:sz w:val="24"/>
        </w:rPr>
      </w:pPr>
      <w:r>
        <w:rPr>
          <w:rStyle w:val="13"/>
          <w:rFonts w:ascii="宋体" w:hAnsi="宋体"/>
          <w:color w:val="000000"/>
          <w:sz w:val="24"/>
        </w:rPr>
        <w:t>10.4</w:t>
      </w:r>
      <w:r>
        <w:rPr>
          <w:rStyle w:val="13"/>
          <w:rFonts w:ascii="宋体" w:hAnsi="宋体"/>
          <w:color w:val="000000"/>
          <w:sz w:val="24"/>
        </w:rPr>
        <w:tab/>
      </w:r>
      <w:r>
        <w:rPr>
          <w:rStyle w:val="13"/>
          <w:rFonts w:ascii="宋体" w:hAnsi="宋体"/>
          <w:color w:val="000000"/>
          <w:sz w:val="24"/>
        </w:rPr>
        <w:t>投标文件采用书面方式，采用电子投标文件，如U盘等形式，须同时提供书面投标文件；使用电话投标一概不予接受。</w:t>
      </w:r>
    </w:p>
    <w:p>
      <w:pPr>
        <w:spacing w:line="360" w:lineRule="auto"/>
        <w:ind w:left="718" w:leftChars="1" w:hanging="716" w:hangingChars="297"/>
        <w:rPr>
          <w:rStyle w:val="13"/>
          <w:rFonts w:ascii="宋体"/>
          <w:b/>
          <w:bCs/>
          <w:color w:val="000000"/>
          <w:sz w:val="24"/>
        </w:rPr>
      </w:pPr>
      <w:r>
        <w:rPr>
          <w:rStyle w:val="13"/>
          <w:rFonts w:ascii="宋体" w:hAnsi="宋体"/>
          <w:b/>
          <w:bCs/>
          <w:color w:val="000000"/>
          <w:sz w:val="24"/>
        </w:rPr>
        <w:t>11．</w:t>
      </w:r>
      <w:r>
        <w:rPr>
          <w:rStyle w:val="13"/>
          <w:rFonts w:ascii="宋体"/>
          <w:b/>
          <w:bCs/>
          <w:color w:val="000000"/>
          <w:sz w:val="24"/>
        </w:rPr>
        <w:tab/>
      </w:r>
      <w:r>
        <w:rPr>
          <w:rStyle w:val="13"/>
          <w:rFonts w:ascii="宋体" w:hAnsi="宋体"/>
          <w:b/>
          <w:bCs/>
          <w:color w:val="000000"/>
          <w:sz w:val="24"/>
        </w:rPr>
        <w:t>投标文件由以下部分构成</w:t>
      </w:r>
    </w:p>
    <w:p>
      <w:pPr>
        <w:spacing w:line="360" w:lineRule="auto"/>
        <w:ind w:left="714" w:leftChars="1" w:hanging="712" w:hangingChars="297"/>
        <w:rPr>
          <w:rStyle w:val="13"/>
          <w:rFonts w:ascii="宋体"/>
          <w:b/>
          <w:color w:val="000000"/>
          <w:sz w:val="24"/>
        </w:rPr>
      </w:pPr>
      <w:r>
        <w:rPr>
          <w:rStyle w:val="13"/>
          <w:rFonts w:ascii="宋体" w:hAnsi="宋体"/>
          <w:color w:val="000000"/>
          <w:sz w:val="24"/>
        </w:rPr>
        <w:tab/>
      </w:r>
      <w:r>
        <w:rPr>
          <w:rStyle w:val="13"/>
          <w:rFonts w:ascii="宋体" w:hAnsi="宋体"/>
          <w:color w:val="000000"/>
          <w:sz w:val="24"/>
        </w:rPr>
        <w:t>投标文件由商务部分、技术部分、价格部分和其他部分组成主要包括：投标书、投标一览表、 投标货物报价表、技术规格功能要求偏离表、商务条款偏离表、投标方的资格声明、法人营业执照、法定代表人证明书、法定代表人授权书，</w:t>
      </w:r>
      <w:r>
        <w:rPr>
          <w:rStyle w:val="13"/>
          <w:rFonts w:hint="eastAsia" w:ascii="宋体" w:hAnsi="宋体"/>
          <w:color w:val="000000"/>
          <w:sz w:val="24"/>
        </w:rPr>
        <w:t>被委托人必须是投标单位正式员工，需提供社保部门出具最少提供近一个月的缴纳社保证明（社保缴费凭证及个人明细表）</w:t>
      </w:r>
      <w:r>
        <w:rPr>
          <w:rStyle w:val="13"/>
          <w:rFonts w:ascii="宋体" w:hAnsi="宋体"/>
          <w:color w:val="000000"/>
          <w:sz w:val="24"/>
        </w:rPr>
        <w:t>、质量保证书、售后服务承诺书、投标人证明投标资格合格的相关证件证明的复印件、投标人证明货物合格的相关证件证明复印件、投标单位（供应商）反商业贿赂承诺书、经年审计的上年度会计报表以及投标人认为需要加以说明的其他内容等。详见本招标文件第五部分投标文件的内容及格式。签字盖章后</w:t>
      </w:r>
      <w:r>
        <w:rPr>
          <w:rStyle w:val="13"/>
          <w:rFonts w:ascii="宋体" w:hAnsi="宋体"/>
          <w:b/>
          <w:color w:val="000000"/>
          <w:sz w:val="24"/>
        </w:rPr>
        <w:t>，将投标文件采用</w:t>
      </w:r>
      <w:r>
        <w:rPr>
          <w:rStyle w:val="13"/>
          <w:rFonts w:ascii="宋体" w:hAnsi="宋体"/>
          <w:b/>
          <w:color w:val="000000"/>
          <w:sz w:val="24"/>
          <w:u w:val="single"/>
        </w:rPr>
        <w:t>死页胶装方式</w:t>
      </w:r>
      <w:r>
        <w:rPr>
          <w:rStyle w:val="13"/>
          <w:rFonts w:ascii="宋体" w:hAnsi="宋体"/>
          <w:b/>
          <w:color w:val="000000"/>
          <w:sz w:val="24"/>
        </w:rPr>
        <w:t>装订成册</w:t>
      </w:r>
      <w:r>
        <w:rPr>
          <w:rStyle w:val="13"/>
          <w:rFonts w:ascii="宋体"/>
          <w:b/>
          <w:color w:val="000000"/>
          <w:sz w:val="24"/>
        </w:rPr>
        <w:t>,</w:t>
      </w:r>
      <w:r>
        <w:rPr>
          <w:rStyle w:val="13"/>
          <w:rFonts w:ascii="宋体" w:hAnsi="宋体"/>
          <w:b/>
          <w:color w:val="000000"/>
          <w:sz w:val="24"/>
        </w:rPr>
        <w:t>装订应牢固、不易拆散和换页，不得采用活页装订，否则按无效标处理。</w:t>
      </w:r>
    </w:p>
    <w:p>
      <w:pPr>
        <w:spacing w:line="360" w:lineRule="auto"/>
        <w:ind w:left="718" w:leftChars="1" w:hanging="716" w:hangingChars="297"/>
        <w:rPr>
          <w:rStyle w:val="13"/>
          <w:rFonts w:ascii="宋体"/>
          <w:b/>
          <w:bCs/>
          <w:color w:val="000000"/>
          <w:sz w:val="24"/>
        </w:rPr>
      </w:pPr>
      <w:r>
        <w:rPr>
          <w:rStyle w:val="13"/>
          <w:rFonts w:ascii="宋体" w:hAnsi="宋体"/>
          <w:b/>
          <w:bCs/>
          <w:color w:val="000000"/>
          <w:sz w:val="24"/>
        </w:rPr>
        <w:t>12．</w:t>
      </w:r>
      <w:r>
        <w:rPr>
          <w:rStyle w:val="13"/>
          <w:rFonts w:ascii="宋体"/>
          <w:b/>
          <w:bCs/>
          <w:color w:val="000000"/>
          <w:sz w:val="24"/>
        </w:rPr>
        <w:tab/>
      </w:r>
      <w:r>
        <w:rPr>
          <w:rStyle w:val="13"/>
          <w:rFonts w:ascii="宋体" w:hAnsi="宋体"/>
          <w:b/>
          <w:bCs/>
          <w:color w:val="000000"/>
          <w:sz w:val="24"/>
        </w:rPr>
        <w:t>报价</w:t>
      </w:r>
    </w:p>
    <w:p>
      <w:pPr>
        <w:spacing w:line="360" w:lineRule="auto"/>
        <w:ind w:left="714" w:leftChars="1" w:hanging="712" w:hangingChars="297"/>
        <w:rPr>
          <w:rStyle w:val="13"/>
          <w:rFonts w:ascii="宋体"/>
          <w:color w:val="000000"/>
          <w:sz w:val="24"/>
        </w:rPr>
      </w:pPr>
      <w:r>
        <w:rPr>
          <w:rStyle w:val="13"/>
          <w:rFonts w:ascii="宋体" w:hAnsi="宋体"/>
          <w:color w:val="000000"/>
          <w:sz w:val="24"/>
        </w:rPr>
        <w:t>12.1</w:t>
      </w:r>
      <w:r>
        <w:rPr>
          <w:rStyle w:val="13"/>
          <w:rFonts w:ascii="宋体" w:hAnsi="宋体"/>
          <w:color w:val="000000"/>
          <w:sz w:val="24"/>
        </w:rPr>
        <w:tab/>
      </w:r>
      <w:r>
        <w:rPr>
          <w:rStyle w:val="13"/>
          <w:rFonts w:ascii="宋体" w:hAnsi="宋体"/>
          <w:color w:val="000000"/>
          <w:sz w:val="24"/>
        </w:rPr>
        <w:t>除招标文件中另有规定外，计量单位为我国法定计量单位；</w:t>
      </w:r>
    </w:p>
    <w:p>
      <w:pPr>
        <w:spacing w:line="360" w:lineRule="auto"/>
        <w:ind w:left="714" w:leftChars="1" w:hanging="712" w:hangingChars="297"/>
        <w:rPr>
          <w:rStyle w:val="13"/>
          <w:rFonts w:ascii="宋体"/>
          <w:color w:val="000000"/>
          <w:sz w:val="24"/>
        </w:rPr>
      </w:pPr>
      <w:r>
        <w:rPr>
          <w:rStyle w:val="13"/>
          <w:rFonts w:ascii="宋体" w:hAnsi="宋体"/>
          <w:color w:val="000000"/>
          <w:sz w:val="24"/>
        </w:rPr>
        <w:t>12.2</w:t>
      </w:r>
      <w:r>
        <w:rPr>
          <w:rStyle w:val="13"/>
          <w:rFonts w:ascii="宋体" w:hAnsi="宋体"/>
          <w:color w:val="000000"/>
          <w:sz w:val="24"/>
        </w:rPr>
        <w:tab/>
      </w:r>
      <w:r>
        <w:rPr>
          <w:rStyle w:val="13"/>
          <w:rFonts w:ascii="宋体" w:hAnsi="宋体"/>
          <w:color w:val="000000"/>
          <w:sz w:val="24"/>
        </w:rPr>
        <w:t>投标报价、货款一律使用人民币，以“元”为单位；</w:t>
      </w:r>
    </w:p>
    <w:p>
      <w:pPr>
        <w:spacing w:line="360" w:lineRule="auto"/>
        <w:ind w:left="714" w:leftChars="1" w:hanging="712" w:hangingChars="297"/>
        <w:rPr>
          <w:rStyle w:val="13"/>
          <w:rFonts w:ascii="宋体"/>
          <w:color w:val="000000"/>
          <w:sz w:val="24"/>
        </w:rPr>
      </w:pPr>
      <w:r>
        <w:rPr>
          <w:rStyle w:val="13"/>
          <w:rFonts w:ascii="宋体" w:hAnsi="宋体"/>
          <w:color w:val="000000"/>
          <w:sz w:val="24"/>
        </w:rPr>
        <w:t>12.3</w:t>
      </w:r>
      <w:r>
        <w:rPr>
          <w:rStyle w:val="13"/>
          <w:rFonts w:ascii="宋体" w:hAnsi="宋体"/>
          <w:color w:val="000000"/>
          <w:sz w:val="24"/>
        </w:rPr>
        <w:tab/>
      </w:r>
      <w:r>
        <w:rPr>
          <w:rStyle w:val="13"/>
          <w:rFonts w:ascii="宋体" w:hAnsi="宋体"/>
          <w:b/>
          <w:color w:val="000000"/>
          <w:sz w:val="24"/>
        </w:rPr>
        <w:t>投标报价</w:t>
      </w:r>
      <w:r>
        <w:rPr>
          <w:rStyle w:val="13"/>
          <w:rFonts w:ascii="宋体" w:hAnsi="宋体"/>
          <w:color w:val="000000"/>
          <w:sz w:val="24"/>
        </w:rPr>
        <w:t>为本次招标的设备，从采购、运输、卸货至指定地点、安装、验收合格、交付使用及售后服务等的人民币报价。综合单价包括了设备采购、安装，包括常规配件、易损件的采购、运输、现场施工、检验试验，因质量问题引起的维修和更换、技术指导和培训、成品保护、投标人的利润、税金、政策性文件的规定以及包括原材料涨价等合同明示或暗示的所有一切风险、责任和义务的费用。</w:t>
      </w:r>
    </w:p>
    <w:p>
      <w:pPr>
        <w:spacing w:line="360" w:lineRule="auto"/>
        <w:ind w:left="714" w:leftChars="1" w:hanging="712" w:hangingChars="297"/>
        <w:rPr>
          <w:rStyle w:val="13"/>
          <w:rFonts w:ascii="宋体"/>
          <w:color w:val="000000"/>
          <w:sz w:val="24"/>
        </w:rPr>
      </w:pPr>
      <w:r>
        <w:rPr>
          <w:rStyle w:val="13"/>
          <w:rFonts w:ascii="宋体" w:hAnsi="宋体"/>
          <w:color w:val="000000"/>
          <w:sz w:val="24"/>
        </w:rPr>
        <w:t>12.4</w:t>
      </w:r>
      <w:r>
        <w:rPr>
          <w:rStyle w:val="13"/>
          <w:rFonts w:ascii="宋体" w:hAnsi="宋体"/>
          <w:color w:val="000000"/>
          <w:sz w:val="24"/>
        </w:rPr>
        <w:tab/>
      </w:r>
      <w:r>
        <w:rPr>
          <w:rStyle w:val="13"/>
          <w:rFonts w:ascii="宋体" w:hAnsi="宋体"/>
          <w:color w:val="000000"/>
          <w:sz w:val="24"/>
        </w:rPr>
        <w:t>投标人对每一标的只允许有一个报价，如有优惠折扣等，即在投标承诺书中注明，并做到投标承诺书的总价与投标报价表中的总价一致；</w:t>
      </w:r>
    </w:p>
    <w:p>
      <w:pPr>
        <w:spacing w:line="360" w:lineRule="auto"/>
        <w:ind w:left="714" w:leftChars="1" w:hanging="712" w:hangingChars="297"/>
        <w:rPr>
          <w:rStyle w:val="13"/>
          <w:rFonts w:ascii="宋体"/>
          <w:color w:val="000000"/>
          <w:sz w:val="24"/>
        </w:rPr>
      </w:pPr>
      <w:r>
        <w:rPr>
          <w:rStyle w:val="13"/>
          <w:rFonts w:ascii="宋体" w:hAnsi="宋体"/>
          <w:color w:val="000000"/>
          <w:sz w:val="24"/>
        </w:rPr>
        <w:t>12.5</w:t>
      </w:r>
      <w:r>
        <w:rPr>
          <w:rStyle w:val="13"/>
          <w:rFonts w:ascii="宋体" w:hAnsi="宋体"/>
          <w:color w:val="000000"/>
          <w:sz w:val="24"/>
        </w:rPr>
        <w:tab/>
      </w:r>
      <w:r>
        <w:rPr>
          <w:rStyle w:val="13"/>
          <w:rFonts w:ascii="宋体" w:hAnsi="宋体"/>
          <w:color w:val="000000"/>
          <w:sz w:val="24"/>
        </w:rPr>
        <w:t>除非本招标文件约定，对同一标的项目允许提供备选方案而出现二个或以上的报价外，投标人对同一个标的项目有选择的报价，将被拒绝。</w:t>
      </w:r>
    </w:p>
    <w:p>
      <w:pPr>
        <w:spacing w:line="360" w:lineRule="auto"/>
        <w:ind w:left="718" w:leftChars="1" w:hanging="716" w:hangingChars="297"/>
        <w:rPr>
          <w:rStyle w:val="13"/>
          <w:rFonts w:ascii="宋体"/>
          <w:b/>
          <w:bCs/>
          <w:color w:val="000000"/>
          <w:sz w:val="24"/>
        </w:rPr>
      </w:pPr>
      <w:r>
        <w:rPr>
          <w:rStyle w:val="13"/>
          <w:rFonts w:ascii="宋体" w:hAnsi="宋体"/>
          <w:b/>
          <w:bCs/>
          <w:color w:val="000000"/>
          <w:sz w:val="24"/>
        </w:rPr>
        <w:t>13．</w:t>
      </w:r>
      <w:r>
        <w:rPr>
          <w:rStyle w:val="13"/>
          <w:rFonts w:ascii="宋体"/>
          <w:b/>
          <w:bCs/>
          <w:color w:val="000000"/>
          <w:sz w:val="24"/>
        </w:rPr>
        <w:tab/>
      </w:r>
      <w:r>
        <w:rPr>
          <w:rStyle w:val="13"/>
          <w:rFonts w:ascii="宋体" w:hAnsi="宋体"/>
          <w:b/>
          <w:bCs/>
          <w:color w:val="000000"/>
          <w:sz w:val="24"/>
        </w:rPr>
        <w:t>投标文件的签署及规定</w:t>
      </w:r>
    </w:p>
    <w:p>
      <w:pPr>
        <w:spacing w:line="360" w:lineRule="auto"/>
        <w:ind w:left="714" w:leftChars="1" w:hanging="712" w:hangingChars="297"/>
        <w:rPr>
          <w:rStyle w:val="13"/>
          <w:rFonts w:ascii="宋体"/>
          <w:color w:val="000000"/>
          <w:sz w:val="24"/>
        </w:rPr>
      </w:pPr>
      <w:r>
        <w:rPr>
          <w:rStyle w:val="13"/>
          <w:rFonts w:ascii="宋体" w:hAnsi="宋体"/>
          <w:color w:val="000000"/>
          <w:sz w:val="24"/>
        </w:rPr>
        <w:t>13.1</w:t>
      </w:r>
      <w:r>
        <w:rPr>
          <w:rStyle w:val="13"/>
          <w:rFonts w:ascii="宋体" w:hAnsi="宋体"/>
          <w:color w:val="000000"/>
          <w:sz w:val="24"/>
        </w:rPr>
        <w:tab/>
      </w:r>
      <w:r>
        <w:rPr>
          <w:rStyle w:val="13"/>
          <w:rFonts w:ascii="宋体" w:hAnsi="宋体"/>
          <w:color w:val="000000"/>
          <w:sz w:val="24"/>
        </w:rPr>
        <w:t>投标人应印制投标文件</w:t>
      </w:r>
      <w:r>
        <w:rPr>
          <w:rStyle w:val="13"/>
          <w:rFonts w:ascii="宋体" w:hAnsi="宋体"/>
          <w:b/>
          <w:color w:val="000000"/>
          <w:sz w:val="24"/>
        </w:rPr>
        <w:t>正本壹份、副本肆份</w:t>
      </w:r>
      <w:r>
        <w:rPr>
          <w:rStyle w:val="13"/>
          <w:rFonts w:ascii="宋体" w:hAnsi="宋体"/>
          <w:color w:val="000000"/>
          <w:sz w:val="24"/>
        </w:rPr>
        <w:t>。每一份投标文件注明“正本”或“副本”字样。若正本与副本有差异，以正本为准。</w:t>
      </w:r>
    </w:p>
    <w:p>
      <w:pPr>
        <w:spacing w:line="360" w:lineRule="auto"/>
        <w:ind w:left="714" w:leftChars="1" w:hanging="712" w:hangingChars="297"/>
        <w:rPr>
          <w:rStyle w:val="13"/>
          <w:rFonts w:ascii="宋体"/>
          <w:color w:val="000000"/>
          <w:sz w:val="24"/>
        </w:rPr>
      </w:pPr>
      <w:r>
        <w:rPr>
          <w:rStyle w:val="13"/>
          <w:rFonts w:ascii="宋体" w:hAnsi="宋体"/>
          <w:color w:val="000000"/>
          <w:sz w:val="24"/>
        </w:rPr>
        <w:t>13.2</w:t>
      </w:r>
      <w:r>
        <w:rPr>
          <w:rStyle w:val="13"/>
          <w:rFonts w:ascii="宋体" w:hAnsi="宋体"/>
          <w:color w:val="000000"/>
          <w:sz w:val="24"/>
        </w:rPr>
        <w:tab/>
      </w:r>
      <w:r>
        <w:rPr>
          <w:rStyle w:val="13"/>
          <w:rFonts w:ascii="宋体" w:hAnsi="宋体"/>
          <w:color w:val="000000"/>
          <w:sz w:val="24"/>
        </w:rPr>
        <w:t>投标人如在招标文件提供的格式样本上或格式样本复印件上填写数据和文字作为投标书的，其投标将被拒绝。</w:t>
      </w:r>
    </w:p>
    <w:p>
      <w:pPr>
        <w:spacing w:line="360" w:lineRule="auto"/>
        <w:ind w:left="714" w:leftChars="1" w:hanging="712" w:hangingChars="297"/>
        <w:rPr>
          <w:rStyle w:val="13"/>
          <w:rFonts w:ascii="宋体"/>
          <w:color w:val="000000"/>
          <w:sz w:val="24"/>
        </w:rPr>
      </w:pPr>
      <w:r>
        <w:rPr>
          <w:rStyle w:val="13"/>
          <w:rFonts w:ascii="宋体" w:hAnsi="宋体"/>
          <w:color w:val="000000"/>
          <w:sz w:val="24"/>
        </w:rPr>
        <w:t>13.3</w:t>
      </w:r>
      <w:r>
        <w:rPr>
          <w:rStyle w:val="13"/>
          <w:rFonts w:ascii="宋体" w:hAnsi="宋体"/>
          <w:color w:val="000000"/>
          <w:sz w:val="24"/>
        </w:rPr>
        <w:tab/>
      </w:r>
      <w:r>
        <w:rPr>
          <w:rStyle w:val="13"/>
          <w:rFonts w:ascii="宋体" w:hAnsi="宋体"/>
          <w:color w:val="000000"/>
          <w:sz w:val="24"/>
        </w:rPr>
        <w:t>投标文件正本和副本须由投标人法人代表或由法人代表正式授权的投标人代表签字，按规定必须逐页盖章。否则将被视为无效投标。</w:t>
      </w:r>
    </w:p>
    <w:p>
      <w:pPr>
        <w:spacing w:line="360" w:lineRule="auto"/>
        <w:ind w:left="718" w:leftChars="1" w:hanging="716" w:hangingChars="297"/>
        <w:jc w:val="center"/>
        <w:rPr>
          <w:rStyle w:val="13"/>
          <w:rFonts w:ascii="宋体"/>
          <w:b/>
          <w:color w:val="000000"/>
          <w:sz w:val="24"/>
        </w:rPr>
      </w:pPr>
      <w:r>
        <w:rPr>
          <w:rStyle w:val="13"/>
          <w:rFonts w:ascii="宋体" w:hAnsi="宋体"/>
          <w:b/>
          <w:color w:val="000000"/>
          <w:sz w:val="24"/>
        </w:rPr>
        <w:t>C   投标文件的递交</w:t>
      </w:r>
    </w:p>
    <w:p>
      <w:pPr>
        <w:spacing w:line="360" w:lineRule="auto"/>
        <w:ind w:left="718" w:leftChars="1" w:hanging="716" w:hangingChars="297"/>
        <w:rPr>
          <w:rStyle w:val="13"/>
          <w:rFonts w:ascii="宋体"/>
          <w:b/>
          <w:bCs/>
          <w:color w:val="000000"/>
          <w:sz w:val="24"/>
        </w:rPr>
      </w:pPr>
      <w:r>
        <w:rPr>
          <w:rStyle w:val="13"/>
          <w:rFonts w:ascii="宋体" w:hAnsi="宋体"/>
          <w:b/>
          <w:bCs/>
          <w:color w:val="000000"/>
          <w:sz w:val="24"/>
        </w:rPr>
        <w:t>14．</w:t>
      </w:r>
      <w:r>
        <w:rPr>
          <w:rStyle w:val="13"/>
          <w:rFonts w:ascii="宋体"/>
          <w:b/>
          <w:bCs/>
          <w:color w:val="000000"/>
          <w:sz w:val="24"/>
        </w:rPr>
        <w:tab/>
      </w:r>
      <w:r>
        <w:rPr>
          <w:rStyle w:val="13"/>
          <w:rFonts w:ascii="宋体" w:hAnsi="宋体"/>
          <w:b/>
          <w:bCs/>
          <w:color w:val="000000"/>
          <w:sz w:val="24"/>
        </w:rPr>
        <w:t>投标文件的密封和标记</w:t>
      </w:r>
    </w:p>
    <w:p>
      <w:pPr>
        <w:spacing w:line="360" w:lineRule="auto"/>
        <w:ind w:left="714" w:leftChars="1" w:hanging="712" w:hangingChars="297"/>
        <w:rPr>
          <w:rStyle w:val="13"/>
          <w:rFonts w:ascii="宋体" w:hAnsi="宋体"/>
          <w:color w:val="000000"/>
          <w:sz w:val="24"/>
        </w:rPr>
      </w:pPr>
      <w:r>
        <w:rPr>
          <w:rStyle w:val="13"/>
          <w:rFonts w:ascii="宋体" w:hAnsi="宋体"/>
          <w:color w:val="000000"/>
          <w:sz w:val="24"/>
        </w:rPr>
        <w:t>14.1</w:t>
      </w:r>
      <w:r>
        <w:rPr>
          <w:rStyle w:val="13"/>
          <w:rFonts w:ascii="宋体" w:hAnsi="宋体"/>
          <w:color w:val="000000"/>
          <w:sz w:val="24"/>
        </w:rPr>
        <w:tab/>
      </w:r>
      <w:r>
        <w:rPr>
          <w:rStyle w:val="13"/>
          <w:rFonts w:ascii="宋体"/>
          <w:color w:val="000000"/>
          <w:sz w:val="24"/>
        </w:rPr>
        <w:tab/>
      </w:r>
      <w:r>
        <w:rPr>
          <w:rStyle w:val="13"/>
          <w:rFonts w:ascii="宋体" w:hAnsi="宋体"/>
          <w:color w:val="000000"/>
          <w:sz w:val="24"/>
        </w:rPr>
        <w:t>投标人应将投标文件</w:t>
      </w:r>
      <w:r>
        <w:rPr>
          <w:rStyle w:val="13"/>
          <w:rFonts w:ascii="宋体"/>
          <w:b/>
          <w:color w:val="000000"/>
          <w:sz w:val="24"/>
        </w:rPr>
        <w:t>“</w:t>
      </w:r>
      <w:r>
        <w:rPr>
          <w:rStyle w:val="13"/>
          <w:rFonts w:ascii="宋体" w:hAnsi="宋体"/>
          <w:b/>
          <w:color w:val="000000"/>
          <w:sz w:val="24"/>
        </w:rPr>
        <w:t>正本</w:t>
      </w:r>
      <w:r>
        <w:rPr>
          <w:rStyle w:val="13"/>
          <w:rFonts w:ascii="宋体"/>
          <w:b/>
          <w:color w:val="000000"/>
          <w:sz w:val="24"/>
        </w:rPr>
        <w:t>”</w:t>
      </w:r>
      <w:r>
        <w:rPr>
          <w:rStyle w:val="13"/>
          <w:rFonts w:ascii="宋体" w:hAnsi="宋体"/>
          <w:b/>
          <w:color w:val="000000"/>
          <w:sz w:val="24"/>
        </w:rPr>
        <w:t>、</w:t>
      </w:r>
      <w:r>
        <w:rPr>
          <w:rStyle w:val="13"/>
          <w:rFonts w:ascii="宋体"/>
          <w:b/>
          <w:color w:val="000000"/>
          <w:sz w:val="24"/>
        </w:rPr>
        <w:t>”</w:t>
      </w:r>
      <w:r>
        <w:rPr>
          <w:rStyle w:val="13"/>
          <w:rFonts w:ascii="宋体" w:hAnsi="宋体"/>
          <w:b/>
          <w:color w:val="000000"/>
          <w:sz w:val="24"/>
        </w:rPr>
        <w:t xml:space="preserve"> 副本</w:t>
      </w:r>
      <w:r>
        <w:rPr>
          <w:rStyle w:val="13"/>
          <w:rFonts w:ascii="宋体"/>
          <w:b/>
          <w:color w:val="000000"/>
          <w:sz w:val="24"/>
        </w:rPr>
        <w:t>”</w:t>
      </w:r>
      <w:r>
        <w:rPr>
          <w:rStyle w:val="13"/>
          <w:rFonts w:ascii="宋体" w:hAnsi="宋体"/>
          <w:b/>
          <w:color w:val="000000"/>
          <w:sz w:val="24"/>
        </w:rPr>
        <w:t>、</w:t>
      </w:r>
      <w:r>
        <w:rPr>
          <w:rStyle w:val="13"/>
          <w:rFonts w:ascii="宋体"/>
          <w:b/>
          <w:color w:val="000000"/>
          <w:sz w:val="24"/>
        </w:rPr>
        <w:t>“各类证件原件及复印件”</w:t>
      </w:r>
      <w:r>
        <w:rPr>
          <w:rStyle w:val="13"/>
          <w:rFonts w:ascii="宋体" w:hAnsi="宋体"/>
          <w:color w:val="000000"/>
          <w:sz w:val="24"/>
        </w:rPr>
        <w:t>分别密封，在密封袋上注明项目名称、单位名称、地址、邮政编码、联系人、联系电话及</w:t>
      </w:r>
      <w:r>
        <w:rPr>
          <w:rStyle w:val="13"/>
          <w:rFonts w:ascii="宋体" w:hAnsi="宋体"/>
          <w:b/>
          <w:color w:val="000000"/>
          <w:sz w:val="24"/>
        </w:rPr>
        <w:t>正本</w:t>
      </w:r>
      <w:r>
        <w:rPr>
          <w:rStyle w:val="13"/>
          <w:rFonts w:ascii="宋体"/>
          <w:b/>
          <w:color w:val="000000"/>
          <w:sz w:val="24"/>
        </w:rPr>
        <w:t>”</w:t>
      </w:r>
      <w:r>
        <w:rPr>
          <w:rStyle w:val="13"/>
          <w:rFonts w:ascii="宋体" w:hAnsi="宋体"/>
          <w:b/>
          <w:color w:val="000000"/>
          <w:sz w:val="24"/>
        </w:rPr>
        <w:t>、</w:t>
      </w:r>
      <w:r>
        <w:rPr>
          <w:rStyle w:val="13"/>
          <w:rFonts w:ascii="宋体"/>
          <w:b/>
          <w:color w:val="000000"/>
          <w:sz w:val="24"/>
        </w:rPr>
        <w:t>”</w:t>
      </w:r>
      <w:r>
        <w:rPr>
          <w:rStyle w:val="13"/>
          <w:rFonts w:ascii="宋体" w:hAnsi="宋体"/>
          <w:b/>
          <w:color w:val="000000"/>
          <w:sz w:val="24"/>
        </w:rPr>
        <w:t xml:space="preserve"> 副本</w:t>
      </w:r>
      <w:r>
        <w:rPr>
          <w:rStyle w:val="13"/>
          <w:rFonts w:ascii="宋体"/>
          <w:b/>
          <w:color w:val="000000"/>
          <w:sz w:val="24"/>
        </w:rPr>
        <w:t>”</w:t>
      </w:r>
      <w:r>
        <w:rPr>
          <w:rStyle w:val="13"/>
          <w:rFonts w:ascii="宋体" w:hAnsi="宋体"/>
          <w:b/>
          <w:color w:val="000000"/>
          <w:sz w:val="24"/>
        </w:rPr>
        <w:t>、</w:t>
      </w:r>
      <w:r>
        <w:rPr>
          <w:rStyle w:val="13"/>
          <w:rFonts w:ascii="宋体"/>
          <w:b/>
          <w:color w:val="000000"/>
          <w:sz w:val="24"/>
        </w:rPr>
        <w:t>“各类证件原件及复印件”</w:t>
      </w:r>
      <w:r>
        <w:rPr>
          <w:rStyle w:val="13"/>
          <w:rFonts w:ascii="宋体" w:hAnsi="宋体"/>
          <w:color w:val="000000"/>
          <w:sz w:val="24"/>
        </w:rPr>
        <w:t>等字样，密封袋须加盖法人公章或投标专用章以及法定代表人或委托代理人</w:t>
      </w:r>
      <w:r>
        <w:rPr>
          <w:rStyle w:val="13"/>
          <w:rFonts w:hint="eastAsia" w:ascii="宋体" w:hAnsi="宋体"/>
          <w:color w:val="000000"/>
          <w:sz w:val="24"/>
        </w:rPr>
        <w:t>签字</w:t>
      </w:r>
      <w:r>
        <w:rPr>
          <w:rStyle w:val="13"/>
          <w:rFonts w:ascii="宋体" w:hAnsi="宋体"/>
          <w:color w:val="000000"/>
          <w:sz w:val="24"/>
        </w:rPr>
        <w:t>，并应确保密封完好，加盖骑缝章。</w:t>
      </w:r>
      <w:r>
        <w:rPr>
          <w:rStyle w:val="13"/>
          <w:rFonts w:ascii="宋体" w:hAnsi="宋体"/>
          <w:color w:val="0000FF"/>
          <w:sz w:val="24"/>
        </w:rPr>
        <w:t xml:space="preserve">                         </w:t>
      </w:r>
      <w:r>
        <w:rPr>
          <w:rStyle w:val="13"/>
          <w:rFonts w:ascii="宋体" w:hAnsi="宋体"/>
          <w:color w:val="000000"/>
          <w:sz w:val="24"/>
        </w:rPr>
        <w:t xml:space="preserve">                  </w:t>
      </w:r>
    </w:p>
    <w:p>
      <w:pPr>
        <w:spacing w:line="360" w:lineRule="auto"/>
        <w:ind w:left="480" w:hanging="480" w:hangingChars="200"/>
        <w:rPr>
          <w:rStyle w:val="13"/>
          <w:rFonts w:ascii="宋体"/>
          <w:color w:val="000000"/>
          <w:sz w:val="24"/>
        </w:rPr>
      </w:pPr>
      <w:r>
        <w:rPr>
          <w:rStyle w:val="13"/>
          <w:rFonts w:ascii="宋体" w:hAnsi="宋体"/>
          <w:color w:val="000000"/>
          <w:sz w:val="24"/>
        </w:rPr>
        <w:t>14.2  缴纳投标保证金的银行转账凭证应与原件一起密封，不准夹在正本和副本密封袋内。缴纳投标保证金的银行转账凭证复印件装订在投标文件内。</w:t>
      </w:r>
    </w:p>
    <w:p>
      <w:pPr>
        <w:spacing w:line="360" w:lineRule="auto"/>
        <w:ind w:left="714" w:leftChars="1" w:hanging="712" w:hangingChars="297"/>
        <w:rPr>
          <w:rStyle w:val="13"/>
          <w:rFonts w:ascii="宋体"/>
          <w:color w:val="000000"/>
          <w:sz w:val="24"/>
        </w:rPr>
      </w:pPr>
      <w:r>
        <w:rPr>
          <w:rStyle w:val="13"/>
          <w:rFonts w:ascii="宋体" w:hAnsi="宋体"/>
          <w:color w:val="000000"/>
          <w:sz w:val="24"/>
        </w:rPr>
        <w:t>14.3</w:t>
      </w:r>
      <w:r>
        <w:rPr>
          <w:rStyle w:val="13"/>
          <w:rFonts w:ascii="宋体" w:hAnsi="宋体"/>
          <w:color w:val="000000"/>
          <w:sz w:val="24"/>
        </w:rPr>
        <w:tab/>
      </w:r>
      <w:r>
        <w:rPr>
          <w:rStyle w:val="13"/>
          <w:rFonts w:ascii="宋体" w:hAnsi="宋体"/>
          <w:color w:val="000000"/>
          <w:sz w:val="24"/>
        </w:rPr>
        <w:t>每一密封袋上注明“于</w:t>
      </w:r>
      <w:r>
        <w:rPr>
          <w:rStyle w:val="13"/>
          <w:rFonts w:ascii="宋体" w:hAnsi="宋体"/>
          <w:color w:val="000000"/>
          <w:sz w:val="24"/>
          <w:u w:val="single"/>
        </w:rPr>
        <w:t>2020年5月3日11：</w:t>
      </w:r>
      <w:r>
        <w:rPr>
          <w:rStyle w:val="13"/>
          <w:rFonts w:ascii="宋体"/>
          <w:color w:val="000000"/>
          <w:sz w:val="24"/>
          <w:u w:val="single"/>
        </w:rPr>
        <w:t>00</w:t>
      </w:r>
      <w:r>
        <w:rPr>
          <w:rStyle w:val="13"/>
          <w:rFonts w:ascii="宋体" w:hAnsi="宋体"/>
          <w:color w:val="000000"/>
          <w:sz w:val="24"/>
        </w:rPr>
        <w:t>开标之前不准启封”字样。</w:t>
      </w:r>
    </w:p>
    <w:p>
      <w:pPr>
        <w:spacing w:line="360" w:lineRule="auto"/>
        <w:ind w:left="718" w:leftChars="1" w:hanging="716" w:hangingChars="297"/>
        <w:rPr>
          <w:rStyle w:val="13"/>
          <w:rFonts w:ascii="宋体"/>
          <w:b/>
          <w:bCs/>
          <w:color w:val="000000"/>
          <w:sz w:val="24"/>
        </w:rPr>
      </w:pPr>
      <w:r>
        <w:rPr>
          <w:rStyle w:val="13"/>
          <w:rFonts w:ascii="宋体" w:hAnsi="宋体"/>
          <w:b/>
          <w:bCs/>
          <w:color w:val="000000"/>
          <w:sz w:val="24"/>
        </w:rPr>
        <w:t>15．</w:t>
      </w:r>
      <w:r>
        <w:rPr>
          <w:rStyle w:val="13"/>
          <w:rFonts w:ascii="宋体"/>
          <w:b/>
          <w:bCs/>
          <w:color w:val="000000"/>
          <w:sz w:val="24"/>
        </w:rPr>
        <w:tab/>
      </w:r>
      <w:r>
        <w:rPr>
          <w:rStyle w:val="13"/>
          <w:rFonts w:ascii="宋体" w:hAnsi="宋体"/>
          <w:b/>
          <w:bCs/>
          <w:color w:val="000000"/>
          <w:sz w:val="24"/>
        </w:rPr>
        <w:t>投标文件的递交</w:t>
      </w:r>
    </w:p>
    <w:p>
      <w:pPr>
        <w:spacing w:line="360" w:lineRule="auto"/>
        <w:ind w:left="714" w:leftChars="1" w:hanging="712" w:hangingChars="297"/>
        <w:rPr>
          <w:rStyle w:val="13"/>
          <w:rFonts w:ascii="宋体"/>
          <w:color w:val="000000"/>
          <w:sz w:val="24"/>
        </w:rPr>
      </w:pPr>
      <w:r>
        <w:rPr>
          <w:rStyle w:val="13"/>
          <w:rFonts w:ascii="宋体" w:hAnsi="宋体"/>
          <w:color w:val="000000"/>
          <w:sz w:val="24"/>
        </w:rPr>
        <w:t>15.1</w:t>
      </w:r>
      <w:r>
        <w:rPr>
          <w:rStyle w:val="13"/>
          <w:rFonts w:ascii="宋体" w:hAnsi="宋体"/>
          <w:color w:val="000000"/>
          <w:sz w:val="24"/>
        </w:rPr>
        <w:tab/>
      </w:r>
      <w:r>
        <w:rPr>
          <w:rStyle w:val="13"/>
          <w:rFonts w:ascii="宋体" w:hAnsi="宋体"/>
          <w:color w:val="000000"/>
          <w:sz w:val="24"/>
        </w:rPr>
        <w:t>投标文件应派专人在招标文件中规定的截止时间前送达招标人，由招标人工作人员签收保存。逾期送达的或者未送达指定地点的投标文件招标人不予受理。</w:t>
      </w:r>
    </w:p>
    <w:p>
      <w:pPr>
        <w:spacing w:line="360" w:lineRule="auto"/>
        <w:ind w:left="714" w:leftChars="1" w:hanging="712" w:hangingChars="297"/>
        <w:rPr>
          <w:rStyle w:val="13"/>
          <w:rFonts w:ascii="宋体"/>
          <w:color w:val="000000"/>
          <w:sz w:val="24"/>
        </w:rPr>
      </w:pPr>
      <w:r>
        <w:rPr>
          <w:rStyle w:val="13"/>
          <w:rFonts w:ascii="宋体" w:hAnsi="宋体"/>
          <w:color w:val="000000"/>
          <w:sz w:val="24"/>
        </w:rPr>
        <w:t>15.2</w:t>
      </w:r>
      <w:r>
        <w:rPr>
          <w:rStyle w:val="13"/>
          <w:rFonts w:ascii="宋体" w:hAnsi="宋体"/>
          <w:color w:val="000000"/>
          <w:sz w:val="24"/>
        </w:rPr>
        <w:tab/>
      </w:r>
      <w:r>
        <w:rPr>
          <w:rStyle w:val="13"/>
          <w:rFonts w:ascii="宋体" w:hAnsi="宋体"/>
          <w:color w:val="000000"/>
          <w:sz w:val="24"/>
        </w:rPr>
        <w:t>任何单位和个人不得在开标前开启投标文件。</w:t>
      </w:r>
    </w:p>
    <w:p>
      <w:pPr>
        <w:spacing w:line="360" w:lineRule="auto"/>
        <w:ind w:left="718" w:leftChars="1" w:hanging="716" w:hangingChars="297"/>
        <w:rPr>
          <w:rStyle w:val="13"/>
          <w:rFonts w:ascii="宋体"/>
          <w:b/>
          <w:bCs/>
          <w:color w:val="000000"/>
          <w:sz w:val="24"/>
        </w:rPr>
      </w:pPr>
      <w:r>
        <w:rPr>
          <w:rStyle w:val="13"/>
          <w:rFonts w:ascii="宋体" w:hAnsi="宋体"/>
          <w:b/>
          <w:bCs/>
          <w:color w:val="000000"/>
          <w:sz w:val="24"/>
        </w:rPr>
        <w:t>16．</w:t>
      </w:r>
      <w:r>
        <w:rPr>
          <w:rStyle w:val="13"/>
          <w:rFonts w:ascii="宋体"/>
          <w:b/>
          <w:bCs/>
          <w:color w:val="000000"/>
          <w:sz w:val="24"/>
        </w:rPr>
        <w:tab/>
      </w:r>
      <w:r>
        <w:rPr>
          <w:rStyle w:val="13"/>
          <w:rFonts w:ascii="宋体" w:hAnsi="宋体"/>
          <w:b/>
          <w:bCs/>
          <w:color w:val="000000"/>
          <w:sz w:val="24"/>
        </w:rPr>
        <w:t>投标文件的修改</w:t>
      </w:r>
    </w:p>
    <w:p>
      <w:pPr>
        <w:spacing w:line="360" w:lineRule="auto"/>
        <w:ind w:left="714" w:leftChars="1" w:hanging="712" w:hangingChars="297"/>
        <w:rPr>
          <w:rStyle w:val="13"/>
          <w:rFonts w:ascii="宋体"/>
          <w:color w:val="000000"/>
          <w:sz w:val="24"/>
        </w:rPr>
      </w:pPr>
      <w:r>
        <w:rPr>
          <w:rStyle w:val="13"/>
          <w:rFonts w:ascii="宋体" w:hAnsi="宋体"/>
          <w:color w:val="000000"/>
          <w:sz w:val="24"/>
        </w:rPr>
        <w:t>16.1</w:t>
      </w:r>
      <w:r>
        <w:rPr>
          <w:rStyle w:val="13"/>
          <w:rFonts w:ascii="宋体" w:hAnsi="宋体"/>
          <w:color w:val="000000"/>
          <w:sz w:val="24"/>
        </w:rPr>
        <w:tab/>
      </w:r>
      <w:r>
        <w:rPr>
          <w:rStyle w:val="13"/>
          <w:rFonts w:ascii="宋体" w:hAnsi="宋体"/>
          <w:color w:val="000000"/>
          <w:sz w:val="24"/>
        </w:rPr>
        <w:t>投标人递交投标文件后，可以修改投标文件，但必须在规定的投标截止时间前，用书面形式将修改文本送交招标人。修改文本同样用密封袋密封，注明“修改文件”字样，并按第13.3条和第14.1条以及第14.3条要求签署盖章。修改文件是投标文件的组成部分。</w:t>
      </w:r>
    </w:p>
    <w:p>
      <w:pPr>
        <w:spacing w:line="360" w:lineRule="auto"/>
        <w:ind w:left="718" w:leftChars="1" w:hanging="716" w:hangingChars="297"/>
        <w:rPr>
          <w:rStyle w:val="13"/>
          <w:rFonts w:ascii="宋体"/>
          <w:b/>
          <w:bCs/>
          <w:color w:val="000000"/>
          <w:sz w:val="24"/>
        </w:rPr>
      </w:pPr>
      <w:r>
        <w:rPr>
          <w:rStyle w:val="13"/>
          <w:rFonts w:ascii="宋体" w:hAnsi="宋体"/>
          <w:b/>
          <w:bCs/>
          <w:color w:val="000000"/>
          <w:sz w:val="24"/>
        </w:rPr>
        <w:t>17．</w:t>
      </w:r>
      <w:r>
        <w:rPr>
          <w:rStyle w:val="13"/>
          <w:rFonts w:ascii="宋体"/>
          <w:b/>
          <w:bCs/>
          <w:color w:val="000000"/>
          <w:sz w:val="24"/>
        </w:rPr>
        <w:tab/>
      </w:r>
      <w:r>
        <w:rPr>
          <w:rStyle w:val="13"/>
          <w:rFonts w:ascii="宋体" w:hAnsi="宋体"/>
          <w:b/>
          <w:bCs/>
          <w:color w:val="000000"/>
          <w:sz w:val="24"/>
        </w:rPr>
        <w:t>投标文件的撤回、修改、补充</w:t>
      </w:r>
    </w:p>
    <w:p>
      <w:pPr>
        <w:spacing w:line="360" w:lineRule="auto"/>
        <w:ind w:left="714" w:leftChars="1" w:hanging="712" w:hangingChars="297"/>
        <w:rPr>
          <w:rStyle w:val="13"/>
          <w:rFonts w:ascii="宋体"/>
          <w:color w:val="000000"/>
          <w:sz w:val="24"/>
        </w:rPr>
      </w:pPr>
      <w:r>
        <w:rPr>
          <w:rStyle w:val="13"/>
          <w:rFonts w:ascii="宋体" w:hAnsi="宋体"/>
          <w:color w:val="000000"/>
          <w:sz w:val="24"/>
        </w:rPr>
        <w:t>17.1</w:t>
      </w:r>
      <w:r>
        <w:rPr>
          <w:rStyle w:val="13"/>
          <w:rFonts w:ascii="宋体" w:hAnsi="宋体"/>
          <w:color w:val="000000"/>
          <w:sz w:val="24"/>
        </w:rPr>
        <w:tab/>
      </w:r>
      <w:r>
        <w:rPr>
          <w:rStyle w:val="13"/>
          <w:rFonts w:ascii="宋体" w:hAnsi="宋体"/>
          <w:color w:val="000000"/>
          <w:sz w:val="24"/>
        </w:rPr>
        <w:t>投标人递交投标文件后，可以撤回、修改、补充投标文件，但必须在投标截止时间之前撤回、修改、补充；</w:t>
      </w:r>
    </w:p>
    <w:p>
      <w:pPr>
        <w:spacing w:line="360" w:lineRule="auto"/>
        <w:ind w:left="714" w:leftChars="1" w:hanging="712" w:hangingChars="297"/>
        <w:rPr>
          <w:rStyle w:val="13"/>
          <w:rFonts w:ascii="宋体"/>
          <w:color w:val="000000"/>
          <w:sz w:val="24"/>
        </w:rPr>
      </w:pPr>
      <w:r>
        <w:rPr>
          <w:rStyle w:val="13"/>
          <w:rFonts w:ascii="宋体" w:hAnsi="宋体"/>
          <w:color w:val="000000"/>
          <w:sz w:val="24"/>
        </w:rPr>
        <w:t>17.2</w:t>
      </w:r>
      <w:r>
        <w:rPr>
          <w:rStyle w:val="13"/>
          <w:rFonts w:ascii="宋体" w:hAnsi="宋体"/>
          <w:color w:val="000000"/>
          <w:sz w:val="24"/>
        </w:rPr>
        <w:tab/>
      </w:r>
      <w:r>
        <w:rPr>
          <w:rStyle w:val="13"/>
          <w:rFonts w:ascii="宋体" w:hAnsi="宋体"/>
          <w:color w:val="000000"/>
          <w:sz w:val="24"/>
        </w:rPr>
        <w:t>投标人撤回、修改、补充投标文件时，须向招标人出示加盖有单位公章的公函，或由法人代表本人（出示法人代表证明）、法人代表授权人（出示法人代表授权证明）签字；</w:t>
      </w:r>
    </w:p>
    <w:p>
      <w:pPr>
        <w:spacing w:line="360" w:lineRule="auto"/>
        <w:ind w:left="714" w:leftChars="1" w:hanging="712" w:hangingChars="297"/>
        <w:rPr>
          <w:rStyle w:val="13"/>
          <w:rFonts w:ascii="宋体"/>
          <w:color w:val="000000"/>
          <w:sz w:val="24"/>
        </w:rPr>
      </w:pPr>
      <w:r>
        <w:rPr>
          <w:rStyle w:val="13"/>
          <w:rFonts w:ascii="宋体" w:hAnsi="宋体"/>
          <w:color w:val="000000"/>
          <w:sz w:val="24"/>
        </w:rPr>
        <w:t>17.3</w:t>
      </w:r>
      <w:r>
        <w:rPr>
          <w:rStyle w:val="13"/>
          <w:rFonts w:ascii="宋体" w:hAnsi="宋体"/>
          <w:color w:val="000000"/>
          <w:sz w:val="24"/>
        </w:rPr>
        <w:tab/>
      </w:r>
      <w:r>
        <w:rPr>
          <w:rStyle w:val="13"/>
          <w:rFonts w:ascii="宋体" w:hAnsi="宋体"/>
          <w:color w:val="000000"/>
          <w:sz w:val="24"/>
        </w:rPr>
        <w:t>投标截止后，开标前投标人不得撤回和修改补充投标文件。开标后的投标文件不得撤回。但开标前，书面形式通知放弃投标的投标文件除外。</w:t>
      </w:r>
    </w:p>
    <w:p>
      <w:pPr>
        <w:spacing w:line="360" w:lineRule="auto"/>
        <w:ind w:left="718" w:leftChars="1" w:hanging="716" w:hangingChars="297"/>
        <w:rPr>
          <w:rStyle w:val="13"/>
          <w:rFonts w:ascii="宋体"/>
          <w:b/>
          <w:bCs/>
          <w:color w:val="000000"/>
          <w:sz w:val="24"/>
        </w:rPr>
      </w:pPr>
      <w:r>
        <w:rPr>
          <w:rStyle w:val="13"/>
          <w:rFonts w:ascii="宋体" w:hAnsi="宋体"/>
          <w:b/>
          <w:bCs/>
          <w:color w:val="000000"/>
          <w:sz w:val="24"/>
        </w:rPr>
        <w:t>18．</w:t>
      </w:r>
      <w:r>
        <w:rPr>
          <w:rStyle w:val="13"/>
          <w:rFonts w:ascii="宋体"/>
          <w:b/>
          <w:bCs/>
          <w:color w:val="000000"/>
          <w:sz w:val="24"/>
        </w:rPr>
        <w:tab/>
      </w:r>
      <w:r>
        <w:rPr>
          <w:rStyle w:val="13"/>
          <w:rFonts w:ascii="宋体" w:hAnsi="宋体"/>
          <w:b/>
          <w:bCs/>
          <w:color w:val="000000"/>
          <w:sz w:val="24"/>
        </w:rPr>
        <w:t>迟到的投标文件</w:t>
      </w:r>
    </w:p>
    <w:p>
      <w:pPr>
        <w:spacing w:line="360" w:lineRule="auto"/>
        <w:ind w:left="714" w:leftChars="1" w:hanging="712" w:hangingChars="297"/>
        <w:rPr>
          <w:rStyle w:val="13"/>
          <w:rFonts w:ascii="宋体"/>
          <w:b/>
          <w:color w:val="000000"/>
          <w:sz w:val="24"/>
        </w:rPr>
      </w:pPr>
      <w:r>
        <w:rPr>
          <w:rStyle w:val="13"/>
          <w:rFonts w:ascii="宋体" w:hAnsi="宋体"/>
          <w:color w:val="000000"/>
          <w:sz w:val="24"/>
        </w:rPr>
        <w:t>18.1</w:t>
      </w:r>
      <w:r>
        <w:rPr>
          <w:rStyle w:val="13"/>
          <w:rFonts w:ascii="宋体" w:hAnsi="宋体"/>
          <w:color w:val="000000"/>
          <w:sz w:val="24"/>
        </w:rPr>
        <w:tab/>
      </w:r>
      <w:r>
        <w:rPr>
          <w:rStyle w:val="13"/>
          <w:rFonts w:ascii="宋体" w:hAnsi="宋体"/>
          <w:color w:val="000000"/>
          <w:sz w:val="24"/>
        </w:rPr>
        <w:t>招标人将拒绝接收在投标截止时间后送到的投标文件。</w:t>
      </w:r>
    </w:p>
    <w:p>
      <w:pPr>
        <w:spacing w:line="360" w:lineRule="auto"/>
        <w:ind w:left="718" w:leftChars="1" w:hanging="716" w:hangingChars="297"/>
        <w:jc w:val="center"/>
        <w:rPr>
          <w:rStyle w:val="13"/>
          <w:rFonts w:ascii="宋体"/>
          <w:b/>
          <w:color w:val="000000"/>
          <w:sz w:val="24"/>
        </w:rPr>
      </w:pPr>
      <w:r>
        <w:rPr>
          <w:rStyle w:val="13"/>
          <w:rFonts w:ascii="宋体" w:hAnsi="宋体"/>
          <w:b/>
          <w:color w:val="000000"/>
          <w:sz w:val="24"/>
        </w:rPr>
        <w:t>D   开标和评标</w:t>
      </w:r>
    </w:p>
    <w:p>
      <w:pPr>
        <w:spacing w:line="360" w:lineRule="auto"/>
        <w:ind w:left="718" w:leftChars="1" w:hanging="716" w:hangingChars="297"/>
        <w:rPr>
          <w:rStyle w:val="13"/>
          <w:rFonts w:ascii="宋体"/>
          <w:b/>
          <w:bCs/>
          <w:color w:val="000000"/>
          <w:sz w:val="24"/>
        </w:rPr>
      </w:pPr>
      <w:r>
        <w:rPr>
          <w:rStyle w:val="13"/>
          <w:rFonts w:ascii="宋体" w:hAnsi="宋体"/>
          <w:b/>
          <w:bCs/>
          <w:color w:val="000000"/>
          <w:sz w:val="24"/>
        </w:rPr>
        <w:t>19．</w:t>
      </w:r>
      <w:r>
        <w:rPr>
          <w:rStyle w:val="13"/>
          <w:rFonts w:ascii="宋体"/>
          <w:b/>
          <w:bCs/>
          <w:color w:val="000000"/>
          <w:sz w:val="24"/>
        </w:rPr>
        <w:tab/>
      </w:r>
      <w:r>
        <w:rPr>
          <w:rStyle w:val="13"/>
          <w:rFonts w:ascii="宋体" w:hAnsi="宋体"/>
          <w:b/>
          <w:bCs/>
          <w:color w:val="000000"/>
          <w:sz w:val="24"/>
        </w:rPr>
        <w:t>开标</w:t>
      </w:r>
    </w:p>
    <w:p>
      <w:pPr>
        <w:spacing w:line="360" w:lineRule="auto"/>
        <w:ind w:left="714" w:leftChars="1" w:hanging="712" w:hangingChars="297"/>
        <w:rPr>
          <w:rStyle w:val="13"/>
          <w:rFonts w:ascii="宋体"/>
          <w:color w:val="0000FF"/>
          <w:sz w:val="24"/>
        </w:rPr>
      </w:pPr>
      <w:r>
        <w:rPr>
          <w:rStyle w:val="13"/>
          <w:rFonts w:ascii="宋体" w:hAnsi="宋体"/>
          <w:color w:val="000000"/>
          <w:sz w:val="24"/>
        </w:rPr>
        <w:t>19.1</w:t>
      </w:r>
      <w:r>
        <w:rPr>
          <w:rStyle w:val="13"/>
          <w:rFonts w:ascii="宋体" w:hAnsi="宋体"/>
          <w:color w:val="000000"/>
          <w:sz w:val="24"/>
        </w:rPr>
        <w:tab/>
      </w:r>
      <w:r>
        <w:rPr>
          <w:rStyle w:val="13"/>
          <w:rFonts w:ascii="宋体" w:hAnsi="宋体"/>
          <w:color w:val="000000"/>
          <w:sz w:val="24"/>
        </w:rPr>
        <w:t>招标人按采购公告中规定的时间和地点公开开标。投标人必须由法人代表或法人代表授权人1名参加开标会。</w:t>
      </w:r>
    </w:p>
    <w:p>
      <w:pPr>
        <w:spacing w:line="360" w:lineRule="auto"/>
        <w:jc w:val="left"/>
        <w:rPr>
          <w:rStyle w:val="13"/>
          <w:rFonts w:ascii="宋体" w:hAnsi="宋体"/>
          <w:color w:val="000000"/>
          <w:sz w:val="24"/>
        </w:rPr>
      </w:pPr>
      <w:r>
        <w:rPr>
          <w:rStyle w:val="13"/>
          <w:rFonts w:ascii="宋体" w:hAnsi="宋体"/>
          <w:color w:val="000000"/>
          <w:sz w:val="24"/>
        </w:rPr>
        <w:t>19.2  投标人当众查验投标文件的密封状况，经监委、投标人确认无误后，由</w:t>
      </w:r>
    </w:p>
    <w:p>
      <w:pPr>
        <w:spacing w:line="360" w:lineRule="auto"/>
        <w:ind w:left="239" w:leftChars="114" w:firstLine="480" w:firstLineChars="200"/>
        <w:jc w:val="left"/>
        <w:rPr>
          <w:rStyle w:val="13"/>
          <w:rFonts w:ascii="宋体" w:hAnsi="宋体"/>
          <w:color w:val="000000"/>
          <w:sz w:val="24"/>
        </w:rPr>
      </w:pPr>
      <w:r>
        <w:rPr>
          <w:rStyle w:val="13"/>
          <w:rFonts w:ascii="宋体" w:hAnsi="宋体"/>
          <w:color w:val="000000"/>
          <w:sz w:val="24"/>
        </w:rPr>
        <w:t>招标工作人员根据递交标书的正顺序依次当众拆封，宣读投标人名称，</w:t>
      </w:r>
    </w:p>
    <w:p>
      <w:pPr>
        <w:spacing w:line="360" w:lineRule="auto"/>
        <w:ind w:left="239" w:leftChars="114" w:firstLine="480" w:firstLineChars="200"/>
        <w:jc w:val="left"/>
        <w:rPr>
          <w:rStyle w:val="13"/>
          <w:rFonts w:ascii="宋体"/>
          <w:color w:val="000000"/>
          <w:sz w:val="24"/>
        </w:rPr>
      </w:pPr>
      <w:r>
        <w:rPr>
          <w:rStyle w:val="13"/>
          <w:rFonts w:ascii="宋体" w:hAnsi="宋体"/>
          <w:color w:val="000000"/>
          <w:sz w:val="24"/>
        </w:rPr>
        <w:t>投标价格、招标文件不允许提供的备选投标方案。</w:t>
      </w:r>
    </w:p>
    <w:p>
      <w:pPr>
        <w:spacing w:line="448" w:lineRule="atLeast"/>
        <w:ind w:left="714" w:leftChars="1" w:hanging="712" w:hangingChars="297"/>
        <w:rPr>
          <w:rStyle w:val="13"/>
          <w:rFonts w:ascii="宋体"/>
          <w:color w:val="000000"/>
          <w:sz w:val="24"/>
        </w:rPr>
      </w:pPr>
      <w:r>
        <w:rPr>
          <w:rStyle w:val="13"/>
          <w:rFonts w:ascii="宋体" w:hAnsi="宋体"/>
          <w:color w:val="000000"/>
          <w:sz w:val="24"/>
          <w:szCs w:val="20"/>
        </w:rPr>
        <w:t>19.3</w:t>
      </w:r>
      <w:r>
        <w:rPr>
          <w:rStyle w:val="13"/>
          <w:rFonts w:ascii="宋体" w:hAnsi="宋体"/>
          <w:color w:val="000000"/>
          <w:sz w:val="24"/>
          <w:szCs w:val="20"/>
        </w:rPr>
        <w:tab/>
      </w:r>
      <w:r>
        <w:rPr>
          <w:rStyle w:val="13"/>
          <w:rFonts w:ascii="宋体" w:hAnsi="宋体"/>
          <w:color w:val="000000"/>
          <w:sz w:val="24"/>
          <w:szCs w:val="20"/>
        </w:rPr>
        <w:t>开标时，投标文件的大写金额和小写金额不一致的，以大写金额为准；对不同文字文本投标文件的解释发生异议的，以中文文本为准。</w:t>
      </w:r>
    </w:p>
    <w:p>
      <w:pPr>
        <w:spacing w:line="448" w:lineRule="atLeast"/>
        <w:ind w:left="714" w:leftChars="1" w:hanging="712" w:hangingChars="297"/>
        <w:rPr>
          <w:rStyle w:val="13"/>
          <w:rFonts w:ascii="宋体"/>
          <w:color w:val="000000"/>
          <w:sz w:val="24"/>
        </w:rPr>
      </w:pPr>
      <w:r>
        <w:rPr>
          <w:rStyle w:val="13"/>
          <w:rFonts w:ascii="宋体" w:hAnsi="宋体"/>
          <w:color w:val="000000"/>
          <w:sz w:val="24"/>
          <w:szCs w:val="20"/>
        </w:rPr>
        <w:t>19.4  开标过程由招标人指定专人负责记录，并存档备查。</w:t>
      </w:r>
    </w:p>
    <w:p>
      <w:pPr>
        <w:spacing w:line="448" w:lineRule="atLeast"/>
        <w:ind w:left="714" w:leftChars="1" w:hanging="712" w:hangingChars="297"/>
        <w:rPr>
          <w:rStyle w:val="13"/>
          <w:rFonts w:ascii="宋体"/>
          <w:color w:val="000000"/>
          <w:sz w:val="24"/>
          <w:szCs w:val="20"/>
        </w:rPr>
      </w:pPr>
      <w:r>
        <w:rPr>
          <w:rStyle w:val="13"/>
          <w:rFonts w:ascii="宋体" w:hAnsi="宋体"/>
          <w:color w:val="000000"/>
          <w:sz w:val="24"/>
          <w:szCs w:val="20"/>
        </w:rPr>
        <w:t>19.5  开、评标期间，出现符合专业条件的供应商或者对招标文件作出实质响应的供应商不足三家情形的，除采购任务取消情形外，招标人将报财政部门后按照以下原则处理：</w:t>
      </w:r>
    </w:p>
    <w:p>
      <w:pPr>
        <w:spacing w:line="360" w:lineRule="auto"/>
        <w:ind w:left="714" w:leftChars="1" w:hanging="712" w:hangingChars="297"/>
        <w:rPr>
          <w:rStyle w:val="13"/>
          <w:rFonts w:ascii="宋体"/>
          <w:color w:val="000000"/>
          <w:sz w:val="24"/>
        </w:rPr>
      </w:pPr>
      <w:r>
        <w:rPr>
          <w:rStyle w:val="13"/>
          <w:rFonts w:ascii="宋体" w:hAnsi="宋体"/>
          <w:color w:val="000000"/>
          <w:sz w:val="24"/>
          <w:szCs w:val="20"/>
        </w:rPr>
        <w:t xml:space="preserve">    </w:t>
      </w:r>
      <w:r>
        <w:rPr>
          <w:rStyle w:val="13"/>
          <w:rFonts w:ascii="宋体" w:hAnsi="宋体"/>
          <w:color w:val="000000"/>
          <w:sz w:val="24"/>
          <w:szCs w:val="20"/>
        </w:rPr>
        <w:tab/>
      </w:r>
      <w:r>
        <w:rPr>
          <w:rStyle w:val="13"/>
          <w:rFonts w:ascii="宋体" w:hAnsi="宋体"/>
          <w:color w:val="000000"/>
          <w:sz w:val="24"/>
          <w:szCs w:val="20"/>
        </w:rPr>
        <w:t>（一）招标文件没有不合理条款、招标公告时间及程序符合规定的，同意采取竞争性谈判、询价或者单一来源方式采购；</w:t>
      </w:r>
    </w:p>
    <w:p>
      <w:pPr>
        <w:spacing w:line="360" w:lineRule="auto"/>
        <w:ind w:left="714" w:leftChars="1" w:hanging="712" w:hangingChars="297"/>
        <w:rPr>
          <w:rStyle w:val="13"/>
          <w:rFonts w:ascii="宋体"/>
          <w:color w:val="000000"/>
          <w:sz w:val="24"/>
        </w:rPr>
      </w:pPr>
      <w:r>
        <w:rPr>
          <w:rStyle w:val="13"/>
          <w:rFonts w:ascii="宋体" w:hAnsi="宋体"/>
          <w:color w:val="000000"/>
          <w:sz w:val="24"/>
          <w:szCs w:val="20"/>
        </w:rPr>
        <w:t xml:space="preserve">    </w:t>
      </w:r>
      <w:r>
        <w:rPr>
          <w:rStyle w:val="13"/>
          <w:rFonts w:ascii="宋体" w:hAnsi="宋体"/>
          <w:color w:val="000000"/>
          <w:sz w:val="24"/>
          <w:szCs w:val="20"/>
        </w:rPr>
        <w:tab/>
      </w:r>
      <w:r>
        <w:rPr>
          <w:rStyle w:val="13"/>
          <w:rFonts w:ascii="宋体" w:hAnsi="宋体"/>
          <w:color w:val="000000"/>
          <w:sz w:val="24"/>
          <w:szCs w:val="20"/>
        </w:rPr>
        <w:t>（二）招标文件存在不合理条款的，招标公告时间及程序不符合规定的，应予废标，并由招标人依法重新招标。</w:t>
      </w:r>
    </w:p>
    <w:p>
      <w:pPr>
        <w:spacing w:line="360" w:lineRule="auto"/>
        <w:ind w:left="714" w:leftChars="1" w:hanging="712" w:hangingChars="297"/>
        <w:rPr>
          <w:rStyle w:val="13"/>
          <w:rFonts w:ascii="宋体"/>
          <w:color w:val="000000"/>
          <w:sz w:val="24"/>
        </w:rPr>
      </w:pPr>
      <w:r>
        <w:rPr>
          <w:rStyle w:val="13"/>
          <w:rFonts w:ascii="宋体" w:hAnsi="宋体"/>
          <w:color w:val="000000"/>
          <w:sz w:val="24"/>
        </w:rPr>
        <w:t>19.7</w:t>
      </w:r>
      <w:r>
        <w:rPr>
          <w:rStyle w:val="13"/>
          <w:rFonts w:ascii="宋体" w:hAnsi="宋体"/>
          <w:color w:val="000000"/>
          <w:sz w:val="24"/>
        </w:rPr>
        <w:tab/>
      </w:r>
      <w:r>
        <w:rPr>
          <w:rStyle w:val="13"/>
          <w:rFonts w:ascii="宋体" w:hAnsi="宋体"/>
          <w:color w:val="000000"/>
          <w:sz w:val="24"/>
        </w:rPr>
        <w:t>有下列情形之一的，视为无效投标处理：</w:t>
      </w:r>
    </w:p>
    <w:p>
      <w:pPr>
        <w:spacing w:line="360" w:lineRule="auto"/>
        <w:ind w:left="714" w:leftChars="1" w:hanging="712" w:hangingChars="297"/>
        <w:rPr>
          <w:rStyle w:val="13"/>
          <w:rFonts w:ascii="宋体"/>
          <w:color w:val="000000"/>
          <w:sz w:val="24"/>
        </w:rPr>
      </w:pPr>
      <w:r>
        <w:rPr>
          <w:rStyle w:val="13"/>
          <w:rFonts w:ascii="宋体" w:hAnsi="宋体"/>
          <w:color w:val="000000"/>
          <w:sz w:val="24"/>
          <w:szCs w:val="20"/>
        </w:rPr>
        <w:t xml:space="preserve">    </w:t>
      </w:r>
      <w:r>
        <w:rPr>
          <w:rStyle w:val="13"/>
          <w:rFonts w:ascii="宋体" w:hAnsi="宋体"/>
          <w:color w:val="000000"/>
          <w:sz w:val="24"/>
          <w:szCs w:val="20"/>
        </w:rPr>
        <w:tab/>
      </w:r>
      <w:r>
        <w:rPr>
          <w:rStyle w:val="13"/>
          <w:rFonts w:ascii="宋体" w:hAnsi="宋体"/>
          <w:color w:val="000000"/>
          <w:sz w:val="24"/>
          <w:szCs w:val="20"/>
        </w:rPr>
        <w:t>（一）应交未交投标保证金的；</w:t>
      </w:r>
    </w:p>
    <w:p>
      <w:pPr>
        <w:spacing w:line="360" w:lineRule="auto"/>
        <w:ind w:left="714" w:leftChars="1" w:hanging="712" w:hangingChars="297"/>
        <w:rPr>
          <w:rStyle w:val="13"/>
          <w:rFonts w:ascii="宋体"/>
          <w:color w:val="000000"/>
          <w:sz w:val="24"/>
        </w:rPr>
      </w:pPr>
      <w:r>
        <w:rPr>
          <w:rStyle w:val="13"/>
          <w:rFonts w:ascii="宋体" w:hAnsi="宋体"/>
          <w:color w:val="000000"/>
          <w:sz w:val="24"/>
          <w:szCs w:val="20"/>
        </w:rPr>
        <w:t xml:space="preserve">    </w:t>
      </w:r>
      <w:r>
        <w:rPr>
          <w:rStyle w:val="13"/>
          <w:rFonts w:ascii="宋体" w:hAnsi="宋体"/>
          <w:color w:val="000000"/>
          <w:sz w:val="24"/>
          <w:szCs w:val="20"/>
        </w:rPr>
        <w:tab/>
      </w:r>
      <w:r>
        <w:rPr>
          <w:rStyle w:val="13"/>
          <w:rFonts w:ascii="宋体" w:hAnsi="宋体"/>
          <w:color w:val="000000"/>
          <w:sz w:val="24"/>
          <w:szCs w:val="20"/>
        </w:rPr>
        <w:t>（二）未按照招标文件规定要求密封、签署、盖章的；</w:t>
      </w:r>
    </w:p>
    <w:p>
      <w:pPr>
        <w:spacing w:line="360" w:lineRule="auto"/>
        <w:ind w:left="714" w:leftChars="1" w:hanging="712" w:hangingChars="297"/>
        <w:rPr>
          <w:rStyle w:val="13"/>
          <w:rFonts w:ascii="宋体"/>
          <w:color w:val="000000"/>
          <w:sz w:val="24"/>
        </w:rPr>
      </w:pPr>
      <w:r>
        <w:rPr>
          <w:rStyle w:val="13"/>
          <w:rFonts w:ascii="宋体" w:hAnsi="宋体"/>
          <w:color w:val="000000"/>
          <w:sz w:val="24"/>
          <w:szCs w:val="20"/>
        </w:rPr>
        <w:t xml:space="preserve">    </w:t>
      </w:r>
      <w:r>
        <w:rPr>
          <w:rStyle w:val="13"/>
          <w:rFonts w:ascii="宋体" w:hAnsi="宋体"/>
          <w:color w:val="000000"/>
          <w:sz w:val="24"/>
          <w:szCs w:val="20"/>
        </w:rPr>
        <w:tab/>
      </w:r>
      <w:r>
        <w:rPr>
          <w:rStyle w:val="13"/>
          <w:rFonts w:ascii="宋体" w:hAnsi="宋体"/>
          <w:color w:val="000000"/>
          <w:sz w:val="24"/>
          <w:szCs w:val="20"/>
        </w:rPr>
        <w:t>（三）不具备招标文件中规定资格要求的；</w:t>
      </w:r>
    </w:p>
    <w:p>
      <w:pPr>
        <w:spacing w:line="360" w:lineRule="auto"/>
        <w:ind w:left="714" w:leftChars="1" w:hanging="712" w:hangingChars="297"/>
        <w:rPr>
          <w:rStyle w:val="13"/>
          <w:rFonts w:ascii="宋体"/>
          <w:color w:val="000000"/>
          <w:sz w:val="24"/>
          <w:szCs w:val="20"/>
        </w:rPr>
      </w:pPr>
      <w:r>
        <w:rPr>
          <w:rStyle w:val="13"/>
          <w:rFonts w:ascii="宋体" w:hAnsi="宋体"/>
          <w:color w:val="000000"/>
          <w:sz w:val="24"/>
          <w:szCs w:val="20"/>
        </w:rPr>
        <w:t xml:space="preserve">    </w:t>
      </w:r>
      <w:r>
        <w:rPr>
          <w:rStyle w:val="13"/>
          <w:rFonts w:ascii="宋体" w:hAnsi="宋体"/>
          <w:color w:val="000000"/>
          <w:sz w:val="24"/>
          <w:szCs w:val="20"/>
        </w:rPr>
        <w:tab/>
      </w:r>
      <w:r>
        <w:rPr>
          <w:rStyle w:val="13"/>
          <w:rFonts w:ascii="宋体" w:hAnsi="宋体"/>
          <w:color w:val="000000"/>
          <w:sz w:val="24"/>
          <w:szCs w:val="20"/>
        </w:rPr>
        <w:t>（四）不符合法律、法规和招标文件中规定的其他实质性要求的。</w:t>
      </w:r>
    </w:p>
    <w:p>
      <w:pPr>
        <w:spacing w:line="360" w:lineRule="auto"/>
        <w:ind w:left="714" w:leftChars="1" w:hanging="712" w:hangingChars="297"/>
        <w:rPr>
          <w:rStyle w:val="13"/>
          <w:rFonts w:ascii="宋体"/>
          <w:color w:val="000000"/>
          <w:sz w:val="24"/>
          <w:szCs w:val="20"/>
        </w:rPr>
      </w:pPr>
      <w:r>
        <w:rPr>
          <w:rStyle w:val="13"/>
          <w:rFonts w:ascii="宋体" w:hAnsi="宋体"/>
          <w:color w:val="000000"/>
          <w:sz w:val="24"/>
          <w:szCs w:val="20"/>
        </w:rPr>
        <w:t>19.8</w:t>
      </w:r>
      <w:r>
        <w:rPr>
          <w:rStyle w:val="13"/>
          <w:rFonts w:ascii="宋体" w:hAnsi="宋体"/>
          <w:color w:val="000000"/>
          <w:sz w:val="24"/>
          <w:szCs w:val="20"/>
        </w:rPr>
        <w:tab/>
      </w:r>
      <w:r>
        <w:rPr>
          <w:rStyle w:val="13"/>
          <w:rFonts w:ascii="宋体" w:hAnsi="宋体"/>
          <w:color w:val="000000"/>
          <w:sz w:val="24"/>
          <w:szCs w:val="20"/>
        </w:rPr>
        <w:t>有下列情形之一的，作废标处理：</w:t>
      </w:r>
    </w:p>
    <w:p>
      <w:pPr>
        <w:spacing w:line="360" w:lineRule="auto"/>
        <w:ind w:left="714" w:leftChars="1" w:hanging="712" w:hangingChars="297"/>
        <w:rPr>
          <w:rStyle w:val="13"/>
          <w:rFonts w:ascii="宋体"/>
          <w:color w:val="000000"/>
          <w:sz w:val="24"/>
          <w:szCs w:val="20"/>
        </w:rPr>
      </w:pPr>
      <w:r>
        <w:rPr>
          <w:rStyle w:val="13"/>
          <w:rFonts w:ascii="宋体" w:hAnsi="宋体"/>
          <w:color w:val="000000"/>
          <w:sz w:val="24"/>
          <w:szCs w:val="20"/>
        </w:rPr>
        <w:t xml:space="preserve">     </w:t>
      </w:r>
      <w:r>
        <w:rPr>
          <w:rStyle w:val="13"/>
          <w:rFonts w:ascii="宋体" w:hAnsi="宋体"/>
          <w:color w:val="000000"/>
          <w:sz w:val="24"/>
          <w:szCs w:val="20"/>
        </w:rPr>
        <w:tab/>
      </w:r>
      <w:r>
        <w:rPr>
          <w:rStyle w:val="13"/>
          <w:rFonts w:ascii="宋体" w:hAnsi="宋体"/>
          <w:color w:val="000000"/>
          <w:sz w:val="24"/>
          <w:szCs w:val="20"/>
        </w:rPr>
        <w:t>(一) 出现10条、11条、13.3条、19.6条第(二)款情形的；</w:t>
      </w:r>
    </w:p>
    <w:p>
      <w:pPr>
        <w:spacing w:line="360" w:lineRule="auto"/>
        <w:ind w:left="714" w:leftChars="1" w:hanging="712" w:hangingChars="297"/>
        <w:rPr>
          <w:rStyle w:val="13"/>
          <w:rFonts w:ascii="宋体"/>
          <w:color w:val="000000"/>
          <w:sz w:val="24"/>
          <w:szCs w:val="20"/>
        </w:rPr>
      </w:pPr>
      <w:r>
        <w:rPr>
          <w:rStyle w:val="13"/>
          <w:rFonts w:ascii="宋体" w:hAnsi="宋体"/>
          <w:color w:val="000000"/>
          <w:sz w:val="24"/>
          <w:szCs w:val="20"/>
        </w:rPr>
        <w:t xml:space="preserve">     </w:t>
      </w:r>
      <w:r>
        <w:rPr>
          <w:rStyle w:val="13"/>
          <w:rFonts w:ascii="宋体" w:hAnsi="宋体"/>
          <w:color w:val="000000"/>
          <w:sz w:val="24"/>
          <w:szCs w:val="20"/>
        </w:rPr>
        <w:tab/>
      </w:r>
      <w:r>
        <w:rPr>
          <w:rStyle w:val="13"/>
          <w:rFonts w:ascii="宋体" w:hAnsi="宋体"/>
          <w:color w:val="000000"/>
          <w:sz w:val="24"/>
          <w:szCs w:val="20"/>
        </w:rPr>
        <w:t>(二) 出现影响采购公正的违法、违规行为的；</w:t>
      </w:r>
    </w:p>
    <w:p>
      <w:pPr>
        <w:spacing w:line="360" w:lineRule="auto"/>
        <w:ind w:left="714" w:leftChars="1" w:hanging="712" w:hangingChars="297"/>
        <w:rPr>
          <w:rStyle w:val="13"/>
          <w:rFonts w:ascii="宋体"/>
          <w:color w:val="000000"/>
          <w:sz w:val="24"/>
          <w:szCs w:val="20"/>
        </w:rPr>
      </w:pPr>
      <w:r>
        <w:rPr>
          <w:rStyle w:val="13"/>
          <w:rFonts w:ascii="宋体" w:hAnsi="宋体"/>
          <w:color w:val="000000"/>
          <w:sz w:val="24"/>
          <w:szCs w:val="20"/>
        </w:rPr>
        <w:t xml:space="preserve">     </w:t>
      </w:r>
      <w:r>
        <w:rPr>
          <w:rStyle w:val="13"/>
          <w:rFonts w:ascii="宋体" w:hAnsi="宋体"/>
          <w:color w:val="000000"/>
          <w:sz w:val="24"/>
          <w:szCs w:val="20"/>
        </w:rPr>
        <w:tab/>
      </w:r>
      <w:r>
        <w:rPr>
          <w:rStyle w:val="13"/>
          <w:rFonts w:ascii="宋体" w:hAnsi="宋体"/>
          <w:color w:val="000000"/>
          <w:sz w:val="24"/>
          <w:szCs w:val="20"/>
        </w:rPr>
        <w:t>(三) 投标人的报价均超过了采购预算，采购人不能支付的；</w:t>
      </w:r>
    </w:p>
    <w:p>
      <w:pPr>
        <w:spacing w:line="360" w:lineRule="auto"/>
        <w:ind w:left="714" w:leftChars="340"/>
        <w:rPr>
          <w:rStyle w:val="13"/>
          <w:rFonts w:ascii="宋体"/>
          <w:color w:val="000000"/>
          <w:sz w:val="24"/>
          <w:szCs w:val="20"/>
        </w:rPr>
      </w:pPr>
      <w:r>
        <w:rPr>
          <w:rStyle w:val="13"/>
          <w:rFonts w:ascii="宋体" w:hAnsi="宋体"/>
          <w:color w:val="000000"/>
          <w:sz w:val="24"/>
          <w:szCs w:val="20"/>
        </w:rPr>
        <w:t>(四) 因重大变故，采购任务取消的。</w:t>
      </w:r>
    </w:p>
    <w:p>
      <w:pPr>
        <w:spacing w:line="360" w:lineRule="auto"/>
        <w:ind w:left="718" w:leftChars="1" w:hanging="716" w:hangingChars="297"/>
        <w:textAlignment w:val="auto"/>
        <w:rPr>
          <w:rStyle w:val="13"/>
          <w:rFonts w:ascii="宋体"/>
          <w:b/>
          <w:bCs/>
          <w:color w:val="000000"/>
          <w:sz w:val="24"/>
        </w:rPr>
      </w:pPr>
      <w:r>
        <w:rPr>
          <w:rStyle w:val="13"/>
          <w:rFonts w:ascii="宋体" w:hAnsi="宋体"/>
          <w:b/>
          <w:bCs/>
          <w:color w:val="000000"/>
          <w:sz w:val="24"/>
        </w:rPr>
        <w:t>20．</w:t>
      </w:r>
      <w:r>
        <w:rPr>
          <w:rStyle w:val="13"/>
          <w:rFonts w:ascii="宋体"/>
          <w:b/>
          <w:bCs/>
          <w:color w:val="000000"/>
          <w:sz w:val="24"/>
        </w:rPr>
        <w:tab/>
      </w:r>
      <w:r>
        <w:rPr>
          <w:rStyle w:val="13"/>
          <w:rFonts w:ascii="宋体" w:hAnsi="宋体"/>
          <w:b/>
          <w:bCs/>
          <w:color w:val="000000"/>
          <w:sz w:val="24"/>
        </w:rPr>
        <w:t>评标委员会组成及职责</w:t>
      </w:r>
    </w:p>
    <w:p>
      <w:pPr>
        <w:spacing w:line="360" w:lineRule="auto"/>
        <w:ind w:left="714" w:leftChars="1" w:hanging="712" w:hangingChars="297"/>
        <w:textAlignment w:val="auto"/>
        <w:rPr>
          <w:rStyle w:val="13"/>
          <w:rFonts w:ascii="宋体"/>
          <w:color w:val="000000"/>
          <w:sz w:val="24"/>
          <w:szCs w:val="20"/>
        </w:rPr>
      </w:pPr>
      <w:r>
        <w:rPr>
          <w:rStyle w:val="13"/>
          <w:rFonts w:ascii="宋体" w:hAnsi="宋体"/>
          <w:color w:val="000000"/>
          <w:sz w:val="24"/>
        </w:rPr>
        <w:t>20.1</w:t>
      </w:r>
      <w:r>
        <w:rPr>
          <w:rStyle w:val="13"/>
          <w:rFonts w:ascii="宋体" w:hAnsi="宋体"/>
          <w:color w:val="000000"/>
          <w:sz w:val="24"/>
        </w:rPr>
        <w:tab/>
      </w:r>
      <w:r>
        <w:rPr>
          <w:rStyle w:val="13"/>
          <w:rFonts w:ascii="宋体" w:hAnsi="宋体"/>
          <w:color w:val="000000"/>
          <w:sz w:val="24"/>
          <w:szCs w:val="20"/>
        </w:rPr>
        <w:t>评标工作由招标人负责组织组成评标委员会。评标委员会由采购人代表和有关技术、经济等方面的专家组成，成员人数应当为七人以上（含7人）单数。其中，技术、经济等方面的专家不得少于成员总数的三分之二。开标前随机抽取确定，并在招标结果确定前保密。</w:t>
      </w:r>
    </w:p>
    <w:p>
      <w:pPr>
        <w:spacing w:line="360" w:lineRule="auto"/>
        <w:ind w:left="714" w:leftChars="1" w:hanging="712" w:hangingChars="297"/>
        <w:textAlignment w:val="auto"/>
        <w:rPr>
          <w:rStyle w:val="13"/>
          <w:rFonts w:ascii="宋体"/>
          <w:color w:val="000000"/>
          <w:sz w:val="24"/>
        </w:rPr>
      </w:pPr>
      <w:r>
        <w:rPr>
          <w:rStyle w:val="13"/>
          <w:rFonts w:ascii="宋体" w:hAnsi="宋体"/>
          <w:color w:val="000000"/>
          <w:sz w:val="24"/>
          <w:szCs w:val="20"/>
        </w:rPr>
        <w:t>20.2</w:t>
      </w:r>
      <w:r>
        <w:rPr>
          <w:rStyle w:val="13"/>
          <w:rFonts w:ascii="宋体" w:hAnsi="宋体"/>
          <w:color w:val="000000"/>
          <w:sz w:val="24"/>
          <w:szCs w:val="20"/>
        </w:rPr>
        <w:tab/>
      </w:r>
      <w:r>
        <w:rPr>
          <w:rStyle w:val="13"/>
          <w:rFonts w:ascii="宋体" w:hAnsi="宋体"/>
          <w:color w:val="000000"/>
          <w:sz w:val="24"/>
          <w:szCs w:val="20"/>
        </w:rPr>
        <w:t>评标事务由评标委员会负责，并独立履行下列职责：</w:t>
      </w:r>
    </w:p>
    <w:p>
      <w:pPr>
        <w:spacing w:line="360" w:lineRule="auto"/>
        <w:ind w:left="714" w:leftChars="1" w:hanging="712" w:hangingChars="297"/>
        <w:textAlignment w:val="auto"/>
        <w:rPr>
          <w:rStyle w:val="13"/>
          <w:rFonts w:ascii="宋体"/>
          <w:color w:val="000000"/>
          <w:sz w:val="24"/>
        </w:rPr>
      </w:pPr>
      <w:r>
        <w:rPr>
          <w:rStyle w:val="13"/>
          <w:rFonts w:ascii="宋体" w:hAnsi="宋体"/>
          <w:color w:val="000000"/>
          <w:sz w:val="24"/>
          <w:szCs w:val="20"/>
        </w:rPr>
        <w:t xml:space="preserve">    </w:t>
      </w:r>
      <w:r>
        <w:rPr>
          <w:rStyle w:val="13"/>
          <w:rFonts w:ascii="宋体"/>
          <w:color w:val="000000"/>
          <w:sz w:val="24"/>
          <w:szCs w:val="20"/>
        </w:rPr>
        <w:tab/>
      </w:r>
      <w:r>
        <w:rPr>
          <w:rStyle w:val="13"/>
          <w:rFonts w:ascii="宋体" w:hAnsi="宋体"/>
          <w:color w:val="000000"/>
          <w:sz w:val="24"/>
          <w:szCs w:val="20"/>
        </w:rPr>
        <w:t>（一）审查投标文件是否符合招标文件要求，并作出评价；</w:t>
      </w:r>
    </w:p>
    <w:p>
      <w:pPr>
        <w:spacing w:line="360" w:lineRule="auto"/>
        <w:ind w:left="714" w:leftChars="1" w:hanging="712" w:hangingChars="297"/>
        <w:textAlignment w:val="auto"/>
        <w:rPr>
          <w:rStyle w:val="13"/>
          <w:rFonts w:ascii="宋体"/>
          <w:color w:val="000000"/>
          <w:sz w:val="24"/>
        </w:rPr>
      </w:pPr>
      <w:r>
        <w:rPr>
          <w:rStyle w:val="13"/>
          <w:rFonts w:ascii="宋体" w:hAnsi="宋体"/>
          <w:color w:val="000000"/>
          <w:sz w:val="24"/>
          <w:szCs w:val="20"/>
        </w:rPr>
        <w:t xml:space="preserve">    </w:t>
      </w:r>
      <w:r>
        <w:rPr>
          <w:rStyle w:val="13"/>
          <w:rFonts w:ascii="宋体"/>
          <w:color w:val="000000"/>
          <w:sz w:val="24"/>
          <w:szCs w:val="20"/>
        </w:rPr>
        <w:tab/>
      </w:r>
      <w:r>
        <w:rPr>
          <w:rStyle w:val="13"/>
          <w:rFonts w:ascii="宋体" w:hAnsi="宋体"/>
          <w:color w:val="000000"/>
          <w:sz w:val="24"/>
          <w:szCs w:val="20"/>
        </w:rPr>
        <w:t>（二）要求投标人对投标文件有关事项作出解释或者澄清；</w:t>
      </w:r>
    </w:p>
    <w:p>
      <w:pPr>
        <w:spacing w:line="360" w:lineRule="auto"/>
        <w:ind w:left="714" w:leftChars="1" w:hanging="712" w:hangingChars="297"/>
        <w:textAlignment w:val="auto"/>
        <w:rPr>
          <w:rStyle w:val="13"/>
          <w:rFonts w:ascii="宋体"/>
          <w:color w:val="000000"/>
          <w:sz w:val="24"/>
        </w:rPr>
      </w:pPr>
      <w:r>
        <w:rPr>
          <w:rStyle w:val="13"/>
          <w:rFonts w:ascii="宋体" w:hAnsi="宋体"/>
          <w:color w:val="000000"/>
          <w:sz w:val="24"/>
          <w:szCs w:val="20"/>
        </w:rPr>
        <w:t xml:space="preserve">    </w:t>
      </w:r>
      <w:r>
        <w:rPr>
          <w:rStyle w:val="13"/>
          <w:rFonts w:ascii="宋体"/>
          <w:color w:val="000000"/>
          <w:sz w:val="24"/>
          <w:szCs w:val="20"/>
        </w:rPr>
        <w:tab/>
      </w:r>
      <w:r>
        <w:rPr>
          <w:rStyle w:val="13"/>
          <w:rFonts w:ascii="宋体" w:hAnsi="宋体"/>
          <w:color w:val="000000"/>
          <w:sz w:val="24"/>
          <w:szCs w:val="20"/>
        </w:rPr>
        <w:t>（三）推荐中标候选供应商名单，或者受招标人委托按照事先确定的办法直接确定中标人；</w:t>
      </w:r>
    </w:p>
    <w:p>
      <w:pPr>
        <w:spacing w:line="360" w:lineRule="auto"/>
        <w:ind w:left="714" w:leftChars="1" w:hanging="712" w:hangingChars="297"/>
        <w:textAlignment w:val="auto"/>
        <w:rPr>
          <w:rStyle w:val="13"/>
          <w:rFonts w:ascii="宋体"/>
          <w:color w:val="000000"/>
          <w:sz w:val="24"/>
        </w:rPr>
      </w:pPr>
      <w:r>
        <w:rPr>
          <w:rStyle w:val="13"/>
          <w:rFonts w:ascii="宋体" w:hAnsi="宋体"/>
          <w:color w:val="000000"/>
          <w:sz w:val="24"/>
          <w:szCs w:val="20"/>
        </w:rPr>
        <w:t xml:space="preserve">    </w:t>
      </w:r>
      <w:r>
        <w:rPr>
          <w:rStyle w:val="13"/>
          <w:rFonts w:ascii="宋体"/>
          <w:color w:val="000000"/>
          <w:sz w:val="24"/>
          <w:szCs w:val="20"/>
        </w:rPr>
        <w:tab/>
      </w:r>
      <w:r>
        <w:rPr>
          <w:rStyle w:val="13"/>
          <w:rFonts w:ascii="宋体" w:hAnsi="宋体"/>
          <w:color w:val="000000"/>
          <w:sz w:val="24"/>
          <w:szCs w:val="20"/>
        </w:rPr>
        <w:t>（四）向招标人或者有关部门报告非法干预评标工作的行为。</w:t>
      </w:r>
    </w:p>
    <w:p>
      <w:pPr>
        <w:spacing w:line="360" w:lineRule="auto"/>
        <w:ind w:left="718" w:leftChars="1" w:hanging="716" w:hangingChars="297"/>
        <w:textAlignment w:val="auto"/>
        <w:rPr>
          <w:rStyle w:val="13"/>
          <w:rFonts w:ascii="宋体"/>
          <w:b/>
          <w:bCs/>
          <w:color w:val="000000"/>
          <w:sz w:val="24"/>
        </w:rPr>
      </w:pPr>
      <w:r>
        <w:rPr>
          <w:rStyle w:val="13"/>
          <w:rFonts w:ascii="宋体" w:hAnsi="宋体"/>
          <w:b/>
          <w:bCs/>
          <w:color w:val="000000"/>
          <w:sz w:val="24"/>
        </w:rPr>
        <w:t>21．</w:t>
      </w:r>
      <w:r>
        <w:rPr>
          <w:rStyle w:val="13"/>
          <w:rFonts w:ascii="宋体"/>
          <w:b/>
          <w:bCs/>
          <w:color w:val="000000"/>
          <w:sz w:val="24"/>
        </w:rPr>
        <w:tab/>
      </w:r>
      <w:r>
        <w:rPr>
          <w:rStyle w:val="13"/>
          <w:rFonts w:ascii="宋体" w:hAnsi="宋体"/>
          <w:b/>
          <w:bCs/>
          <w:color w:val="000000"/>
          <w:sz w:val="24"/>
        </w:rPr>
        <w:t>评标委员会履行的义务</w:t>
      </w:r>
    </w:p>
    <w:p>
      <w:pPr>
        <w:spacing w:line="360" w:lineRule="auto"/>
        <w:ind w:left="714" w:leftChars="1" w:hanging="712" w:hangingChars="297"/>
        <w:textAlignment w:val="auto"/>
        <w:rPr>
          <w:rStyle w:val="13"/>
          <w:rFonts w:ascii="宋体"/>
          <w:color w:val="000000"/>
          <w:sz w:val="24"/>
        </w:rPr>
      </w:pPr>
      <w:r>
        <w:rPr>
          <w:rStyle w:val="13"/>
          <w:rFonts w:ascii="宋体" w:hAnsi="宋体"/>
          <w:color w:val="000000"/>
          <w:sz w:val="24"/>
          <w:szCs w:val="20"/>
        </w:rPr>
        <w:t xml:space="preserve">    </w:t>
      </w:r>
      <w:r>
        <w:rPr>
          <w:rStyle w:val="13"/>
          <w:rFonts w:ascii="宋体" w:hAnsi="宋体"/>
          <w:color w:val="000000"/>
          <w:sz w:val="24"/>
          <w:szCs w:val="20"/>
        </w:rPr>
        <w:tab/>
      </w:r>
      <w:r>
        <w:rPr>
          <w:rStyle w:val="13"/>
          <w:rFonts w:ascii="宋体" w:hAnsi="宋体"/>
          <w:color w:val="000000"/>
          <w:sz w:val="24"/>
          <w:szCs w:val="20"/>
        </w:rPr>
        <w:t>（一）遵纪守法，客观、公正、廉洁地履行职责；</w:t>
      </w:r>
    </w:p>
    <w:p>
      <w:pPr>
        <w:spacing w:line="360" w:lineRule="auto"/>
        <w:ind w:left="714" w:leftChars="1" w:hanging="712" w:hangingChars="297"/>
        <w:rPr>
          <w:rStyle w:val="13"/>
          <w:rFonts w:ascii="宋体"/>
          <w:color w:val="000000"/>
          <w:sz w:val="24"/>
        </w:rPr>
      </w:pPr>
      <w:r>
        <w:rPr>
          <w:rStyle w:val="13"/>
          <w:rFonts w:ascii="宋体" w:hAnsi="宋体"/>
          <w:color w:val="000000"/>
          <w:sz w:val="24"/>
          <w:szCs w:val="20"/>
        </w:rPr>
        <w:t xml:space="preserve">    </w:t>
      </w:r>
      <w:r>
        <w:rPr>
          <w:rStyle w:val="13"/>
          <w:rFonts w:ascii="宋体" w:hAnsi="宋体"/>
          <w:color w:val="000000"/>
          <w:sz w:val="24"/>
          <w:szCs w:val="20"/>
        </w:rPr>
        <w:tab/>
      </w:r>
      <w:r>
        <w:rPr>
          <w:rStyle w:val="13"/>
          <w:rFonts w:ascii="宋体" w:hAnsi="宋体"/>
          <w:color w:val="000000"/>
          <w:sz w:val="24"/>
          <w:szCs w:val="20"/>
        </w:rPr>
        <w:t>（二）按照招标文件规定的评标方法和评标标准进行评标，对评审意见承担个人责任；</w:t>
      </w:r>
    </w:p>
    <w:p>
      <w:pPr>
        <w:spacing w:line="360" w:lineRule="auto"/>
        <w:ind w:left="714" w:leftChars="1" w:hanging="712" w:hangingChars="297"/>
        <w:rPr>
          <w:rStyle w:val="13"/>
          <w:rFonts w:ascii="宋体"/>
          <w:color w:val="000000"/>
          <w:sz w:val="24"/>
        </w:rPr>
      </w:pPr>
      <w:r>
        <w:rPr>
          <w:rStyle w:val="13"/>
          <w:rFonts w:ascii="宋体" w:hAnsi="宋体"/>
          <w:color w:val="000000"/>
          <w:sz w:val="24"/>
          <w:szCs w:val="20"/>
        </w:rPr>
        <w:t xml:space="preserve">    </w:t>
      </w:r>
      <w:r>
        <w:rPr>
          <w:rStyle w:val="13"/>
          <w:rFonts w:ascii="宋体" w:hAnsi="宋体"/>
          <w:color w:val="000000"/>
          <w:sz w:val="24"/>
          <w:szCs w:val="20"/>
        </w:rPr>
        <w:tab/>
      </w:r>
      <w:r>
        <w:rPr>
          <w:rStyle w:val="13"/>
          <w:rFonts w:ascii="宋体" w:hAnsi="宋体"/>
          <w:color w:val="000000"/>
          <w:sz w:val="24"/>
          <w:szCs w:val="20"/>
        </w:rPr>
        <w:t>（三）对评标过程和结果，以及供应商的商业秘密保密；</w:t>
      </w:r>
    </w:p>
    <w:p>
      <w:pPr>
        <w:spacing w:line="360" w:lineRule="auto"/>
        <w:ind w:left="714" w:leftChars="1" w:hanging="712" w:hangingChars="297"/>
        <w:rPr>
          <w:rStyle w:val="13"/>
          <w:rFonts w:ascii="宋体"/>
          <w:color w:val="000000"/>
          <w:sz w:val="24"/>
        </w:rPr>
      </w:pPr>
      <w:r>
        <w:rPr>
          <w:rStyle w:val="13"/>
          <w:rFonts w:ascii="宋体" w:hAnsi="宋体"/>
          <w:color w:val="000000"/>
          <w:sz w:val="24"/>
          <w:szCs w:val="20"/>
        </w:rPr>
        <w:t xml:space="preserve">    </w:t>
      </w:r>
      <w:r>
        <w:rPr>
          <w:rStyle w:val="13"/>
          <w:rFonts w:ascii="宋体" w:hAnsi="宋体"/>
          <w:color w:val="000000"/>
          <w:sz w:val="24"/>
          <w:szCs w:val="20"/>
        </w:rPr>
        <w:tab/>
      </w:r>
      <w:r>
        <w:rPr>
          <w:rStyle w:val="13"/>
          <w:rFonts w:ascii="宋体" w:hAnsi="宋体"/>
          <w:color w:val="000000"/>
          <w:sz w:val="24"/>
          <w:szCs w:val="20"/>
        </w:rPr>
        <w:t>（四）参与评标报告的起草；</w:t>
      </w:r>
    </w:p>
    <w:p>
      <w:pPr>
        <w:spacing w:line="360" w:lineRule="auto"/>
        <w:ind w:left="714" w:leftChars="1" w:hanging="712" w:hangingChars="297"/>
        <w:rPr>
          <w:rStyle w:val="13"/>
          <w:rFonts w:ascii="宋体"/>
          <w:color w:val="000000"/>
          <w:sz w:val="24"/>
        </w:rPr>
      </w:pPr>
      <w:r>
        <w:rPr>
          <w:rStyle w:val="13"/>
          <w:rFonts w:ascii="宋体" w:hAnsi="宋体"/>
          <w:color w:val="000000"/>
          <w:sz w:val="24"/>
          <w:szCs w:val="20"/>
        </w:rPr>
        <w:t xml:space="preserve">    </w:t>
      </w:r>
      <w:r>
        <w:rPr>
          <w:rStyle w:val="13"/>
          <w:rFonts w:ascii="宋体" w:hAnsi="宋体"/>
          <w:color w:val="000000"/>
          <w:sz w:val="24"/>
          <w:szCs w:val="20"/>
        </w:rPr>
        <w:tab/>
      </w:r>
      <w:r>
        <w:rPr>
          <w:rStyle w:val="13"/>
          <w:rFonts w:ascii="宋体" w:hAnsi="宋体"/>
          <w:color w:val="000000"/>
          <w:sz w:val="24"/>
          <w:szCs w:val="20"/>
        </w:rPr>
        <w:t>（五）配合财政部门的投诉处理工作；</w:t>
      </w:r>
    </w:p>
    <w:p>
      <w:pPr>
        <w:spacing w:line="360" w:lineRule="auto"/>
        <w:ind w:left="714" w:leftChars="1" w:hanging="712" w:hangingChars="297"/>
        <w:rPr>
          <w:rStyle w:val="13"/>
          <w:rFonts w:ascii="宋体"/>
          <w:b/>
          <w:bCs/>
          <w:color w:val="000000"/>
          <w:sz w:val="24"/>
        </w:rPr>
      </w:pPr>
      <w:r>
        <w:rPr>
          <w:rStyle w:val="13"/>
          <w:rFonts w:ascii="宋体" w:hAnsi="宋体"/>
          <w:color w:val="000000"/>
          <w:sz w:val="24"/>
          <w:szCs w:val="20"/>
        </w:rPr>
        <w:t xml:space="preserve">    </w:t>
      </w:r>
      <w:r>
        <w:rPr>
          <w:rStyle w:val="13"/>
          <w:rFonts w:ascii="宋体" w:hAnsi="宋体"/>
          <w:color w:val="000000"/>
          <w:sz w:val="24"/>
          <w:szCs w:val="20"/>
        </w:rPr>
        <w:tab/>
      </w:r>
      <w:r>
        <w:rPr>
          <w:rStyle w:val="13"/>
          <w:rFonts w:ascii="宋体" w:hAnsi="宋体"/>
          <w:color w:val="000000"/>
          <w:sz w:val="24"/>
          <w:szCs w:val="20"/>
        </w:rPr>
        <w:t>（六）配合招标采购单位答复投标供应商提出的质疑。</w:t>
      </w:r>
    </w:p>
    <w:p>
      <w:pPr>
        <w:spacing w:line="360" w:lineRule="auto"/>
        <w:ind w:left="718" w:leftChars="1" w:hanging="716" w:hangingChars="297"/>
        <w:rPr>
          <w:rStyle w:val="13"/>
          <w:rFonts w:ascii="宋体"/>
          <w:b/>
          <w:bCs/>
          <w:color w:val="000000"/>
          <w:sz w:val="24"/>
        </w:rPr>
      </w:pPr>
      <w:r>
        <w:rPr>
          <w:rStyle w:val="13"/>
          <w:rFonts w:ascii="宋体" w:hAnsi="宋体"/>
          <w:b/>
          <w:bCs/>
          <w:color w:val="000000"/>
          <w:sz w:val="24"/>
        </w:rPr>
        <w:t>22．</w:t>
      </w:r>
      <w:r>
        <w:rPr>
          <w:rStyle w:val="13"/>
          <w:rFonts w:ascii="宋体"/>
          <w:b/>
          <w:bCs/>
          <w:color w:val="000000"/>
          <w:sz w:val="24"/>
        </w:rPr>
        <w:tab/>
      </w:r>
      <w:r>
        <w:rPr>
          <w:rStyle w:val="13"/>
          <w:rFonts w:ascii="宋体" w:hAnsi="宋体"/>
          <w:b/>
          <w:bCs/>
          <w:color w:val="000000"/>
          <w:sz w:val="24"/>
        </w:rPr>
        <w:t>评标工作程序</w:t>
      </w:r>
    </w:p>
    <w:p>
      <w:pPr>
        <w:spacing w:line="360" w:lineRule="auto"/>
        <w:ind w:left="714" w:leftChars="1" w:hanging="712" w:hangingChars="297"/>
        <w:rPr>
          <w:rStyle w:val="13"/>
          <w:rFonts w:ascii="宋体"/>
          <w:color w:val="000000"/>
          <w:sz w:val="24"/>
        </w:rPr>
      </w:pPr>
      <w:r>
        <w:rPr>
          <w:rStyle w:val="13"/>
          <w:rFonts w:ascii="宋体" w:hAnsi="宋体"/>
          <w:color w:val="000000"/>
          <w:sz w:val="24"/>
          <w:szCs w:val="20"/>
        </w:rPr>
        <w:t xml:space="preserve">    </w:t>
      </w:r>
      <w:r>
        <w:rPr>
          <w:rStyle w:val="13"/>
          <w:rFonts w:ascii="宋体" w:hAnsi="宋体"/>
          <w:color w:val="000000"/>
          <w:sz w:val="24"/>
          <w:szCs w:val="20"/>
        </w:rPr>
        <w:tab/>
      </w:r>
      <w:r>
        <w:rPr>
          <w:rStyle w:val="13"/>
          <w:rFonts w:ascii="宋体" w:hAnsi="宋体"/>
          <w:color w:val="000000"/>
          <w:sz w:val="24"/>
          <w:szCs w:val="20"/>
        </w:rPr>
        <w:t>评标应当遵循下列工作程序：</w:t>
      </w:r>
    </w:p>
    <w:p>
      <w:pPr>
        <w:spacing w:line="360" w:lineRule="auto"/>
        <w:ind w:left="714" w:leftChars="1" w:hanging="712" w:hangingChars="297"/>
        <w:rPr>
          <w:rStyle w:val="13"/>
          <w:rFonts w:ascii="宋体"/>
          <w:color w:val="000000"/>
          <w:sz w:val="24"/>
        </w:rPr>
      </w:pPr>
      <w:r>
        <w:rPr>
          <w:rStyle w:val="13"/>
          <w:rFonts w:ascii="宋体" w:hAnsi="宋体"/>
          <w:color w:val="000000"/>
          <w:sz w:val="24"/>
          <w:szCs w:val="20"/>
        </w:rPr>
        <w:t xml:space="preserve">    </w:t>
      </w:r>
      <w:r>
        <w:rPr>
          <w:rStyle w:val="13"/>
          <w:rFonts w:ascii="宋体"/>
          <w:color w:val="000000"/>
          <w:sz w:val="24"/>
          <w:szCs w:val="20"/>
        </w:rPr>
        <w:tab/>
      </w:r>
      <w:r>
        <w:rPr>
          <w:rStyle w:val="13"/>
          <w:rFonts w:ascii="宋体" w:hAnsi="宋体"/>
          <w:color w:val="000000"/>
          <w:sz w:val="24"/>
          <w:szCs w:val="20"/>
        </w:rPr>
        <w:t>（一）投标文件初审。初审分为资格性检查和响应性检查。</w:t>
      </w:r>
    </w:p>
    <w:p>
      <w:pPr>
        <w:spacing w:line="360" w:lineRule="auto"/>
        <w:ind w:left="714" w:leftChars="1" w:hanging="712" w:hangingChars="297"/>
        <w:rPr>
          <w:rStyle w:val="13"/>
          <w:rFonts w:ascii="宋体"/>
          <w:color w:val="000000"/>
          <w:sz w:val="24"/>
        </w:rPr>
      </w:pPr>
      <w:r>
        <w:rPr>
          <w:rStyle w:val="13"/>
          <w:rFonts w:ascii="宋体" w:hAnsi="宋体"/>
          <w:color w:val="000000"/>
          <w:sz w:val="24"/>
          <w:szCs w:val="20"/>
        </w:rPr>
        <w:t xml:space="preserve">    </w:t>
      </w:r>
      <w:r>
        <w:rPr>
          <w:rStyle w:val="13"/>
          <w:rFonts w:ascii="宋体"/>
          <w:color w:val="000000"/>
          <w:sz w:val="24"/>
          <w:szCs w:val="20"/>
        </w:rPr>
        <w:tab/>
      </w:r>
      <w:r>
        <w:rPr>
          <w:rStyle w:val="13"/>
          <w:rFonts w:ascii="宋体" w:hAnsi="宋体"/>
          <w:color w:val="000000"/>
          <w:sz w:val="24"/>
          <w:szCs w:val="20"/>
        </w:rPr>
        <w:t>1、资格性检查。依据法律法规和招标文件的规定，对投标人提供的资格证明文件、投标保证金等进行审查，以确定投标人是否具备投标资格</w:t>
      </w:r>
      <w:r>
        <w:rPr>
          <w:rStyle w:val="13"/>
          <w:rFonts w:ascii="宋体" w:hAnsi="宋体"/>
          <w:b/>
          <w:color w:val="000000"/>
          <w:sz w:val="24"/>
          <w:szCs w:val="20"/>
        </w:rPr>
        <w:t>（不接受二次提交证明文件资料）</w:t>
      </w:r>
      <w:r>
        <w:rPr>
          <w:rStyle w:val="13"/>
          <w:rFonts w:ascii="宋体" w:hAnsi="宋体"/>
          <w:color w:val="000000"/>
          <w:sz w:val="24"/>
          <w:szCs w:val="20"/>
        </w:rPr>
        <w:t>。如果确定投标人无资格或无能力履行合同，其投标将被拒绝。</w:t>
      </w:r>
    </w:p>
    <w:p>
      <w:pPr>
        <w:spacing w:line="360" w:lineRule="auto"/>
        <w:ind w:left="714" w:leftChars="1" w:hanging="712" w:hangingChars="297"/>
        <w:rPr>
          <w:rStyle w:val="13"/>
          <w:rFonts w:ascii="宋体"/>
          <w:color w:val="000000"/>
          <w:sz w:val="24"/>
          <w:szCs w:val="20"/>
        </w:rPr>
      </w:pPr>
      <w:r>
        <w:rPr>
          <w:rStyle w:val="13"/>
          <w:rFonts w:ascii="宋体" w:hAnsi="宋体"/>
          <w:color w:val="000000"/>
          <w:sz w:val="24"/>
          <w:szCs w:val="20"/>
        </w:rPr>
        <w:t xml:space="preserve">    </w:t>
      </w:r>
      <w:r>
        <w:rPr>
          <w:rStyle w:val="13"/>
          <w:rFonts w:ascii="宋体"/>
          <w:color w:val="000000"/>
          <w:sz w:val="24"/>
          <w:szCs w:val="20"/>
        </w:rPr>
        <w:tab/>
      </w:r>
      <w:r>
        <w:rPr>
          <w:rStyle w:val="13"/>
          <w:rFonts w:ascii="宋体" w:hAnsi="宋体"/>
          <w:color w:val="000000"/>
          <w:sz w:val="24"/>
          <w:szCs w:val="20"/>
        </w:rPr>
        <w:t>2、响应性检查。依据招标文件的规定，从投标文件的有效性、完整性和对招标文件的响应程度进行审查，以确定是否对招标文件的实质性要求作出响应。实质性响应的投标是指投标符合招标文件的所有条款、条件和规定，且没有重大偏离或保留。重大偏离或保留是指将会影响到招标文件中标的清单及技术参数的要求，或限制了采购人权力和投标人义务的规定，而纠正这些偏离将影响到其他投标人的公平竞争地位。</w:t>
      </w:r>
    </w:p>
    <w:p>
      <w:pPr>
        <w:spacing w:line="360" w:lineRule="auto"/>
        <w:ind w:left="714" w:leftChars="1" w:hanging="712" w:hangingChars="297"/>
        <w:rPr>
          <w:rStyle w:val="13"/>
          <w:rFonts w:ascii="宋体"/>
          <w:color w:val="000000"/>
          <w:sz w:val="24"/>
        </w:rPr>
      </w:pPr>
      <w:r>
        <w:rPr>
          <w:rStyle w:val="13"/>
          <w:rFonts w:ascii="宋体" w:hAnsi="宋体"/>
          <w:color w:val="000000"/>
          <w:sz w:val="24"/>
          <w:szCs w:val="20"/>
        </w:rPr>
        <w:t xml:space="preserve">    </w:t>
      </w:r>
      <w:r>
        <w:rPr>
          <w:rStyle w:val="13"/>
          <w:rFonts w:ascii="宋体" w:hAnsi="宋体"/>
          <w:color w:val="000000"/>
          <w:sz w:val="24"/>
          <w:szCs w:val="20"/>
        </w:rPr>
        <w:tab/>
      </w:r>
      <w:r>
        <w:rPr>
          <w:rStyle w:val="13"/>
          <w:rFonts w:ascii="宋体" w:hAnsi="宋体"/>
          <w:color w:val="000000"/>
          <w:sz w:val="24"/>
          <w:szCs w:val="20"/>
        </w:rPr>
        <w:t>招标人将拒绝被确定为非实质性响应的投标人。</w:t>
      </w:r>
    </w:p>
    <w:p>
      <w:pPr>
        <w:spacing w:line="360" w:lineRule="auto"/>
        <w:ind w:left="714" w:leftChars="1" w:hanging="712" w:hangingChars="297"/>
        <w:rPr>
          <w:rStyle w:val="13"/>
          <w:rFonts w:ascii="宋体"/>
          <w:color w:val="000000"/>
          <w:sz w:val="24"/>
        </w:rPr>
      </w:pPr>
      <w:r>
        <w:rPr>
          <w:rStyle w:val="13"/>
          <w:rFonts w:ascii="宋体" w:hAnsi="宋体"/>
          <w:color w:val="000000"/>
          <w:sz w:val="24"/>
          <w:szCs w:val="20"/>
        </w:rPr>
        <w:t xml:space="preserve">   </w:t>
      </w:r>
      <w:r>
        <w:rPr>
          <w:rStyle w:val="13"/>
          <w:rFonts w:ascii="宋体"/>
          <w:color w:val="000000"/>
          <w:sz w:val="24"/>
          <w:szCs w:val="20"/>
        </w:rPr>
        <w:tab/>
      </w:r>
      <w:r>
        <w:rPr>
          <w:rStyle w:val="13"/>
          <w:rFonts w:ascii="宋体" w:hAnsi="宋体"/>
          <w:color w:val="000000"/>
          <w:sz w:val="24"/>
          <w:szCs w:val="20"/>
        </w:rPr>
        <w:t>（二）澄清有关问题。对投标文件中含义不明确、同类问题表述不一致或者有明显文字和计算错误的内容，评标委员会可以采用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pPr>
        <w:spacing w:line="360" w:lineRule="auto"/>
        <w:ind w:left="714" w:leftChars="1" w:hanging="712" w:hangingChars="297"/>
        <w:rPr>
          <w:rStyle w:val="13"/>
          <w:rFonts w:ascii="宋体"/>
          <w:color w:val="000000"/>
          <w:sz w:val="24"/>
        </w:rPr>
      </w:pPr>
      <w:r>
        <w:rPr>
          <w:rStyle w:val="13"/>
          <w:rFonts w:ascii="宋体" w:hAnsi="宋体"/>
          <w:color w:val="000000"/>
          <w:sz w:val="24"/>
          <w:szCs w:val="20"/>
        </w:rPr>
        <w:t xml:space="preserve">   </w:t>
      </w:r>
      <w:r>
        <w:rPr>
          <w:rStyle w:val="13"/>
          <w:rFonts w:ascii="宋体"/>
          <w:color w:val="000000"/>
          <w:sz w:val="24"/>
          <w:szCs w:val="20"/>
        </w:rPr>
        <w:tab/>
      </w:r>
      <w:r>
        <w:rPr>
          <w:rStyle w:val="13"/>
          <w:rFonts w:ascii="宋体" w:hAnsi="宋体"/>
          <w:color w:val="000000"/>
          <w:sz w:val="24"/>
          <w:szCs w:val="20"/>
        </w:rPr>
        <w:t>（三）比较与评价。按规定的评标方法和标准，对资格性检查和符合性检查合格的投标文件进行商务和技术评估，综合比较与评价。</w:t>
      </w:r>
    </w:p>
    <w:p>
      <w:pPr>
        <w:spacing w:line="360" w:lineRule="auto"/>
        <w:ind w:left="714" w:leftChars="1" w:hanging="712" w:hangingChars="297"/>
        <w:rPr>
          <w:rStyle w:val="13"/>
          <w:rFonts w:ascii="宋体"/>
          <w:color w:val="000000"/>
          <w:sz w:val="24"/>
        </w:rPr>
      </w:pPr>
      <w:r>
        <w:rPr>
          <w:rStyle w:val="13"/>
          <w:rFonts w:ascii="宋体" w:hAnsi="宋体"/>
          <w:color w:val="000000"/>
          <w:sz w:val="24"/>
          <w:szCs w:val="20"/>
        </w:rPr>
        <w:t xml:space="preserve">   </w:t>
      </w:r>
      <w:r>
        <w:rPr>
          <w:rStyle w:val="13"/>
          <w:rFonts w:ascii="宋体"/>
          <w:color w:val="000000"/>
          <w:sz w:val="24"/>
          <w:szCs w:val="20"/>
        </w:rPr>
        <w:tab/>
      </w:r>
      <w:r>
        <w:rPr>
          <w:rStyle w:val="13"/>
          <w:rFonts w:ascii="宋体" w:hAnsi="宋体"/>
          <w:color w:val="000000"/>
          <w:sz w:val="24"/>
          <w:szCs w:val="20"/>
        </w:rPr>
        <w:t>（四）推荐中标候选供应商名单。中标候选供应商数量根据采购需要确定，并按顺序排列。</w:t>
      </w:r>
    </w:p>
    <w:p>
      <w:pPr>
        <w:spacing w:line="360" w:lineRule="auto"/>
        <w:ind w:left="714" w:leftChars="1" w:hanging="712" w:hangingChars="297"/>
        <w:rPr>
          <w:rStyle w:val="13"/>
          <w:rFonts w:ascii="宋体"/>
          <w:color w:val="000000"/>
          <w:sz w:val="24"/>
        </w:rPr>
      </w:pPr>
      <w:r>
        <w:rPr>
          <w:rStyle w:val="13"/>
          <w:rFonts w:ascii="宋体" w:hAnsi="宋体"/>
          <w:color w:val="000000"/>
          <w:sz w:val="24"/>
          <w:szCs w:val="20"/>
        </w:rPr>
        <w:t xml:space="preserve">    </w:t>
      </w:r>
      <w:r>
        <w:rPr>
          <w:rStyle w:val="13"/>
          <w:rFonts w:ascii="宋体"/>
          <w:color w:val="000000"/>
          <w:sz w:val="24"/>
          <w:szCs w:val="20"/>
        </w:rPr>
        <w:tab/>
      </w:r>
      <w:r>
        <w:rPr>
          <w:rStyle w:val="13"/>
          <w:rFonts w:ascii="宋体"/>
          <w:color w:val="000000"/>
          <w:sz w:val="24"/>
          <w:szCs w:val="20"/>
        </w:rPr>
        <w:t xml:space="preserve"> </w:t>
      </w:r>
      <w:r>
        <w:rPr>
          <w:rStyle w:val="13"/>
          <w:rFonts w:ascii="宋体" w:hAnsi="宋体"/>
          <w:color w:val="000000"/>
          <w:sz w:val="24"/>
          <w:szCs w:val="20"/>
        </w:rPr>
        <w:t>(五)编写评标报告。评标报告是评标委员会根据全体评标成员签字的原始评标记录和评标结果编写的报告，其主要内容包括：</w:t>
      </w:r>
    </w:p>
    <w:p>
      <w:pPr>
        <w:spacing w:line="360" w:lineRule="auto"/>
        <w:ind w:left="714" w:leftChars="1" w:hanging="712" w:hangingChars="297"/>
        <w:rPr>
          <w:rStyle w:val="13"/>
          <w:rFonts w:ascii="宋体"/>
          <w:color w:val="000000"/>
          <w:sz w:val="24"/>
        </w:rPr>
      </w:pPr>
      <w:r>
        <w:rPr>
          <w:rStyle w:val="13"/>
          <w:rFonts w:ascii="宋体" w:hAnsi="宋体"/>
          <w:color w:val="000000"/>
          <w:sz w:val="24"/>
          <w:szCs w:val="20"/>
        </w:rPr>
        <w:t xml:space="preserve">    </w:t>
      </w:r>
      <w:r>
        <w:rPr>
          <w:rStyle w:val="13"/>
          <w:rFonts w:ascii="宋体"/>
          <w:color w:val="000000"/>
          <w:sz w:val="24"/>
          <w:szCs w:val="20"/>
        </w:rPr>
        <w:tab/>
      </w:r>
      <w:r>
        <w:rPr>
          <w:rStyle w:val="13"/>
          <w:rFonts w:ascii="宋体" w:hAnsi="宋体"/>
          <w:color w:val="000000"/>
          <w:sz w:val="24"/>
          <w:szCs w:val="20"/>
        </w:rPr>
        <w:t>1、招标公告刊登的媒体名称、开标日期和地点；</w:t>
      </w:r>
    </w:p>
    <w:p>
      <w:pPr>
        <w:spacing w:line="360" w:lineRule="auto"/>
        <w:ind w:left="714" w:leftChars="1" w:hanging="712" w:hangingChars="297"/>
        <w:rPr>
          <w:rStyle w:val="13"/>
          <w:rFonts w:ascii="宋体"/>
          <w:color w:val="000000"/>
          <w:sz w:val="24"/>
        </w:rPr>
      </w:pPr>
      <w:r>
        <w:rPr>
          <w:rStyle w:val="13"/>
          <w:rFonts w:ascii="宋体" w:hAnsi="宋体"/>
          <w:color w:val="000000"/>
          <w:sz w:val="24"/>
          <w:szCs w:val="20"/>
        </w:rPr>
        <w:t xml:space="preserve">    </w:t>
      </w:r>
      <w:r>
        <w:rPr>
          <w:rStyle w:val="13"/>
          <w:rFonts w:ascii="宋体"/>
          <w:color w:val="000000"/>
          <w:sz w:val="24"/>
          <w:szCs w:val="20"/>
        </w:rPr>
        <w:tab/>
      </w:r>
      <w:r>
        <w:rPr>
          <w:rStyle w:val="13"/>
          <w:rFonts w:ascii="宋体" w:hAnsi="宋体"/>
          <w:color w:val="000000"/>
          <w:sz w:val="24"/>
          <w:szCs w:val="20"/>
        </w:rPr>
        <w:t>2、购买招标文件的投标人名单和评标委员会成员名单；</w:t>
      </w:r>
    </w:p>
    <w:p>
      <w:pPr>
        <w:spacing w:line="360" w:lineRule="auto"/>
        <w:ind w:left="714" w:leftChars="1" w:hanging="712" w:hangingChars="297"/>
        <w:rPr>
          <w:rStyle w:val="13"/>
          <w:rFonts w:ascii="宋体"/>
          <w:color w:val="000000"/>
          <w:sz w:val="24"/>
        </w:rPr>
      </w:pPr>
      <w:r>
        <w:rPr>
          <w:rStyle w:val="13"/>
          <w:rFonts w:ascii="宋体" w:hAnsi="宋体"/>
          <w:color w:val="000000"/>
          <w:sz w:val="24"/>
          <w:szCs w:val="20"/>
        </w:rPr>
        <w:t xml:space="preserve">    </w:t>
      </w:r>
      <w:r>
        <w:rPr>
          <w:rStyle w:val="13"/>
          <w:rFonts w:ascii="宋体"/>
          <w:color w:val="000000"/>
          <w:sz w:val="24"/>
          <w:szCs w:val="20"/>
        </w:rPr>
        <w:tab/>
      </w:r>
      <w:r>
        <w:rPr>
          <w:rStyle w:val="13"/>
          <w:rFonts w:ascii="宋体" w:hAnsi="宋体"/>
          <w:color w:val="000000"/>
          <w:sz w:val="24"/>
          <w:szCs w:val="20"/>
        </w:rPr>
        <w:t>3、评标方法和标准；</w:t>
      </w:r>
    </w:p>
    <w:p>
      <w:pPr>
        <w:spacing w:line="360" w:lineRule="auto"/>
        <w:ind w:left="714" w:leftChars="1" w:hanging="712" w:hangingChars="297"/>
        <w:rPr>
          <w:rStyle w:val="13"/>
          <w:rFonts w:ascii="宋体"/>
          <w:color w:val="000000"/>
          <w:sz w:val="24"/>
        </w:rPr>
      </w:pPr>
      <w:r>
        <w:rPr>
          <w:rStyle w:val="13"/>
          <w:rFonts w:ascii="宋体" w:hAnsi="宋体"/>
          <w:color w:val="000000"/>
          <w:sz w:val="24"/>
          <w:szCs w:val="20"/>
        </w:rPr>
        <w:t xml:space="preserve">    </w:t>
      </w:r>
      <w:r>
        <w:rPr>
          <w:rStyle w:val="13"/>
          <w:rFonts w:ascii="宋体"/>
          <w:color w:val="000000"/>
          <w:sz w:val="24"/>
          <w:szCs w:val="20"/>
        </w:rPr>
        <w:tab/>
      </w:r>
      <w:r>
        <w:rPr>
          <w:rStyle w:val="13"/>
          <w:rFonts w:ascii="宋体" w:hAnsi="宋体"/>
          <w:color w:val="000000"/>
          <w:sz w:val="24"/>
          <w:szCs w:val="20"/>
        </w:rPr>
        <w:t>4、开标记录和评标情况及说明，包括投标无效投标人名单及原因；</w:t>
      </w:r>
    </w:p>
    <w:p>
      <w:pPr>
        <w:spacing w:line="360" w:lineRule="auto"/>
        <w:ind w:left="714" w:leftChars="1" w:hanging="712" w:hangingChars="297"/>
        <w:rPr>
          <w:rStyle w:val="13"/>
          <w:rFonts w:ascii="宋体"/>
          <w:color w:val="000000"/>
          <w:sz w:val="24"/>
        </w:rPr>
      </w:pPr>
      <w:r>
        <w:rPr>
          <w:rStyle w:val="13"/>
          <w:rFonts w:ascii="宋体" w:hAnsi="宋体"/>
          <w:color w:val="000000"/>
          <w:sz w:val="24"/>
          <w:szCs w:val="20"/>
        </w:rPr>
        <w:t xml:space="preserve">    </w:t>
      </w:r>
      <w:r>
        <w:rPr>
          <w:rStyle w:val="13"/>
          <w:rFonts w:ascii="宋体"/>
          <w:color w:val="000000"/>
          <w:sz w:val="24"/>
          <w:szCs w:val="20"/>
        </w:rPr>
        <w:tab/>
      </w:r>
      <w:r>
        <w:rPr>
          <w:rStyle w:val="13"/>
          <w:rFonts w:ascii="宋体" w:hAnsi="宋体"/>
          <w:color w:val="000000"/>
          <w:sz w:val="24"/>
          <w:szCs w:val="20"/>
        </w:rPr>
        <w:t>5、评标结果和中标候选供应商排序表；</w:t>
      </w:r>
    </w:p>
    <w:p>
      <w:pPr>
        <w:spacing w:line="360" w:lineRule="auto"/>
        <w:ind w:left="714" w:leftChars="1" w:hanging="712" w:hangingChars="297"/>
        <w:rPr>
          <w:rStyle w:val="13"/>
          <w:rFonts w:ascii="宋体"/>
          <w:color w:val="000000"/>
          <w:sz w:val="24"/>
        </w:rPr>
      </w:pPr>
      <w:r>
        <w:rPr>
          <w:rStyle w:val="13"/>
          <w:rFonts w:ascii="宋体" w:hAnsi="宋体"/>
          <w:color w:val="000000"/>
          <w:sz w:val="24"/>
          <w:szCs w:val="20"/>
        </w:rPr>
        <w:t xml:space="preserve">    </w:t>
      </w:r>
      <w:r>
        <w:rPr>
          <w:rStyle w:val="13"/>
          <w:rFonts w:ascii="宋体"/>
          <w:color w:val="000000"/>
          <w:sz w:val="24"/>
          <w:szCs w:val="20"/>
        </w:rPr>
        <w:tab/>
      </w:r>
      <w:r>
        <w:rPr>
          <w:rStyle w:val="13"/>
          <w:rFonts w:ascii="宋体" w:hAnsi="宋体"/>
          <w:color w:val="000000"/>
          <w:sz w:val="24"/>
          <w:szCs w:val="20"/>
        </w:rPr>
        <w:t>6、评标委员会的授标建议。</w:t>
      </w:r>
    </w:p>
    <w:p>
      <w:pPr>
        <w:spacing w:line="360" w:lineRule="auto"/>
        <w:ind w:left="714" w:leftChars="1" w:hanging="712" w:hangingChars="297"/>
        <w:rPr>
          <w:rStyle w:val="13"/>
          <w:rFonts w:ascii="宋体"/>
          <w:color w:val="000000"/>
          <w:sz w:val="24"/>
        </w:rPr>
      </w:pPr>
      <w:r>
        <w:rPr>
          <w:rStyle w:val="13"/>
          <w:rFonts w:ascii="宋体" w:hAnsi="宋体"/>
          <w:color w:val="000000"/>
          <w:sz w:val="24"/>
          <w:szCs w:val="20"/>
        </w:rPr>
        <w:t xml:space="preserve">    </w:t>
      </w:r>
      <w:r>
        <w:rPr>
          <w:rStyle w:val="13"/>
          <w:rFonts w:ascii="宋体"/>
          <w:color w:val="000000"/>
          <w:sz w:val="24"/>
          <w:szCs w:val="20"/>
        </w:rPr>
        <w:tab/>
      </w:r>
      <w:r>
        <w:rPr>
          <w:rStyle w:val="13"/>
          <w:rFonts w:ascii="宋体" w:hAnsi="宋体"/>
          <w:color w:val="000000"/>
          <w:sz w:val="24"/>
          <w:szCs w:val="20"/>
        </w:rPr>
        <w:t>在评标中，不得改变已规定的评标标准、方法和中标条件。</w:t>
      </w:r>
    </w:p>
    <w:p>
      <w:pPr>
        <w:spacing w:line="360" w:lineRule="auto"/>
        <w:ind w:left="718" w:leftChars="1" w:hanging="716" w:hangingChars="297"/>
        <w:rPr>
          <w:rStyle w:val="13"/>
          <w:rFonts w:ascii="宋体"/>
          <w:b/>
          <w:bCs/>
          <w:color w:val="000000"/>
          <w:sz w:val="24"/>
        </w:rPr>
      </w:pPr>
      <w:r>
        <w:rPr>
          <w:rStyle w:val="13"/>
          <w:rFonts w:ascii="宋体" w:hAnsi="宋体"/>
          <w:b/>
          <w:bCs/>
          <w:color w:val="000000"/>
          <w:sz w:val="24"/>
        </w:rPr>
        <w:t>23.</w:t>
      </w:r>
      <w:r>
        <w:rPr>
          <w:rStyle w:val="13"/>
          <w:rFonts w:ascii="宋体" w:hAnsi="宋体"/>
          <w:b/>
          <w:bCs/>
          <w:color w:val="000000"/>
          <w:sz w:val="24"/>
        </w:rPr>
        <w:tab/>
      </w:r>
      <w:r>
        <w:rPr>
          <w:rStyle w:val="13"/>
          <w:rFonts w:ascii="宋体" w:hAnsi="宋体"/>
          <w:b/>
          <w:bCs/>
          <w:color w:val="000000"/>
          <w:sz w:val="24"/>
        </w:rPr>
        <w:t>评标过程的保密性</w:t>
      </w:r>
    </w:p>
    <w:p>
      <w:pPr>
        <w:spacing w:line="360" w:lineRule="auto"/>
        <w:ind w:left="714" w:leftChars="1" w:hanging="712" w:hangingChars="297"/>
        <w:rPr>
          <w:rStyle w:val="13"/>
          <w:rFonts w:ascii="宋体"/>
          <w:color w:val="000000"/>
          <w:sz w:val="24"/>
        </w:rPr>
      </w:pPr>
      <w:r>
        <w:rPr>
          <w:rStyle w:val="13"/>
          <w:rFonts w:ascii="宋体" w:hAnsi="宋体"/>
          <w:color w:val="000000"/>
          <w:sz w:val="24"/>
        </w:rPr>
        <w:t>23.1</w:t>
      </w:r>
      <w:r>
        <w:rPr>
          <w:rStyle w:val="13"/>
          <w:rFonts w:ascii="宋体" w:hAnsi="宋体"/>
          <w:color w:val="000000"/>
          <w:sz w:val="24"/>
        </w:rPr>
        <w:tab/>
      </w:r>
      <w:r>
        <w:rPr>
          <w:rStyle w:val="13"/>
          <w:rFonts w:ascii="宋体" w:hAnsi="宋体"/>
          <w:color w:val="000000"/>
          <w:sz w:val="24"/>
        </w:rPr>
        <w:t>在评标过程中和评标结束后，评委会的研究情况和所有投标人的商业秘密都属于保密内容；</w:t>
      </w:r>
    </w:p>
    <w:p>
      <w:pPr>
        <w:spacing w:line="360" w:lineRule="auto"/>
        <w:ind w:left="714" w:leftChars="1" w:hanging="712" w:hangingChars="297"/>
        <w:rPr>
          <w:rStyle w:val="13"/>
          <w:rFonts w:ascii="宋体"/>
          <w:color w:val="000000"/>
          <w:spacing w:val="-2"/>
          <w:sz w:val="24"/>
        </w:rPr>
      </w:pPr>
      <w:r>
        <w:rPr>
          <w:rStyle w:val="13"/>
          <w:rFonts w:ascii="宋体" w:hAnsi="宋体"/>
          <w:color w:val="000000"/>
          <w:sz w:val="24"/>
        </w:rPr>
        <w:t>23.2</w:t>
      </w:r>
      <w:r>
        <w:rPr>
          <w:rStyle w:val="13"/>
          <w:rFonts w:ascii="宋体" w:hAnsi="宋体"/>
          <w:color w:val="000000"/>
          <w:sz w:val="24"/>
        </w:rPr>
        <w:tab/>
      </w:r>
      <w:r>
        <w:rPr>
          <w:rStyle w:val="13"/>
          <w:rFonts w:ascii="宋体" w:hAnsi="宋体"/>
          <w:color w:val="000000"/>
          <w:spacing w:val="-2"/>
          <w:sz w:val="24"/>
        </w:rPr>
        <w:t>有关投标文件的审查、澄清、评估和比较以及有关授予合同的意向一切情况都不得透露给任何投标人或与上述评标工作无关的人员；</w:t>
      </w:r>
    </w:p>
    <w:p>
      <w:pPr>
        <w:spacing w:line="360" w:lineRule="auto"/>
        <w:ind w:left="714" w:leftChars="1" w:hanging="712" w:hangingChars="297"/>
        <w:rPr>
          <w:rStyle w:val="13"/>
        </w:rPr>
      </w:pPr>
      <w:r>
        <w:rPr>
          <w:rStyle w:val="13"/>
          <w:rFonts w:ascii="宋体" w:hAnsi="宋体"/>
          <w:color w:val="000000"/>
          <w:sz w:val="24"/>
        </w:rPr>
        <w:t>23.3</w:t>
      </w:r>
      <w:r>
        <w:rPr>
          <w:rStyle w:val="13"/>
          <w:rFonts w:ascii="宋体" w:hAnsi="宋体"/>
          <w:color w:val="000000"/>
          <w:sz w:val="24"/>
        </w:rPr>
        <w:tab/>
      </w:r>
      <w:r>
        <w:rPr>
          <w:rStyle w:val="13"/>
          <w:rFonts w:ascii="宋体" w:hAnsi="宋体"/>
          <w:color w:val="000000"/>
          <w:sz w:val="24"/>
        </w:rPr>
        <w:t>投标人不得干扰招标人的评标活动，否则将撤消其投标资格，并没收其投标保证金。</w:t>
      </w:r>
    </w:p>
    <w:p>
      <w:pPr>
        <w:spacing w:line="360" w:lineRule="auto"/>
        <w:ind w:left="718" w:leftChars="1" w:hanging="716" w:hangingChars="297"/>
        <w:jc w:val="center"/>
        <w:rPr>
          <w:rStyle w:val="13"/>
          <w:rFonts w:ascii="宋体"/>
          <w:b/>
          <w:color w:val="000000"/>
          <w:sz w:val="24"/>
        </w:rPr>
      </w:pPr>
      <w:r>
        <w:rPr>
          <w:rStyle w:val="13"/>
          <w:rFonts w:ascii="宋体" w:hAnsi="宋体"/>
          <w:b/>
          <w:color w:val="000000"/>
          <w:sz w:val="24"/>
        </w:rPr>
        <w:t>E   评标方法及标准</w:t>
      </w:r>
    </w:p>
    <w:p>
      <w:pPr>
        <w:spacing w:line="360" w:lineRule="auto"/>
        <w:ind w:left="718" w:leftChars="1" w:hanging="716" w:hangingChars="297"/>
        <w:rPr>
          <w:rStyle w:val="13"/>
          <w:rFonts w:ascii="宋体"/>
          <w:b/>
          <w:color w:val="000000"/>
          <w:sz w:val="24"/>
        </w:rPr>
      </w:pPr>
      <w:r>
        <w:rPr>
          <w:rStyle w:val="13"/>
          <w:rFonts w:ascii="宋体" w:hAnsi="宋体"/>
          <w:b/>
          <w:color w:val="000000"/>
          <w:sz w:val="24"/>
        </w:rPr>
        <w:t>24．</w:t>
      </w:r>
      <w:r>
        <w:rPr>
          <w:rStyle w:val="13"/>
          <w:rFonts w:ascii="宋体"/>
          <w:b/>
          <w:color w:val="000000"/>
          <w:sz w:val="24"/>
        </w:rPr>
        <w:tab/>
      </w:r>
      <w:r>
        <w:rPr>
          <w:rStyle w:val="13"/>
          <w:rFonts w:ascii="宋体" w:hAnsi="宋体"/>
          <w:b/>
          <w:color w:val="000000"/>
          <w:sz w:val="24"/>
        </w:rPr>
        <w:t>评标方法（综合评分法）</w:t>
      </w:r>
    </w:p>
    <w:p>
      <w:pPr>
        <w:spacing w:line="360" w:lineRule="auto"/>
        <w:rPr>
          <w:rStyle w:val="13"/>
          <w:rFonts w:ascii="宋体" w:hAnsi="宋体"/>
          <w:color w:val="000000"/>
          <w:sz w:val="24"/>
        </w:rPr>
      </w:pPr>
      <w:r>
        <w:rPr>
          <w:rStyle w:val="13"/>
          <w:rFonts w:ascii="宋体" w:hAnsi="宋体"/>
          <w:color w:val="000000"/>
          <w:sz w:val="24"/>
        </w:rPr>
        <w:t>24.1按国家计委等七部委颁发的《评标委员会和评标方法暂行规定》，结合本项目特点，采用综合评分法，是最低报价不是中标的唯一条件，综合评分因素的主要因素为质量、价格、技术、财务状况、信誉、业绩、服务以及对招标文件的响应程度等。每一投标人的最终得分为所有评委评分的算数平均值。（总分100分：其中商务部分和技术部分占70分，投标报价占30分），最终合计得分最高的投标人作为第一中标候选人，以此类推确定第二、第三中标候选人。最中得分相同并列的，由采购人或者采购人委托评标委员 会按照招标文件规定的方式确定中标人；招标文件未规定的，采取随机抽取的方式确定。</w:t>
      </w:r>
    </w:p>
    <w:p>
      <w:pPr>
        <w:spacing w:line="360" w:lineRule="auto"/>
        <w:rPr>
          <w:rStyle w:val="13"/>
          <w:rFonts w:ascii="宋体"/>
          <w:b/>
          <w:bCs/>
          <w:sz w:val="24"/>
          <w:szCs w:val="20"/>
        </w:rPr>
      </w:pPr>
      <w:r>
        <w:rPr>
          <w:rStyle w:val="13"/>
          <w:rFonts w:ascii="宋体" w:hAnsi="宋体"/>
          <w:b/>
          <w:bCs/>
          <w:sz w:val="24"/>
          <w:szCs w:val="20"/>
        </w:rPr>
        <w:t>24.2</w:t>
      </w:r>
      <w:r>
        <w:rPr>
          <w:rStyle w:val="13"/>
          <w:rFonts w:ascii="宋体" w:hAnsi="宋体"/>
          <w:b/>
          <w:bCs/>
          <w:sz w:val="24"/>
          <w:szCs w:val="20"/>
        </w:rPr>
        <w:tab/>
      </w:r>
      <w:r>
        <w:rPr>
          <w:rStyle w:val="13"/>
          <w:rFonts w:ascii="宋体" w:hAnsi="宋体"/>
          <w:b/>
          <w:bCs/>
          <w:sz w:val="24"/>
          <w:szCs w:val="20"/>
        </w:rPr>
        <w:t>评标标准</w:t>
      </w:r>
    </w:p>
    <w:tbl>
      <w:tblPr>
        <w:tblStyle w:val="10"/>
        <w:tblW w:w="93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8"/>
        <w:gridCol w:w="652"/>
        <w:gridCol w:w="6644"/>
        <w:gridCol w:w="612"/>
        <w:gridCol w:w="7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0" w:hRule="atLeast"/>
          <w:jc w:val="center"/>
        </w:trPr>
        <w:tc>
          <w:tcPr>
            <w:tcW w:w="688" w:type="dxa"/>
            <w:tcBorders>
              <w:top w:val="single" w:color="000000" w:sz="4" w:space="0"/>
              <w:left w:val="single" w:color="000000" w:sz="4" w:space="0"/>
              <w:bottom w:val="single" w:color="000000" w:sz="4" w:space="0"/>
              <w:right w:val="single" w:color="000000" w:sz="4" w:space="0"/>
            </w:tcBorders>
            <w:vAlign w:val="center"/>
          </w:tcPr>
          <w:p>
            <w:pPr>
              <w:jc w:val="center"/>
              <w:rPr>
                <w:rStyle w:val="13"/>
                <w:color w:val="000000"/>
                <w:sz w:val="18"/>
                <w:szCs w:val="18"/>
              </w:rPr>
            </w:pPr>
            <w:r>
              <w:rPr>
                <w:rStyle w:val="13"/>
                <w:color w:val="000000"/>
                <w:sz w:val="18"/>
                <w:szCs w:val="18"/>
              </w:rPr>
              <w:t>项目</w:t>
            </w:r>
          </w:p>
        </w:tc>
        <w:tc>
          <w:tcPr>
            <w:tcW w:w="652" w:type="dxa"/>
            <w:tcBorders>
              <w:top w:val="single" w:color="000000" w:sz="4" w:space="0"/>
              <w:left w:val="single" w:color="000000" w:sz="4" w:space="0"/>
              <w:bottom w:val="single" w:color="000000" w:sz="4" w:space="0"/>
              <w:right w:val="single" w:color="000000" w:sz="4" w:space="0"/>
            </w:tcBorders>
            <w:vAlign w:val="center"/>
          </w:tcPr>
          <w:p>
            <w:pPr>
              <w:jc w:val="center"/>
              <w:rPr>
                <w:rStyle w:val="13"/>
                <w:color w:val="000000"/>
                <w:sz w:val="18"/>
                <w:szCs w:val="18"/>
              </w:rPr>
            </w:pPr>
            <w:r>
              <w:rPr>
                <w:rStyle w:val="13"/>
                <w:color w:val="000000"/>
                <w:sz w:val="18"/>
                <w:szCs w:val="18"/>
              </w:rPr>
              <w:t>序号</w:t>
            </w:r>
          </w:p>
        </w:tc>
        <w:tc>
          <w:tcPr>
            <w:tcW w:w="6644" w:type="dxa"/>
            <w:tcBorders>
              <w:top w:val="single" w:color="000000" w:sz="4" w:space="0"/>
              <w:left w:val="single" w:color="000000" w:sz="4" w:space="0"/>
              <w:bottom w:val="single" w:color="000000" w:sz="4" w:space="0"/>
              <w:right w:val="single" w:color="000000" w:sz="4" w:space="0"/>
            </w:tcBorders>
            <w:vAlign w:val="center"/>
          </w:tcPr>
          <w:p>
            <w:pPr>
              <w:jc w:val="center"/>
              <w:rPr>
                <w:rStyle w:val="13"/>
                <w:color w:val="000000"/>
                <w:sz w:val="18"/>
                <w:szCs w:val="18"/>
              </w:rPr>
            </w:pPr>
            <w:r>
              <w:rPr>
                <w:rStyle w:val="13"/>
                <w:color w:val="000000"/>
                <w:sz w:val="18"/>
                <w:szCs w:val="18"/>
              </w:rPr>
              <w:t>评审内容</w:t>
            </w:r>
          </w:p>
        </w:tc>
        <w:tc>
          <w:tcPr>
            <w:tcW w:w="139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3"/>
                <w:color w:val="000000"/>
                <w:sz w:val="18"/>
                <w:szCs w:val="18"/>
              </w:rPr>
            </w:pPr>
            <w:r>
              <w:rPr>
                <w:rStyle w:val="13"/>
                <w:color w:val="000000"/>
                <w:sz w:val="18"/>
                <w:szCs w:val="18"/>
              </w:rPr>
              <w:t>评审方法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0"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13"/>
                <w:color w:val="000000"/>
                <w:sz w:val="18"/>
                <w:szCs w:val="18"/>
              </w:rPr>
            </w:pPr>
            <w:r>
              <w:rPr>
                <w:rStyle w:val="13"/>
                <w:color w:val="000000"/>
                <w:sz w:val="18"/>
                <w:szCs w:val="18"/>
              </w:rPr>
              <w:t>资格审查</w:t>
            </w:r>
          </w:p>
        </w:tc>
        <w:tc>
          <w:tcPr>
            <w:tcW w:w="652" w:type="dxa"/>
            <w:tcBorders>
              <w:top w:val="single" w:color="000000" w:sz="4" w:space="0"/>
              <w:left w:val="single" w:color="000000" w:sz="4" w:space="0"/>
              <w:bottom w:val="single" w:color="000000" w:sz="4" w:space="0"/>
              <w:right w:val="single" w:color="000000" w:sz="4" w:space="0"/>
            </w:tcBorders>
            <w:vAlign w:val="center"/>
          </w:tcPr>
          <w:p>
            <w:pPr>
              <w:jc w:val="center"/>
              <w:rPr>
                <w:rStyle w:val="13"/>
                <w:color w:val="000000"/>
                <w:sz w:val="18"/>
                <w:szCs w:val="18"/>
              </w:rPr>
            </w:pPr>
          </w:p>
        </w:tc>
        <w:tc>
          <w:tcPr>
            <w:tcW w:w="6644" w:type="dxa"/>
            <w:tcBorders>
              <w:top w:val="single" w:color="000000" w:sz="4" w:space="0"/>
              <w:left w:val="single" w:color="000000" w:sz="4" w:space="0"/>
              <w:bottom w:val="single" w:color="000000" w:sz="4" w:space="0"/>
              <w:right w:val="single" w:color="000000" w:sz="4" w:space="0"/>
            </w:tcBorders>
            <w:vAlign w:val="center"/>
          </w:tcPr>
          <w:p>
            <w:pPr>
              <w:rPr>
                <w:rStyle w:val="13"/>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vAlign w:val="center"/>
          </w:tcPr>
          <w:p>
            <w:pPr>
              <w:jc w:val="center"/>
              <w:rPr>
                <w:rStyle w:val="13"/>
                <w:color w:val="000000"/>
                <w:sz w:val="18"/>
                <w:szCs w:val="18"/>
              </w:rPr>
            </w:pPr>
            <w:r>
              <w:rPr>
                <w:rStyle w:val="13"/>
                <w:color w:val="000000"/>
                <w:sz w:val="18"/>
                <w:szCs w:val="18"/>
              </w:rPr>
              <w:t>通过</w:t>
            </w:r>
          </w:p>
        </w:tc>
        <w:tc>
          <w:tcPr>
            <w:tcW w:w="785" w:type="dxa"/>
            <w:tcBorders>
              <w:top w:val="single" w:color="000000" w:sz="4" w:space="0"/>
              <w:left w:val="single" w:color="000000" w:sz="4" w:space="0"/>
              <w:bottom w:val="single" w:color="000000" w:sz="4" w:space="0"/>
              <w:right w:val="single" w:color="000000" w:sz="4" w:space="0"/>
            </w:tcBorders>
            <w:vAlign w:val="center"/>
          </w:tcPr>
          <w:p>
            <w:pPr>
              <w:jc w:val="center"/>
              <w:rPr>
                <w:rStyle w:val="13"/>
                <w:color w:val="000000"/>
                <w:sz w:val="18"/>
                <w:szCs w:val="18"/>
              </w:rPr>
            </w:pPr>
            <w:r>
              <w:rPr>
                <w:rStyle w:val="13"/>
                <w:color w:val="000000"/>
                <w:sz w:val="18"/>
                <w:szCs w:val="18"/>
              </w:rPr>
              <w:t>不通过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color w:val="000000"/>
                <w:sz w:val="18"/>
                <w:szCs w:val="18"/>
              </w:rPr>
            </w:pPr>
          </w:p>
        </w:tc>
        <w:tc>
          <w:tcPr>
            <w:tcW w:w="652" w:type="dxa"/>
            <w:tcBorders>
              <w:top w:val="single" w:color="000000" w:sz="4" w:space="0"/>
              <w:left w:val="single" w:color="000000" w:sz="4" w:space="0"/>
              <w:bottom w:val="single" w:color="000000" w:sz="4" w:space="0"/>
              <w:right w:val="single" w:color="000000" w:sz="4" w:space="0"/>
            </w:tcBorders>
            <w:vAlign w:val="center"/>
          </w:tcPr>
          <w:p>
            <w:pPr>
              <w:jc w:val="center"/>
              <w:rPr>
                <w:rStyle w:val="13"/>
                <w:color w:val="000000"/>
                <w:sz w:val="18"/>
                <w:szCs w:val="18"/>
              </w:rPr>
            </w:pPr>
            <w:r>
              <w:rPr>
                <w:rStyle w:val="13"/>
                <w:color w:val="000000"/>
                <w:sz w:val="18"/>
                <w:szCs w:val="18"/>
              </w:rPr>
              <w:t>1</w:t>
            </w:r>
          </w:p>
        </w:tc>
        <w:tc>
          <w:tcPr>
            <w:tcW w:w="6644" w:type="dxa"/>
            <w:tcBorders>
              <w:top w:val="single" w:color="000000" w:sz="4" w:space="0"/>
              <w:left w:val="single" w:color="000000" w:sz="4" w:space="0"/>
              <w:bottom w:val="single" w:color="000000" w:sz="4" w:space="0"/>
              <w:right w:val="single" w:color="000000" w:sz="4" w:space="0"/>
            </w:tcBorders>
            <w:vAlign w:val="center"/>
          </w:tcPr>
          <w:p>
            <w:pPr>
              <w:rPr>
                <w:rStyle w:val="13"/>
                <w:rFonts w:ascii="宋体" w:hAnsi="宋体"/>
                <w:color w:val="000000"/>
                <w:kern w:val="0"/>
                <w:sz w:val="18"/>
                <w:szCs w:val="18"/>
              </w:rPr>
            </w:pPr>
            <w:r>
              <w:rPr>
                <w:rStyle w:val="13"/>
                <w:rFonts w:ascii="宋体" w:hAnsi="宋体"/>
                <w:color w:val="000000"/>
                <w:kern w:val="0"/>
                <w:sz w:val="18"/>
                <w:szCs w:val="18"/>
              </w:rPr>
              <w:t>是否提供合格的企业法人营业执照（或三证合一）；</w:t>
            </w:r>
          </w:p>
        </w:tc>
        <w:tc>
          <w:tcPr>
            <w:tcW w:w="612" w:type="dxa"/>
            <w:tcBorders>
              <w:top w:val="single" w:color="000000" w:sz="4" w:space="0"/>
              <w:left w:val="single" w:color="000000" w:sz="4" w:space="0"/>
              <w:bottom w:val="single" w:color="000000" w:sz="4" w:space="0"/>
              <w:right w:val="single" w:color="000000" w:sz="4" w:space="0"/>
            </w:tcBorders>
          </w:tcPr>
          <w:p>
            <w:pPr>
              <w:jc w:val="left"/>
              <w:rPr>
                <w:rStyle w:val="13"/>
                <w:color w:val="000000"/>
                <w:sz w:val="18"/>
                <w:szCs w:val="18"/>
              </w:rPr>
            </w:pPr>
          </w:p>
        </w:tc>
        <w:tc>
          <w:tcPr>
            <w:tcW w:w="785" w:type="dxa"/>
            <w:tcBorders>
              <w:top w:val="single" w:color="000000" w:sz="4" w:space="0"/>
              <w:left w:val="single" w:color="000000" w:sz="4" w:space="0"/>
              <w:bottom w:val="single" w:color="000000" w:sz="4" w:space="0"/>
              <w:right w:val="single" w:color="000000" w:sz="4" w:space="0"/>
            </w:tcBorders>
          </w:tcPr>
          <w:p>
            <w:pPr>
              <w:jc w:val="left"/>
              <w:rPr>
                <w:rStyle w:val="13"/>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13"/>
                <w:color w:val="000000"/>
                <w:sz w:val="18"/>
                <w:szCs w:val="18"/>
              </w:rPr>
            </w:pPr>
          </w:p>
        </w:tc>
        <w:tc>
          <w:tcPr>
            <w:tcW w:w="652" w:type="dxa"/>
            <w:tcBorders>
              <w:top w:val="single" w:color="000000" w:sz="4" w:space="0"/>
              <w:left w:val="single" w:color="000000" w:sz="4" w:space="0"/>
              <w:bottom w:val="single" w:color="000000" w:sz="4" w:space="0"/>
              <w:right w:val="single" w:color="000000" w:sz="4" w:space="0"/>
            </w:tcBorders>
            <w:vAlign w:val="center"/>
          </w:tcPr>
          <w:p>
            <w:pPr>
              <w:jc w:val="center"/>
              <w:rPr>
                <w:rStyle w:val="13"/>
                <w:color w:val="000000"/>
                <w:sz w:val="18"/>
                <w:szCs w:val="18"/>
              </w:rPr>
            </w:pPr>
            <w:r>
              <w:rPr>
                <w:rStyle w:val="13"/>
                <w:color w:val="000000"/>
                <w:sz w:val="18"/>
                <w:szCs w:val="18"/>
              </w:rPr>
              <w:t>2</w:t>
            </w:r>
          </w:p>
        </w:tc>
        <w:tc>
          <w:tcPr>
            <w:tcW w:w="6644" w:type="dxa"/>
            <w:tcBorders>
              <w:top w:val="single" w:color="000000" w:sz="4" w:space="0"/>
              <w:left w:val="single" w:color="000000" w:sz="4" w:space="0"/>
              <w:bottom w:val="single" w:color="000000" w:sz="4" w:space="0"/>
              <w:right w:val="single" w:color="000000" w:sz="4" w:space="0"/>
            </w:tcBorders>
            <w:vAlign w:val="center"/>
          </w:tcPr>
          <w:p>
            <w:pPr>
              <w:rPr>
                <w:rStyle w:val="13"/>
                <w:rFonts w:ascii="宋体" w:hAnsi="宋体"/>
                <w:color w:val="000000"/>
                <w:kern w:val="0"/>
                <w:sz w:val="18"/>
                <w:szCs w:val="18"/>
              </w:rPr>
            </w:pPr>
            <w:r>
              <w:rPr>
                <w:rStyle w:val="13"/>
                <w:rFonts w:ascii="宋体" w:hAnsi="宋体"/>
                <w:color w:val="000000"/>
                <w:kern w:val="0"/>
                <w:sz w:val="18"/>
                <w:szCs w:val="18"/>
              </w:rPr>
              <w:t>投标文件是否按照规定进行胶装、标记的；</w:t>
            </w:r>
          </w:p>
        </w:tc>
        <w:tc>
          <w:tcPr>
            <w:tcW w:w="612" w:type="dxa"/>
            <w:tcBorders>
              <w:top w:val="single" w:color="000000" w:sz="4" w:space="0"/>
              <w:left w:val="single" w:color="000000" w:sz="4" w:space="0"/>
              <w:bottom w:val="single" w:color="000000" w:sz="4" w:space="0"/>
              <w:right w:val="single" w:color="000000" w:sz="4" w:space="0"/>
            </w:tcBorders>
          </w:tcPr>
          <w:p>
            <w:pPr>
              <w:jc w:val="left"/>
              <w:rPr>
                <w:rStyle w:val="13"/>
                <w:color w:val="000000"/>
                <w:sz w:val="18"/>
                <w:szCs w:val="18"/>
              </w:rPr>
            </w:pPr>
          </w:p>
        </w:tc>
        <w:tc>
          <w:tcPr>
            <w:tcW w:w="785" w:type="dxa"/>
            <w:tcBorders>
              <w:top w:val="single" w:color="000000" w:sz="4" w:space="0"/>
              <w:left w:val="single" w:color="000000" w:sz="4" w:space="0"/>
              <w:bottom w:val="single" w:color="000000" w:sz="4" w:space="0"/>
              <w:right w:val="single" w:color="000000" w:sz="4" w:space="0"/>
            </w:tcBorders>
          </w:tcPr>
          <w:p>
            <w:pPr>
              <w:jc w:val="left"/>
              <w:rPr>
                <w:rStyle w:val="13"/>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13"/>
                <w:color w:val="000000"/>
                <w:sz w:val="18"/>
                <w:szCs w:val="18"/>
              </w:rPr>
            </w:pPr>
          </w:p>
        </w:tc>
        <w:tc>
          <w:tcPr>
            <w:tcW w:w="652"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13"/>
                <w:color w:val="000000"/>
                <w:sz w:val="18"/>
                <w:szCs w:val="18"/>
              </w:rPr>
            </w:pPr>
            <w:r>
              <w:rPr>
                <w:rStyle w:val="13"/>
                <w:color w:val="000000"/>
                <w:sz w:val="18"/>
                <w:szCs w:val="18"/>
              </w:rPr>
              <w:t>3</w:t>
            </w:r>
          </w:p>
        </w:tc>
        <w:tc>
          <w:tcPr>
            <w:tcW w:w="6644" w:type="dxa"/>
            <w:tcBorders>
              <w:top w:val="single" w:color="000000" w:sz="4" w:space="0"/>
              <w:left w:val="single" w:color="000000" w:sz="4" w:space="0"/>
              <w:bottom w:val="single" w:color="000000" w:sz="4" w:space="0"/>
              <w:right w:val="single" w:color="000000" w:sz="4" w:space="0"/>
            </w:tcBorders>
            <w:vAlign w:val="center"/>
          </w:tcPr>
          <w:p>
            <w:pPr>
              <w:rPr>
                <w:rStyle w:val="13"/>
                <w:color w:val="000000"/>
                <w:sz w:val="18"/>
                <w:szCs w:val="18"/>
              </w:rPr>
            </w:pPr>
            <w:r>
              <w:rPr>
                <w:rStyle w:val="13"/>
                <w:color w:val="000000"/>
                <w:sz w:val="18"/>
                <w:szCs w:val="18"/>
              </w:rPr>
              <w:t>符合《政府采购法》第二十二条规定的条件</w:t>
            </w:r>
          </w:p>
          <w:p>
            <w:pPr>
              <w:rPr>
                <w:rStyle w:val="13"/>
                <w:rFonts w:ascii="宋体" w:hAnsi="宋体"/>
                <w:color w:val="000000"/>
                <w:kern w:val="0"/>
                <w:sz w:val="18"/>
                <w:szCs w:val="18"/>
              </w:rPr>
            </w:pPr>
            <w:r>
              <w:rPr>
                <w:rStyle w:val="13"/>
                <w:color w:val="000000"/>
                <w:sz w:val="18"/>
                <w:szCs w:val="18"/>
              </w:rPr>
              <w:t>（一）具有独立承担民事责任的能力；</w:t>
            </w:r>
          </w:p>
        </w:tc>
        <w:tc>
          <w:tcPr>
            <w:tcW w:w="612" w:type="dxa"/>
            <w:tcBorders>
              <w:top w:val="single" w:color="000000" w:sz="4" w:space="0"/>
              <w:left w:val="single" w:color="000000" w:sz="4" w:space="0"/>
              <w:bottom w:val="single" w:color="000000" w:sz="4" w:space="0"/>
              <w:right w:val="single" w:color="000000" w:sz="4" w:space="0"/>
            </w:tcBorders>
          </w:tcPr>
          <w:p>
            <w:pPr>
              <w:jc w:val="left"/>
              <w:rPr>
                <w:rStyle w:val="13"/>
                <w:color w:val="000000"/>
                <w:sz w:val="18"/>
                <w:szCs w:val="18"/>
              </w:rPr>
            </w:pPr>
          </w:p>
        </w:tc>
        <w:tc>
          <w:tcPr>
            <w:tcW w:w="785" w:type="dxa"/>
            <w:tcBorders>
              <w:top w:val="single" w:color="000000" w:sz="4" w:space="0"/>
              <w:left w:val="single" w:color="000000" w:sz="4" w:space="0"/>
              <w:bottom w:val="single" w:color="000000" w:sz="4" w:space="0"/>
              <w:right w:val="single" w:color="000000" w:sz="4" w:space="0"/>
            </w:tcBorders>
          </w:tcPr>
          <w:p>
            <w:pPr>
              <w:jc w:val="left"/>
              <w:rPr>
                <w:rStyle w:val="13"/>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35"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13"/>
                <w:color w:val="000000"/>
                <w:sz w:val="18"/>
                <w:szCs w:val="18"/>
              </w:rPr>
            </w:pPr>
          </w:p>
        </w:tc>
        <w:tc>
          <w:tcPr>
            <w:tcW w:w="6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color w:val="000000"/>
                <w:sz w:val="18"/>
                <w:szCs w:val="18"/>
              </w:rPr>
            </w:pPr>
          </w:p>
        </w:tc>
        <w:tc>
          <w:tcPr>
            <w:tcW w:w="6644" w:type="dxa"/>
            <w:tcBorders>
              <w:top w:val="single" w:color="000000" w:sz="4" w:space="0"/>
              <w:left w:val="single" w:color="000000" w:sz="4" w:space="0"/>
              <w:bottom w:val="single" w:color="000000" w:sz="4" w:space="0"/>
              <w:right w:val="single" w:color="000000" w:sz="4" w:space="0"/>
            </w:tcBorders>
            <w:vAlign w:val="center"/>
          </w:tcPr>
          <w:p>
            <w:pPr>
              <w:rPr>
                <w:rStyle w:val="13"/>
                <w:rFonts w:ascii="宋体" w:hAnsi="宋体"/>
                <w:color w:val="000000"/>
                <w:kern w:val="0"/>
                <w:sz w:val="18"/>
                <w:szCs w:val="18"/>
              </w:rPr>
            </w:pPr>
            <w:r>
              <w:rPr>
                <w:rStyle w:val="13"/>
                <w:color w:val="000000"/>
                <w:sz w:val="18"/>
                <w:szCs w:val="18"/>
              </w:rPr>
              <w:t>（二）具有良好的商业信誉和健全的财务会计制度；</w:t>
            </w:r>
          </w:p>
        </w:tc>
        <w:tc>
          <w:tcPr>
            <w:tcW w:w="612" w:type="dxa"/>
            <w:tcBorders>
              <w:top w:val="single" w:color="000000" w:sz="4" w:space="0"/>
              <w:left w:val="single" w:color="000000" w:sz="4" w:space="0"/>
              <w:bottom w:val="single" w:color="000000" w:sz="4" w:space="0"/>
              <w:right w:val="single" w:color="000000" w:sz="4" w:space="0"/>
            </w:tcBorders>
          </w:tcPr>
          <w:p>
            <w:pPr>
              <w:jc w:val="left"/>
              <w:rPr>
                <w:rStyle w:val="13"/>
                <w:color w:val="000000"/>
                <w:sz w:val="18"/>
                <w:szCs w:val="18"/>
              </w:rPr>
            </w:pPr>
          </w:p>
        </w:tc>
        <w:tc>
          <w:tcPr>
            <w:tcW w:w="785" w:type="dxa"/>
            <w:tcBorders>
              <w:top w:val="single" w:color="000000" w:sz="4" w:space="0"/>
              <w:left w:val="single" w:color="000000" w:sz="4" w:space="0"/>
              <w:bottom w:val="single" w:color="000000" w:sz="4" w:space="0"/>
              <w:right w:val="single" w:color="000000" w:sz="4" w:space="0"/>
            </w:tcBorders>
          </w:tcPr>
          <w:p>
            <w:pPr>
              <w:jc w:val="left"/>
              <w:rPr>
                <w:rStyle w:val="13"/>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13"/>
                <w:color w:val="000000"/>
                <w:sz w:val="18"/>
                <w:szCs w:val="18"/>
              </w:rPr>
            </w:pPr>
          </w:p>
        </w:tc>
        <w:tc>
          <w:tcPr>
            <w:tcW w:w="6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color w:val="000000"/>
                <w:sz w:val="18"/>
                <w:szCs w:val="18"/>
              </w:rPr>
            </w:pPr>
          </w:p>
        </w:tc>
        <w:tc>
          <w:tcPr>
            <w:tcW w:w="6644" w:type="dxa"/>
            <w:tcBorders>
              <w:top w:val="single" w:color="000000" w:sz="4" w:space="0"/>
              <w:left w:val="single" w:color="000000" w:sz="4" w:space="0"/>
              <w:bottom w:val="single" w:color="000000" w:sz="4" w:space="0"/>
              <w:right w:val="single" w:color="000000" w:sz="4" w:space="0"/>
            </w:tcBorders>
            <w:vAlign w:val="center"/>
          </w:tcPr>
          <w:p>
            <w:pPr>
              <w:rPr>
                <w:rStyle w:val="13"/>
                <w:rFonts w:ascii="宋体" w:hAnsi="宋体"/>
                <w:color w:val="000000"/>
                <w:kern w:val="0"/>
                <w:sz w:val="18"/>
                <w:szCs w:val="18"/>
              </w:rPr>
            </w:pPr>
            <w:r>
              <w:rPr>
                <w:rStyle w:val="13"/>
                <w:color w:val="000000"/>
                <w:sz w:val="18"/>
                <w:szCs w:val="18"/>
              </w:rPr>
              <w:t>（三）具有履行合同所必需的设备和专业技术能力；</w:t>
            </w:r>
          </w:p>
        </w:tc>
        <w:tc>
          <w:tcPr>
            <w:tcW w:w="612" w:type="dxa"/>
            <w:tcBorders>
              <w:top w:val="single" w:color="000000" w:sz="4" w:space="0"/>
              <w:left w:val="single" w:color="000000" w:sz="4" w:space="0"/>
              <w:bottom w:val="single" w:color="000000" w:sz="4" w:space="0"/>
              <w:right w:val="single" w:color="000000" w:sz="4" w:space="0"/>
            </w:tcBorders>
          </w:tcPr>
          <w:p>
            <w:pPr>
              <w:jc w:val="left"/>
              <w:rPr>
                <w:rStyle w:val="13"/>
                <w:color w:val="000000"/>
                <w:sz w:val="18"/>
                <w:szCs w:val="18"/>
              </w:rPr>
            </w:pPr>
          </w:p>
        </w:tc>
        <w:tc>
          <w:tcPr>
            <w:tcW w:w="785" w:type="dxa"/>
            <w:tcBorders>
              <w:top w:val="single" w:color="000000" w:sz="4" w:space="0"/>
              <w:left w:val="single" w:color="000000" w:sz="4" w:space="0"/>
              <w:bottom w:val="single" w:color="000000" w:sz="4" w:space="0"/>
              <w:right w:val="single" w:color="000000" w:sz="4" w:space="0"/>
            </w:tcBorders>
          </w:tcPr>
          <w:p>
            <w:pPr>
              <w:jc w:val="left"/>
              <w:rPr>
                <w:rStyle w:val="13"/>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2"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13"/>
                <w:color w:val="000000"/>
                <w:sz w:val="18"/>
                <w:szCs w:val="18"/>
              </w:rPr>
            </w:pPr>
          </w:p>
        </w:tc>
        <w:tc>
          <w:tcPr>
            <w:tcW w:w="6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color w:val="000000"/>
                <w:sz w:val="18"/>
                <w:szCs w:val="18"/>
              </w:rPr>
            </w:pPr>
          </w:p>
        </w:tc>
        <w:tc>
          <w:tcPr>
            <w:tcW w:w="6644" w:type="dxa"/>
            <w:tcBorders>
              <w:top w:val="single" w:color="000000" w:sz="4" w:space="0"/>
              <w:left w:val="single" w:color="000000" w:sz="4" w:space="0"/>
              <w:bottom w:val="single" w:color="000000" w:sz="4" w:space="0"/>
              <w:right w:val="single" w:color="000000" w:sz="4" w:space="0"/>
            </w:tcBorders>
            <w:vAlign w:val="center"/>
          </w:tcPr>
          <w:p>
            <w:pPr>
              <w:rPr>
                <w:rStyle w:val="13"/>
                <w:rFonts w:ascii="宋体" w:hAnsi="宋体"/>
                <w:color w:val="000000"/>
                <w:kern w:val="0"/>
                <w:sz w:val="18"/>
                <w:szCs w:val="18"/>
              </w:rPr>
            </w:pPr>
            <w:r>
              <w:rPr>
                <w:rStyle w:val="13"/>
                <w:color w:val="000000"/>
                <w:sz w:val="18"/>
                <w:szCs w:val="18"/>
              </w:rPr>
              <w:t>（四）有依法缴纳税收和社会保障资金的良好记录；</w:t>
            </w:r>
          </w:p>
        </w:tc>
        <w:tc>
          <w:tcPr>
            <w:tcW w:w="612" w:type="dxa"/>
            <w:tcBorders>
              <w:top w:val="single" w:color="000000" w:sz="4" w:space="0"/>
              <w:left w:val="single" w:color="000000" w:sz="4" w:space="0"/>
              <w:bottom w:val="single" w:color="000000" w:sz="4" w:space="0"/>
              <w:right w:val="single" w:color="000000" w:sz="4" w:space="0"/>
            </w:tcBorders>
          </w:tcPr>
          <w:p>
            <w:pPr>
              <w:jc w:val="left"/>
              <w:rPr>
                <w:rStyle w:val="13"/>
                <w:color w:val="000000"/>
                <w:sz w:val="18"/>
                <w:szCs w:val="18"/>
              </w:rPr>
            </w:pPr>
          </w:p>
        </w:tc>
        <w:tc>
          <w:tcPr>
            <w:tcW w:w="785" w:type="dxa"/>
            <w:tcBorders>
              <w:top w:val="single" w:color="000000" w:sz="4" w:space="0"/>
              <w:left w:val="single" w:color="000000" w:sz="4" w:space="0"/>
              <w:bottom w:val="single" w:color="000000" w:sz="4" w:space="0"/>
              <w:right w:val="single" w:color="000000" w:sz="4" w:space="0"/>
            </w:tcBorders>
          </w:tcPr>
          <w:p>
            <w:pPr>
              <w:jc w:val="left"/>
              <w:rPr>
                <w:rStyle w:val="13"/>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73"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13"/>
                <w:color w:val="000000"/>
                <w:sz w:val="18"/>
                <w:szCs w:val="18"/>
              </w:rPr>
            </w:pPr>
          </w:p>
        </w:tc>
        <w:tc>
          <w:tcPr>
            <w:tcW w:w="6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color w:val="000000"/>
                <w:sz w:val="18"/>
                <w:szCs w:val="18"/>
              </w:rPr>
            </w:pPr>
          </w:p>
        </w:tc>
        <w:tc>
          <w:tcPr>
            <w:tcW w:w="6644" w:type="dxa"/>
            <w:tcBorders>
              <w:top w:val="single" w:color="000000" w:sz="4" w:space="0"/>
              <w:left w:val="single" w:color="000000" w:sz="4" w:space="0"/>
              <w:bottom w:val="single" w:color="000000" w:sz="4" w:space="0"/>
              <w:right w:val="single" w:color="000000" w:sz="4" w:space="0"/>
            </w:tcBorders>
            <w:vAlign w:val="center"/>
          </w:tcPr>
          <w:p>
            <w:pPr>
              <w:rPr>
                <w:rStyle w:val="13"/>
                <w:rFonts w:ascii="宋体" w:hAnsi="宋体"/>
                <w:color w:val="000000"/>
                <w:kern w:val="0"/>
                <w:sz w:val="18"/>
                <w:szCs w:val="18"/>
              </w:rPr>
            </w:pPr>
            <w:r>
              <w:rPr>
                <w:rStyle w:val="13"/>
                <w:color w:val="000000"/>
                <w:sz w:val="18"/>
                <w:szCs w:val="18"/>
              </w:rPr>
              <w:t>（五）参加政府采购活动前三年内，在经营活动中没有重大违法记录；</w:t>
            </w:r>
          </w:p>
        </w:tc>
        <w:tc>
          <w:tcPr>
            <w:tcW w:w="612" w:type="dxa"/>
            <w:tcBorders>
              <w:top w:val="single" w:color="000000" w:sz="4" w:space="0"/>
              <w:left w:val="single" w:color="000000" w:sz="4" w:space="0"/>
              <w:bottom w:val="single" w:color="000000" w:sz="4" w:space="0"/>
              <w:right w:val="single" w:color="000000" w:sz="4" w:space="0"/>
            </w:tcBorders>
          </w:tcPr>
          <w:p>
            <w:pPr>
              <w:jc w:val="left"/>
              <w:rPr>
                <w:rStyle w:val="13"/>
                <w:color w:val="000000"/>
                <w:sz w:val="18"/>
                <w:szCs w:val="18"/>
              </w:rPr>
            </w:pPr>
          </w:p>
        </w:tc>
        <w:tc>
          <w:tcPr>
            <w:tcW w:w="785" w:type="dxa"/>
            <w:tcBorders>
              <w:top w:val="single" w:color="000000" w:sz="4" w:space="0"/>
              <w:left w:val="single" w:color="000000" w:sz="4" w:space="0"/>
              <w:bottom w:val="single" w:color="000000" w:sz="4" w:space="0"/>
              <w:right w:val="single" w:color="000000" w:sz="4" w:space="0"/>
            </w:tcBorders>
          </w:tcPr>
          <w:p>
            <w:pPr>
              <w:jc w:val="left"/>
              <w:rPr>
                <w:rStyle w:val="13"/>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2"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13"/>
                <w:color w:val="000000"/>
                <w:sz w:val="18"/>
                <w:szCs w:val="18"/>
              </w:rPr>
            </w:pPr>
          </w:p>
        </w:tc>
        <w:tc>
          <w:tcPr>
            <w:tcW w:w="652" w:type="dxa"/>
            <w:tcBorders>
              <w:top w:val="single" w:color="000000" w:sz="4" w:space="0"/>
              <w:left w:val="single" w:color="000000" w:sz="4" w:space="0"/>
              <w:bottom w:val="single" w:color="000000" w:sz="4" w:space="0"/>
              <w:right w:val="single" w:color="000000" w:sz="4" w:space="0"/>
            </w:tcBorders>
            <w:vAlign w:val="center"/>
          </w:tcPr>
          <w:p>
            <w:pPr>
              <w:jc w:val="center"/>
              <w:rPr>
                <w:rStyle w:val="13"/>
                <w:color w:val="000000"/>
                <w:sz w:val="18"/>
                <w:szCs w:val="18"/>
              </w:rPr>
            </w:pPr>
            <w:r>
              <w:rPr>
                <w:rStyle w:val="13"/>
                <w:color w:val="000000"/>
                <w:sz w:val="18"/>
                <w:szCs w:val="18"/>
              </w:rPr>
              <w:t>4</w:t>
            </w:r>
          </w:p>
        </w:tc>
        <w:tc>
          <w:tcPr>
            <w:tcW w:w="6644" w:type="dxa"/>
            <w:tcBorders>
              <w:top w:val="single" w:color="000000" w:sz="4" w:space="0"/>
              <w:left w:val="single" w:color="000000" w:sz="4" w:space="0"/>
              <w:bottom w:val="single" w:color="000000" w:sz="4" w:space="0"/>
              <w:right w:val="single" w:color="000000" w:sz="4" w:space="0"/>
            </w:tcBorders>
            <w:vAlign w:val="center"/>
          </w:tcPr>
          <w:p>
            <w:pPr>
              <w:rPr>
                <w:rStyle w:val="13"/>
                <w:color w:val="000000"/>
                <w:sz w:val="18"/>
                <w:szCs w:val="18"/>
              </w:rPr>
            </w:pPr>
            <w:r>
              <w:rPr>
                <w:rStyle w:val="13"/>
                <w:color w:val="000000"/>
                <w:sz w:val="18"/>
                <w:szCs w:val="18"/>
              </w:rPr>
              <w:t>是否在规定日期内缴纳投标保证金</w:t>
            </w:r>
          </w:p>
        </w:tc>
        <w:tc>
          <w:tcPr>
            <w:tcW w:w="612" w:type="dxa"/>
            <w:tcBorders>
              <w:top w:val="single" w:color="000000" w:sz="4" w:space="0"/>
              <w:left w:val="single" w:color="000000" w:sz="4" w:space="0"/>
              <w:bottom w:val="single" w:color="000000" w:sz="4" w:space="0"/>
              <w:right w:val="single" w:color="000000" w:sz="4" w:space="0"/>
            </w:tcBorders>
          </w:tcPr>
          <w:p>
            <w:pPr>
              <w:jc w:val="left"/>
              <w:rPr>
                <w:rStyle w:val="13"/>
                <w:color w:val="000000"/>
                <w:sz w:val="18"/>
                <w:szCs w:val="18"/>
              </w:rPr>
            </w:pPr>
          </w:p>
        </w:tc>
        <w:tc>
          <w:tcPr>
            <w:tcW w:w="785" w:type="dxa"/>
            <w:tcBorders>
              <w:top w:val="single" w:color="000000" w:sz="4" w:space="0"/>
              <w:left w:val="single" w:color="000000" w:sz="4" w:space="0"/>
              <w:bottom w:val="single" w:color="000000" w:sz="4" w:space="0"/>
              <w:right w:val="single" w:color="000000" w:sz="4" w:space="0"/>
            </w:tcBorders>
          </w:tcPr>
          <w:p>
            <w:pPr>
              <w:jc w:val="left"/>
              <w:rPr>
                <w:rStyle w:val="13"/>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0"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13"/>
                <w:color w:val="000000"/>
                <w:sz w:val="18"/>
                <w:szCs w:val="18"/>
              </w:rPr>
            </w:pPr>
            <w:r>
              <w:rPr>
                <w:rStyle w:val="13"/>
                <w:color w:val="000000"/>
                <w:sz w:val="18"/>
                <w:szCs w:val="18"/>
              </w:rPr>
              <w:t>响应性</w:t>
            </w:r>
          </w:p>
          <w:p>
            <w:pPr>
              <w:jc w:val="center"/>
              <w:rPr>
                <w:rStyle w:val="13"/>
                <w:color w:val="000000"/>
                <w:sz w:val="18"/>
                <w:szCs w:val="18"/>
              </w:rPr>
            </w:pPr>
            <w:r>
              <w:rPr>
                <w:rStyle w:val="13"/>
                <w:color w:val="000000"/>
                <w:sz w:val="18"/>
                <w:szCs w:val="18"/>
              </w:rPr>
              <w:t>评审</w:t>
            </w:r>
          </w:p>
        </w:tc>
        <w:tc>
          <w:tcPr>
            <w:tcW w:w="652" w:type="dxa"/>
            <w:tcBorders>
              <w:top w:val="single" w:color="000000" w:sz="4" w:space="0"/>
              <w:left w:val="single" w:color="000000" w:sz="4" w:space="0"/>
              <w:bottom w:val="single" w:color="000000" w:sz="4" w:space="0"/>
              <w:right w:val="single" w:color="000000" w:sz="4" w:space="0"/>
            </w:tcBorders>
            <w:vAlign w:val="center"/>
          </w:tcPr>
          <w:p>
            <w:pPr>
              <w:jc w:val="center"/>
              <w:rPr>
                <w:rStyle w:val="13"/>
                <w:color w:val="000000"/>
                <w:sz w:val="18"/>
                <w:szCs w:val="18"/>
              </w:rPr>
            </w:pPr>
            <w:r>
              <w:rPr>
                <w:rStyle w:val="13"/>
                <w:color w:val="000000"/>
                <w:sz w:val="18"/>
                <w:szCs w:val="18"/>
              </w:rPr>
              <w:t>1</w:t>
            </w:r>
          </w:p>
        </w:tc>
        <w:tc>
          <w:tcPr>
            <w:tcW w:w="6644" w:type="dxa"/>
            <w:tcBorders>
              <w:top w:val="single" w:color="000000" w:sz="4" w:space="0"/>
              <w:left w:val="single" w:color="000000" w:sz="4" w:space="0"/>
              <w:bottom w:val="single" w:color="000000" w:sz="4" w:space="0"/>
              <w:right w:val="single" w:color="000000" w:sz="4" w:space="0"/>
            </w:tcBorders>
            <w:vAlign w:val="center"/>
          </w:tcPr>
          <w:p>
            <w:pPr>
              <w:rPr>
                <w:rStyle w:val="13"/>
                <w:color w:val="000000"/>
                <w:sz w:val="18"/>
                <w:szCs w:val="18"/>
              </w:rPr>
            </w:pPr>
            <w:r>
              <w:rPr>
                <w:rStyle w:val="13"/>
                <w:color w:val="000000"/>
                <w:sz w:val="18"/>
                <w:szCs w:val="18"/>
              </w:rPr>
              <w:t>投标文件是否有投标单位法定代表人或其委托代理人（签字或签章）和加盖了投标单位的盖章，投标文件的装订是否符合招标文件要求；</w:t>
            </w:r>
          </w:p>
        </w:tc>
        <w:tc>
          <w:tcPr>
            <w:tcW w:w="612" w:type="dxa"/>
            <w:tcBorders>
              <w:top w:val="single" w:color="000000" w:sz="4" w:space="0"/>
              <w:left w:val="single" w:color="000000" w:sz="4" w:space="0"/>
              <w:bottom w:val="single" w:color="000000" w:sz="4" w:space="0"/>
              <w:right w:val="single" w:color="000000" w:sz="4" w:space="0"/>
            </w:tcBorders>
          </w:tcPr>
          <w:p>
            <w:pPr>
              <w:jc w:val="left"/>
              <w:rPr>
                <w:rStyle w:val="13"/>
                <w:color w:val="000000"/>
                <w:sz w:val="18"/>
                <w:szCs w:val="18"/>
              </w:rPr>
            </w:pPr>
          </w:p>
        </w:tc>
        <w:tc>
          <w:tcPr>
            <w:tcW w:w="785" w:type="dxa"/>
            <w:tcBorders>
              <w:top w:val="single" w:color="000000" w:sz="4" w:space="0"/>
              <w:left w:val="single" w:color="000000" w:sz="4" w:space="0"/>
              <w:bottom w:val="single" w:color="000000" w:sz="4" w:space="0"/>
              <w:right w:val="single" w:color="000000" w:sz="4" w:space="0"/>
            </w:tcBorders>
          </w:tcPr>
          <w:p>
            <w:pPr>
              <w:jc w:val="left"/>
              <w:rPr>
                <w:rStyle w:val="13"/>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13"/>
                <w:color w:val="000000"/>
                <w:sz w:val="18"/>
                <w:szCs w:val="18"/>
              </w:rPr>
            </w:pPr>
          </w:p>
        </w:tc>
        <w:tc>
          <w:tcPr>
            <w:tcW w:w="652" w:type="dxa"/>
            <w:tcBorders>
              <w:top w:val="single" w:color="000000" w:sz="4" w:space="0"/>
              <w:left w:val="single" w:color="000000" w:sz="4" w:space="0"/>
              <w:bottom w:val="single" w:color="000000" w:sz="4" w:space="0"/>
              <w:right w:val="single" w:color="000000" w:sz="4" w:space="0"/>
            </w:tcBorders>
            <w:vAlign w:val="center"/>
          </w:tcPr>
          <w:p>
            <w:pPr>
              <w:jc w:val="center"/>
              <w:rPr>
                <w:rStyle w:val="13"/>
                <w:color w:val="000000"/>
                <w:sz w:val="18"/>
                <w:szCs w:val="18"/>
              </w:rPr>
            </w:pPr>
            <w:r>
              <w:rPr>
                <w:rStyle w:val="13"/>
                <w:color w:val="000000"/>
                <w:sz w:val="18"/>
                <w:szCs w:val="18"/>
              </w:rPr>
              <w:t>2</w:t>
            </w:r>
          </w:p>
        </w:tc>
        <w:tc>
          <w:tcPr>
            <w:tcW w:w="6644" w:type="dxa"/>
            <w:tcBorders>
              <w:top w:val="single" w:color="000000" w:sz="4" w:space="0"/>
              <w:left w:val="single" w:color="000000" w:sz="4" w:space="0"/>
              <w:bottom w:val="single" w:color="000000" w:sz="4" w:space="0"/>
              <w:right w:val="single" w:color="000000" w:sz="4" w:space="0"/>
            </w:tcBorders>
            <w:vAlign w:val="center"/>
          </w:tcPr>
          <w:p>
            <w:pPr>
              <w:rPr>
                <w:rStyle w:val="13"/>
                <w:color w:val="000000"/>
                <w:sz w:val="18"/>
                <w:szCs w:val="18"/>
              </w:rPr>
            </w:pPr>
            <w:r>
              <w:rPr>
                <w:rStyle w:val="13"/>
                <w:color w:val="000000"/>
                <w:sz w:val="18"/>
                <w:szCs w:val="18"/>
              </w:rPr>
              <w:t>投标人是否对同一招标项目做出两个以上报价而未明确效力；</w:t>
            </w:r>
          </w:p>
        </w:tc>
        <w:tc>
          <w:tcPr>
            <w:tcW w:w="612" w:type="dxa"/>
            <w:tcBorders>
              <w:top w:val="single" w:color="000000" w:sz="4" w:space="0"/>
              <w:left w:val="single" w:color="000000" w:sz="4" w:space="0"/>
              <w:bottom w:val="single" w:color="000000" w:sz="4" w:space="0"/>
              <w:right w:val="single" w:color="000000" w:sz="4" w:space="0"/>
            </w:tcBorders>
          </w:tcPr>
          <w:p>
            <w:pPr>
              <w:jc w:val="left"/>
              <w:rPr>
                <w:rStyle w:val="13"/>
                <w:color w:val="000000"/>
                <w:sz w:val="18"/>
                <w:szCs w:val="18"/>
              </w:rPr>
            </w:pPr>
          </w:p>
        </w:tc>
        <w:tc>
          <w:tcPr>
            <w:tcW w:w="785" w:type="dxa"/>
            <w:tcBorders>
              <w:top w:val="single" w:color="000000" w:sz="4" w:space="0"/>
              <w:left w:val="single" w:color="000000" w:sz="4" w:space="0"/>
              <w:bottom w:val="single" w:color="000000" w:sz="4" w:space="0"/>
              <w:right w:val="single" w:color="000000" w:sz="4" w:space="0"/>
            </w:tcBorders>
          </w:tcPr>
          <w:p>
            <w:pPr>
              <w:jc w:val="left"/>
              <w:rPr>
                <w:rStyle w:val="13"/>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13"/>
                <w:color w:val="000000"/>
                <w:sz w:val="18"/>
                <w:szCs w:val="18"/>
              </w:rPr>
            </w:pPr>
          </w:p>
        </w:tc>
        <w:tc>
          <w:tcPr>
            <w:tcW w:w="652" w:type="dxa"/>
            <w:tcBorders>
              <w:top w:val="single" w:color="000000" w:sz="4" w:space="0"/>
              <w:left w:val="single" w:color="000000" w:sz="4" w:space="0"/>
              <w:bottom w:val="single" w:color="000000" w:sz="4" w:space="0"/>
              <w:right w:val="single" w:color="000000" w:sz="4" w:space="0"/>
            </w:tcBorders>
            <w:vAlign w:val="center"/>
          </w:tcPr>
          <w:p>
            <w:pPr>
              <w:jc w:val="center"/>
              <w:rPr>
                <w:rStyle w:val="13"/>
                <w:color w:val="000000"/>
                <w:sz w:val="18"/>
                <w:szCs w:val="18"/>
              </w:rPr>
            </w:pPr>
            <w:r>
              <w:rPr>
                <w:rStyle w:val="13"/>
                <w:color w:val="000000"/>
                <w:sz w:val="18"/>
                <w:szCs w:val="18"/>
              </w:rPr>
              <w:t>3</w:t>
            </w:r>
          </w:p>
        </w:tc>
        <w:tc>
          <w:tcPr>
            <w:tcW w:w="6644" w:type="dxa"/>
            <w:tcBorders>
              <w:top w:val="single" w:color="000000" w:sz="4" w:space="0"/>
              <w:left w:val="single" w:color="000000" w:sz="4" w:space="0"/>
              <w:bottom w:val="single" w:color="000000" w:sz="4" w:space="0"/>
              <w:right w:val="single" w:color="000000" w:sz="4" w:space="0"/>
            </w:tcBorders>
            <w:vAlign w:val="center"/>
          </w:tcPr>
          <w:p>
            <w:pPr>
              <w:rPr>
                <w:rStyle w:val="13"/>
                <w:color w:val="000000"/>
                <w:sz w:val="18"/>
                <w:szCs w:val="18"/>
              </w:rPr>
            </w:pPr>
            <w:r>
              <w:rPr>
                <w:rStyle w:val="13"/>
                <w:color w:val="000000"/>
                <w:sz w:val="18"/>
                <w:szCs w:val="18"/>
              </w:rPr>
              <w:t>技术性能、技术参数是否满足招标文件要求；</w:t>
            </w:r>
          </w:p>
        </w:tc>
        <w:tc>
          <w:tcPr>
            <w:tcW w:w="612" w:type="dxa"/>
            <w:tcBorders>
              <w:top w:val="single" w:color="000000" w:sz="4" w:space="0"/>
              <w:left w:val="single" w:color="000000" w:sz="4" w:space="0"/>
              <w:bottom w:val="single" w:color="000000" w:sz="4" w:space="0"/>
              <w:right w:val="single" w:color="000000" w:sz="4" w:space="0"/>
            </w:tcBorders>
          </w:tcPr>
          <w:p>
            <w:pPr>
              <w:jc w:val="left"/>
              <w:rPr>
                <w:rStyle w:val="13"/>
                <w:color w:val="000000"/>
                <w:sz w:val="18"/>
                <w:szCs w:val="18"/>
              </w:rPr>
            </w:pPr>
          </w:p>
        </w:tc>
        <w:tc>
          <w:tcPr>
            <w:tcW w:w="785" w:type="dxa"/>
            <w:tcBorders>
              <w:top w:val="single" w:color="000000" w:sz="4" w:space="0"/>
              <w:left w:val="single" w:color="000000" w:sz="4" w:space="0"/>
              <w:bottom w:val="single" w:color="000000" w:sz="4" w:space="0"/>
              <w:right w:val="single" w:color="000000" w:sz="4" w:space="0"/>
            </w:tcBorders>
          </w:tcPr>
          <w:p>
            <w:pPr>
              <w:jc w:val="left"/>
              <w:rPr>
                <w:rStyle w:val="13"/>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13"/>
                <w:color w:val="000000"/>
                <w:sz w:val="18"/>
                <w:szCs w:val="18"/>
              </w:rPr>
            </w:pPr>
          </w:p>
        </w:tc>
        <w:tc>
          <w:tcPr>
            <w:tcW w:w="652" w:type="dxa"/>
            <w:tcBorders>
              <w:top w:val="single" w:color="000000" w:sz="4" w:space="0"/>
              <w:left w:val="single" w:color="000000" w:sz="4" w:space="0"/>
              <w:bottom w:val="single" w:color="000000" w:sz="4" w:space="0"/>
              <w:right w:val="single" w:color="000000" w:sz="4" w:space="0"/>
            </w:tcBorders>
            <w:vAlign w:val="center"/>
          </w:tcPr>
          <w:p>
            <w:pPr>
              <w:jc w:val="center"/>
              <w:rPr>
                <w:rStyle w:val="13"/>
                <w:color w:val="000000"/>
                <w:sz w:val="18"/>
                <w:szCs w:val="18"/>
              </w:rPr>
            </w:pPr>
            <w:r>
              <w:rPr>
                <w:rStyle w:val="13"/>
                <w:color w:val="000000"/>
                <w:sz w:val="18"/>
                <w:szCs w:val="18"/>
              </w:rPr>
              <w:t>4</w:t>
            </w:r>
          </w:p>
        </w:tc>
        <w:tc>
          <w:tcPr>
            <w:tcW w:w="6644" w:type="dxa"/>
            <w:tcBorders>
              <w:top w:val="single" w:color="000000" w:sz="4" w:space="0"/>
              <w:left w:val="single" w:color="000000" w:sz="4" w:space="0"/>
              <w:bottom w:val="single" w:color="000000" w:sz="4" w:space="0"/>
              <w:right w:val="single" w:color="000000" w:sz="4" w:space="0"/>
            </w:tcBorders>
            <w:vAlign w:val="center"/>
          </w:tcPr>
          <w:p>
            <w:pPr>
              <w:rPr>
                <w:rStyle w:val="13"/>
                <w:color w:val="000000"/>
                <w:sz w:val="18"/>
                <w:szCs w:val="18"/>
              </w:rPr>
            </w:pPr>
            <w:r>
              <w:rPr>
                <w:rStyle w:val="13"/>
                <w:color w:val="000000"/>
                <w:sz w:val="18"/>
                <w:szCs w:val="18"/>
              </w:rPr>
              <w:t>货物到货地点是否符合招标文件要求；</w:t>
            </w:r>
          </w:p>
        </w:tc>
        <w:tc>
          <w:tcPr>
            <w:tcW w:w="612" w:type="dxa"/>
            <w:tcBorders>
              <w:top w:val="single" w:color="000000" w:sz="4" w:space="0"/>
              <w:left w:val="single" w:color="000000" w:sz="4" w:space="0"/>
              <w:bottom w:val="single" w:color="000000" w:sz="4" w:space="0"/>
              <w:right w:val="single" w:color="000000" w:sz="4" w:space="0"/>
            </w:tcBorders>
          </w:tcPr>
          <w:p>
            <w:pPr>
              <w:jc w:val="left"/>
              <w:rPr>
                <w:rStyle w:val="13"/>
                <w:color w:val="000000"/>
                <w:sz w:val="18"/>
                <w:szCs w:val="18"/>
              </w:rPr>
            </w:pPr>
          </w:p>
        </w:tc>
        <w:tc>
          <w:tcPr>
            <w:tcW w:w="785" w:type="dxa"/>
            <w:tcBorders>
              <w:top w:val="single" w:color="000000" w:sz="4" w:space="0"/>
              <w:left w:val="single" w:color="000000" w:sz="4" w:space="0"/>
              <w:bottom w:val="single" w:color="000000" w:sz="4" w:space="0"/>
              <w:right w:val="single" w:color="000000" w:sz="4" w:space="0"/>
            </w:tcBorders>
          </w:tcPr>
          <w:p>
            <w:pPr>
              <w:jc w:val="left"/>
              <w:rPr>
                <w:rStyle w:val="13"/>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13"/>
                <w:color w:val="000000"/>
                <w:sz w:val="18"/>
                <w:szCs w:val="18"/>
              </w:rPr>
            </w:pPr>
          </w:p>
        </w:tc>
        <w:tc>
          <w:tcPr>
            <w:tcW w:w="652" w:type="dxa"/>
            <w:tcBorders>
              <w:top w:val="single" w:color="000000" w:sz="4" w:space="0"/>
              <w:left w:val="single" w:color="000000" w:sz="4" w:space="0"/>
              <w:bottom w:val="single" w:color="000000" w:sz="4" w:space="0"/>
              <w:right w:val="single" w:color="000000" w:sz="4" w:space="0"/>
            </w:tcBorders>
            <w:vAlign w:val="center"/>
          </w:tcPr>
          <w:p>
            <w:pPr>
              <w:jc w:val="center"/>
              <w:rPr>
                <w:rStyle w:val="13"/>
                <w:color w:val="000000"/>
                <w:sz w:val="18"/>
                <w:szCs w:val="18"/>
              </w:rPr>
            </w:pPr>
            <w:r>
              <w:rPr>
                <w:rStyle w:val="13"/>
                <w:color w:val="000000"/>
                <w:sz w:val="18"/>
                <w:szCs w:val="18"/>
              </w:rPr>
              <w:t>5</w:t>
            </w:r>
          </w:p>
        </w:tc>
        <w:tc>
          <w:tcPr>
            <w:tcW w:w="6644" w:type="dxa"/>
            <w:tcBorders>
              <w:top w:val="single" w:color="000000" w:sz="4" w:space="0"/>
              <w:left w:val="single" w:color="000000" w:sz="4" w:space="0"/>
              <w:bottom w:val="single" w:color="000000" w:sz="4" w:space="0"/>
              <w:right w:val="single" w:color="000000" w:sz="4" w:space="0"/>
            </w:tcBorders>
            <w:vAlign w:val="center"/>
          </w:tcPr>
          <w:p>
            <w:pPr>
              <w:rPr>
                <w:rStyle w:val="13"/>
                <w:color w:val="000000"/>
                <w:sz w:val="18"/>
                <w:szCs w:val="18"/>
              </w:rPr>
            </w:pPr>
            <w:r>
              <w:rPr>
                <w:rStyle w:val="13"/>
                <w:color w:val="000000"/>
                <w:sz w:val="18"/>
                <w:szCs w:val="18"/>
              </w:rPr>
              <w:t>项目实施计划、方案的编制是否具体详细；</w:t>
            </w:r>
          </w:p>
        </w:tc>
        <w:tc>
          <w:tcPr>
            <w:tcW w:w="612" w:type="dxa"/>
            <w:tcBorders>
              <w:top w:val="single" w:color="000000" w:sz="4" w:space="0"/>
              <w:left w:val="single" w:color="000000" w:sz="4" w:space="0"/>
              <w:bottom w:val="single" w:color="000000" w:sz="4" w:space="0"/>
              <w:right w:val="single" w:color="000000" w:sz="4" w:space="0"/>
            </w:tcBorders>
          </w:tcPr>
          <w:p>
            <w:pPr>
              <w:jc w:val="left"/>
              <w:rPr>
                <w:rStyle w:val="13"/>
                <w:color w:val="000000"/>
                <w:sz w:val="18"/>
                <w:szCs w:val="18"/>
              </w:rPr>
            </w:pPr>
          </w:p>
        </w:tc>
        <w:tc>
          <w:tcPr>
            <w:tcW w:w="785" w:type="dxa"/>
            <w:tcBorders>
              <w:top w:val="single" w:color="000000" w:sz="4" w:space="0"/>
              <w:left w:val="single" w:color="000000" w:sz="4" w:space="0"/>
              <w:bottom w:val="single" w:color="000000" w:sz="4" w:space="0"/>
              <w:right w:val="single" w:color="000000" w:sz="4" w:space="0"/>
            </w:tcBorders>
          </w:tcPr>
          <w:p>
            <w:pPr>
              <w:jc w:val="left"/>
              <w:rPr>
                <w:rStyle w:val="13"/>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13"/>
                <w:color w:val="000000"/>
                <w:sz w:val="18"/>
                <w:szCs w:val="18"/>
              </w:rPr>
            </w:pPr>
          </w:p>
        </w:tc>
        <w:tc>
          <w:tcPr>
            <w:tcW w:w="652" w:type="dxa"/>
            <w:tcBorders>
              <w:top w:val="single" w:color="000000" w:sz="4" w:space="0"/>
              <w:left w:val="single" w:color="000000" w:sz="4" w:space="0"/>
              <w:bottom w:val="single" w:color="000000" w:sz="4" w:space="0"/>
              <w:right w:val="single" w:color="000000" w:sz="4" w:space="0"/>
            </w:tcBorders>
            <w:vAlign w:val="center"/>
          </w:tcPr>
          <w:p>
            <w:pPr>
              <w:jc w:val="center"/>
              <w:rPr>
                <w:rStyle w:val="13"/>
                <w:color w:val="000000"/>
                <w:sz w:val="18"/>
                <w:szCs w:val="18"/>
              </w:rPr>
            </w:pPr>
            <w:r>
              <w:rPr>
                <w:rStyle w:val="13"/>
                <w:color w:val="000000"/>
                <w:sz w:val="18"/>
                <w:szCs w:val="18"/>
              </w:rPr>
              <w:t>6</w:t>
            </w:r>
          </w:p>
        </w:tc>
        <w:tc>
          <w:tcPr>
            <w:tcW w:w="6644" w:type="dxa"/>
            <w:tcBorders>
              <w:top w:val="single" w:color="000000" w:sz="4" w:space="0"/>
              <w:left w:val="single" w:color="000000" w:sz="4" w:space="0"/>
              <w:bottom w:val="single" w:color="000000" w:sz="4" w:space="0"/>
              <w:right w:val="single" w:color="000000" w:sz="4" w:space="0"/>
            </w:tcBorders>
            <w:vAlign w:val="center"/>
          </w:tcPr>
          <w:p>
            <w:pPr>
              <w:rPr>
                <w:rStyle w:val="13"/>
                <w:color w:val="000000"/>
                <w:sz w:val="18"/>
                <w:szCs w:val="18"/>
              </w:rPr>
            </w:pPr>
            <w:r>
              <w:rPr>
                <w:rStyle w:val="13"/>
                <w:color w:val="000000"/>
                <w:sz w:val="18"/>
                <w:szCs w:val="18"/>
              </w:rPr>
              <w:t>售后服务最短时间是否满足招标文件要求；</w:t>
            </w:r>
          </w:p>
        </w:tc>
        <w:tc>
          <w:tcPr>
            <w:tcW w:w="612" w:type="dxa"/>
            <w:tcBorders>
              <w:top w:val="single" w:color="000000" w:sz="4" w:space="0"/>
              <w:left w:val="single" w:color="000000" w:sz="4" w:space="0"/>
              <w:bottom w:val="single" w:color="000000" w:sz="4" w:space="0"/>
              <w:right w:val="single" w:color="000000" w:sz="4" w:space="0"/>
            </w:tcBorders>
          </w:tcPr>
          <w:p>
            <w:pPr>
              <w:jc w:val="left"/>
              <w:rPr>
                <w:rStyle w:val="13"/>
                <w:color w:val="000000"/>
                <w:sz w:val="18"/>
                <w:szCs w:val="18"/>
              </w:rPr>
            </w:pPr>
          </w:p>
        </w:tc>
        <w:tc>
          <w:tcPr>
            <w:tcW w:w="785" w:type="dxa"/>
            <w:tcBorders>
              <w:top w:val="single" w:color="000000" w:sz="4" w:space="0"/>
              <w:left w:val="single" w:color="000000" w:sz="4" w:space="0"/>
              <w:bottom w:val="single" w:color="000000" w:sz="4" w:space="0"/>
              <w:right w:val="single" w:color="000000" w:sz="4" w:space="0"/>
            </w:tcBorders>
          </w:tcPr>
          <w:p>
            <w:pPr>
              <w:jc w:val="left"/>
              <w:rPr>
                <w:rStyle w:val="13"/>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13"/>
                <w:color w:val="000000"/>
                <w:sz w:val="18"/>
                <w:szCs w:val="18"/>
              </w:rPr>
            </w:pPr>
          </w:p>
        </w:tc>
        <w:tc>
          <w:tcPr>
            <w:tcW w:w="652" w:type="dxa"/>
            <w:tcBorders>
              <w:top w:val="single" w:color="000000" w:sz="4" w:space="0"/>
              <w:left w:val="single" w:color="000000" w:sz="4" w:space="0"/>
              <w:bottom w:val="single" w:color="000000" w:sz="4" w:space="0"/>
              <w:right w:val="single" w:color="000000" w:sz="4" w:space="0"/>
            </w:tcBorders>
            <w:vAlign w:val="center"/>
          </w:tcPr>
          <w:p>
            <w:pPr>
              <w:jc w:val="center"/>
              <w:rPr>
                <w:rStyle w:val="13"/>
                <w:color w:val="000000"/>
                <w:sz w:val="18"/>
                <w:szCs w:val="18"/>
              </w:rPr>
            </w:pPr>
            <w:r>
              <w:rPr>
                <w:rStyle w:val="13"/>
                <w:color w:val="000000"/>
                <w:sz w:val="18"/>
                <w:szCs w:val="18"/>
              </w:rPr>
              <w:t>7</w:t>
            </w:r>
          </w:p>
        </w:tc>
        <w:tc>
          <w:tcPr>
            <w:tcW w:w="6644" w:type="dxa"/>
            <w:tcBorders>
              <w:top w:val="single" w:color="000000" w:sz="4" w:space="0"/>
              <w:left w:val="single" w:color="000000" w:sz="4" w:space="0"/>
              <w:bottom w:val="single" w:color="000000" w:sz="4" w:space="0"/>
              <w:right w:val="single" w:color="000000" w:sz="4" w:space="0"/>
            </w:tcBorders>
            <w:vAlign w:val="center"/>
          </w:tcPr>
          <w:p>
            <w:pPr>
              <w:rPr>
                <w:rStyle w:val="13"/>
                <w:color w:val="000000"/>
                <w:sz w:val="18"/>
                <w:szCs w:val="18"/>
              </w:rPr>
            </w:pPr>
            <w:r>
              <w:rPr>
                <w:rStyle w:val="13"/>
                <w:color w:val="000000"/>
                <w:sz w:val="18"/>
                <w:szCs w:val="18"/>
              </w:rPr>
              <w:t>投标文件是否附有招标人不能接受的条件；</w:t>
            </w:r>
          </w:p>
        </w:tc>
        <w:tc>
          <w:tcPr>
            <w:tcW w:w="612" w:type="dxa"/>
            <w:tcBorders>
              <w:top w:val="single" w:color="000000" w:sz="4" w:space="0"/>
              <w:left w:val="single" w:color="000000" w:sz="4" w:space="0"/>
              <w:bottom w:val="single" w:color="000000" w:sz="4" w:space="0"/>
              <w:right w:val="single" w:color="000000" w:sz="4" w:space="0"/>
            </w:tcBorders>
          </w:tcPr>
          <w:p>
            <w:pPr>
              <w:jc w:val="left"/>
              <w:rPr>
                <w:rStyle w:val="13"/>
                <w:color w:val="000000"/>
                <w:sz w:val="18"/>
                <w:szCs w:val="18"/>
              </w:rPr>
            </w:pPr>
          </w:p>
        </w:tc>
        <w:tc>
          <w:tcPr>
            <w:tcW w:w="785" w:type="dxa"/>
            <w:tcBorders>
              <w:top w:val="single" w:color="000000" w:sz="4" w:space="0"/>
              <w:left w:val="single" w:color="000000" w:sz="4" w:space="0"/>
              <w:bottom w:val="single" w:color="000000" w:sz="4" w:space="0"/>
              <w:right w:val="single" w:color="000000" w:sz="4" w:space="0"/>
            </w:tcBorders>
          </w:tcPr>
          <w:p>
            <w:pPr>
              <w:jc w:val="left"/>
              <w:rPr>
                <w:rStyle w:val="13"/>
                <w:color w:val="000000"/>
                <w:sz w:val="18"/>
                <w:szCs w:val="18"/>
              </w:rPr>
            </w:pPr>
          </w:p>
        </w:tc>
      </w:tr>
    </w:tbl>
    <w:p>
      <w:pPr>
        <w:spacing w:line="360" w:lineRule="auto"/>
        <w:rPr>
          <w:rStyle w:val="13"/>
          <w:rFonts w:ascii="宋体" w:hAnsi="宋体"/>
          <w:b/>
          <w:bCs/>
          <w:color w:val="000000"/>
          <w:sz w:val="24"/>
        </w:rPr>
      </w:pPr>
      <w:r>
        <w:rPr>
          <w:rStyle w:val="13"/>
          <w:rFonts w:ascii="宋体" w:hAnsi="宋体"/>
          <w:b/>
          <w:bCs/>
          <w:color w:val="000000"/>
          <w:sz w:val="24"/>
        </w:rPr>
        <w:t>投标文件详细评审表：</w:t>
      </w:r>
    </w:p>
    <w:tbl>
      <w:tblPr>
        <w:tblStyle w:val="10"/>
        <w:tblW w:w="92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66"/>
        <w:gridCol w:w="1179"/>
        <w:gridCol w:w="5975"/>
        <w:gridCol w:w="7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8" w:hRule="atLeast"/>
          <w:tblHeader/>
          <w:jc w:val="center"/>
        </w:trPr>
        <w:tc>
          <w:tcPr>
            <w:tcW w:w="1366" w:type="dxa"/>
            <w:tcBorders>
              <w:top w:val="single" w:color="000000" w:sz="6" w:space="0"/>
              <w:left w:val="single" w:color="000000" w:sz="6" w:space="0"/>
              <w:bottom w:val="single" w:color="000000" w:sz="6" w:space="0"/>
              <w:right w:val="single" w:color="000000" w:sz="6" w:space="0"/>
            </w:tcBorders>
            <w:noWrap/>
            <w:vAlign w:val="center"/>
          </w:tcPr>
          <w:p>
            <w:pPr>
              <w:jc w:val="center"/>
              <w:rPr>
                <w:rStyle w:val="13"/>
                <w:rFonts w:ascii="宋体" w:hAnsi="宋体"/>
                <w:b/>
                <w:sz w:val="18"/>
                <w:szCs w:val="18"/>
              </w:rPr>
            </w:pPr>
            <w:r>
              <w:rPr>
                <w:rStyle w:val="13"/>
                <w:rFonts w:ascii="宋体" w:hAnsi="宋体"/>
                <w:b/>
                <w:sz w:val="18"/>
                <w:szCs w:val="18"/>
              </w:rPr>
              <w:t>类别</w:t>
            </w:r>
          </w:p>
        </w:tc>
        <w:tc>
          <w:tcPr>
            <w:tcW w:w="1179" w:type="dxa"/>
            <w:tcBorders>
              <w:top w:val="single" w:color="000000" w:sz="6" w:space="0"/>
              <w:left w:val="single" w:color="000000" w:sz="6" w:space="0"/>
              <w:bottom w:val="single" w:color="000000" w:sz="6" w:space="0"/>
              <w:right w:val="single" w:color="000000" w:sz="6" w:space="0"/>
            </w:tcBorders>
            <w:noWrap/>
            <w:vAlign w:val="center"/>
          </w:tcPr>
          <w:p>
            <w:pPr>
              <w:jc w:val="center"/>
              <w:rPr>
                <w:rStyle w:val="13"/>
                <w:rFonts w:ascii="宋体" w:hAnsi="宋体"/>
                <w:b/>
                <w:sz w:val="18"/>
                <w:szCs w:val="18"/>
              </w:rPr>
            </w:pPr>
            <w:r>
              <w:rPr>
                <w:rStyle w:val="13"/>
                <w:rFonts w:ascii="宋体" w:hAnsi="宋体"/>
                <w:b/>
                <w:sz w:val="18"/>
                <w:szCs w:val="18"/>
              </w:rPr>
              <w:t>评分项</w:t>
            </w:r>
          </w:p>
        </w:tc>
        <w:tc>
          <w:tcPr>
            <w:tcW w:w="5975" w:type="dxa"/>
            <w:tcBorders>
              <w:top w:val="single" w:color="000000" w:sz="6" w:space="0"/>
              <w:left w:val="single" w:color="000000" w:sz="6" w:space="0"/>
              <w:bottom w:val="single" w:color="000000" w:sz="6" w:space="0"/>
              <w:right w:val="single" w:color="000000" w:sz="6" w:space="0"/>
            </w:tcBorders>
            <w:noWrap/>
            <w:vAlign w:val="center"/>
          </w:tcPr>
          <w:p>
            <w:pPr>
              <w:jc w:val="center"/>
              <w:rPr>
                <w:rStyle w:val="13"/>
                <w:rFonts w:ascii="宋体" w:hAnsi="宋体"/>
                <w:b/>
                <w:sz w:val="18"/>
                <w:szCs w:val="18"/>
              </w:rPr>
            </w:pPr>
            <w:r>
              <w:rPr>
                <w:rStyle w:val="13"/>
                <w:rFonts w:ascii="宋体" w:hAnsi="宋体"/>
                <w:b/>
                <w:sz w:val="18"/>
                <w:szCs w:val="18"/>
              </w:rPr>
              <w:t>评分细则</w:t>
            </w:r>
          </w:p>
        </w:tc>
        <w:tc>
          <w:tcPr>
            <w:tcW w:w="735" w:type="dxa"/>
            <w:tcBorders>
              <w:top w:val="single" w:color="000000" w:sz="6" w:space="0"/>
              <w:left w:val="single" w:color="000000" w:sz="6" w:space="0"/>
              <w:bottom w:val="single" w:color="000000" w:sz="6" w:space="0"/>
              <w:right w:val="single" w:color="000000" w:sz="6" w:space="0"/>
            </w:tcBorders>
            <w:vAlign w:val="center"/>
          </w:tcPr>
          <w:p>
            <w:pPr>
              <w:jc w:val="center"/>
              <w:rPr>
                <w:rStyle w:val="13"/>
                <w:rFonts w:ascii="宋体" w:hAnsi="宋体"/>
                <w:b/>
                <w:sz w:val="18"/>
                <w:szCs w:val="18"/>
              </w:rPr>
            </w:pPr>
            <w:r>
              <w:rPr>
                <w:rStyle w:val="13"/>
                <w:rFonts w:ascii="宋体" w:hAnsi="宋体"/>
                <w:b/>
                <w:sz w:val="18"/>
                <w:szCs w:val="18"/>
              </w:rPr>
              <w:t>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8" w:hRule="atLeast"/>
          <w:jc w:val="center"/>
        </w:trPr>
        <w:tc>
          <w:tcPr>
            <w:tcW w:w="1366" w:type="dxa"/>
            <w:tcBorders>
              <w:top w:val="single" w:color="000000" w:sz="6" w:space="0"/>
              <w:left w:val="single" w:color="000000" w:sz="6" w:space="0"/>
              <w:bottom w:val="single" w:color="000000" w:sz="6" w:space="0"/>
              <w:right w:val="single" w:color="000000" w:sz="6" w:space="0"/>
            </w:tcBorders>
            <w:vAlign w:val="center"/>
          </w:tcPr>
          <w:p>
            <w:pPr>
              <w:jc w:val="center"/>
              <w:rPr>
                <w:rStyle w:val="13"/>
                <w:rFonts w:ascii="宋体" w:hAnsi="宋体"/>
                <w:sz w:val="18"/>
                <w:szCs w:val="18"/>
              </w:rPr>
            </w:pPr>
            <w:r>
              <w:rPr>
                <w:rStyle w:val="13"/>
                <w:rFonts w:ascii="宋体" w:hAnsi="宋体"/>
                <w:sz w:val="18"/>
                <w:szCs w:val="18"/>
              </w:rPr>
              <w:t>投标报价</w:t>
            </w:r>
          </w:p>
          <w:p>
            <w:pPr>
              <w:jc w:val="center"/>
              <w:rPr>
                <w:rStyle w:val="13"/>
                <w:rFonts w:ascii="宋体" w:hAnsi="宋体"/>
                <w:sz w:val="18"/>
                <w:szCs w:val="18"/>
              </w:rPr>
            </w:pPr>
            <w:r>
              <w:rPr>
                <w:rStyle w:val="13"/>
                <w:rFonts w:ascii="宋体" w:hAnsi="宋体"/>
                <w:sz w:val="18"/>
                <w:szCs w:val="18"/>
              </w:rPr>
              <w:t>（30分）</w:t>
            </w:r>
          </w:p>
        </w:tc>
        <w:tc>
          <w:tcPr>
            <w:tcW w:w="1179" w:type="dxa"/>
            <w:tcBorders>
              <w:top w:val="single" w:color="000000" w:sz="6" w:space="0"/>
              <w:left w:val="single" w:color="000000" w:sz="6" w:space="0"/>
              <w:bottom w:val="single" w:color="000000" w:sz="6" w:space="0"/>
              <w:right w:val="single" w:color="000000" w:sz="6" w:space="0"/>
            </w:tcBorders>
            <w:noWrap/>
            <w:vAlign w:val="center"/>
          </w:tcPr>
          <w:p>
            <w:pPr>
              <w:jc w:val="center"/>
              <w:rPr>
                <w:rStyle w:val="13"/>
                <w:rFonts w:ascii="宋体" w:hAnsi="宋体"/>
                <w:sz w:val="18"/>
                <w:szCs w:val="18"/>
              </w:rPr>
            </w:pPr>
            <w:r>
              <w:rPr>
                <w:rStyle w:val="13"/>
                <w:rFonts w:ascii="宋体" w:hAnsi="宋体"/>
                <w:sz w:val="18"/>
                <w:szCs w:val="18"/>
              </w:rPr>
              <w:t>项目报价</w:t>
            </w:r>
          </w:p>
        </w:tc>
        <w:tc>
          <w:tcPr>
            <w:tcW w:w="5975" w:type="dxa"/>
            <w:tcBorders>
              <w:top w:val="single" w:color="000000" w:sz="6" w:space="0"/>
              <w:left w:val="single" w:color="000000" w:sz="6" w:space="0"/>
              <w:bottom w:val="single" w:color="000000" w:sz="6" w:space="0"/>
              <w:right w:val="single" w:color="000000" w:sz="6" w:space="0"/>
            </w:tcBorders>
            <w:vAlign w:val="center"/>
          </w:tcPr>
          <w:p>
            <w:pPr>
              <w:rPr>
                <w:rStyle w:val="13"/>
                <w:rFonts w:ascii="宋体" w:hAnsi="宋体"/>
                <w:sz w:val="18"/>
                <w:szCs w:val="18"/>
              </w:rPr>
            </w:pPr>
            <w:r>
              <w:rPr>
                <w:rStyle w:val="13"/>
                <w:rFonts w:ascii="宋体" w:hAnsi="宋体"/>
                <w:sz w:val="18"/>
                <w:szCs w:val="18"/>
              </w:rPr>
              <w:t>统一采用低价优先法，即满足招标文件要求且投标价格最低的投标报价为评标基准价，其价格分为满分30分。其他投标供应商的价格分按照下列公式计算：投标报价得分＝（评标基准价/投标报价）×30×100%。</w:t>
            </w:r>
          </w:p>
          <w:p>
            <w:pPr>
              <w:rPr>
                <w:rStyle w:val="13"/>
                <w:rFonts w:ascii="宋体" w:hAnsi="宋体"/>
                <w:sz w:val="18"/>
                <w:szCs w:val="18"/>
              </w:rPr>
            </w:pPr>
            <w:r>
              <w:rPr>
                <w:rStyle w:val="13"/>
                <w:rFonts w:ascii="宋体" w:hAnsi="宋体"/>
                <w:sz w:val="18"/>
                <w:szCs w:val="18"/>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735" w:type="dxa"/>
            <w:tcBorders>
              <w:top w:val="single" w:color="000000" w:sz="6" w:space="0"/>
              <w:left w:val="single" w:color="000000" w:sz="6" w:space="0"/>
              <w:bottom w:val="single" w:color="000000" w:sz="6" w:space="0"/>
              <w:right w:val="single" w:color="000000" w:sz="6" w:space="0"/>
            </w:tcBorders>
            <w:vAlign w:val="center"/>
          </w:tcPr>
          <w:p>
            <w:pPr>
              <w:jc w:val="center"/>
              <w:rPr>
                <w:rStyle w:val="13"/>
                <w:rFonts w:ascii="宋体" w:hAnsi="宋体"/>
                <w:sz w:val="18"/>
                <w:szCs w:val="18"/>
              </w:rPr>
            </w:pPr>
            <w:r>
              <w:rPr>
                <w:rStyle w:val="13"/>
                <w:rFonts w:ascii="宋体" w:hAnsi="宋体"/>
                <w:sz w:val="18"/>
                <w:szCs w:val="18"/>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8" w:hRule="atLeast"/>
          <w:jc w:val="center"/>
        </w:trPr>
        <w:tc>
          <w:tcPr>
            <w:tcW w:w="1366"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Style w:val="13"/>
                <w:rFonts w:ascii="宋体" w:hAnsi="宋体"/>
                <w:sz w:val="18"/>
                <w:szCs w:val="18"/>
              </w:rPr>
            </w:pPr>
            <w:r>
              <w:rPr>
                <w:rStyle w:val="13"/>
                <w:rFonts w:ascii="宋体" w:hAnsi="宋体"/>
                <w:sz w:val="18"/>
                <w:szCs w:val="18"/>
              </w:rPr>
              <w:t>商务部分（11分）</w:t>
            </w:r>
          </w:p>
        </w:tc>
        <w:tc>
          <w:tcPr>
            <w:tcW w:w="1179" w:type="dxa"/>
            <w:tcBorders>
              <w:top w:val="single" w:color="000000" w:sz="6" w:space="0"/>
              <w:left w:val="single" w:color="000000" w:sz="6" w:space="0"/>
              <w:bottom w:val="single" w:color="000000" w:sz="6" w:space="0"/>
              <w:right w:val="single" w:color="000000" w:sz="6" w:space="0"/>
            </w:tcBorders>
            <w:noWrap/>
            <w:vAlign w:val="center"/>
          </w:tcPr>
          <w:p>
            <w:pPr>
              <w:jc w:val="center"/>
              <w:rPr>
                <w:rStyle w:val="13"/>
                <w:rFonts w:ascii="宋体" w:hAnsi="宋体"/>
                <w:sz w:val="18"/>
                <w:szCs w:val="18"/>
              </w:rPr>
            </w:pPr>
            <w:r>
              <w:rPr>
                <w:rStyle w:val="13"/>
                <w:rFonts w:ascii="宋体" w:hAnsi="宋体"/>
                <w:sz w:val="18"/>
                <w:szCs w:val="18"/>
              </w:rPr>
              <w:t>企业资质</w:t>
            </w:r>
          </w:p>
        </w:tc>
        <w:tc>
          <w:tcPr>
            <w:tcW w:w="5975" w:type="dxa"/>
            <w:tcBorders>
              <w:top w:val="single" w:color="000000" w:sz="6" w:space="0"/>
              <w:left w:val="single" w:color="000000" w:sz="6" w:space="0"/>
              <w:bottom w:val="single" w:color="000000" w:sz="6" w:space="0"/>
              <w:right w:val="single" w:color="000000" w:sz="6" w:space="0"/>
            </w:tcBorders>
            <w:vAlign w:val="center"/>
          </w:tcPr>
          <w:p>
            <w:pPr>
              <w:rPr>
                <w:rStyle w:val="13"/>
                <w:rFonts w:ascii="宋体" w:hAnsi="宋体"/>
                <w:color w:val="FF0000"/>
                <w:sz w:val="18"/>
                <w:szCs w:val="18"/>
              </w:rPr>
            </w:pPr>
            <w:r>
              <w:rPr>
                <w:rStyle w:val="13"/>
                <w:rFonts w:ascii="宋体" w:hAnsi="宋体"/>
                <w:sz w:val="18"/>
                <w:szCs w:val="18"/>
              </w:rPr>
              <w:t>投标人具有ISO9001质量管理体系认证证书、ISO27001信息安全管理体系认证证书、ISO14001环境管理体系认证证书、GB/T28001职业健康安全管理体系认证证书、省级（及以上）高新技术企业证书、企业信用等级证书，全部提供得3分，每缺一项扣1分，扣完为止。（提供证书复印件）</w:t>
            </w:r>
          </w:p>
        </w:tc>
        <w:tc>
          <w:tcPr>
            <w:tcW w:w="735" w:type="dxa"/>
            <w:tcBorders>
              <w:top w:val="single" w:color="000000" w:sz="6" w:space="0"/>
              <w:left w:val="single" w:color="000000" w:sz="6" w:space="0"/>
              <w:bottom w:val="single" w:color="000000" w:sz="6" w:space="0"/>
              <w:right w:val="single" w:color="000000" w:sz="6" w:space="0"/>
            </w:tcBorders>
            <w:vAlign w:val="center"/>
          </w:tcPr>
          <w:p>
            <w:pPr>
              <w:jc w:val="center"/>
              <w:rPr>
                <w:rStyle w:val="13"/>
                <w:rFonts w:ascii="宋体" w:hAnsi="宋体"/>
                <w:color w:val="FF0000"/>
                <w:sz w:val="18"/>
                <w:szCs w:val="18"/>
              </w:rPr>
            </w:pPr>
            <w:r>
              <w:rPr>
                <w:rStyle w:val="13"/>
                <w:rFonts w:ascii="宋体" w:hAnsi="宋体"/>
                <w:sz w:val="18"/>
                <w:szCs w:val="18"/>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8" w:hRule="atLeast"/>
          <w:jc w:val="center"/>
        </w:trPr>
        <w:tc>
          <w:tcPr>
            <w:tcW w:w="1366"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Style w:val="13"/>
                <w:rFonts w:ascii="宋体" w:hAnsi="宋体"/>
                <w:sz w:val="18"/>
                <w:szCs w:val="18"/>
              </w:rPr>
            </w:pPr>
          </w:p>
        </w:tc>
        <w:tc>
          <w:tcPr>
            <w:tcW w:w="1179" w:type="dxa"/>
            <w:tcBorders>
              <w:top w:val="single" w:color="000000" w:sz="6" w:space="0"/>
              <w:left w:val="single" w:color="000000" w:sz="6" w:space="0"/>
              <w:bottom w:val="single" w:color="000000" w:sz="6" w:space="0"/>
              <w:right w:val="single" w:color="000000" w:sz="6" w:space="0"/>
            </w:tcBorders>
            <w:noWrap/>
            <w:vAlign w:val="center"/>
          </w:tcPr>
          <w:p>
            <w:pPr>
              <w:jc w:val="center"/>
              <w:rPr>
                <w:rStyle w:val="13"/>
                <w:rFonts w:ascii="宋体" w:hAnsi="宋体"/>
                <w:sz w:val="18"/>
                <w:szCs w:val="18"/>
              </w:rPr>
            </w:pPr>
            <w:r>
              <w:rPr>
                <w:rStyle w:val="13"/>
                <w:rFonts w:ascii="宋体" w:hAnsi="宋体"/>
                <w:sz w:val="18"/>
                <w:szCs w:val="18"/>
              </w:rPr>
              <w:t>类似项目</w:t>
            </w:r>
          </w:p>
          <w:p>
            <w:pPr>
              <w:jc w:val="center"/>
              <w:rPr>
                <w:rStyle w:val="13"/>
                <w:rFonts w:ascii="宋体" w:hAnsi="宋体"/>
                <w:sz w:val="18"/>
                <w:szCs w:val="18"/>
              </w:rPr>
            </w:pPr>
            <w:r>
              <w:rPr>
                <w:rStyle w:val="13"/>
                <w:rFonts w:ascii="宋体" w:hAnsi="宋体"/>
                <w:sz w:val="18"/>
                <w:szCs w:val="18"/>
              </w:rPr>
              <w:t>业绩</w:t>
            </w:r>
          </w:p>
        </w:tc>
        <w:tc>
          <w:tcPr>
            <w:tcW w:w="5975" w:type="dxa"/>
            <w:tcBorders>
              <w:top w:val="single" w:color="000000" w:sz="6" w:space="0"/>
              <w:left w:val="single" w:color="000000" w:sz="6" w:space="0"/>
              <w:bottom w:val="single" w:color="000000" w:sz="6" w:space="0"/>
              <w:right w:val="single" w:color="000000" w:sz="6" w:space="0"/>
            </w:tcBorders>
            <w:vAlign w:val="center"/>
          </w:tcPr>
          <w:p>
            <w:pPr>
              <w:rPr>
                <w:rStyle w:val="13"/>
                <w:rFonts w:ascii="宋体" w:hAnsi="宋体"/>
                <w:sz w:val="18"/>
                <w:szCs w:val="18"/>
              </w:rPr>
            </w:pPr>
            <w:r>
              <w:rPr>
                <w:rStyle w:val="13"/>
                <w:rFonts w:ascii="宋体" w:hAnsi="宋体"/>
                <w:sz w:val="18"/>
                <w:szCs w:val="18"/>
              </w:rPr>
              <w:t>为了保证投标人具有承建该项目的能力，投标人需提供近三年来承担过与本项目类似的区县级成功案例证明，每个案例证明必须同时提供①与区县卫健委（或卫计委）直接签订的合同原件扫描件、②验收报告原件扫描件、③中标通知网站截图或中标通知书扫描件，且④每个案例合同中需同时包含本项目“采购一览表”中三个以上的应用软件产品。每提供一份符合①②③④要求的案例证明得1分，满分5分。</w:t>
            </w:r>
          </w:p>
        </w:tc>
        <w:tc>
          <w:tcPr>
            <w:tcW w:w="735" w:type="dxa"/>
            <w:tcBorders>
              <w:top w:val="single" w:color="000000" w:sz="6" w:space="0"/>
              <w:left w:val="single" w:color="000000" w:sz="6" w:space="0"/>
              <w:bottom w:val="single" w:color="000000" w:sz="6" w:space="0"/>
              <w:right w:val="single" w:color="000000" w:sz="6" w:space="0"/>
            </w:tcBorders>
            <w:vAlign w:val="center"/>
          </w:tcPr>
          <w:p>
            <w:pPr>
              <w:jc w:val="center"/>
              <w:rPr>
                <w:rStyle w:val="13"/>
                <w:rFonts w:ascii="宋体" w:hAnsi="宋体"/>
                <w:sz w:val="18"/>
                <w:szCs w:val="18"/>
              </w:rPr>
            </w:pPr>
            <w:r>
              <w:rPr>
                <w:rStyle w:val="13"/>
                <w:rFonts w:ascii="宋体" w:hAnsi="宋体"/>
                <w:sz w:val="18"/>
                <w:szCs w:val="1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8" w:hRule="atLeast"/>
          <w:jc w:val="center"/>
        </w:trPr>
        <w:tc>
          <w:tcPr>
            <w:tcW w:w="1366"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Style w:val="13"/>
                <w:rFonts w:ascii="宋体" w:hAnsi="宋体"/>
                <w:sz w:val="18"/>
                <w:szCs w:val="18"/>
              </w:rPr>
            </w:pPr>
          </w:p>
        </w:tc>
        <w:tc>
          <w:tcPr>
            <w:tcW w:w="1179" w:type="dxa"/>
            <w:tcBorders>
              <w:top w:val="single" w:color="000000" w:sz="6" w:space="0"/>
              <w:left w:val="single" w:color="000000" w:sz="6" w:space="0"/>
              <w:bottom w:val="single" w:color="000000" w:sz="6" w:space="0"/>
              <w:right w:val="single" w:color="000000" w:sz="6" w:space="0"/>
            </w:tcBorders>
            <w:noWrap/>
            <w:vAlign w:val="center"/>
          </w:tcPr>
          <w:p>
            <w:pPr>
              <w:jc w:val="center"/>
              <w:rPr>
                <w:rStyle w:val="13"/>
                <w:rFonts w:ascii="宋体" w:hAnsi="宋体"/>
                <w:sz w:val="18"/>
                <w:szCs w:val="18"/>
              </w:rPr>
            </w:pPr>
            <w:r>
              <w:rPr>
                <w:rStyle w:val="13"/>
                <w:rFonts w:ascii="宋体" w:hAnsi="宋体"/>
                <w:sz w:val="18"/>
                <w:szCs w:val="18"/>
              </w:rPr>
              <w:t>软著及</w:t>
            </w:r>
          </w:p>
          <w:p>
            <w:pPr>
              <w:jc w:val="center"/>
              <w:rPr>
                <w:rStyle w:val="13"/>
                <w:rFonts w:ascii="宋体" w:hAnsi="宋体"/>
                <w:sz w:val="18"/>
                <w:szCs w:val="18"/>
              </w:rPr>
            </w:pPr>
            <w:r>
              <w:rPr>
                <w:rStyle w:val="13"/>
                <w:rFonts w:ascii="宋体" w:hAnsi="宋体"/>
                <w:sz w:val="18"/>
                <w:szCs w:val="18"/>
              </w:rPr>
              <w:t>软测</w:t>
            </w:r>
          </w:p>
        </w:tc>
        <w:tc>
          <w:tcPr>
            <w:tcW w:w="5975" w:type="dxa"/>
            <w:tcBorders>
              <w:top w:val="single" w:color="000000" w:sz="6" w:space="0"/>
              <w:left w:val="single" w:color="000000" w:sz="6" w:space="0"/>
              <w:bottom w:val="single" w:color="000000" w:sz="6" w:space="0"/>
              <w:right w:val="single" w:color="000000" w:sz="6" w:space="0"/>
            </w:tcBorders>
            <w:vAlign w:val="center"/>
          </w:tcPr>
          <w:p>
            <w:pPr>
              <w:rPr>
                <w:rStyle w:val="13"/>
                <w:rFonts w:ascii="宋体" w:hAnsi="宋体"/>
                <w:sz w:val="18"/>
                <w:szCs w:val="18"/>
              </w:rPr>
            </w:pPr>
            <w:r>
              <w:rPr>
                <w:rStyle w:val="13"/>
                <w:rFonts w:ascii="宋体" w:hAnsi="宋体"/>
                <w:sz w:val="18"/>
                <w:szCs w:val="18"/>
              </w:rPr>
              <w:t>投标人需提供医学AI能力平台、门诊语音电子病历系统、超声科智能语音助理系统、移动查房系统、移动护理工作站、基层全科辅助诊疗系统、慢病智能管理系统、智能语音外呼助手系统和运行及监管平台的自主知识产权证明。每个产品同时提供《计算机软件著作权登记证书》和省级及以上软件测评中心出具的测试证书（两证书取得日期须在招标公告发布日期之前）。全部同时提供的得3分，每少一个扣1分，扣完为止。（提供证书原件扫描件）</w:t>
            </w:r>
          </w:p>
        </w:tc>
        <w:tc>
          <w:tcPr>
            <w:tcW w:w="735" w:type="dxa"/>
            <w:tcBorders>
              <w:top w:val="single" w:color="000000" w:sz="6" w:space="0"/>
              <w:left w:val="single" w:color="000000" w:sz="6" w:space="0"/>
              <w:bottom w:val="single" w:color="000000" w:sz="6" w:space="0"/>
              <w:right w:val="single" w:color="000000" w:sz="6" w:space="0"/>
            </w:tcBorders>
            <w:vAlign w:val="center"/>
          </w:tcPr>
          <w:p>
            <w:pPr>
              <w:jc w:val="center"/>
              <w:rPr>
                <w:rStyle w:val="13"/>
                <w:rFonts w:ascii="宋体" w:hAnsi="宋体"/>
                <w:sz w:val="18"/>
                <w:szCs w:val="18"/>
              </w:rPr>
            </w:pPr>
            <w:r>
              <w:rPr>
                <w:rStyle w:val="13"/>
                <w:rFonts w:ascii="宋体" w:hAnsi="宋体"/>
                <w:sz w:val="18"/>
                <w:szCs w:val="18"/>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058" w:hRule="atLeast"/>
          <w:jc w:val="center"/>
        </w:trPr>
        <w:tc>
          <w:tcPr>
            <w:tcW w:w="1366"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Style w:val="13"/>
                <w:rFonts w:ascii="宋体" w:hAnsi="宋体"/>
                <w:sz w:val="18"/>
                <w:szCs w:val="18"/>
              </w:rPr>
            </w:pPr>
            <w:r>
              <w:rPr>
                <w:rStyle w:val="13"/>
                <w:rFonts w:ascii="宋体" w:hAnsi="宋体"/>
                <w:sz w:val="18"/>
                <w:szCs w:val="18"/>
              </w:rPr>
              <w:t>技术部分</w:t>
            </w:r>
          </w:p>
          <w:p>
            <w:pPr>
              <w:jc w:val="center"/>
              <w:rPr>
                <w:rStyle w:val="13"/>
                <w:rFonts w:ascii="宋体" w:hAnsi="宋体"/>
                <w:sz w:val="18"/>
                <w:szCs w:val="18"/>
              </w:rPr>
            </w:pPr>
            <w:r>
              <w:rPr>
                <w:rStyle w:val="13"/>
                <w:rFonts w:ascii="宋体" w:hAnsi="宋体"/>
                <w:sz w:val="18"/>
                <w:szCs w:val="18"/>
              </w:rPr>
              <w:t>（59分）</w:t>
            </w:r>
          </w:p>
        </w:tc>
        <w:tc>
          <w:tcPr>
            <w:tcW w:w="1179" w:type="dxa"/>
            <w:vMerge w:val="restart"/>
            <w:tcBorders>
              <w:top w:val="single" w:color="000000" w:sz="6" w:space="0"/>
              <w:left w:val="single" w:color="000000" w:sz="6" w:space="0"/>
              <w:bottom w:val="single" w:color="000000" w:sz="6" w:space="0"/>
              <w:right w:val="single" w:color="000000" w:sz="6" w:space="0"/>
            </w:tcBorders>
            <w:noWrap/>
            <w:vAlign w:val="center"/>
          </w:tcPr>
          <w:p>
            <w:pPr>
              <w:rPr>
                <w:rStyle w:val="13"/>
                <w:rFonts w:ascii="宋体" w:hAnsi="宋体"/>
                <w:color w:val="FF0000"/>
                <w:sz w:val="18"/>
                <w:szCs w:val="18"/>
              </w:rPr>
            </w:pPr>
            <w:r>
              <w:rPr>
                <w:rStyle w:val="13"/>
                <w:rFonts w:ascii="宋体" w:hAnsi="宋体"/>
                <w:sz w:val="18"/>
                <w:szCs w:val="18"/>
              </w:rPr>
              <w:t>技术实力</w:t>
            </w:r>
          </w:p>
        </w:tc>
        <w:tc>
          <w:tcPr>
            <w:tcW w:w="5975" w:type="dxa"/>
            <w:tcBorders>
              <w:top w:val="single" w:color="000000" w:sz="6" w:space="0"/>
              <w:left w:val="single" w:color="000000" w:sz="6" w:space="0"/>
              <w:bottom w:val="single" w:color="000000" w:sz="6" w:space="0"/>
              <w:right w:val="single" w:color="000000" w:sz="6" w:space="0"/>
            </w:tcBorders>
            <w:vAlign w:val="center"/>
          </w:tcPr>
          <w:p>
            <w:pPr>
              <w:rPr>
                <w:rStyle w:val="13"/>
                <w:rFonts w:ascii="宋体" w:hAnsi="宋体"/>
                <w:sz w:val="18"/>
                <w:szCs w:val="18"/>
              </w:rPr>
            </w:pPr>
            <w:r>
              <w:rPr>
                <w:rStyle w:val="13"/>
                <w:rFonts w:ascii="宋体" w:hAnsi="宋体"/>
                <w:sz w:val="18"/>
                <w:szCs w:val="18"/>
              </w:rPr>
              <w:t>为保证应用软件的专业性，投标人的研发人员中应有不少于15人的执业医师团队，每人提供“医师资格证书”（证书上学历为本科及以上，执业类别为“临床”或“中医”）原件扫描件及近3个月由投标人连续缴纳的社保作为证明材料，满足得15分，每少一人扣3分，扣完为止。</w:t>
            </w:r>
          </w:p>
        </w:tc>
        <w:tc>
          <w:tcPr>
            <w:tcW w:w="735" w:type="dxa"/>
            <w:tcBorders>
              <w:top w:val="single" w:color="000000" w:sz="6" w:space="0"/>
              <w:left w:val="single" w:color="000000" w:sz="6" w:space="0"/>
              <w:bottom w:val="single" w:color="000000" w:sz="6" w:space="0"/>
              <w:right w:val="single" w:color="000000" w:sz="6" w:space="0"/>
            </w:tcBorders>
            <w:vAlign w:val="center"/>
          </w:tcPr>
          <w:p>
            <w:pPr>
              <w:jc w:val="center"/>
              <w:rPr>
                <w:rStyle w:val="13"/>
                <w:rFonts w:ascii="宋体" w:hAnsi="宋体"/>
                <w:sz w:val="18"/>
                <w:szCs w:val="18"/>
              </w:rPr>
            </w:pPr>
            <w:r>
              <w:rPr>
                <w:rStyle w:val="13"/>
                <w:rFonts w:ascii="宋体" w:hAnsi="宋体"/>
                <w:sz w:val="18"/>
                <w:szCs w:val="18"/>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978" w:hRule="atLeast"/>
          <w:jc w:val="center"/>
        </w:trPr>
        <w:tc>
          <w:tcPr>
            <w:tcW w:w="1366"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Style w:val="13"/>
                <w:rFonts w:ascii="宋体" w:hAnsi="宋体"/>
                <w:sz w:val="18"/>
                <w:szCs w:val="18"/>
              </w:rPr>
            </w:pPr>
          </w:p>
        </w:tc>
        <w:tc>
          <w:tcPr>
            <w:tcW w:w="1179" w:type="dxa"/>
            <w:vMerge w:val="continue"/>
            <w:tcBorders>
              <w:top w:val="single" w:color="000000" w:sz="6" w:space="0"/>
              <w:left w:val="single" w:color="000000" w:sz="6" w:space="0"/>
              <w:bottom w:val="single" w:color="000000" w:sz="6" w:space="0"/>
              <w:right w:val="single" w:color="000000" w:sz="6" w:space="0"/>
            </w:tcBorders>
            <w:noWrap/>
            <w:vAlign w:val="center"/>
          </w:tcPr>
          <w:p>
            <w:pPr>
              <w:jc w:val="center"/>
              <w:rPr>
                <w:rStyle w:val="13"/>
                <w:rFonts w:ascii="宋体" w:hAnsi="宋体"/>
                <w:sz w:val="18"/>
                <w:szCs w:val="18"/>
              </w:rPr>
            </w:pPr>
          </w:p>
        </w:tc>
        <w:tc>
          <w:tcPr>
            <w:tcW w:w="5975" w:type="dxa"/>
            <w:tcBorders>
              <w:top w:val="single" w:color="000000" w:sz="6" w:space="0"/>
              <w:left w:val="single" w:color="000000" w:sz="6" w:space="0"/>
              <w:bottom w:val="single" w:color="000000" w:sz="6" w:space="0"/>
              <w:right w:val="single" w:color="000000" w:sz="6" w:space="0"/>
            </w:tcBorders>
            <w:vAlign w:val="center"/>
          </w:tcPr>
          <w:p>
            <w:pPr>
              <w:rPr>
                <w:rStyle w:val="13"/>
                <w:rFonts w:ascii="宋体" w:hAnsi="宋体"/>
                <w:sz w:val="18"/>
                <w:szCs w:val="18"/>
              </w:rPr>
            </w:pPr>
            <w:r>
              <w:rPr>
                <w:rStyle w:val="13"/>
                <w:rFonts w:ascii="宋体" w:hAnsi="宋体"/>
                <w:sz w:val="18"/>
                <w:szCs w:val="18"/>
              </w:rPr>
              <w:t>为保障所投产品具有“智能语义理解”能力，投标人提供不少于5个“文本语义分析、理解、检索”相关的已授权发明专利证书（证书名称含“文本”或“句子”或“检索”或“语言模型”字样）得5分，每少一个扣2分，扣完为止。提供证书扫描件。</w:t>
            </w:r>
          </w:p>
        </w:tc>
        <w:tc>
          <w:tcPr>
            <w:tcW w:w="735" w:type="dxa"/>
            <w:tcBorders>
              <w:top w:val="single" w:color="000000" w:sz="6" w:space="0"/>
              <w:left w:val="single" w:color="000000" w:sz="6" w:space="0"/>
              <w:bottom w:val="single" w:color="000000" w:sz="6" w:space="0"/>
              <w:right w:val="single" w:color="000000" w:sz="6" w:space="0"/>
            </w:tcBorders>
            <w:vAlign w:val="center"/>
          </w:tcPr>
          <w:p>
            <w:pPr>
              <w:jc w:val="center"/>
              <w:rPr>
                <w:rStyle w:val="13"/>
                <w:rFonts w:ascii="宋体" w:hAnsi="宋体"/>
                <w:sz w:val="18"/>
                <w:szCs w:val="18"/>
              </w:rPr>
            </w:pPr>
            <w:r>
              <w:rPr>
                <w:rStyle w:val="13"/>
                <w:rFonts w:ascii="宋体" w:hAnsi="宋体"/>
                <w:sz w:val="18"/>
                <w:szCs w:val="1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867" w:hRule="atLeast"/>
          <w:jc w:val="center"/>
        </w:trPr>
        <w:tc>
          <w:tcPr>
            <w:tcW w:w="1366"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Style w:val="13"/>
                <w:rFonts w:ascii="宋体" w:hAnsi="宋体"/>
                <w:sz w:val="18"/>
                <w:szCs w:val="18"/>
              </w:rPr>
            </w:pPr>
          </w:p>
        </w:tc>
        <w:tc>
          <w:tcPr>
            <w:tcW w:w="1179" w:type="dxa"/>
            <w:vMerge w:val="continue"/>
            <w:tcBorders>
              <w:top w:val="single" w:color="000000" w:sz="6" w:space="0"/>
              <w:left w:val="single" w:color="000000" w:sz="6" w:space="0"/>
              <w:bottom w:val="single" w:color="000000" w:sz="6" w:space="0"/>
              <w:right w:val="single" w:color="000000" w:sz="6" w:space="0"/>
            </w:tcBorders>
            <w:noWrap/>
            <w:vAlign w:val="center"/>
          </w:tcPr>
          <w:p>
            <w:pPr>
              <w:rPr>
                <w:rStyle w:val="13"/>
                <w:rFonts w:ascii="宋体" w:hAnsi="宋体"/>
                <w:sz w:val="18"/>
                <w:szCs w:val="18"/>
              </w:rPr>
            </w:pPr>
          </w:p>
        </w:tc>
        <w:tc>
          <w:tcPr>
            <w:tcW w:w="5975" w:type="dxa"/>
            <w:tcBorders>
              <w:top w:val="single" w:color="000000" w:sz="6" w:space="0"/>
              <w:left w:val="single" w:color="000000" w:sz="6" w:space="0"/>
              <w:bottom w:val="single" w:color="000000" w:sz="6" w:space="0"/>
              <w:right w:val="single" w:color="000000" w:sz="6" w:space="0"/>
            </w:tcBorders>
            <w:vAlign w:val="center"/>
          </w:tcPr>
          <w:p>
            <w:pPr>
              <w:rPr>
                <w:rStyle w:val="13"/>
                <w:rFonts w:ascii="宋体" w:hAnsi="宋体"/>
                <w:sz w:val="18"/>
                <w:szCs w:val="18"/>
              </w:rPr>
            </w:pPr>
            <w:r>
              <w:rPr>
                <w:rStyle w:val="13"/>
                <w:rFonts w:ascii="宋体" w:hAnsi="宋体"/>
                <w:sz w:val="18"/>
                <w:szCs w:val="18"/>
              </w:rPr>
              <w:t>投标人实施人员应具备信息系统项目管理师（或PMP），提供证书扫描件及投标人近3个月为其连续社保缴纳证明复印件；每提供1份材料的得1分，最高3分。</w:t>
            </w:r>
          </w:p>
        </w:tc>
        <w:tc>
          <w:tcPr>
            <w:tcW w:w="735" w:type="dxa"/>
            <w:tcBorders>
              <w:top w:val="single" w:color="000000" w:sz="6" w:space="0"/>
              <w:left w:val="single" w:color="000000" w:sz="6" w:space="0"/>
              <w:bottom w:val="single" w:color="000000" w:sz="6" w:space="0"/>
              <w:right w:val="single" w:color="000000" w:sz="6" w:space="0"/>
            </w:tcBorders>
            <w:vAlign w:val="center"/>
          </w:tcPr>
          <w:p>
            <w:pPr>
              <w:jc w:val="center"/>
              <w:rPr>
                <w:rStyle w:val="13"/>
                <w:rFonts w:ascii="宋体" w:hAnsi="宋体"/>
                <w:sz w:val="18"/>
                <w:szCs w:val="18"/>
              </w:rPr>
            </w:pPr>
            <w:r>
              <w:rPr>
                <w:rStyle w:val="13"/>
                <w:rFonts w:ascii="宋体" w:hAnsi="宋体"/>
                <w:sz w:val="18"/>
                <w:szCs w:val="18"/>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724" w:hRule="atLeast"/>
          <w:jc w:val="center"/>
        </w:trPr>
        <w:tc>
          <w:tcPr>
            <w:tcW w:w="1366"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Style w:val="13"/>
                <w:rFonts w:ascii="宋体" w:hAnsi="宋体"/>
                <w:sz w:val="18"/>
                <w:szCs w:val="18"/>
              </w:rPr>
            </w:pPr>
          </w:p>
        </w:tc>
        <w:tc>
          <w:tcPr>
            <w:tcW w:w="1179" w:type="dxa"/>
            <w:tcBorders>
              <w:top w:val="single" w:color="000000" w:sz="6" w:space="0"/>
              <w:left w:val="single" w:color="000000" w:sz="6" w:space="0"/>
              <w:bottom w:val="single" w:color="000000" w:sz="6" w:space="0"/>
              <w:right w:val="single" w:color="000000" w:sz="6" w:space="0"/>
            </w:tcBorders>
            <w:noWrap/>
            <w:vAlign w:val="center"/>
          </w:tcPr>
          <w:p>
            <w:pPr>
              <w:rPr>
                <w:rStyle w:val="13"/>
                <w:rFonts w:ascii="宋体" w:hAnsi="宋体"/>
                <w:sz w:val="18"/>
                <w:szCs w:val="18"/>
              </w:rPr>
            </w:pPr>
            <w:r>
              <w:rPr>
                <w:rStyle w:val="13"/>
                <w:rFonts w:ascii="宋体" w:hAnsi="宋体"/>
                <w:sz w:val="18"/>
                <w:szCs w:val="18"/>
              </w:rPr>
              <w:t>系统技术要求实质性响应</w:t>
            </w:r>
          </w:p>
        </w:tc>
        <w:tc>
          <w:tcPr>
            <w:tcW w:w="5975" w:type="dxa"/>
            <w:tcBorders>
              <w:top w:val="single" w:color="000000" w:sz="6" w:space="0"/>
              <w:left w:val="single" w:color="000000" w:sz="6" w:space="0"/>
              <w:bottom w:val="single" w:color="000000" w:sz="6" w:space="0"/>
              <w:right w:val="single" w:color="000000" w:sz="6" w:space="0"/>
            </w:tcBorders>
            <w:vAlign w:val="center"/>
          </w:tcPr>
          <w:p>
            <w:pPr>
              <w:rPr>
                <w:rStyle w:val="13"/>
                <w:rFonts w:ascii="宋体" w:hAnsi="宋体"/>
                <w:sz w:val="18"/>
                <w:szCs w:val="18"/>
              </w:rPr>
            </w:pPr>
            <w:r>
              <w:rPr>
                <w:rStyle w:val="13"/>
                <w:rFonts w:hint="eastAsia" w:ascii="宋体" w:hAnsi="宋体"/>
                <w:sz w:val="18"/>
                <w:szCs w:val="18"/>
              </w:rPr>
              <w:t>根据系统技术要求，标记为“★”的为主要技术要求，全部满足得30分，其中“★”参数有一项不满足或者负偏离，直接扣3分，扣完为止。</w:t>
            </w:r>
          </w:p>
        </w:tc>
        <w:tc>
          <w:tcPr>
            <w:tcW w:w="735" w:type="dxa"/>
            <w:tcBorders>
              <w:top w:val="single" w:color="000000" w:sz="6" w:space="0"/>
              <w:left w:val="single" w:color="000000" w:sz="6" w:space="0"/>
              <w:bottom w:val="single" w:color="000000" w:sz="6" w:space="0"/>
              <w:right w:val="single" w:color="000000" w:sz="6" w:space="0"/>
            </w:tcBorders>
            <w:vAlign w:val="center"/>
          </w:tcPr>
          <w:p>
            <w:pPr>
              <w:jc w:val="center"/>
              <w:rPr>
                <w:rStyle w:val="13"/>
                <w:rFonts w:ascii="宋体" w:hAnsi="宋体"/>
                <w:sz w:val="18"/>
                <w:szCs w:val="18"/>
              </w:rPr>
            </w:pPr>
            <w:r>
              <w:rPr>
                <w:rStyle w:val="13"/>
                <w:rFonts w:ascii="宋体" w:hAnsi="宋体"/>
                <w:sz w:val="18"/>
                <w:szCs w:val="18"/>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291" w:hRule="atLeast"/>
          <w:jc w:val="center"/>
        </w:trPr>
        <w:tc>
          <w:tcPr>
            <w:tcW w:w="1366"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Style w:val="13"/>
                <w:rFonts w:ascii="宋体" w:hAnsi="宋体"/>
                <w:sz w:val="18"/>
                <w:szCs w:val="18"/>
              </w:rPr>
            </w:pPr>
          </w:p>
        </w:tc>
        <w:tc>
          <w:tcPr>
            <w:tcW w:w="1179" w:type="dxa"/>
            <w:tcBorders>
              <w:top w:val="single" w:color="000000" w:sz="6" w:space="0"/>
              <w:left w:val="single" w:color="000000" w:sz="6" w:space="0"/>
              <w:bottom w:val="single" w:color="000000" w:sz="6" w:space="0"/>
              <w:right w:val="single" w:color="000000" w:sz="6" w:space="0"/>
            </w:tcBorders>
            <w:noWrap/>
            <w:vAlign w:val="center"/>
          </w:tcPr>
          <w:p>
            <w:pPr>
              <w:jc w:val="center"/>
              <w:rPr>
                <w:rStyle w:val="13"/>
                <w:rFonts w:ascii="宋体" w:hAnsi="宋体"/>
                <w:sz w:val="18"/>
                <w:szCs w:val="18"/>
              </w:rPr>
            </w:pPr>
            <w:r>
              <w:rPr>
                <w:rStyle w:val="13"/>
                <w:rFonts w:ascii="宋体" w:hAnsi="宋体"/>
                <w:sz w:val="18"/>
                <w:szCs w:val="18"/>
              </w:rPr>
              <w:t>实施方案设计与服务</w:t>
            </w:r>
          </w:p>
        </w:tc>
        <w:tc>
          <w:tcPr>
            <w:tcW w:w="5975" w:type="dxa"/>
            <w:tcBorders>
              <w:top w:val="single" w:color="000000" w:sz="6" w:space="0"/>
              <w:left w:val="single" w:color="000000" w:sz="6" w:space="0"/>
              <w:bottom w:val="single" w:color="000000" w:sz="6" w:space="0"/>
              <w:right w:val="single" w:color="000000" w:sz="6" w:space="0"/>
            </w:tcBorders>
            <w:vAlign w:val="center"/>
          </w:tcPr>
          <w:p>
            <w:pPr>
              <w:rPr>
                <w:rStyle w:val="13"/>
                <w:rFonts w:ascii="宋体" w:hAnsi="宋体"/>
                <w:sz w:val="18"/>
                <w:szCs w:val="18"/>
              </w:rPr>
            </w:pPr>
            <w:r>
              <w:rPr>
                <w:rStyle w:val="13"/>
                <w:rFonts w:ascii="宋体" w:hAnsi="宋体"/>
                <w:sz w:val="18"/>
                <w:szCs w:val="18"/>
              </w:rPr>
              <w:t>投标人对项目实施提出完整详尽的实施方案，内容包括但不限于：明确项目组织结构及人员组成、职责与分工；项目实施进度计划；项目质量保障，明确为确保项目完成质量而进行的质量控制活动；项目文档管理；项目验收计划等。实施周期须在规定时间以内响应。根据方案进行综合评分（优秀3分，良好2分，一般1分，差0分）。</w:t>
            </w:r>
          </w:p>
        </w:tc>
        <w:tc>
          <w:tcPr>
            <w:tcW w:w="735" w:type="dxa"/>
            <w:tcBorders>
              <w:top w:val="single" w:color="000000" w:sz="6" w:space="0"/>
              <w:left w:val="single" w:color="000000" w:sz="6" w:space="0"/>
              <w:bottom w:val="single" w:color="000000" w:sz="6" w:space="0"/>
              <w:right w:val="single" w:color="000000" w:sz="6" w:space="0"/>
            </w:tcBorders>
            <w:vAlign w:val="center"/>
          </w:tcPr>
          <w:p>
            <w:pPr>
              <w:jc w:val="center"/>
              <w:rPr>
                <w:rStyle w:val="13"/>
                <w:rFonts w:ascii="宋体" w:hAnsi="宋体"/>
                <w:sz w:val="18"/>
                <w:szCs w:val="18"/>
              </w:rPr>
            </w:pPr>
            <w:r>
              <w:rPr>
                <w:rStyle w:val="13"/>
                <w:rFonts w:ascii="宋体" w:hAnsi="宋体"/>
                <w:sz w:val="18"/>
                <w:szCs w:val="18"/>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755" w:hRule="atLeast"/>
          <w:jc w:val="center"/>
        </w:trPr>
        <w:tc>
          <w:tcPr>
            <w:tcW w:w="1366"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Style w:val="13"/>
                <w:rFonts w:ascii="宋体" w:hAnsi="宋体"/>
                <w:sz w:val="18"/>
                <w:szCs w:val="18"/>
              </w:rPr>
            </w:pPr>
          </w:p>
        </w:tc>
        <w:tc>
          <w:tcPr>
            <w:tcW w:w="1179" w:type="dxa"/>
            <w:tcBorders>
              <w:top w:val="single" w:color="000000" w:sz="6" w:space="0"/>
              <w:left w:val="single" w:color="000000" w:sz="6" w:space="0"/>
              <w:bottom w:val="single" w:color="000000" w:sz="6" w:space="0"/>
              <w:right w:val="single" w:color="000000" w:sz="6" w:space="0"/>
            </w:tcBorders>
            <w:noWrap/>
            <w:vAlign w:val="center"/>
          </w:tcPr>
          <w:p>
            <w:pPr>
              <w:jc w:val="center"/>
              <w:rPr>
                <w:rStyle w:val="13"/>
                <w:rFonts w:ascii="宋体" w:hAnsi="宋体"/>
                <w:sz w:val="18"/>
                <w:szCs w:val="18"/>
              </w:rPr>
            </w:pPr>
            <w:r>
              <w:rPr>
                <w:rStyle w:val="13"/>
                <w:rFonts w:ascii="宋体" w:hAnsi="宋体"/>
                <w:sz w:val="18"/>
                <w:szCs w:val="18"/>
              </w:rPr>
              <w:t>售后服务方案</w:t>
            </w:r>
          </w:p>
        </w:tc>
        <w:tc>
          <w:tcPr>
            <w:tcW w:w="5975" w:type="dxa"/>
            <w:tcBorders>
              <w:top w:val="single" w:color="000000" w:sz="6" w:space="0"/>
              <w:left w:val="single" w:color="000000" w:sz="6" w:space="0"/>
              <w:bottom w:val="single" w:color="000000" w:sz="6" w:space="0"/>
              <w:right w:val="single" w:color="000000" w:sz="6" w:space="0"/>
            </w:tcBorders>
            <w:vAlign w:val="center"/>
          </w:tcPr>
          <w:p>
            <w:pPr>
              <w:rPr>
                <w:rStyle w:val="13"/>
                <w:rFonts w:ascii="宋体" w:hAnsi="宋体"/>
                <w:sz w:val="18"/>
                <w:szCs w:val="18"/>
              </w:rPr>
            </w:pPr>
            <w:r>
              <w:rPr>
                <w:rStyle w:val="13"/>
                <w:rFonts w:ascii="宋体" w:hAnsi="宋体"/>
                <w:sz w:val="18"/>
                <w:szCs w:val="18"/>
              </w:rPr>
              <w:t>投标人提供售后服务方案，内容包括但不限于：售后服务承诺、对服务承诺的保障措施等。优秀得3分，良好得2分，一般得1分，没有售后服务方案得0分。</w:t>
            </w:r>
          </w:p>
        </w:tc>
        <w:tc>
          <w:tcPr>
            <w:tcW w:w="735" w:type="dxa"/>
            <w:tcBorders>
              <w:top w:val="single" w:color="000000" w:sz="6" w:space="0"/>
              <w:left w:val="single" w:color="000000" w:sz="6" w:space="0"/>
              <w:bottom w:val="single" w:color="000000" w:sz="6" w:space="0"/>
              <w:right w:val="single" w:color="000000" w:sz="6" w:space="0"/>
            </w:tcBorders>
            <w:vAlign w:val="center"/>
          </w:tcPr>
          <w:p>
            <w:pPr>
              <w:jc w:val="center"/>
              <w:rPr>
                <w:rStyle w:val="13"/>
                <w:rFonts w:ascii="宋体" w:hAnsi="宋体"/>
                <w:sz w:val="18"/>
                <w:szCs w:val="18"/>
              </w:rPr>
            </w:pPr>
            <w:r>
              <w:rPr>
                <w:rStyle w:val="13"/>
                <w:rFonts w:ascii="宋体" w:hAnsi="宋体"/>
                <w:sz w:val="18"/>
                <w:szCs w:val="18"/>
              </w:rPr>
              <w:t>3</w:t>
            </w:r>
          </w:p>
        </w:tc>
      </w:tr>
    </w:tbl>
    <w:p>
      <w:pPr>
        <w:spacing w:line="360" w:lineRule="auto"/>
        <w:rPr>
          <w:rStyle w:val="13"/>
          <w:rFonts w:ascii="宋体" w:hAnsi="宋体"/>
          <w:b/>
          <w:bCs/>
          <w:color w:val="000000"/>
          <w:sz w:val="24"/>
        </w:rPr>
      </w:pPr>
    </w:p>
    <w:p>
      <w:pPr>
        <w:spacing w:line="360" w:lineRule="auto"/>
        <w:rPr>
          <w:rStyle w:val="13"/>
          <w:rFonts w:ascii="宋体" w:hAnsi="宋体"/>
          <w:b/>
          <w:bCs/>
          <w:color w:val="000000"/>
          <w:sz w:val="24"/>
        </w:rPr>
      </w:pPr>
    </w:p>
    <w:p>
      <w:pPr>
        <w:spacing w:line="360" w:lineRule="auto"/>
        <w:rPr>
          <w:rStyle w:val="13"/>
          <w:rFonts w:ascii="宋体" w:hAnsi="宋体"/>
          <w:b/>
          <w:bCs/>
          <w:color w:val="000000"/>
          <w:sz w:val="24"/>
        </w:rPr>
      </w:pPr>
    </w:p>
    <w:p>
      <w:pPr>
        <w:spacing w:line="360" w:lineRule="auto"/>
        <w:rPr>
          <w:rStyle w:val="13"/>
          <w:rFonts w:ascii="宋体" w:hAnsi="宋体"/>
          <w:b/>
          <w:bCs/>
          <w:color w:val="000000"/>
          <w:sz w:val="24"/>
        </w:rPr>
      </w:pPr>
    </w:p>
    <w:p>
      <w:pPr>
        <w:spacing w:line="360" w:lineRule="auto"/>
        <w:rPr>
          <w:rStyle w:val="13"/>
          <w:rFonts w:ascii="宋体"/>
          <w:b/>
          <w:bCs/>
          <w:color w:val="000000"/>
          <w:sz w:val="24"/>
        </w:rPr>
      </w:pPr>
      <w:r>
        <w:rPr>
          <w:rStyle w:val="13"/>
          <w:rFonts w:ascii="宋体" w:hAnsi="宋体"/>
          <w:b/>
          <w:bCs/>
          <w:color w:val="000000"/>
          <w:sz w:val="24"/>
        </w:rPr>
        <w:t>25.</w:t>
      </w:r>
      <w:r>
        <w:rPr>
          <w:rStyle w:val="13"/>
          <w:rFonts w:ascii="宋体" w:hAnsi="宋体"/>
          <w:b/>
          <w:bCs/>
          <w:color w:val="000000"/>
          <w:sz w:val="24"/>
        </w:rPr>
        <w:tab/>
      </w:r>
      <w:r>
        <w:rPr>
          <w:rStyle w:val="13"/>
          <w:rFonts w:ascii="宋体" w:hAnsi="宋体"/>
          <w:b/>
          <w:bCs/>
          <w:color w:val="000000"/>
          <w:sz w:val="24"/>
        </w:rPr>
        <w:t>接受和拒绝任何或所有投标的权力</w:t>
      </w:r>
    </w:p>
    <w:p>
      <w:pPr>
        <w:spacing w:line="360" w:lineRule="auto"/>
        <w:ind w:left="714" w:leftChars="1" w:hanging="712" w:hangingChars="297"/>
        <w:rPr>
          <w:rStyle w:val="13"/>
          <w:rFonts w:ascii="宋体"/>
          <w:color w:val="000000"/>
          <w:sz w:val="24"/>
        </w:rPr>
      </w:pPr>
      <w:r>
        <w:rPr>
          <w:rStyle w:val="13"/>
          <w:rFonts w:ascii="宋体" w:hAnsi="宋体"/>
          <w:color w:val="000000"/>
          <w:sz w:val="24"/>
        </w:rPr>
        <w:t>25.1</w:t>
      </w:r>
      <w:r>
        <w:rPr>
          <w:rStyle w:val="13"/>
          <w:rFonts w:ascii="宋体" w:hAnsi="宋体"/>
          <w:color w:val="000000"/>
          <w:sz w:val="24"/>
        </w:rPr>
        <w:tab/>
      </w:r>
      <w:r>
        <w:rPr>
          <w:rStyle w:val="13"/>
          <w:rFonts w:ascii="宋体" w:hAnsi="宋体"/>
          <w:color w:val="000000"/>
          <w:sz w:val="24"/>
        </w:rPr>
        <w:t>因政策调整或不可抭力因素的影响，为维护国家利益，招标人在授予合同前的任何时候仍有选择和拒绝所有投标和取消招标过程的权力，投标人不得因此而要求招标人承担任何责任。</w:t>
      </w:r>
    </w:p>
    <w:p>
      <w:pPr>
        <w:spacing w:line="360" w:lineRule="auto"/>
        <w:ind w:left="714" w:leftChars="1" w:hanging="712" w:hangingChars="297"/>
        <w:rPr>
          <w:rStyle w:val="13"/>
        </w:rPr>
      </w:pPr>
      <w:r>
        <w:rPr>
          <w:rStyle w:val="13"/>
          <w:rFonts w:ascii="宋体" w:hAnsi="宋体"/>
          <w:color w:val="000000"/>
          <w:sz w:val="24"/>
        </w:rPr>
        <w:t>25.2</w:t>
      </w:r>
      <w:r>
        <w:rPr>
          <w:rStyle w:val="13"/>
          <w:rFonts w:ascii="宋体" w:hAnsi="宋体"/>
          <w:color w:val="000000"/>
          <w:sz w:val="24"/>
        </w:rPr>
        <w:tab/>
      </w:r>
      <w:r>
        <w:rPr>
          <w:rStyle w:val="13"/>
          <w:rFonts w:ascii="宋体" w:hAnsi="宋体"/>
          <w:color w:val="000000"/>
          <w:sz w:val="24"/>
        </w:rPr>
        <w:t>招标人有权根据评标情况决定接受其全部或部分的投标。</w:t>
      </w:r>
    </w:p>
    <w:p>
      <w:pPr>
        <w:spacing w:line="360" w:lineRule="auto"/>
        <w:ind w:left="718" w:leftChars="1" w:hanging="716" w:hangingChars="297"/>
        <w:jc w:val="center"/>
        <w:rPr>
          <w:rStyle w:val="13"/>
          <w:rFonts w:ascii="宋体"/>
          <w:color w:val="000000"/>
          <w:sz w:val="24"/>
        </w:rPr>
      </w:pPr>
      <w:r>
        <w:rPr>
          <w:rStyle w:val="13"/>
          <w:rFonts w:ascii="宋体" w:hAnsi="宋体"/>
          <w:b/>
          <w:color w:val="000000"/>
          <w:sz w:val="24"/>
        </w:rPr>
        <w:t>F   中标及合同签订</w:t>
      </w:r>
    </w:p>
    <w:p>
      <w:pPr>
        <w:spacing w:line="360" w:lineRule="auto"/>
        <w:ind w:left="718" w:leftChars="1" w:hanging="716" w:hangingChars="297"/>
        <w:rPr>
          <w:rStyle w:val="13"/>
          <w:rFonts w:ascii="宋体"/>
          <w:b/>
          <w:bCs/>
          <w:color w:val="000000"/>
          <w:sz w:val="24"/>
        </w:rPr>
      </w:pPr>
      <w:r>
        <w:rPr>
          <w:rStyle w:val="13"/>
          <w:rFonts w:ascii="宋体" w:hAnsi="宋体"/>
          <w:b/>
          <w:bCs/>
          <w:color w:val="000000"/>
          <w:sz w:val="24"/>
        </w:rPr>
        <w:t>26．</w:t>
      </w:r>
      <w:r>
        <w:rPr>
          <w:rStyle w:val="13"/>
          <w:rFonts w:ascii="宋体"/>
          <w:b/>
          <w:bCs/>
          <w:color w:val="000000"/>
          <w:sz w:val="24"/>
        </w:rPr>
        <w:tab/>
      </w:r>
      <w:r>
        <w:rPr>
          <w:rStyle w:val="13"/>
          <w:rFonts w:ascii="宋体" w:hAnsi="宋体"/>
          <w:b/>
          <w:bCs/>
          <w:color w:val="000000"/>
          <w:sz w:val="24"/>
        </w:rPr>
        <w:t>中标通知</w:t>
      </w:r>
    </w:p>
    <w:p>
      <w:pPr>
        <w:spacing w:line="360" w:lineRule="auto"/>
        <w:ind w:left="714" w:leftChars="1" w:hanging="712" w:hangingChars="297"/>
        <w:rPr>
          <w:rStyle w:val="13"/>
          <w:rFonts w:ascii="宋体"/>
          <w:color w:val="000000"/>
          <w:sz w:val="24"/>
        </w:rPr>
      </w:pPr>
      <w:r>
        <w:rPr>
          <w:rStyle w:val="13"/>
          <w:rFonts w:ascii="宋体" w:hAnsi="宋体"/>
          <w:color w:val="000000"/>
          <w:sz w:val="24"/>
        </w:rPr>
        <w:t>26.1</w:t>
      </w:r>
      <w:r>
        <w:rPr>
          <w:rStyle w:val="13"/>
          <w:rFonts w:ascii="宋体" w:hAnsi="宋体"/>
          <w:color w:val="000000"/>
          <w:sz w:val="24"/>
        </w:rPr>
        <w:tab/>
      </w:r>
      <w:r>
        <w:rPr>
          <w:rStyle w:val="13"/>
          <w:rFonts w:ascii="宋体" w:hAnsi="宋体"/>
          <w:color w:val="000000"/>
          <w:sz w:val="24"/>
        </w:rPr>
        <w:t>评标结束后，招标人将当众宣布评标结果，并在“新疆维吾尔自治区政府采购网”（网址：http://www.ccgp-xinjiang.gov.cn/）上予以公告。公告有效期1个工作日；</w:t>
      </w:r>
    </w:p>
    <w:p>
      <w:pPr>
        <w:spacing w:line="360" w:lineRule="auto"/>
        <w:ind w:left="714" w:leftChars="1" w:hanging="712" w:hangingChars="297"/>
        <w:rPr>
          <w:rStyle w:val="13"/>
          <w:rFonts w:ascii="宋体"/>
          <w:color w:val="000000"/>
          <w:sz w:val="24"/>
        </w:rPr>
      </w:pPr>
      <w:r>
        <w:rPr>
          <w:rStyle w:val="13"/>
          <w:rFonts w:ascii="宋体" w:hAnsi="宋体"/>
          <w:color w:val="000000"/>
          <w:sz w:val="24"/>
        </w:rPr>
        <w:t>26.2</w:t>
      </w:r>
      <w:r>
        <w:rPr>
          <w:rStyle w:val="13"/>
          <w:rFonts w:ascii="宋体" w:hAnsi="宋体"/>
          <w:color w:val="000000"/>
          <w:sz w:val="24"/>
        </w:rPr>
        <w:tab/>
      </w:r>
      <w:r>
        <w:rPr>
          <w:rStyle w:val="13"/>
          <w:rFonts w:ascii="宋体" w:hAnsi="宋体"/>
          <w:color w:val="000000"/>
          <w:sz w:val="24"/>
        </w:rPr>
        <w:t>公告期满后，招标人将签发《中标通知书》给中标人；</w:t>
      </w:r>
    </w:p>
    <w:p>
      <w:pPr>
        <w:spacing w:line="360" w:lineRule="auto"/>
        <w:ind w:left="714" w:leftChars="1" w:hanging="712" w:hangingChars="297"/>
        <w:rPr>
          <w:rStyle w:val="13"/>
          <w:rFonts w:ascii="宋体"/>
          <w:color w:val="000000"/>
          <w:sz w:val="24"/>
        </w:rPr>
      </w:pPr>
      <w:r>
        <w:rPr>
          <w:rStyle w:val="13"/>
          <w:rFonts w:ascii="宋体" w:hAnsi="宋体"/>
          <w:color w:val="000000"/>
          <w:sz w:val="24"/>
        </w:rPr>
        <w:t>26.3</w:t>
      </w:r>
      <w:r>
        <w:rPr>
          <w:rStyle w:val="13"/>
          <w:rFonts w:ascii="宋体" w:hAnsi="宋体"/>
          <w:color w:val="000000"/>
          <w:sz w:val="24"/>
        </w:rPr>
        <w:tab/>
      </w:r>
      <w:r>
        <w:rPr>
          <w:rStyle w:val="13"/>
          <w:rFonts w:ascii="宋体" w:hAnsi="宋体"/>
          <w:color w:val="000000"/>
          <w:sz w:val="24"/>
        </w:rPr>
        <w:t>招标人不向落标的投标人解释落标原因，不退还投标文件；</w:t>
      </w:r>
    </w:p>
    <w:p>
      <w:pPr>
        <w:spacing w:line="360" w:lineRule="auto"/>
        <w:ind w:left="714" w:leftChars="1" w:hanging="712" w:hangingChars="297"/>
        <w:rPr>
          <w:rStyle w:val="13"/>
          <w:rFonts w:ascii="宋体"/>
          <w:color w:val="000000"/>
          <w:sz w:val="24"/>
        </w:rPr>
      </w:pPr>
      <w:r>
        <w:rPr>
          <w:rStyle w:val="13"/>
          <w:rFonts w:ascii="宋体" w:hAnsi="宋体"/>
          <w:color w:val="000000"/>
          <w:sz w:val="24"/>
        </w:rPr>
        <w:t>26.4</w:t>
      </w:r>
      <w:r>
        <w:rPr>
          <w:rStyle w:val="13"/>
          <w:rFonts w:ascii="宋体" w:hAnsi="宋体"/>
          <w:color w:val="000000"/>
          <w:sz w:val="24"/>
        </w:rPr>
        <w:tab/>
      </w:r>
      <w:r>
        <w:rPr>
          <w:rStyle w:val="13"/>
          <w:rFonts w:ascii="宋体" w:hAnsi="宋体"/>
          <w:color w:val="000000"/>
          <w:sz w:val="24"/>
        </w:rPr>
        <w:t>投标人对评标结果有异议的，按本招标文件第30、31条办理。</w:t>
      </w:r>
    </w:p>
    <w:p>
      <w:pPr>
        <w:spacing w:line="360" w:lineRule="auto"/>
        <w:ind w:left="718" w:leftChars="1" w:hanging="716" w:hangingChars="297"/>
        <w:rPr>
          <w:rStyle w:val="13"/>
          <w:rFonts w:ascii="宋体"/>
          <w:b/>
          <w:bCs/>
          <w:color w:val="000000"/>
          <w:sz w:val="24"/>
        </w:rPr>
      </w:pPr>
      <w:r>
        <w:rPr>
          <w:rStyle w:val="13"/>
          <w:rFonts w:ascii="宋体" w:hAnsi="宋体"/>
          <w:b/>
          <w:bCs/>
          <w:color w:val="000000"/>
          <w:sz w:val="24"/>
        </w:rPr>
        <w:t>27．</w:t>
      </w:r>
      <w:r>
        <w:rPr>
          <w:rStyle w:val="13"/>
          <w:rFonts w:ascii="宋体"/>
          <w:b/>
          <w:bCs/>
          <w:color w:val="000000"/>
          <w:sz w:val="24"/>
        </w:rPr>
        <w:tab/>
      </w:r>
      <w:r>
        <w:rPr>
          <w:rStyle w:val="13"/>
          <w:rFonts w:ascii="宋体" w:hAnsi="宋体"/>
          <w:b/>
          <w:bCs/>
          <w:color w:val="000000"/>
          <w:sz w:val="24"/>
        </w:rPr>
        <w:t>合同签订</w:t>
      </w:r>
    </w:p>
    <w:p>
      <w:pPr>
        <w:spacing w:line="360" w:lineRule="auto"/>
        <w:ind w:left="714" w:leftChars="1" w:hanging="712" w:hangingChars="297"/>
        <w:rPr>
          <w:rStyle w:val="13"/>
          <w:rFonts w:ascii="宋体"/>
          <w:color w:val="000000"/>
          <w:sz w:val="24"/>
        </w:rPr>
      </w:pPr>
      <w:r>
        <w:rPr>
          <w:rStyle w:val="13"/>
          <w:rFonts w:ascii="宋体" w:hAnsi="宋体"/>
          <w:color w:val="000000"/>
          <w:sz w:val="24"/>
        </w:rPr>
        <w:t>27.1</w:t>
      </w:r>
      <w:r>
        <w:rPr>
          <w:rStyle w:val="13"/>
          <w:rFonts w:ascii="宋体" w:hAnsi="宋体"/>
          <w:color w:val="000000"/>
          <w:sz w:val="24"/>
        </w:rPr>
        <w:tab/>
      </w:r>
      <w:r>
        <w:rPr>
          <w:rStyle w:val="13"/>
          <w:rFonts w:ascii="宋体" w:hAnsi="宋体"/>
          <w:color w:val="000000"/>
          <w:sz w:val="24"/>
        </w:rPr>
        <w:t>中标人依据《中标通知书》与采购人签订采购合同，签订时间为《中标通知书》发出之日起7个工作日内；</w:t>
      </w:r>
    </w:p>
    <w:p>
      <w:pPr>
        <w:spacing w:line="360" w:lineRule="auto"/>
        <w:ind w:left="714" w:leftChars="1" w:hanging="712" w:hangingChars="297"/>
        <w:rPr>
          <w:rStyle w:val="13"/>
          <w:rFonts w:ascii="宋体"/>
          <w:color w:val="000000"/>
          <w:sz w:val="24"/>
        </w:rPr>
      </w:pPr>
      <w:r>
        <w:rPr>
          <w:rStyle w:val="13"/>
          <w:rFonts w:ascii="宋体" w:hAnsi="宋体"/>
          <w:color w:val="000000"/>
          <w:sz w:val="24"/>
          <w:szCs w:val="20"/>
        </w:rPr>
        <w:t>27.2</w:t>
      </w:r>
      <w:r>
        <w:rPr>
          <w:rStyle w:val="13"/>
          <w:rFonts w:ascii="宋体" w:hAnsi="宋体"/>
          <w:color w:val="000000"/>
          <w:sz w:val="24"/>
          <w:szCs w:val="20"/>
        </w:rPr>
        <w:tab/>
      </w:r>
      <w:r>
        <w:rPr>
          <w:rStyle w:val="13"/>
          <w:rFonts w:ascii="宋体" w:hAnsi="宋体"/>
          <w:color w:val="000000"/>
          <w:sz w:val="24"/>
          <w:szCs w:val="20"/>
        </w:rPr>
        <w:t>采购人不得向中标人提出任何不合理的要求，作为签订合同的条件，不得与中标人私下订立背离合同实质性内容的协议；</w:t>
      </w:r>
    </w:p>
    <w:p>
      <w:pPr>
        <w:spacing w:line="360" w:lineRule="auto"/>
        <w:ind w:left="714" w:leftChars="1" w:hanging="712" w:hangingChars="297"/>
        <w:rPr>
          <w:rStyle w:val="13"/>
          <w:rFonts w:ascii="宋体"/>
          <w:color w:val="000000"/>
          <w:sz w:val="24"/>
        </w:rPr>
      </w:pPr>
      <w:r>
        <w:rPr>
          <w:rStyle w:val="13"/>
          <w:rFonts w:ascii="宋体" w:hAnsi="宋体"/>
          <w:color w:val="000000"/>
          <w:sz w:val="24"/>
        </w:rPr>
        <w:t>27.3</w:t>
      </w:r>
      <w:r>
        <w:rPr>
          <w:rStyle w:val="13"/>
          <w:rFonts w:ascii="宋体" w:hAnsi="宋体"/>
          <w:color w:val="000000"/>
          <w:sz w:val="24"/>
        </w:rPr>
        <w:tab/>
      </w:r>
      <w:r>
        <w:rPr>
          <w:rStyle w:val="13"/>
          <w:rFonts w:ascii="宋体" w:hAnsi="宋体"/>
          <w:color w:val="000000"/>
          <w:sz w:val="24"/>
        </w:rPr>
        <w:t>招标文件（含修改文件）、中标人的投标文件（含书面答疑文件）均为签订采购合同的依据；</w:t>
      </w:r>
    </w:p>
    <w:p>
      <w:pPr>
        <w:spacing w:line="360" w:lineRule="auto"/>
        <w:ind w:left="714" w:leftChars="1" w:hanging="712" w:hangingChars="297"/>
        <w:rPr>
          <w:rStyle w:val="13"/>
          <w:rFonts w:ascii="宋体"/>
          <w:color w:val="000000"/>
          <w:sz w:val="24"/>
        </w:rPr>
      </w:pPr>
      <w:r>
        <w:rPr>
          <w:rStyle w:val="13"/>
          <w:rFonts w:ascii="宋体" w:hAnsi="宋体"/>
          <w:color w:val="000000"/>
          <w:sz w:val="24"/>
        </w:rPr>
        <w:t>27.4</w:t>
      </w:r>
      <w:r>
        <w:rPr>
          <w:rStyle w:val="13"/>
          <w:rFonts w:ascii="宋体" w:hAnsi="宋体"/>
          <w:color w:val="000000"/>
          <w:sz w:val="24"/>
        </w:rPr>
        <w:tab/>
      </w:r>
      <w:r>
        <w:rPr>
          <w:rStyle w:val="13"/>
          <w:rFonts w:ascii="宋体" w:hAnsi="宋体"/>
          <w:color w:val="000000"/>
          <w:sz w:val="24"/>
        </w:rPr>
        <w:t>招标人在授予合同时有权对货物的数量和服务予以适当的增加或减少，但不得对单价或其他条款和条件做任何改变；</w:t>
      </w:r>
    </w:p>
    <w:p>
      <w:pPr>
        <w:spacing w:line="360" w:lineRule="auto"/>
        <w:ind w:left="714" w:leftChars="1" w:hanging="712" w:hangingChars="297"/>
        <w:rPr>
          <w:rStyle w:val="13"/>
          <w:rFonts w:ascii="宋体"/>
          <w:color w:val="000000"/>
          <w:sz w:val="24"/>
        </w:rPr>
      </w:pPr>
      <w:r>
        <w:rPr>
          <w:rStyle w:val="13"/>
          <w:rFonts w:ascii="宋体" w:hAnsi="宋体"/>
          <w:color w:val="000000"/>
          <w:sz w:val="24"/>
        </w:rPr>
        <w:t>27.5</w:t>
      </w:r>
      <w:r>
        <w:rPr>
          <w:rStyle w:val="13"/>
          <w:rFonts w:ascii="宋体" w:hAnsi="宋体"/>
          <w:color w:val="000000"/>
          <w:sz w:val="24"/>
        </w:rPr>
        <w:tab/>
      </w:r>
      <w:r>
        <w:rPr>
          <w:rStyle w:val="13"/>
          <w:rFonts w:ascii="宋体" w:hAnsi="宋体"/>
          <w:color w:val="000000"/>
          <w:sz w:val="24"/>
        </w:rPr>
        <w:t>政府采购合同履行中，采购人需追加与合同货物或服务的，在不改变合同其他条款前提下，签订补充合同，但所有补充合同的采购金额不得超过原合同采购金额的百分之十；</w:t>
      </w:r>
    </w:p>
    <w:p>
      <w:pPr>
        <w:spacing w:line="360" w:lineRule="auto"/>
        <w:ind w:left="714" w:leftChars="1" w:hanging="712" w:hangingChars="297"/>
        <w:rPr>
          <w:rStyle w:val="13"/>
          <w:rFonts w:ascii="宋体"/>
          <w:color w:val="000000"/>
          <w:sz w:val="24"/>
        </w:rPr>
      </w:pPr>
      <w:r>
        <w:rPr>
          <w:rStyle w:val="13"/>
          <w:rFonts w:ascii="宋体" w:hAnsi="宋体"/>
          <w:color w:val="000000"/>
          <w:sz w:val="24"/>
        </w:rPr>
        <w:t>27.6</w:t>
      </w:r>
      <w:r>
        <w:rPr>
          <w:rStyle w:val="13"/>
          <w:rFonts w:ascii="宋体" w:hAnsi="宋体"/>
          <w:color w:val="000000"/>
          <w:sz w:val="24"/>
        </w:rPr>
        <w:tab/>
      </w:r>
      <w:r>
        <w:rPr>
          <w:rStyle w:val="13"/>
          <w:rFonts w:ascii="宋体" w:hAnsi="宋体"/>
          <w:color w:val="000000"/>
          <w:sz w:val="24"/>
        </w:rPr>
        <w:t>中标人应当按照合同约定履行义务，完成中标项目。如须将中标项目的非主体、非关键性工作交由他人完成，应在投标文件中载明，并取得招标人同意，接受分包的人应当具备相应的资格条件，并不得再次分包。中标人应该就分包项目向招标人负责，接受分包的人就分包项目承担连带责任。</w:t>
      </w:r>
    </w:p>
    <w:p>
      <w:pPr>
        <w:spacing w:line="360" w:lineRule="auto"/>
        <w:ind w:left="718" w:leftChars="1" w:hanging="716" w:hangingChars="297"/>
        <w:jc w:val="center"/>
        <w:rPr>
          <w:rStyle w:val="13"/>
          <w:rFonts w:ascii="宋体"/>
          <w:b/>
          <w:bCs/>
          <w:color w:val="000000"/>
          <w:sz w:val="24"/>
        </w:rPr>
      </w:pPr>
      <w:r>
        <w:rPr>
          <w:rStyle w:val="13"/>
          <w:rFonts w:ascii="宋体" w:hAnsi="宋体"/>
          <w:b/>
          <w:bCs/>
          <w:color w:val="000000"/>
          <w:sz w:val="24"/>
        </w:rPr>
        <w:t>G   法律责任</w:t>
      </w:r>
    </w:p>
    <w:p>
      <w:pPr>
        <w:spacing w:line="360" w:lineRule="auto"/>
        <w:ind w:left="718" w:leftChars="1" w:hanging="716" w:hangingChars="297"/>
        <w:rPr>
          <w:rStyle w:val="13"/>
          <w:rFonts w:ascii="宋体"/>
          <w:b/>
          <w:color w:val="000000"/>
          <w:sz w:val="24"/>
        </w:rPr>
      </w:pPr>
      <w:r>
        <w:rPr>
          <w:rStyle w:val="13"/>
          <w:rFonts w:ascii="宋体" w:hAnsi="宋体"/>
          <w:b/>
          <w:color w:val="000000"/>
          <w:sz w:val="24"/>
        </w:rPr>
        <w:t>28．</w:t>
      </w:r>
      <w:r>
        <w:rPr>
          <w:rStyle w:val="13"/>
          <w:rFonts w:ascii="宋体"/>
          <w:b/>
          <w:color w:val="000000"/>
          <w:sz w:val="24"/>
        </w:rPr>
        <w:tab/>
      </w:r>
      <w:r>
        <w:rPr>
          <w:rStyle w:val="13"/>
          <w:rFonts w:ascii="宋体" w:hAnsi="宋体"/>
          <w:b/>
          <w:color w:val="000000"/>
          <w:sz w:val="24"/>
        </w:rPr>
        <w:t>法律责任</w:t>
      </w:r>
    </w:p>
    <w:p>
      <w:pPr>
        <w:spacing w:line="360" w:lineRule="auto"/>
        <w:ind w:left="714" w:leftChars="1" w:hanging="712" w:hangingChars="297"/>
        <w:rPr>
          <w:rStyle w:val="13"/>
          <w:rFonts w:ascii="宋体"/>
          <w:color w:val="000000"/>
          <w:sz w:val="24"/>
        </w:rPr>
      </w:pPr>
      <w:r>
        <w:rPr>
          <w:rStyle w:val="13"/>
          <w:rFonts w:ascii="宋体" w:hAnsi="宋体"/>
          <w:color w:val="000000"/>
          <w:sz w:val="24"/>
          <w:szCs w:val="20"/>
        </w:rPr>
        <w:t>28.1</w:t>
      </w:r>
      <w:r>
        <w:rPr>
          <w:rStyle w:val="13"/>
          <w:rFonts w:ascii="宋体" w:hAnsi="宋体"/>
          <w:color w:val="000000"/>
          <w:sz w:val="24"/>
          <w:szCs w:val="20"/>
        </w:rPr>
        <w:tab/>
      </w:r>
      <w:r>
        <w:rPr>
          <w:rStyle w:val="13"/>
          <w:rFonts w:ascii="宋体" w:hAnsi="宋体"/>
          <w:color w:val="000000"/>
          <w:sz w:val="24"/>
          <w:szCs w:val="20"/>
        </w:rPr>
        <w:t xml:space="preserve">投标人有下列情形之一的，处以政府采购项目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 </w:t>
      </w:r>
    </w:p>
    <w:p>
      <w:pPr>
        <w:spacing w:line="360" w:lineRule="auto"/>
        <w:ind w:left="714" w:leftChars="1" w:hanging="712" w:hangingChars="297"/>
        <w:rPr>
          <w:rStyle w:val="13"/>
          <w:rFonts w:ascii="宋体"/>
          <w:color w:val="000000"/>
          <w:sz w:val="24"/>
        </w:rPr>
      </w:pPr>
      <w:r>
        <w:rPr>
          <w:rStyle w:val="13"/>
          <w:rFonts w:ascii="宋体" w:hAnsi="宋体"/>
          <w:color w:val="000000"/>
          <w:sz w:val="24"/>
          <w:szCs w:val="20"/>
        </w:rPr>
        <w:t>　　</w:t>
      </w:r>
      <w:r>
        <w:rPr>
          <w:rStyle w:val="13"/>
          <w:rFonts w:ascii="宋体"/>
          <w:color w:val="000000"/>
          <w:sz w:val="24"/>
          <w:szCs w:val="20"/>
        </w:rPr>
        <w:tab/>
      </w:r>
      <w:r>
        <w:rPr>
          <w:rStyle w:val="13"/>
          <w:rFonts w:ascii="宋体" w:hAnsi="宋体"/>
          <w:color w:val="000000"/>
          <w:sz w:val="24"/>
          <w:szCs w:val="20"/>
        </w:rPr>
        <w:t xml:space="preserve">（一）提供虚假材料谋取中标的； </w:t>
      </w:r>
    </w:p>
    <w:p>
      <w:pPr>
        <w:spacing w:line="360" w:lineRule="auto"/>
        <w:ind w:left="714" w:leftChars="1" w:hanging="712" w:hangingChars="297"/>
        <w:rPr>
          <w:rStyle w:val="13"/>
          <w:rFonts w:ascii="宋体"/>
          <w:color w:val="000000"/>
          <w:sz w:val="24"/>
          <w:szCs w:val="20"/>
        </w:rPr>
      </w:pPr>
      <w:r>
        <w:rPr>
          <w:rStyle w:val="13"/>
          <w:rFonts w:ascii="宋体" w:hAnsi="宋体"/>
          <w:color w:val="000000"/>
          <w:sz w:val="24"/>
          <w:szCs w:val="20"/>
        </w:rPr>
        <w:t>　　</w:t>
      </w:r>
      <w:r>
        <w:rPr>
          <w:rStyle w:val="13"/>
          <w:rFonts w:ascii="宋体"/>
          <w:color w:val="000000"/>
          <w:sz w:val="24"/>
          <w:szCs w:val="20"/>
        </w:rPr>
        <w:tab/>
      </w:r>
      <w:r>
        <w:rPr>
          <w:rStyle w:val="13"/>
          <w:rFonts w:ascii="宋体" w:hAnsi="宋体"/>
          <w:color w:val="000000"/>
          <w:sz w:val="24"/>
          <w:szCs w:val="20"/>
        </w:rPr>
        <w:t>（二）采取不正当手段诋毁、排挤其他投标人的；</w:t>
      </w:r>
    </w:p>
    <w:p>
      <w:pPr>
        <w:spacing w:line="360" w:lineRule="auto"/>
        <w:ind w:left="714" w:leftChars="1" w:hanging="712" w:hangingChars="297"/>
        <w:rPr>
          <w:rStyle w:val="13"/>
          <w:rFonts w:ascii="宋体"/>
          <w:color w:val="000000"/>
          <w:sz w:val="24"/>
          <w:szCs w:val="20"/>
        </w:rPr>
      </w:pPr>
      <w:r>
        <w:rPr>
          <w:rStyle w:val="13"/>
          <w:rFonts w:ascii="宋体" w:hAnsi="宋体"/>
          <w:color w:val="000000"/>
          <w:sz w:val="24"/>
          <w:szCs w:val="20"/>
        </w:rPr>
        <w:t xml:space="preserve">    </w:t>
      </w:r>
      <w:r>
        <w:rPr>
          <w:rStyle w:val="13"/>
          <w:rFonts w:ascii="宋体" w:hAnsi="宋体"/>
          <w:color w:val="000000"/>
          <w:sz w:val="24"/>
          <w:szCs w:val="20"/>
        </w:rPr>
        <w:tab/>
      </w:r>
      <w:r>
        <w:rPr>
          <w:rStyle w:val="13"/>
          <w:rFonts w:ascii="宋体" w:hAnsi="宋体"/>
          <w:color w:val="000000"/>
          <w:sz w:val="24"/>
          <w:szCs w:val="20"/>
        </w:rPr>
        <w:t xml:space="preserve">（三）与招标人、采购人、其他投标人恶意串通的； </w:t>
      </w:r>
    </w:p>
    <w:p>
      <w:pPr>
        <w:spacing w:line="360" w:lineRule="auto"/>
        <w:ind w:left="714" w:leftChars="1" w:hanging="712" w:hangingChars="297"/>
        <w:rPr>
          <w:rStyle w:val="13"/>
          <w:rFonts w:ascii="宋体"/>
          <w:color w:val="000000"/>
          <w:sz w:val="24"/>
          <w:szCs w:val="20"/>
        </w:rPr>
      </w:pPr>
      <w:r>
        <w:rPr>
          <w:rStyle w:val="13"/>
          <w:rFonts w:ascii="宋体" w:hAnsi="宋体"/>
          <w:color w:val="000000"/>
          <w:sz w:val="24"/>
          <w:szCs w:val="20"/>
        </w:rPr>
        <w:t xml:space="preserve">    </w:t>
      </w:r>
      <w:r>
        <w:rPr>
          <w:rStyle w:val="13"/>
          <w:rFonts w:ascii="宋体" w:hAnsi="宋体"/>
          <w:color w:val="000000"/>
          <w:sz w:val="24"/>
          <w:szCs w:val="20"/>
        </w:rPr>
        <w:tab/>
      </w:r>
      <w:r>
        <w:rPr>
          <w:rStyle w:val="13"/>
          <w:rFonts w:ascii="宋体" w:hAnsi="宋体"/>
          <w:color w:val="000000"/>
          <w:sz w:val="24"/>
          <w:szCs w:val="20"/>
        </w:rPr>
        <w:t xml:space="preserve">（四）向招标人、采购人行贿或者提供其他不正当利益的； </w:t>
      </w:r>
    </w:p>
    <w:p>
      <w:pPr>
        <w:spacing w:line="360" w:lineRule="auto"/>
        <w:ind w:left="714" w:leftChars="1" w:hanging="712" w:hangingChars="297"/>
        <w:rPr>
          <w:rStyle w:val="13"/>
          <w:rFonts w:ascii="宋体"/>
          <w:color w:val="000000"/>
          <w:sz w:val="24"/>
        </w:rPr>
      </w:pPr>
      <w:r>
        <w:rPr>
          <w:rStyle w:val="13"/>
          <w:rFonts w:ascii="宋体" w:hAnsi="宋体"/>
          <w:color w:val="000000"/>
          <w:sz w:val="24"/>
          <w:szCs w:val="20"/>
        </w:rPr>
        <w:t>　　</w:t>
      </w:r>
      <w:r>
        <w:rPr>
          <w:rStyle w:val="13"/>
          <w:rFonts w:ascii="宋体"/>
          <w:color w:val="000000"/>
          <w:sz w:val="24"/>
          <w:szCs w:val="20"/>
        </w:rPr>
        <w:tab/>
      </w:r>
      <w:r>
        <w:rPr>
          <w:rStyle w:val="13"/>
          <w:rFonts w:ascii="宋体" w:hAnsi="宋体"/>
          <w:color w:val="000000"/>
          <w:sz w:val="24"/>
          <w:szCs w:val="20"/>
        </w:rPr>
        <w:t xml:space="preserve">（五）在招标过程中与招标人、采购人进行协商谈判、不按照招标文件、投标文件订立合同，或者与采购人另行订立背离合同实质性内容的协议的； </w:t>
      </w:r>
    </w:p>
    <w:p>
      <w:pPr>
        <w:spacing w:line="360" w:lineRule="auto"/>
        <w:ind w:left="714" w:leftChars="1" w:hanging="712" w:hangingChars="297"/>
        <w:rPr>
          <w:rStyle w:val="13"/>
          <w:rFonts w:ascii="宋体"/>
          <w:color w:val="000000"/>
          <w:sz w:val="24"/>
        </w:rPr>
      </w:pPr>
      <w:r>
        <w:rPr>
          <w:rStyle w:val="13"/>
          <w:rFonts w:ascii="宋体" w:hAnsi="宋体"/>
          <w:color w:val="000000"/>
          <w:sz w:val="24"/>
          <w:szCs w:val="20"/>
        </w:rPr>
        <w:t>　　</w:t>
      </w:r>
      <w:r>
        <w:rPr>
          <w:rStyle w:val="13"/>
          <w:rFonts w:ascii="宋体"/>
          <w:color w:val="000000"/>
          <w:sz w:val="24"/>
          <w:szCs w:val="20"/>
        </w:rPr>
        <w:tab/>
      </w:r>
      <w:r>
        <w:rPr>
          <w:rStyle w:val="13"/>
          <w:rFonts w:ascii="宋体" w:hAnsi="宋体"/>
          <w:color w:val="000000"/>
          <w:sz w:val="24"/>
          <w:szCs w:val="20"/>
        </w:rPr>
        <w:t xml:space="preserve">（六）拒绝有关部门监督检查或者提供虚假情况的。 </w:t>
      </w:r>
    </w:p>
    <w:p>
      <w:pPr>
        <w:spacing w:line="360" w:lineRule="auto"/>
        <w:ind w:left="714" w:leftChars="1" w:hanging="712" w:hangingChars="297"/>
        <w:rPr>
          <w:rStyle w:val="13"/>
          <w:rFonts w:ascii="宋体"/>
          <w:color w:val="000000"/>
          <w:sz w:val="24"/>
        </w:rPr>
      </w:pPr>
      <w:r>
        <w:rPr>
          <w:rStyle w:val="13"/>
          <w:rFonts w:ascii="宋体" w:hAnsi="宋体"/>
          <w:color w:val="000000"/>
          <w:sz w:val="24"/>
          <w:szCs w:val="20"/>
        </w:rPr>
        <w:t>　　</w:t>
      </w:r>
      <w:r>
        <w:rPr>
          <w:rStyle w:val="13"/>
          <w:rFonts w:ascii="宋体"/>
          <w:color w:val="000000"/>
          <w:sz w:val="24"/>
          <w:szCs w:val="20"/>
        </w:rPr>
        <w:tab/>
      </w:r>
      <w:r>
        <w:rPr>
          <w:rStyle w:val="13"/>
          <w:rFonts w:ascii="宋体" w:hAnsi="宋体"/>
          <w:color w:val="000000"/>
          <w:sz w:val="24"/>
          <w:szCs w:val="20"/>
        </w:rPr>
        <w:t xml:space="preserve">投标人有前款第（一）至（五）项情形之一的，中标无效。 </w:t>
      </w:r>
    </w:p>
    <w:p>
      <w:pPr>
        <w:spacing w:line="360" w:lineRule="auto"/>
        <w:ind w:left="714" w:leftChars="1" w:hanging="712" w:hangingChars="297"/>
        <w:rPr>
          <w:rStyle w:val="13"/>
          <w:rFonts w:ascii="宋体"/>
          <w:color w:val="000000"/>
          <w:sz w:val="24"/>
        </w:rPr>
      </w:pPr>
      <w:r>
        <w:rPr>
          <w:rStyle w:val="13"/>
          <w:rFonts w:ascii="宋体" w:hAnsi="宋体"/>
          <w:color w:val="000000"/>
          <w:sz w:val="24"/>
          <w:szCs w:val="20"/>
        </w:rPr>
        <w:t>28.2</w:t>
      </w:r>
      <w:r>
        <w:rPr>
          <w:rStyle w:val="13"/>
          <w:rFonts w:ascii="宋体" w:hAnsi="宋体"/>
          <w:color w:val="000000"/>
          <w:sz w:val="24"/>
          <w:szCs w:val="20"/>
        </w:rPr>
        <w:tab/>
      </w:r>
      <w:r>
        <w:rPr>
          <w:rStyle w:val="13"/>
          <w:rFonts w:ascii="宋体" w:hAnsi="宋体"/>
          <w:color w:val="000000"/>
          <w:sz w:val="24"/>
          <w:szCs w:val="20"/>
        </w:rPr>
        <w:t>中标人有下列情形之一的，招标人不予退还其交纳的投标保证金；情节严重的，由财政部门将其列入不良行为记录名单，在一至三年内禁止参加政府采购活动，并予以通报：</w:t>
      </w:r>
    </w:p>
    <w:p>
      <w:pPr>
        <w:spacing w:line="360" w:lineRule="auto"/>
        <w:ind w:left="714" w:leftChars="1" w:hanging="712" w:hangingChars="297"/>
        <w:rPr>
          <w:rStyle w:val="13"/>
          <w:rFonts w:ascii="宋体"/>
          <w:color w:val="000000"/>
          <w:sz w:val="24"/>
        </w:rPr>
      </w:pPr>
      <w:r>
        <w:rPr>
          <w:rStyle w:val="13"/>
          <w:rFonts w:ascii="宋体" w:hAnsi="宋体"/>
          <w:color w:val="000000"/>
          <w:sz w:val="24"/>
          <w:szCs w:val="20"/>
        </w:rPr>
        <w:t>　　</w:t>
      </w:r>
      <w:r>
        <w:rPr>
          <w:rStyle w:val="13"/>
          <w:rFonts w:ascii="宋体"/>
          <w:color w:val="000000"/>
          <w:sz w:val="24"/>
          <w:szCs w:val="20"/>
        </w:rPr>
        <w:tab/>
      </w:r>
      <w:r>
        <w:rPr>
          <w:rStyle w:val="13"/>
          <w:rFonts w:ascii="宋体" w:hAnsi="宋体"/>
          <w:color w:val="000000"/>
          <w:sz w:val="24"/>
          <w:szCs w:val="20"/>
        </w:rPr>
        <w:t>（一）中标后无正当理由不与采购人签订合同的；</w:t>
      </w:r>
    </w:p>
    <w:p>
      <w:pPr>
        <w:spacing w:line="360" w:lineRule="auto"/>
        <w:ind w:left="714" w:leftChars="1" w:hanging="712" w:hangingChars="297"/>
        <w:rPr>
          <w:rStyle w:val="13"/>
          <w:rFonts w:ascii="宋体"/>
          <w:color w:val="000000"/>
          <w:sz w:val="24"/>
        </w:rPr>
      </w:pPr>
      <w:r>
        <w:rPr>
          <w:rStyle w:val="13"/>
          <w:rFonts w:ascii="宋体" w:hAnsi="宋体"/>
          <w:color w:val="000000"/>
          <w:sz w:val="24"/>
          <w:szCs w:val="20"/>
        </w:rPr>
        <w:t xml:space="preserve">    </w:t>
      </w:r>
      <w:r>
        <w:rPr>
          <w:rStyle w:val="13"/>
          <w:rFonts w:ascii="宋体" w:hAnsi="宋体"/>
          <w:color w:val="000000"/>
          <w:sz w:val="24"/>
          <w:szCs w:val="20"/>
        </w:rPr>
        <w:tab/>
      </w:r>
      <w:r>
        <w:rPr>
          <w:rStyle w:val="13"/>
          <w:rFonts w:ascii="宋体" w:hAnsi="宋体"/>
          <w:color w:val="000000"/>
          <w:sz w:val="24"/>
          <w:szCs w:val="20"/>
        </w:rPr>
        <w:t>（二）将中标项目转让给他人，或者在投标文件中未说明，且未经招标人同意，将中标项目分包给他人的；</w:t>
      </w:r>
    </w:p>
    <w:p>
      <w:pPr>
        <w:spacing w:line="360" w:lineRule="auto"/>
        <w:ind w:left="714" w:leftChars="1" w:hanging="712" w:hangingChars="297"/>
        <w:rPr>
          <w:rStyle w:val="13"/>
          <w:rFonts w:ascii="宋体"/>
          <w:color w:val="000000"/>
          <w:sz w:val="24"/>
          <w:szCs w:val="20"/>
          <w:highlight w:val="yellow"/>
        </w:rPr>
      </w:pPr>
      <w:r>
        <w:rPr>
          <w:rStyle w:val="13"/>
          <w:rFonts w:ascii="宋体" w:hAnsi="宋体"/>
          <w:color w:val="000000"/>
          <w:sz w:val="24"/>
          <w:szCs w:val="20"/>
        </w:rPr>
        <w:t xml:space="preserve">    </w:t>
      </w:r>
      <w:r>
        <w:rPr>
          <w:rStyle w:val="13"/>
          <w:rFonts w:ascii="宋体" w:hAnsi="宋体"/>
          <w:color w:val="000000"/>
          <w:sz w:val="24"/>
          <w:szCs w:val="20"/>
        </w:rPr>
        <w:tab/>
      </w:r>
      <w:r>
        <w:rPr>
          <w:rStyle w:val="13"/>
          <w:rFonts w:ascii="宋体" w:hAnsi="宋体"/>
          <w:color w:val="000000"/>
          <w:sz w:val="24"/>
          <w:szCs w:val="20"/>
        </w:rPr>
        <w:t>（三）拒绝履行合同义务的。</w:t>
      </w:r>
    </w:p>
    <w:p>
      <w:pPr>
        <w:spacing w:line="360" w:lineRule="auto"/>
        <w:jc w:val="center"/>
        <w:rPr>
          <w:rStyle w:val="13"/>
          <w:rFonts w:ascii="宋体"/>
          <w:b/>
          <w:color w:val="000000"/>
          <w:sz w:val="24"/>
        </w:rPr>
      </w:pPr>
      <w:r>
        <w:rPr>
          <w:rStyle w:val="13"/>
          <w:rFonts w:ascii="宋体" w:hAnsi="宋体"/>
          <w:b/>
          <w:color w:val="000000"/>
          <w:sz w:val="24"/>
        </w:rPr>
        <w:t>H   验收</w:t>
      </w:r>
    </w:p>
    <w:p>
      <w:pPr>
        <w:spacing w:line="360" w:lineRule="auto"/>
        <w:ind w:left="718" w:leftChars="1" w:hanging="716" w:hangingChars="297"/>
        <w:rPr>
          <w:rStyle w:val="13"/>
          <w:rFonts w:ascii="宋体"/>
          <w:b/>
          <w:bCs/>
          <w:color w:val="000000"/>
          <w:sz w:val="24"/>
        </w:rPr>
      </w:pPr>
      <w:r>
        <w:rPr>
          <w:rStyle w:val="13"/>
          <w:rFonts w:ascii="宋体" w:hAnsi="宋体"/>
          <w:b/>
          <w:bCs/>
          <w:color w:val="000000"/>
          <w:sz w:val="24"/>
        </w:rPr>
        <w:t>29．</w:t>
      </w:r>
      <w:r>
        <w:rPr>
          <w:rStyle w:val="13"/>
          <w:rFonts w:ascii="宋体"/>
          <w:b/>
          <w:bCs/>
          <w:color w:val="000000"/>
          <w:sz w:val="24"/>
        </w:rPr>
        <w:tab/>
      </w:r>
      <w:r>
        <w:rPr>
          <w:rStyle w:val="13"/>
          <w:rFonts w:ascii="宋体" w:hAnsi="宋体"/>
          <w:b/>
          <w:bCs/>
          <w:color w:val="000000"/>
          <w:sz w:val="24"/>
        </w:rPr>
        <w:t>货物验收</w:t>
      </w:r>
    </w:p>
    <w:p>
      <w:pPr>
        <w:spacing w:line="360" w:lineRule="auto"/>
        <w:ind w:left="714" w:leftChars="1" w:hanging="712" w:hangingChars="297"/>
        <w:rPr>
          <w:rStyle w:val="13"/>
          <w:rFonts w:ascii="宋体"/>
          <w:color w:val="000000"/>
          <w:sz w:val="24"/>
        </w:rPr>
      </w:pPr>
      <w:r>
        <w:rPr>
          <w:rStyle w:val="13"/>
          <w:rFonts w:ascii="宋体" w:hAnsi="宋体"/>
          <w:color w:val="000000"/>
          <w:sz w:val="24"/>
        </w:rPr>
        <w:t>29.1</w:t>
      </w:r>
      <w:r>
        <w:rPr>
          <w:rStyle w:val="13"/>
          <w:rFonts w:ascii="宋体" w:hAnsi="宋体"/>
          <w:color w:val="000000"/>
          <w:sz w:val="24"/>
        </w:rPr>
        <w:tab/>
      </w:r>
      <w:r>
        <w:rPr>
          <w:rStyle w:val="13"/>
          <w:rFonts w:ascii="宋体" w:hAnsi="宋体"/>
          <w:color w:val="000000"/>
          <w:sz w:val="24"/>
        </w:rPr>
        <w:t>验收按本招标文件《采购合同》范本一般条款第2.17条的规定执行。</w:t>
      </w:r>
    </w:p>
    <w:p>
      <w:pPr>
        <w:spacing w:line="360" w:lineRule="auto"/>
        <w:ind w:left="714" w:leftChars="1" w:hanging="712" w:hangingChars="297"/>
        <w:rPr>
          <w:rStyle w:val="13"/>
          <w:rFonts w:ascii="宋体"/>
          <w:color w:val="000000"/>
          <w:sz w:val="24"/>
        </w:rPr>
      </w:pPr>
      <w:r>
        <w:rPr>
          <w:rStyle w:val="13"/>
          <w:rFonts w:ascii="宋体" w:hAnsi="宋体"/>
          <w:color w:val="000000"/>
          <w:sz w:val="24"/>
        </w:rPr>
        <w:t>29.2</w:t>
      </w:r>
      <w:r>
        <w:rPr>
          <w:rStyle w:val="13"/>
          <w:rFonts w:ascii="宋体" w:hAnsi="宋体"/>
          <w:color w:val="000000"/>
          <w:sz w:val="24"/>
        </w:rPr>
        <w:tab/>
      </w:r>
      <w:r>
        <w:rPr>
          <w:rStyle w:val="13"/>
          <w:rFonts w:ascii="宋体" w:hAnsi="宋体"/>
          <w:color w:val="000000"/>
          <w:sz w:val="24"/>
        </w:rPr>
        <w:t>验收过程中，采购人将委托专业检测部门对货物本身的性能进行检测验收。</w:t>
      </w:r>
    </w:p>
    <w:p>
      <w:pPr>
        <w:spacing w:line="360" w:lineRule="auto"/>
        <w:ind w:left="714" w:leftChars="1" w:hanging="712" w:hangingChars="297"/>
        <w:rPr>
          <w:rStyle w:val="13"/>
          <w:rFonts w:ascii="宋体"/>
          <w:color w:val="000000"/>
          <w:sz w:val="24"/>
        </w:rPr>
      </w:pPr>
      <w:r>
        <w:rPr>
          <w:rStyle w:val="13"/>
          <w:rFonts w:ascii="宋体" w:hAnsi="宋体"/>
          <w:color w:val="000000"/>
          <w:sz w:val="24"/>
        </w:rPr>
        <w:t>29.3</w:t>
      </w:r>
      <w:r>
        <w:rPr>
          <w:rStyle w:val="13"/>
          <w:rFonts w:ascii="宋体" w:hAnsi="宋体"/>
          <w:color w:val="000000"/>
          <w:sz w:val="24"/>
        </w:rPr>
        <w:tab/>
      </w:r>
      <w:r>
        <w:rPr>
          <w:rStyle w:val="13"/>
          <w:rFonts w:ascii="宋体" w:hAnsi="宋体"/>
          <w:color w:val="000000"/>
          <w:sz w:val="24"/>
        </w:rPr>
        <w:t>一次性验收合格的项目(另有规定除外)；因为验收不合格而影响《采购合同》的正常履行，由违约方承担违约责任。</w:t>
      </w:r>
    </w:p>
    <w:p>
      <w:pPr>
        <w:spacing w:line="360" w:lineRule="auto"/>
        <w:jc w:val="center"/>
        <w:rPr>
          <w:rStyle w:val="13"/>
          <w:rFonts w:ascii="宋体"/>
          <w:b/>
          <w:color w:val="000000"/>
          <w:sz w:val="24"/>
        </w:rPr>
      </w:pPr>
      <w:r>
        <w:rPr>
          <w:rStyle w:val="13"/>
          <w:rFonts w:ascii="宋体" w:hAnsi="宋体"/>
          <w:b/>
          <w:color w:val="000000"/>
          <w:sz w:val="24"/>
        </w:rPr>
        <w:t>I   质疑与投诉</w:t>
      </w:r>
    </w:p>
    <w:p>
      <w:pPr>
        <w:spacing w:line="360" w:lineRule="auto"/>
        <w:ind w:left="718" w:leftChars="1" w:hanging="716" w:hangingChars="297"/>
        <w:textAlignment w:val="auto"/>
        <w:rPr>
          <w:rStyle w:val="13"/>
          <w:rFonts w:ascii="宋体"/>
          <w:b/>
          <w:bCs/>
          <w:color w:val="000000"/>
          <w:sz w:val="24"/>
        </w:rPr>
      </w:pPr>
      <w:r>
        <w:rPr>
          <w:rStyle w:val="13"/>
          <w:rFonts w:ascii="宋体" w:hAnsi="宋体"/>
          <w:b/>
          <w:bCs/>
          <w:color w:val="000000"/>
          <w:sz w:val="24"/>
        </w:rPr>
        <w:t>30．</w:t>
      </w:r>
      <w:r>
        <w:rPr>
          <w:rStyle w:val="13"/>
          <w:rFonts w:ascii="宋体"/>
          <w:b/>
          <w:bCs/>
          <w:color w:val="000000"/>
          <w:sz w:val="24"/>
        </w:rPr>
        <w:tab/>
      </w:r>
      <w:r>
        <w:rPr>
          <w:rStyle w:val="13"/>
          <w:rFonts w:ascii="宋体" w:hAnsi="宋体"/>
          <w:b/>
          <w:bCs/>
          <w:color w:val="000000"/>
          <w:sz w:val="24"/>
        </w:rPr>
        <w:t>质疑</w:t>
      </w:r>
    </w:p>
    <w:p>
      <w:pPr>
        <w:spacing w:line="360" w:lineRule="auto"/>
        <w:ind w:left="714" w:leftChars="1" w:hanging="712" w:hangingChars="297"/>
        <w:textAlignment w:val="auto"/>
        <w:rPr>
          <w:rStyle w:val="13"/>
          <w:rFonts w:ascii="宋体"/>
          <w:color w:val="000000"/>
          <w:sz w:val="24"/>
          <w:szCs w:val="20"/>
        </w:rPr>
      </w:pPr>
      <w:r>
        <w:rPr>
          <w:rStyle w:val="13"/>
          <w:rFonts w:ascii="宋体" w:hAnsi="宋体"/>
          <w:color w:val="000000"/>
          <w:sz w:val="24"/>
          <w:szCs w:val="20"/>
        </w:rPr>
        <w:t>30.1</w:t>
      </w:r>
      <w:r>
        <w:rPr>
          <w:rStyle w:val="13"/>
          <w:rFonts w:ascii="宋体" w:hAnsi="宋体"/>
          <w:color w:val="000000"/>
          <w:sz w:val="24"/>
          <w:szCs w:val="20"/>
        </w:rPr>
        <w:tab/>
      </w:r>
      <w:r>
        <w:rPr>
          <w:rStyle w:val="13"/>
          <w:rFonts w:ascii="宋体" w:hAnsi="宋体"/>
          <w:color w:val="000000"/>
          <w:sz w:val="24"/>
          <w:szCs w:val="20"/>
        </w:rPr>
        <w:t>投标供应商对中标公告有异议的，应当在中标公告发布之日起三个工作日内，以书面形式向招标人提出质疑，质疑书应列明理由、依据，加盖单位公章；</w:t>
      </w:r>
    </w:p>
    <w:p>
      <w:pPr>
        <w:spacing w:line="360" w:lineRule="auto"/>
        <w:ind w:left="714" w:leftChars="1" w:hanging="712" w:hangingChars="297"/>
        <w:textAlignment w:val="auto"/>
        <w:rPr>
          <w:rStyle w:val="13"/>
          <w:rFonts w:ascii="宋体"/>
          <w:color w:val="000000"/>
          <w:sz w:val="24"/>
          <w:szCs w:val="20"/>
        </w:rPr>
      </w:pPr>
      <w:r>
        <w:rPr>
          <w:rStyle w:val="13"/>
          <w:rFonts w:ascii="宋体" w:hAnsi="宋体"/>
          <w:color w:val="000000"/>
          <w:sz w:val="24"/>
          <w:szCs w:val="20"/>
        </w:rPr>
        <w:t>30.2</w:t>
      </w:r>
      <w:r>
        <w:rPr>
          <w:rStyle w:val="13"/>
          <w:rFonts w:ascii="宋体" w:hAnsi="宋体"/>
          <w:color w:val="000000"/>
          <w:sz w:val="24"/>
          <w:szCs w:val="20"/>
        </w:rPr>
        <w:tab/>
      </w:r>
      <w:r>
        <w:rPr>
          <w:rStyle w:val="13"/>
          <w:rFonts w:ascii="宋体" w:hAnsi="宋体"/>
          <w:color w:val="000000"/>
          <w:sz w:val="24"/>
          <w:szCs w:val="20"/>
        </w:rPr>
        <w:t>招标人应当在收到投标人书面质疑后七个工作日内，对质疑内容作出答复，但涉及商业秘密内容的除外；</w:t>
      </w:r>
    </w:p>
    <w:p>
      <w:pPr>
        <w:spacing w:line="360" w:lineRule="auto"/>
        <w:ind w:left="714" w:leftChars="1" w:hanging="712" w:hangingChars="297"/>
        <w:textAlignment w:val="auto"/>
        <w:rPr>
          <w:rStyle w:val="13"/>
          <w:rFonts w:ascii="宋体"/>
          <w:color w:val="000000"/>
          <w:sz w:val="24"/>
          <w:szCs w:val="20"/>
        </w:rPr>
      </w:pPr>
      <w:r>
        <w:rPr>
          <w:rStyle w:val="13"/>
          <w:rFonts w:ascii="宋体" w:hAnsi="宋体"/>
          <w:color w:val="000000"/>
          <w:sz w:val="24"/>
          <w:szCs w:val="20"/>
        </w:rPr>
        <w:t>30.3</w:t>
      </w:r>
      <w:r>
        <w:rPr>
          <w:rStyle w:val="13"/>
          <w:rFonts w:ascii="宋体" w:hAnsi="宋体"/>
          <w:color w:val="000000"/>
          <w:sz w:val="24"/>
          <w:szCs w:val="20"/>
        </w:rPr>
        <w:tab/>
      </w:r>
      <w:r>
        <w:rPr>
          <w:rStyle w:val="13"/>
          <w:rFonts w:ascii="宋体" w:hAnsi="宋体"/>
          <w:color w:val="000000"/>
          <w:sz w:val="24"/>
          <w:szCs w:val="20"/>
        </w:rPr>
        <w:t>投标人须对质疑内容的真实性承担责任。</w:t>
      </w:r>
    </w:p>
    <w:p>
      <w:pPr>
        <w:spacing w:line="360" w:lineRule="auto"/>
        <w:ind w:left="718" w:leftChars="1" w:hanging="716" w:hangingChars="297"/>
        <w:textAlignment w:val="auto"/>
        <w:rPr>
          <w:rStyle w:val="13"/>
          <w:rFonts w:ascii="宋体"/>
          <w:b/>
          <w:bCs/>
          <w:color w:val="000000"/>
          <w:sz w:val="24"/>
        </w:rPr>
      </w:pPr>
      <w:r>
        <w:rPr>
          <w:rStyle w:val="13"/>
          <w:rFonts w:ascii="宋体" w:hAnsi="宋体"/>
          <w:b/>
          <w:bCs/>
          <w:color w:val="000000"/>
          <w:sz w:val="24"/>
        </w:rPr>
        <w:t>31．</w:t>
      </w:r>
      <w:r>
        <w:rPr>
          <w:rStyle w:val="13"/>
          <w:rFonts w:ascii="宋体"/>
          <w:b/>
          <w:bCs/>
          <w:color w:val="000000"/>
          <w:sz w:val="24"/>
        </w:rPr>
        <w:tab/>
      </w:r>
      <w:r>
        <w:rPr>
          <w:rStyle w:val="13"/>
          <w:rFonts w:ascii="宋体" w:hAnsi="宋体"/>
          <w:b/>
          <w:bCs/>
          <w:color w:val="000000"/>
          <w:sz w:val="24"/>
        </w:rPr>
        <w:t>投诉</w:t>
      </w:r>
    </w:p>
    <w:p>
      <w:pPr>
        <w:spacing w:line="360" w:lineRule="auto"/>
        <w:ind w:left="714" w:leftChars="1" w:hanging="712" w:hangingChars="297"/>
        <w:textAlignment w:val="auto"/>
        <w:rPr>
          <w:rStyle w:val="13"/>
          <w:rFonts w:ascii="宋体"/>
          <w:color w:val="000000"/>
          <w:sz w:val="24"/>
        </w:rPr>
      </w:pPr>
      <w:r>
        <w:rPr>
          <w:rStyle w:val="13"/>
          <w:rFonts w:ascii="宋体" w:hAnsi="宋体"/>
          <w:color w:val="000000"/>
          <w:sz w:val="24"/>
          <w:szCs w:val="20"/>
        </w:rPr>
        <w:t>31.1</w:t>
      </w:r>
      <w:r>
        <w:rPr>
          <w:rStyle w:val="13"/>
          <w:rFonts w:ascii="宋体" w:hAnsi="宋体"/>
          <w:color w:val="000000"/>
          <w:sz w:val="24"/>
          <w:szCs w:val="20"/>
        </w:rPr>
        <w:tab/>
      </w:r>
      <w:r>
        <w:rPr>
          <w:rStyle w:val="13"/>
          <w:rFonts w:ascii="宋体" w:hAnsi="宋体"/>
          <w:color w:val="000000"/>
          <w:sz w:val="24"/>
          <w:szCs w:val="20"/>
        </w:rPr>
        <w:t>质疑供应商对招标人的答复不满意或者招标人未在规定时间内答复的，可以在答复期满后十五个工作日内按有关规定，向同级人民政府财政部门投诉。财政部门应当在收到投诉后三十个工作日内，对投诉事项作出处理决定。</w:t>
      </w:r>
    </w:p>
    <w:p>
      <w:pPr>
        <w:spacing w:line="360" w:lineRule="auto"/>
        <w:ind w:left="714" w:leftChars="1" w:hanging="712" w:hangingChars="297"/>
        <w:textAlignment w:val="auto"/>
        <w:rPr>
          <w:rStyle w:val="13"/>
          <w:rFonts w:ascii="宋体" w:hAnsi="宋体"/>
          <w:color w:val="000000"/>
          <w:sz w:val="24"/>
          <w:szCs w:val="20"/>
        </w:rPr>
      </w:pPr>
      <w:r>
        <w:rPr>
          <w:rStyle w:val="13"/>
          <w:rFonts w:ascii="宋体" w:hAnsi="宋体"/>
          <w:color w:val="000000"/>
          <w:sz w:val="24"/>
          <w:szCs w:val="20"/>
        </w:rPr>
        <w:t>31.2</w:t>
      </w:r>
      <w:r>
        <w:rPr>
          <w:rStyle w:val="13"/>
          <w:rFonts w:ascii="宋体" w:hAnsi="宋体"/>
          <w:color w:val="000000"/>
          <w:sz w:val="24"/>
          <w:szCs w:val="20"/>
        </w:rPr>
        <w:tab/>
      </w:r>
      <w:r>
        <w:rPr>
          <w:rStyle w:val="13"/>
          <w:rFonts w:ascii="宋体" w:hAnsi="宋体"/>
          <w:color w:val="000000"/>
          <w:sz w:val="24"/>
          <w:szCs w:val="20"/>
        </w:rPr>
        <w:t>处理投诉事项期间，财政部门可以视具体情况书面通知招标采购单位暂停签订合同等活动，但暂停时间最长不得超过三十日。</w:t>
      </w:r>
    </w:p>
    <w:p>
      <w:pPr>
        <w:pStyle w:val="20"/>
        <w:rPr>
          <w:rStyle w:val="13"/>
          <w:rFonts w:ascii="宋体" w:hAnsi="宋体"/>
          <w:color w:val="000000"/>
          <w:sz w:val="24"/>
          <w:szCs w:val="20"/>
        </w:rPr>
      </w:pPr>
    </w:p>
    <w:p>
      <w:pPr>
        <w:rPr>
          <w:rStyle w:val="13"/>
          <w:rFonts w:ascii="宋体" w:hAnsi="宋体"/>
          <w:color w:val="000000"/>
          <w:sz w:val="24"/>
          <w:szCs w:val="20"/>
        </w:rPr>
      </w:pPr>
    </w:p>
    <w:p>
      <w:pPr>
        <w:pStyle w:val="20"/>
        <w:rPr>
          <w:rStyle w:val="13"/>
          <w:rFonts w:ascii="宋体" w:hAnsi="宋体"/>
          <w:color w:val="000000"/>
          <w:sz w:val="24"/>
          <w:szCs w:val="20"/>
        </w:rPr>
      </w:pPr>
    </w:p>
    <w:p>
      <w:pPr>
        <w:rPr>
          <w:rStyle w:val="13"/>
          <w:rFonts w:ascii="宋体" w:hAnsi="宋体"/>
          <w:color w:val="000000"/>
          <w:sz w:val="24"/>
          <w:szCs w:val="20"/>
        </w:rPr>
      </w:pPr>
    </w:p>
    <w:p>
      <w:pPr>
        <w:pStyle w:val="20"/>
        <w:rPr>
          <w:rStyle w:val="13"/>
          <w:rFonts w:ascii="宋体" w:hAnsi="宋体"/>
          <w:color w:val="000000"/>
          <w:sz w:val="24"/>
          <w:szCs w:val="20"/>
        </w:rPr>
      </w:pPr>
    </w:p>
    <w:p>
      <w:pPr>
        <w:rPr>
          <w:rStyle w:val="13"/>
          <w:rFonts w:ascii="宋体" w:hAnsi="宋体"/>
          <w:color w:val="000000"/>
          <w:sz w:val="24"/>
          <w:szCs w:val="20"/>
        </w:rPr>
      </w:pPr>
    </w:p>
    <w:p>
      <w:pPr>
        <w:pStyle w:val="20"/>
        <w:rPr>
          <w:rStyle w:val="13"/>
          <w:rFonts w:ascii="宋体" w:hAnsi="宋体"/>
          <w:color w:val="000000"/>
          <w:sz w:val="24"/>
          <w:szCs w:val="20"/>
        </w:rPr>
      </w:pPr>
    </w:p>
    <w:p>
      <w:pPr>
        <w:rPr>
          <w:rStyle w:val="13"/>
          <w:rFonts w:ascii="宋体" w:hAnsi="宋体"/>
          <w:color w:val="000000"/>
          <w:sz w:val="24"/>
          <w:szCs w:val="20"/>
        </w:rPr>
      </w:pPr>
    </w:p>
    <w:p>
      <w:pPr>
        <w:pStyle w:val="20"/>
        <w:rPr>
          <w:rStyle w:val="13"/>
          <w:rFonts w:ascii="宋体" w:hAnsi="宋体"/>
          <w:color w:val="000000"/>
          <w:sz w:val="24"/>
          <w:szCs w:val="20"/>
        </w:rPr>
      </w:pPr>
    </w:p>
    <w:p>
      <w:pPr>
        <w:rPr>
          <w:rStyle w:val="13"/>
          <w:rFonts w:ascii="宋体" w:hAnsi="宋体"/>
          <w:color w:val="000000"/>
          <w:sz w:val="24"/>
          <w:szCs w:val="20"/>
        </w:rPr>
      </w:pPr>
    </w:p>
    <w:p>
      <w:pPr>
        <w:numPr>
          <w:ilvl w:val="0"/>
          <w:numId w:val="6"/>
        </w:numPr>
        <w:spacing w:line="560" w:lineRule="exact"/>
        <w:jc w:val="center"/>
        <w:rPr>
          <w:rStyle w:val="13"/>
          <w:rFonts w:ascii="宋体" w:hAnsi="宋体" w:cs="宋体"/>
          <w:b/>
          <w:bCs/>
          <w:color w:val="000000"/>
          <w:sz w:val="32"/>
          <w:szCs w:val="32"/>
        </w:rPr>
      </w:pPr>
      <w:r>
        <w:rPr>
          <w:rStyle w:val="13"/>
          <w:rFonts w:ascii="宋体" w:hAnsi="宋体" w:cs="宋体"/>
          <w:b/>
          <w:bCs/>
          <w:color w:val="000000"/>
          <w:sz w:val="32"/>
          <w:szCs w:val="32"/>
        </w:rPr>
        <w:t xml:space="preserve">  货物采购要求、技术参数、规格及需求表</w:t>
      </w:r>
    </w:p>
    <w:p>
      <w:pPr>
        <w:pStyle w:val="20"/>
        <w:spacing w:line="240" w:lineRule="auto"/>
        <w:jc w:val="center"/>
        <w:rPr>
          <w:rStyle w:val="13"/>
          <w:rFonts w:ascii="宋体" w:hAnsi="宋体" w:cs="宋体"/>
          <w:b/>
          <w:bCs/>
          <w:color w:val="000000"/>
        </w:rPr>
      </w:pPr>
      <w:r>
        <w:rPr>
          <w:rStyle w:val="13"/>
          <w:rFonts w:ascii="宋体" w:hAnsi="宋体" w:cs="宋体"/>
          <w:b/>
          <w:bCs/>
          <w:color w:val="000000"/>
        </w:rPr>
        <w:t>采购需求</w:t>
      </w:r>
    </w:p>
    <w:tbl>
      <w:tblPr>
        <w:tblStyle w:val="10"/>
        <w:tblW w:w="93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5"/>
        <w:gridCol w:w="1440"/>
        <w:gridCol w:w="2104"/>
        <w:gridCol w:w="3717"/>
        <w:gridCol w:w="15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jc w:val="center"/>
        </w:trPr>
        <w:tc>
          <w:tcPr>
            <w:tcW w:w="465" w:type="dxa"/>
            <w:tcBorders>
              <w:top w:val="single" w:color="000000" w:sz="4" w:space="0"/>
              <w:left w:val="single" w:color="000000" w:sz="4" w:space="0"/>
              <w:bottom w:val="single" w:color="000000" w:sz="4" w:space="0"/>
              <w:right w:val="single" w:color="000000" w:sz="4" w:space="0"/>
            </w:tcBorders>
            <w:vAlign w:val="center"/>
          </w:tcPr>
          <w:p>
            <w:pPr>
              <w:spacing w:after="150"/>
              <w:jc w:val="center"/>
              <w:rPr>
                <w:rStyle w:val="13"/>
                <w:rFonts w:ascii="宋体" w:hAnsi="宋体"/>
                <w:color w:val="000000"/>
              </w:rPr>
            </w:pPr>
            <w:r>
              <w:rPr>
                <w:rStyle w:val="13"/>
                <w:rFonts w:ascii="宋体" w:hAnsi="宋体"/>
                <w:color w:val="000000"/>
              </w:rPr>
              <w:t>标项序号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spacing w:after="150"/>
              <w:jc w:val="center"/>
              <w:rPr>
                <w:rStyle w:val="13"/>
                <w:rFonts w:ascii="宋体" w:hAnsi="宋体"/>
                <w:color w:val="000000"/>
              </w:rPr>
            </w:pPr>
            <w:r>
              <w:rPr>
                <w:rStyle w:val="13"/>
                <w:rFonts w:ascii="宋体" w:hAnsi="宋体"/>
                <w:color w:val="000000"/>
              </w:rPr>
              <w:t>标项名称</w:t>
            </w:r>
          </w:p>
        </w:tc>
        <w:tc>
          <w:tcPr>
            <w:tcW w:w="2104" w:type="dxa"/>
            <w:tcBorders>
              <w:top w:val="single" w:color="000000" w:sz="4" w:space="0"/>
              <w:left w:val="single" w:color="000000" w:sz="4" w:space="0"/>
              <w:bottom w:val="single" w:color="000000" w:sz="4" w:space="0"/>
              <w:right w:val="single" w:color="000000" w:sz="4" w:space="0"/>
            </w:tcBorders>
            <w:vAlign w:val="center"/>
          </w:tcPr>
          <w:p>
            <w:pPr>
              <w:spacing w:after="150"/>
              <w:jc w:val="center"/>
              <w:rPr>
                <w:rStyle w:val="13"/>
                <w:rFonts w:ascii="宋体" w:hAnsi="宋体"/>
                <w:color w:val="000000"/>
              </w:rPr>
            </w:pPr>
            <w:r>
              <w:rPr>
                <w:rStyle w:val="13"/>
                <w:rFonts w:ascii="宋体" w:hAnsi="宋体"/>
                <w:color w:val="000000"/>
              </w:rPr>
              <w:t>预算金额(元)</w:t>
            </w:r>
          </w:p>
        </w:tc>
        <w:tc>
          <w:tcPr>
            <w:tcW w:w="3717" w:type="dxa"/>
            <w:tcBorders>
              <w:top w:val="single" w:color="000000" w:sz="4" w:space="0"/>
              <w:left w:val="single" w:color="000000" w:sz="4" w:space="0"/>
              <w:bottom w:val="single" w:color="000000" w:sz="4" w:space="0"/>
              <w:right w:val="single" w:color="000000" w:sz="4" w:space="0"/>
            </w:tcBorders>
            <w:vAlign w:val="center"/>
          </w:tcPr>
          <w:p>
            <w:pPr>
              <w:spacing w:after="150"/>
              <w:jc w:val="center"/>
              <w:rPr>
                <w:rStyle w:val="13"/>
                <w:rFonts w:ascii="宋体" w:hAnsi="宋体"/>
                <w:color w:val="000000"/>
              </w:rPr>
            </w:pPr>
            <w:r>
              <w:rPr>
                <w:rStyle w:val="13"/>
                <w:rFonts w:ascii="宋体" w:hAnsi="宋体"/>
                <w:color w:val="000000"/>
              </w:rPr>
              <w:t>项目内容</w:t>
            </w:r>
          </w:p>
        </w:tc>
        <w:tc>
          <w:tcPr>
            <w:tcW w:w="1577" w:type="dxa"/>
            <w:tcBorders>
              <w:top w:val="single" w:color="000000" w:sz="4" w:space="0"/>
              <w:left w:val="single" w:color="000000" w:sz="4" w:space="0"/>
              <w:bottom w:val="single" w:color="000000" w:sz="4" w:space="0"/>
              <w:right w:val="single" w:color="000000" w:sz="4" w:space="0"/>
            </w:tcBorders>
            <w:vAlign w:val="center"/>
          </w:tcPr>
          <w:p>
            <w:pPr>
              <w:spacing w:after="150"/>
              <w:jc w:val="center"/>
              <w:rPr>
                <w:rStyle w:val="13"/>
                <w:rFonts w:ascii="宋体" w:hAnsi="宋体"/>
                <w:color w:val="000000"/>
              </w:rPr>
            </w:pPr>
            <w:r>
              <w:rPr>
                <w:rStyle w:val="13"/>
                <w:rFonts w:ascii="宋体" w:hAnsi="宋体"/>
                <w:color w:val="0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8" w:hRule="atLeast"/>
          <w:jc w:val="center"/>
        </w:trPr>
        <w:tc>
          <w:tcPr>
            <w:tcW w:w="465" w:type="dxa"/>
            <w:tcBorders>
              <w:top w:val="single" w:color="000000" w:sz="4" w:space="0"/>
              <w:left w:val="single" w:color="000000" w:sz="4" w:space="0"/>
              <w:bottom w:val="single" w:color="000000" w:sz="4" w:space="0"/>
              <w:right w:val="single" w:color="000000" w:sz="4" w:space="0"/>
            </w:tcBorders>
            <w:vAlign w:val="center"/>
          </w:tcPr>
          <w:p>
            <w:pPr>
              <w:spacing w:after="150"/>
              <w:jc w:val="center"/>
              <w:rPr>
                <w:rStyle w:val="13"/>
                <w:rFonts w:ascii="宋体" w:hAnsi="宋体"/>
                <w:color w:val="000000"/>
              </w:rPr>
            </w:pPr>
            <w:r>
              <w:rPr>
                <w:rStyle w:val="13"/>
                <w:rFonts w:ascii="宋体" w:hAnsi="宋体"/>
                <w:color w:val="000000"/>
              </w:rPr>
              <w:t>1</w:t>
            </w:r>
          </w:p>
        </w:tc>
        <w:tc>
          <w:tcPr>
            <w:tcW w:w="1440" w:type="dxa"/>
            <w:tcBorders>
              <w:top w:val="single" w:color="000000" w:sz="4" w:space="0"/>
              <w:left w:val="single" w:color="000000" w:sz="4" w:space="0"/>
              <w:bottom w:val="single" w:color="000000" w:sz="4" w:space="0"/>
              <w:right w:val="single" w:color="000000" w:sz="4" w:space="0"/>
            </w:tcBorders>
            <w:vAlign w:val="center"/>
          </w:tcPr>
          <w:p>
            <w:pPr>
              <w:spacing w:after="150"/>
              <w:jc w:val="center"/>
              <w:rPr>
                <w:rStyle w:val="13"/>
                <w:rFonts w:ascii="宋体" w:hAnsi="宋体"/>
                <w:color w:val="000000"/>
              </w:rPr>
            </w:pPr>
            <w:r>
              <w:rPr>
                <w:rStyle w:val="13"/>
                <w:rFonts w:ascii="宋体" w:hAnsi="宋体"/>
                <w:color w:val="000000"/>
              </w:rPr>
              <w:t>皮山县AI+紧密型医共体项目</w:t>
            </w:r>
          </w:p>
        </w:tc>
        <w:tc>
          <w:tcPr>
            <w:tcW w:w="2104" w:type="dxa"/>
            <w:tcBorders>
              <w:top w:val="single" w:color="000000" w:sz="4" w:space="0"/>
              <w:left w:val="single" w:color="000000" w:sz="4" w:space="0"/>
              <w:bottom w:val="single" w:color="000000" w:sz="4" w:space="0"/>
              <w:right w:val="single" w:color="000000" w:sz="4" w:space="0"/>
            </w:tcBorders>
            <w:vAlign w:val="center"/>
          </w:tcPr>
          <w:p>
            <w:pPr>
              <w:spacing w:after="150"/>
              <w:jc w:val="center"/>
              <w:rPr>
                <w:rStyle w:val="13"/>
                <w:rFonts w:ascii="宋体" w:hAnsi="宋体"/>
                <w:color w:val="000000"/>
              </w:rPr>
            </w:pPr>
            <w:r>
              <w:rPr>
                <w:rStyle w:val="13"/>
                <w:rFonts w:ascii="宋体" w:hAnsi="宋体"/>
                <w:color w:val="000000"/>
              </w:rPr>
              <w:t>3067.8万元</w:t>
            </w:r>
          </w:p>
        </w:tc>
        <w:tc>
          <w:tcPr>
            <w:tcW w:w="3717" w:type="dxa"/>
            <w:tcBorders>
              <w:top w:val="single" w:color="000000" w:sz="4" w:space="0"/>
              <w:left w:val="single" w:color="000000" w:sz="4" w:space="0"/>
              <w:bottom w:val="single" w:color="000000" w:sz="4" w:space="0"/>
              <w:right w:val="single" w:color="000000" w:sz="4" w:space="0"/>
            </w:tcBorders>
            <w:vAlign w:val="center"/>
          </w:tcPr>
          <w:p>
            <w:pPr>
              <w:spacing w:after="150"/>
              <w:jc w:val="left"/>
              <w:rPr>
                <w:rStyle w:val="13"/>
                <w:rFonts w:ascii="宋体" w:hAnsi="宋体"/>
                <w:color w:val="000000"/>
              </w:rPr>
            </w:pPr>
            <w:r>
              <w:rPr>
                <w:rStyle w:val="13"/>
                <w:rFonts w:ascii="宋体" w:hAnsi="宋体"/>
                <w:color w:val="000000"/>
              </w:rPr>
              <w:t>建设医学人工智能能力平台、人工智能应用系统、多语言智能窗口话务系统、基层服务平台、互联网医疗平台、综合监测平台及相关硬件设备</w:t>
            </w:r>
            <w:r>
              <w:rPr>
                <w:rStyle w:val="13"/>
                <w:color w:val="000000"/>
              </w:rPr>
              <w:t>。</w:t>
            </w:r>
          </w:p>
        </w:tc>
        <w:tc>
          <w:tcPr>
            <w:tcW w:w="1577" w:type="dxa"/>
            <w:tcBorders>
              <w:top w:val="single" w:color="000000" w:sz="4" w:space="0"/>
              <w:left w:val="single" w:color="000000" w:sz="4" w:space="0"/>
              <w:bottom w:val="single" w:color="000000" w:sz="4" w:space="0"/>
              <w:right w:val="single" w:color="000000" w:sz="4" w:space="0"/>
            </w:tcBorders>
            <w:vAlign w:val="center"/>
          </w:tcPr>
          <w:p>
            <w:pPr>
              <w:spacing w:after="150"/>
              <w:jc w:val="center"/>
              <w:rPr>
                <w:rStyle w:val="13"/>
                <w:rFonts w:ascii="宋体" w:hAnsi="宋体"/>
                <w:color w:val="000000"/>
              </w:rPr>
            </w:pPr>
            <w:r>
              <w:rPr>
                <w:rStyle w:val="13"/>
                <w:rFonts w:hint="eastAsia" w:ascii="宋体" w:hAnsi="宋体"/>
                <w:color w:val="000000"/>
              </w:rPr>
              <w:t>软件产品质保期1年，服务器等硬件产品质保期3年，硬件终端1年。</w:t>
            </w:r>
          </w:p>
        </w:tc>
      </w:tr>
    </w:tbl>
    <w:p>
      <w:pPr>
        <w:ind w:firstLine="560"/>
        <w:rPr>
          <w:rStyle w:val="13"/>
        </w:rPr>
      </w:pPr>
    </w:p>
    <w:tbl>
      <w:tblPr>
        <w:tblStyle w:val="10"/>
        <w:tblW w:w="9548" w:type="dxa"/>
        <w:tblInd w:w="-6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62"/>
        <w:gridCol w:w="1915"/>
        <w:gridCol w:w="3451"/>
        <w:gridCol w:w="650"/>
        <w:gridCol w:w="1022"/>
        <w:gridCol w:w="1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 w:hRule="atLeast"/>
        </w:trPr>
        <w:tc>
          <w:tcPr>
            <w:tcW w:w="662" w:type="dxa"/>
            <w:tcBorders>
              <w:top w:val="single" w:color="000000" w:sz="4" w:space="0"/>
              <w:left w:val="single" w:color="000000" w:sz="4" w:space="0"/>
              <w:bottom w:val="single" w:color="000000" w:sz="4" w:space="0"/>
              <w:right w:val="single" w:color="000000" w:sz="4" w:space="0"/>
            </w:tcBorders>
            <w:shd w:val="clear" w:color="auto" w:fill="D8D8D8"/>
            <w:vAlign w:val="center"/>
          </w:tcPr>
          <w:p>
            <w:pPr>
              <w:spacing w:line="240" w:lineRule="exact"/>
              <w:jc w:val="center"/>
              <w:textAlignment w:val="auto"/>
              <w:rPr>
                <w:rStyle w:val="13"/>
                <w:rFonts w:ascii="黑体" w:hAnsi="黑体" w:eastAsia="黑体"/>
                <w:szCs w:val="28"/>
              </w:rPr>
            </w:pPr>
            <w:r>
              <w:rPr>
                <w:rStyle w:val="13"/>
                <w:rFonts w:ascii="黑体" w:hAnsi="黑体" w:eastAsia="黑体"/>
                <w:szCs w:val="28"/>
              </w:rPr>
              <w:t>序号</w:t>
            </w:r>
          </w:p>
        </w:tc>
        <w:tc>
          <w:tcPr>
            <w:tcW w:w="1915" w:type="dxa"/>
            <w:tcBorders>
              <w:top w:val="single" w:color="000000" w:sz="4" w:space="0"/>
              <w:left w:val="single" w:color="000000" w:sz="4" w:space="0"/>
              <w:bottom w:val="single" w:color="000000" w:sz="4" w:space="0"/>
              <w:right w:val="single" w:color="000000" w:sz="4" w:space="0"/>
            </w:tcBorders>
            <w:shd w:val="clear" w:color="auto" w:fill="D8D8D8"/>
            <w:vAlign w:val="center"/>
          </w:tcPr>
          <w:p>
            <w:pPr>
              <w:spacing w:line="240" w:lineRule="exact"/>
              <w:jc w:val="center"/>
              <w:textAlignment w:val="auto"/>
              <w:rPr>
                <w:rStyle w:val="13"/>
                <w:rFonts w:ascii="黑体" w:hAnsi="黑体" w:eastAsia="黑体"/>
                <w:szCs w:val="28"/>
              </w:rPr>
            </w:pPr>
            <w:r>
              <w:rPr>
                <w:rStyle w:val="13"/>
                <w:rFonts w:ascii="黑体" w:hAnsi="黑体" w:eastAsia="黑体"/>
                <w:szCs w:val="28"/>
              </w:rPr>
              <w:t>建设内容</w:t>
            </w:r>
          </w:p>
        </w:tc>
        <w:tc>
          <w:tcPr>
            <w:tcW w:w="3451" w:type="dxa"/>
            <w:tcBorders>
              <w:top w:val="single" w:color="000000" w:sz="4" w:space="0"/>
              <w:left w:val="single" w:color="000000" w:sz="4" w:space="0"/>
              <w:bottom w:val="single" w:color="000000" w:sz="4" w:space="0"/>
              <w:right w:val="single" w:color="000000" w:sz="4" w:space="0"/>
            </w:tcBorders>
            <w:shd w:val="clear" w:color="auto" w:fill="D8D8D8"/>
            <w:vAlign w:val="center"/>
          </w:tcPr>
          <w:p>
            <w:pPr>
              <w:spacing w:line="240" w:lineRule="exact"/>
              <w:jc w:val="center"/>
              <w:textAlignment w:val="auto"/>
              <w:rPr>
                <w:rStyle w:val="13"/>
                <w:rFonts w:ascii="黑体" w:hAnsi="黑体" w:eastAsia="黑体"/>
                <w:szCs w:val="28"/>
              </w:rPr>
            </w:pPr>
            <w:r>
              <w:rPr>
                <w:rStyle w:val="13"/>
                <w:rFonts w:ascii="黑体" w:hAnsi="黑体" w:eastAsia="黑体"/>
                <w:szCs w:val="28"/>
              </w:rPr>
              <w:t>子项</w:t>
            </w:r>
          </w:p>
        </w:tc>
        <w:tc>
          <w:tcPr>
            <w:tcW w:w="650" w:type="dxa"/>
            <w:tcBorders>
              <w:top w:val="single" w:color="000000" w:sz="4" w:space="0"/>
              <w:left w:val="single" w:color="000000" w:sz="4" w:space="0"/>
              <w:bottom w:val="single" w:color="000000" w:sz="4" w:space="0"/>
              <w:right w:val="single" w:color="000000" w:sz="4" w:space="0"/>
            </w:tcBorders>
            <w:shd w:val="clear" w:color="auto" w:fill="D8D8D8"/>
            <w:vAlign w:val="center"/>
          </w:tcPr>
          <w:p>
            <w:pPr>
              <w:spacing w:line="240" w:lineRule="exact"/>
              <w:jc w:val="center"/>
              <w:textAlignment w:val="auto"/>
              <w:rPr>
                <w:rStyle w:val="13"/>
                <w:rFonts w:ascii="黑体" w:hAnsi="黑体" w:eastAsia="黑体"/>
                <w:szCs w:val="28"/>
              </w:rPr>
            </w:pPr>
            <w:r>
              <w:rPr>
                <w:rStyle w:val="13"/>
                <w:rFonts w:ascii="黑体" w:hAnsi="黑体" w:eastAsia="黑体"/>
                <w:szCs w:val="28"/>
              </w:rPr>
              <w:t>单位</w:t>
            </w:r>
          </w:p>
        </w:tc>
        <w:tc>
          <w:tcPr>
            <w:tcW w:w="1022" w:type="dxa"/>
            <w:tcBorders>
              <w:top w:val="single" w:color="000000" w:sz="4" w:space="0"/>
              <w:left w:val="single" w:color="000000" w:sz="4" w:space="0"/>
              <w:bottom w:val="single" w:color="000000" w:sz="4" w:space="0"/>
              <w:right w:val="single" w:color="000000" w:sz="4" w:space="0"/>
            </w:tcBorders>
            <w:shd w:val="clear" w:color="auto" w:fill="D8D8D8"/>
            <w:vAlign w:val="center"/>
          </w:tcPr>
          <w:p>
            <w:pPr>
              <w:spacing w:line="240" w:lineRule="exact"/>
              <w:jc w:val="center"/>
              <w:textAlignment w:val="auto"/>
              <w:rPr>
                <w:rStyle w:val="13"/>
                <w:rFonts w:ascii="黑体" w:hAnsi="黑体" w:eastAsia="黑体"/>
                <w:szCs w:val="28"/>
              </w:rPr>
            </w:pPr>
            <w:r>
              <w:rPr>
                <w:rStyle w:val="13"/>
                <w:rFonts w:ascii="黑体" w:hAnsi="黑体" w:eastAsia="黑体"/>
                <w:szCs w:val="28"/>
              </w:rPr>
              <w:t>数量</w:t>
            </w:r>
          </w:p>
        </w:tc>
        <w:tc>
          <w:tcPr>
            <w:tcW w:w="1848" w:type="dxa"/>
            <w:tcBorders>
              <w:top w:val="single" w:color="000000" w:sz="4" w:space="0"/>
              <w:left w:val="single" w:color="000000" w:sz="4" w:space="0"/>
              <w:bottom w:val="single" w:color="000000" w:sz="4" w:space="0"/>
              <w:right w:val="single" w:color="000000" w:sz="4" w:space="0"/>
            </w:tcBorders>
            <w:shd w:val="clear" w:color="auto" w:fill="D8D8D8"/>
            <w:vAlign w:val="center"/>
          </w:tcPr>
          <w:p>
            <w:pPr>
              <w:spacing w:line="240" w:lineRule="exact"/>
              <w:jc w:val="center"/>
              <w:textAlignment w:val="auto"/>
              <w:rPr>
                <w:rStyle w:val="13"/>
                <w:rFonts w:ascii="黑体" w:hAnsi="黑体" w:eastAsia="黑体"/>
                <w:szCs w:val="28"/>
              </w:rPr>
            </w:pPr>
            <w:r>
              <w:rPr>
                <w:rStyle w:val="13"/>
                <w:rFonts w:ascii="黑体" w:hAnsi="黑体" w:eastAsia="黑体"/>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pStyle w:val="71"/>
              <w:numPr>
                <w:ilvl w:val="0"/>
                <w:numId w:val="7"/>
              </w:numPr>
              <w:spacing w:line="240" w:lineRule="exact"/>
              <w:ind w:firstLineChars="0"/>
              <w:jc w:val="center"/>
              <w:textAlignment w:val="auto"/>
              <w:rPr>
                <w:rStyle w:val="13"/>
                <w:rFonts w:ascii="宋体" w:hAnsi="宋体"/>
                <w:szCs w:val="28"/>
              </w:rPr>
            </w:pPr>
          </w:p>
        </w:tc>
        <w:tc>
          <w:tcPr>
            <w:tcW w:w="191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医学人工智能能力平台</w:t>
            </w:r>
          </w:p>
        </w:tc>
        <w:tc>
          <w:tcPr>
            <w:tcW w:w="3451" w:type="dxa"/>
            <w:tcBorders>
              <w:top w:val="single" w:color="000000" w:sz="4" w:space="0"/>
              <w:left w:val="single" w:color="000000" w:sz="4" w:space="0"/>
              <w:bottom w:val="single" w:color="000000" w:sz="4" w:space="0"/>
              <w:right w:val="single" w:color="000000" w:sz="4" w:space="0"/>
            </w:tcBorders>
            <w:vAlign w:val="center"/>
          </w:tcPr>
          <w:p>
            <w:pPr>
              <w:spacing w:line="240" w:lineRule="exact"/>
              <w:textAlignment w:val="auto"/>
              <w:rPr>
                <w:rStyle w:val="13"/>
                <w:rFonts w:ascii="宋体" w:hAnsi="宋体"/>
                <w:szCs w:val="28"/>
              </w:rPr>
            </w:pPr>
            <w:r>
              <w:rPr>
                <w:rStyle w:val="13"/>
                <w:rFonts w:ascii="宋体" w:hAnsi="宋体"/>
                <w:szCs w:val="28"/>
              </w:rPr>
              <w:t>医学AI能力平台</w:t>
            </w:r>
          </w:p>
        </w:tc>
        <w:tc>
          <w:tcPr>
            <w:tcW w:w="65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1</w:t>
            </w:r>
          </w:p>
        </w:tc>
        <w:tc>
          <w:tcPr>
            <w:tcW w:w="102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套</w:t>
            </w:r>
          </w:p>
        </w:tc>
        <w:tc>
          <w:tcPr>
            <w:tcW w:w="184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 w:hRule="atLeast"/>
        </w:trPr>
        <w:tc>
          <w:tcPr>
            <w:tcW w:w="662" w:type="dxa"/>
            <w:vMerge w:val="restart"/>
            <w:tcBorders>
              <w:top w:val="single" w:color="000000" w:sz="4" w:space="0"/>
              <w:left w:val="single" w:color="000000" w:sz="4" w:space="0"/>
              <w:bottom w:val="single" w:color="000000" w:sz="4" w:space="0"/>
              <w:right w:val="single" w:color="000000" w:sz="4" w:space="0"/>
            </w:tcBorders>
            <w:vAlign w:val="center"/>
          </w:tcPr>
          <w:p>
            <w:pPr>
              <w:pStyle w:val="71"/>
              <w:numPr>
                <w:ilvl w:val="0"/>
                <w:numId w:val="7"/>
              </w:numPr>
              <w:spacing w:line="240" w:lineRule="exact"/>
              <w:ind w:firstLineChars="0"/>
              <w:jc w:val="center"/>
              <w:textAlignment w:val="auto"/>
              <w:rPr>
                <w:rStyle w:val="13"/>
                <w:rFonts w:ascii="宋体" w:hAnsi="宋体"/>
                <w:szCs w:val="28"/>
              </w:rPr>
            </w:pPr>
          </w:p>
        </w:tc>
        <w:tc>
          <w:tcPr>
            <w:tcW w:w="1915"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人工智能应用系统</w:t>
            </w:r>
          </w:p>
        </w:tc>
        <w:tc>
          <w:tcPr>
            <w:tcW w:w="3451" w:type="dxa"/>
            <w:tcBorders>
              <w:top w:val="single" w:color="000000" w:sz="4" w:space="0"/>
              <w:left w:val="single" w:color="000000" w:sz="4" w:space="0"/>
              <w:bottom w:val="single" w:color="000000" w:sz="4" w:space="0"/>
              <w:right w:val="single" w:color="000000" w:sz="4" w:space="0"/>
            </w:tcBorders>
            <w:vAlign w:val="center"/>
          </w:tcPr>
          <w:p>
            <w:pPr>
              <w:spacing w:line="240" w:lineRule="exact"/>
              <w:textAlignment w:val="auto"/>
              <w:rPr>
                <w:rStyle w:val="13"/>
                <w:rFonts w:ascii="宋体" w:hAnsi="宋体"/>
                <w:szCs w:val="28"/>
              </w:rPr>
            </w:pPr>
            <w:r>
              <w:rPr>
                <w:rStyle w:val="13"/>
                <w:rFonts w:ascii="宋体" w:hAnsi="宋体"/>
                <w:szCs w:val="28"/>
              </w:rPr>
              <w:t>语音输入套件</w:t>
            </w:r>
          </w:p>
        </w:tc>
        <w:tc>
          <w:tcPr>
            <w:tcW w:w="65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200</w:t>
            </w:r>
          </w:p>
        </w:tc>
        <w:tc>
          <w:tcPr>
            <w:tcW w:w="102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台</w:t>
            </w:r>
          </w:p>
        </w:tc>
        <w:tc>
          <w:tcPr>
            <w:tcW w:w="184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 w:hRule="atLeast"/>
        </w:trPr>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pStyle w:val="71"/>
              <w:numPr>
                <w:ilvl w:val="0"/>
                <w:numId w:val="7"/>
              </w:numPr>
              <w:spacing w:line="240" w:lineRule="exact"/>
              <w:ind w:firstLineChars="0"/>
              <w:jc w:val="center"/>
              <w:textAlignment w:val="auto"/>
              <w:rPr>
                <w:rStyle w:val="13"/>
                <w:rFonts w:ascii="宋体" w:hAnsi="宋体"/>
                <w:szCs w:val="28"/>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p>
        </w:tc>
        <w:tc>
          <w:tcPr>
            <w:tcW w:w="3451" w:type="dxa"/>
            <w:tcBorders>
              <w:top w:val="single" w:color="000000" w:sz="4" w:space="0"/>
              <w:left w:val="single" w:color="000000" w:sz="4" w:space="0"/>
              <w:bottom w:val="single" w:color="000000" w:sz="4" w:space="0"/>
              <w:right w:val="single" w:color="000000" w:sz="4" w:space="0"/>
            </w:tcBorders>
            <w:vAlign w:val="center"/>
          </w:tcPr>
          <w:p>
            <w:pPr>
              <w:spacing w:line="240" w:lineRule="exact"/>
              <w:textAlignment w:val="auto"/>
              <w:rPr>
                <w:rStyle w:val="13"/>
                <w:rFonts w:ascii="宋体" w:hAnsi="宋体"/>
                <w:szCs w:val="28"/>
              </w:rPr>
            </w:pPr>
            <w:r>
              <w:rPr>
                <w:rStyle w:val="13"/>
                <w:rFonts w:ascii="宋体" w:hAnsi="宋体"/>
                <w:szCs w:val="28"/>
              </w:rPr>
              <w:t>门诊语音电子病历系统</w:t>
            </w:r>
          </w:p>
        </w:tc>
        <w:tc>
          <w:tcPr>
            <w:tcW w:w="65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1</w:t>
            </w:r>
          </w:p>
        </w:tc>
        <w:tc>
          <w:tcPr>
            <w:tcW w:w="102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套</w:t>
            </w:r>
          </w:p>
        </w:tc>
        <w:tc>
          <w:tcPr>
            <w:tcW w:w="184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 w:hRule="atLeast"/>
        </w:trPr>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pStyle w:val="71"/>
              <w:numPr>
                <w:ilvl w:val="0"/>
                <w:numId w:val="7"/>
              </w:numPr>
              <w:spacing w:line="240" w:lineRule="exact"/>
              <w:ind w:firstLineChars="0"/>
              <w:jc w:val="center"/>
              <w:textAlignment w:val="auto"/>
              <w:rPr>
                <w:rStyle w:val="13"/>
                <w:rFonts w:ascii="宋体" w:hAnsi="宋体"/>
                <w:szCs w:val="28"/>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p>
        </w:tc>
        <w:tc>
          <w:tcPr>
            <w:tcW w:w="3451" w:type="dxa"/>
            <w:tcBorders>
              <w:top w:val="single" w:color="000000" w:sz="4" w:space="0"/>
              <w:left w:val="single" w:color="000000" w:sz="4" w:space="0"/>
              <w:bottom w:val="single" w:color="000000" w:sz="4" w:space="0"/>
              <w:right w:val="single" w:color="000000" w:sz="4" w:space="0"/>
            </w:tcBorders>
            <w:vAlign w:val="center"/>
          </w:tcPr>
          <w:p>
            <w:pPr>
              <w:spacing w:line="240" w:lineRule="exact"/>
              <w:textAlignment w:val="auto"/>
              <w:rPr>
                <w:rStyle w:val="13"/>
                <w:rFonts w:ascii="宋体" w:hAnsi="宋体"/>
                <w:szCs w:val="28"/>
              </w:rPr>
            </w:pPr>
            <w:r>
              <w:rPr>
                <w:rStyle w:val="13"/>
                <w:rFonts w:ascii="宋体" w:hAnsi="宋体"/>
                <w:szCs w:val="28"/>
              </w:rPr>
              <w:t>超声科智能语音助理系统</w:t>
            </w:r>
          </w:p>
        </w:tc>
        <w:tc>
          <w:tcPr>
            <w:tcW w:w="65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1</w:t>
            </w:r>
          </w:p>
        </w:tc>
        <w:tc>
          <w:tcPr>
            <w:tcW w:w="102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套</w:t>
            </w:r>
          </w:p>
        </w:tc>
        <w:tc>
          <w:tcPr>
            <w:tcW w:w="184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 w:hRule="atLeast"/>
        </w:trPr>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pStyle w:val="71"/>
              <w:numPr>
                <w:ilvl w:val="0"/>
                <w:numId w:val="7"/>
              </w:numPr>
              <w:spacing w:line="240" w:lineRule="exact"/>
              <w:ind w:firstLineChars="0"/>
              <w:jc w:val="center"/>
              <w:textAlignment w:val="auto"/>
              <w:rPr>
                <w:rStyle w:val="13"/>
                <w:rFonts w:ascii="宋体" w:hAnsi="宋体"/>
                <w:szCs w:val="28"/>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p>
        </w:tc>
        <w:tc>
          <w:tcPr>
            <w:tcW w:w="3451" w:type="dxa"/>
            <w:tcBorders>
              <w:top w:val="single" w:color="000000" w:sz="4" w:space="0"/>
              <w:left w:val="single" w:color="000000" w:sz="4" w:space="0"/>
              <w:bottom w:val="single" w:color="000000" w:sz="4" w:space="0"/>
              <w:right w:val="single" w:color="000000" w:sz="4" w:space="0"/>
            </w:tcBorders>
            <w:vAlign w:val="center"/>
          </w:tcPr>
          <w:p>
            <w:pPr>
              <w:spacing w:line="240" w:lineRule="exact"/>
              <w:textAlignment w:val="auto"/>
              <w:rPr>
                <w:rStyle w:val="13"/>
                <w:rFonts w:ascii="宋体" w:hAnsi="宋体"/>
                <w:szCs w:val="28"/>
              </w:rPr>
            </w:pPr>
            <w:r>
              <w:rPr>
                <w:rStyle w:val="13"/>
                <w:rFonts w:ascii="宋体" w:hAnsi="宋体"/>
                <w:szCs w:val="28"/>
              </w:rPr>
              <w:t>AI移动查房系统</w:t>
            </w:r>
          </w:p>
        </w:tc>
        <w:tc>
          <w:tcPr>
            <w:tcW w:w="65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1</w:t>
            </w:r>
          </w:p>
        </w:tc>
        <w:tc>
          <w:tcPr>
            <w:tcW w:w="102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套</w:t>
            </w:r>
          </w:p>
        </w:tc>
        <w:tc>
          <w:tcPr>
            <w:tcW w:w="184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 w:hRule="atLeast"/>
        </w:trPr>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pStyle w:val="71"/>
              <w:numPr>
                <w:ilvl w:val="0"/>
                <w:numId w:val="7"/>
              </w:numPr>
              <w:spacing w:line="240" w:lineRule="exact"/>
              <w:ind w:firstLineChars="0"/>
              <w:jc w:val="center"/>
              <w:textAlignment w:val="auto"/>
              <w:rPr>
                <w:rStyle w:val="13"/>
                <w:rFonts w:ascii="宋体" w:hAnsi="宋体"/>
                <w:szCs w:val="28"/>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p>
        </w:tc>
        <w:tc>
          <w:tcPr>
            <w:tcW w:w="3451" w:type="dxa"/>
            <w:tcBorders>
              <w:top w:val="single" w:color="000000" w:sz="4" w:space="0"/>
              <w:left w:val="single" w:color="000000" w:sz="4" w:space="0"/>
              <w:bottom w:val="single" w:color="000000" w:sz="4" w:space="0"/>
              <w:right w:val="single" w:color="000000" w:sz="4" w:space="0"/>
            </w:tcBorders>
            <w:vAlign w:val="center"/>
          </w:tcPr>
          <w:p>
            <w:pPr>
              <w:spacing w:line="240" w:lineRule="exact"/>
              <w:textAlignment w:val="auto"/>
              <w:rPr>
                <w:rStyle w:val="13"/>
                <w:rFonts w:ascii="宋体" w:hAnsi="宋体"/>
                <w:szCs w:val="28"/>
              </w:rPr>
            </w:pPr>
            <w:r>
              <w:rPr>
                <w:rStyle w:val="13"/>
                <w:rFonts w:ascii="宋体" w:hAnsi="宋体"/>
                <w:szCs w:val="28"/>
              </w:rPr>
              <w:t>AI移动护理工作站系统</w:t>
            </w:r>
          </w:p>
        </w:tc>
        <w:tc>
          <w:tcPr>
            <w:tcW w:w="65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1</w:t>
            </w:r>
          </w:p>
        </w:tc>
        <w:tc>
          <w:tcPr>
            <w:tcW w:w="102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套</w:t>
            </w:r>
          </w:p>
        </w:tc>
        <w:tc>
          <w:tcPr>
            <w:tcW w:w="184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 w:hRule="atLeast"/>
        </w:trPr>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pStyle w:val="71"/>
              <w:numPr>
                <w:ilvl w:val="0"/>
                <w:numId w:val="7"/>
              </w:numPr>
              <w:spacing w:line="240" w:lineRule="exact"/>
              <w:ind w:firstLineChars="0"/>
              <w:jc w:val="center"/>
              <w:textAlignment w:val="auto"/>
              <w:rPr>
                <w:rStyle w:val="13"/>
                <w:rFonts w:ascii="宋体" w:hAnsi="宋体"/>
                <w:szCs w:val="28"/>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p>
        </w:tc>
        <w:tc>
          <w:tcPr>
            <w:tcW w:w="3451" w:type="dxa"/>
            <w:tcBorders>
              <w:top w:val="single" w:color="000000" w:sz="4" w:space="0"/>
              <w:left w:val="single" w:color="000000" w:sz="4" w:space="0"/>
              <w:bottom w:val="single" w:color="000000" w:sz="4" w:space="0"/>
              <w:right w:val="single" w:color="000000" w:sz="4" w:space="0"/>
            </w:tcBorders>
            <w:vAlign w:val="center"/>
          </w:tcPr>
          <w:p>
            <w:pPr>
              <w:spacing w:line="240" w:lineRule="exact"/>
              <w:textAlignment w:val="auto"/>
              <w:rPr>
                <w:rStyle w:val="13"/>
                <w:rFonts w:ascii="宋体" w:hAnsi="宋体"/>
                <w:szCs w:val="28"/>
              </w:rPr>
            </w:pPr>
            <w:r>
              <w:rPr>
                <w:rStyle w:val="13"/>
                <w:rFonts w:ascii="宋体" w:hAnsi="宋体"/>
                <w:szCs w:val="28"/>
              </w:rPr>
              <w:t>PDA硬件</w:t>
            </w:r>
          </w:p>
        </w:tc>
        <w:tc>
          <w:tcPr>
            <w:tcW w:w="65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50</w:t>
            </w:r>
          </w:p>
        </w:tc>
        <w:tc>
          <w:tcPr>
            <w:tcW w:w="102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台</w:t>
            </w:r>
          </w:p>
        </w:tc>
        <w:tc>
          <w:tcPr>
            <w:tcW w:w="184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 w:hRule="atLeast"/>
        </w:trPr>
        <w:tc>
          <w:tcPr>
            <w:tcW w:w="662" w:type="dxa"/>
            <w:vMerge w:val="restart"/>
            <w:tcBorders>
              <w:top w:val="single" w:color="000000" w:sz="4" w:space="0"/>
              <w:left w:val="single" w:color="000000" w:sz="4" w:space="0"/>
              <w:bottom w:val="single" w:color="000000" w:sz="4" w:space="0"/>
              <w:right w:val="single" w:color="000000" w:sz="4" w:space="0"/>
            </w:tcBorders>
            <w:vAlign w:val="center"/>
          </w:tcPr>
          <w:p>
            <w:pPr>
              <w:pStyle w:val="71"/>
              <w:numPr>
                <w:ilvl w:val="0"/>
                <w:numId w:val="7"/>
              </w:numPr>
              <w:spacing w:line="240" w:lineRule="exact"/>
              <w:ind w:firstLineChars="0"/>
              <w:jc w:val="center"/>
              <w:textAlignment w:val="auto"/>
              <w:rPr>
                <w:rStyle w:val="13"/>
                <w:rFonts w:ascii="宋体" w:hAnsi="宋体"/>
                <w:szCs w:val="28"/>
              </w:rPr>
            </w:pPr>
          </w:p>
        </w:tc>
        <w:tc>
          <w:tcPr>
            <w:tcW w:w="1915"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多语言智能窗口话务系统</w:t>
            </w:r>
          </w:p>
        </w:tc>
        <w:tc>
          <w:tcPr>
            <w:tcW w:w="3451" w:type="dxa"/>
            <w:tcBorders>
              <w:top w:val="single" w:color="000000" w:sz="4" w:space="0"/>
              <w:left w:val="single" w:color="000000" w:sz="4" w:space="0"/>
              <w:bottom w:val="single" w:color="000000" w:sz="4" w:space="0"/>
              <w:right w:val="single" w:color="000000" w:sz="4" w:space="0"/>
            </w:tcBorders>
            <w:vAlign w:val="center"/>
          </w:tcPr>
          <w:p>
            <w:pPr>
              <w:spacing w:line="240" w:lineRule="exact"/>
              <w:textAlignment w:val="auto"/>
              <w:rPr>
                <w:rStyle w:val="13"/>
                <w:rFonts w:ascii="宋体" w:hAnsi="宋体"/>
                <w:szCs w:val="28"/>
              </w:rPr>
            </w:pPr>
            <w:r>
              <w:rPr>
                <w:rStyle w:val="13"/>
                <w:rFonts w:ascii="宋体" w:hAnsi="宋体"/>
                <w:szCs w:val="28"/>
              </w:rPr>
              <w:t>汉维翻译终端</w:t>
            </w:r>
          </w:p>
        </w:tc>
        <w:tc>
          <w:tcPr>
            <w:tcW w:w="65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20</w:t>
            </w:r>
          </w:p>
        </w:tc>
        <w:tc>
          <w:tcPr>
            <w:tcW w:w="102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台</w:t>
            </w:r>
          </w:p>
        </w:tc>
        <w:tc>
          <w:tcPr>
            <w:tcW w:w="184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 w:hRule="atLeast"/>
        </w:trPr>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pStyle w:val="71"/>
              <w:numPr>
                <w:ilvl w:val="0"/>
                <w:numId w:val="7"/>
              </w:numPr>
              <w:spacing w:line="240" w:lineRule="exact"/>
              <w:ind w:firstLineChars="0"/>
              <w:jc w:val="center"/>
              <w:textAlignment w:val="auto"/>
              <w:rPr>
                <w:rStyle w:val="13"/>
                <w:rFonts w:ascii="宋体" w:hAnsi="宋体"/>
                <w:szCs w:val="28"/>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p>
        </w:tc>
        <w:tc>
          <w:tcPr>
            <w:tcW w:w="3451" w:type="dxa"/>
            <w:tcBorders>
              <w:top w:val="single" w:color="000000" w:sz="4" w:space="0"/>
              <w:left w:val="single" w:color="000000" w:sz="4" w:space="0"/>
              <w:bottom w:val="single" w:color="000000" w:sz="4" w:space="0"/>
              <w:right w:val="single" w:color="000000" w:sz="4" w:space="0"/>
            </w:tcBorders>
            <w:vAlign w:val="center"/>
          </w:tcPr>
          <w:p>
            <w:pPr>
              <w:spacing w:line="240" w:lineRule="exact"/>
              <w:textAlignment w:val="auto"/>
              <w:rPr>
                <w:rStyle w:val="13"/>
                <w:rFonts w:ascii="宋体" w:hAnsi="宋体"/>
                <w:szCs w:val="28"/>
              </w:rPr>
            </w:pPr>
            <w:r>
              <w:rPr>
                <w:rStyle w:val="13"/>
                <w:rFonts w:ascii="宋体" w:hAnsi="宋体"/>
                <w:szCs w:val="28"/>
              </w:rPr>
              <w:t>多语言智能窗口话务系统</w:t>
            </w:r>
          </w:p>
        </w:tc>
        <w:tc>
          <w:tcPr>
            <w:tcW w:w="65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10</w:t>
            </w:r>
          </w:p>
        </w:tc>
        <w:tc>
          <w:tcPr>
            <w:tcW w:w="102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套</w:t>
            </w:r>
          </w:p>
        </w:tc>
        <w:tc>
          <w:tcPr>
            <w:tcW w:w="184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 w:hRule="atLeast"/>
        </w:trPr>
        <w:tc>
          <w:tcPr>
            <w:tcW w:w="662" w:type="dxa"/>
            <w:vMerge w:val="restart"/>
            <w:tcBorders>
              <w:top w:val="single" w:color="000000" w:sz="4" w:space="0"/>
              <w:left w:val="single" w:color="000000" w:sz="4" w:space="0"/>
              <w:bottom w:val="single" w:color="000000" w:sz="4" w:space="0"/>
              <w:right w:val="single" w:color="000000" w:sz="4" w:space="0"/>
            </w:tcBorders>
            <w:vAlign w:val="center"/>
          </w:tcPr>
          <w:p>
            <w:pPr>
              <w:pStyle w:val="71"/>
              <w:numPr>
                <w:ilvl w:val="0"/>
                <w:numId w:val="7"/>
              </w:numPr>
              <w:spacing w:line="240" w:lineRule="exact"/>
              <w:ind w:firstLineChars="0"/>
              <w:jc w:val="center"/>
              <w:textAlignment w:val="auto"/>
              <w:rPr>
                <w:rStyle w:val="13"/>
                <w:rFonts w:ascii="宋体" w:hAnsi="宋体"/>
                <w:szCs w:val="28"/>
              </w:rPr>
            </w:pPr>
          </w:p>
        </w:tc>
        <w:tc>
          <w:tcPr>
            <w:tcW w:w="1915"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基层服务平台</w:t>
            </w:r>
          </w:p>
        </w:tc>
        <w:tc>
          <w:tcPr>
            <w:tcW w:w="3451" w:type="dxa"/>
            <w:tcBorders>
              <w:top w:val="single" w:color="000000" w:sz="4" w:space="0"/>
              <w:left w:val="single" w:color="000000" w:sz="4" w:space="0"/>
              <w:bottom w:val="single" w:color="000000" w:sz="4" w:space="0"/>
              <w:right w:val="single" w:color="000000" w:sz="4" w:space="0"/>
            </w:tcBorders>
            <w:vAlign w:val="center"/>
          </w:tcPr>
          <w:p>
            <w:pPr>
              <w:spacing w:line="240" w:lineRule="exact"/>
              <w:textAlignment w:val="auto"/>
              <w:rPr>
                <w:rStyle w:val="13"/>
                <w:rFonts w:ascii="宋体" w:hAnsi="宋体"/>
                <w:szCs w:val="28"/>
              </w:rPr>
            </w:pPr>
            <w:r>
              <w:rPr>
                <w:rStyle w:val="13"/>
                <w:rFonts w:ascii="宋体" w:hAnsi="宋体"/>
                <w:szCs w:val="28"/>
              </w:rPr>
              <w:t>基层全科辅助诊疗系统</w:t>
            </w:r>
          </w:p>
        </w:tc>
        <w:tc>
          <w:tcPr>
            <w:tcW w:w="65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1</w:t>
            </w:r>
          </w:p>
        </w:tc>
        <w:tc>
          <w:tcPr>
            <w:tcW w:w="102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套</w:t>
            </w:r>
          </w:p>
        </w:tc>
        <w:tc>
          <w:tcPr>
            <w:tcW w:w="184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 w:hRule="atLeast"/>
        </w:trPr>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pStyle w:val="71"/>
              <w:numPr>
                <w:ilvl w:val="0"/>
                <w:numId w:val="7"/>
              </w:numPr>
              <w:spacing w:line="240" w:lineRule="exact"/>
              <w:ind w:firstLineChars="0"/>
              <w:jc w:val="center"/>
              <w:textAlignment w:val="auto"/>
              <w:rPr>
                <w:rStyle w:val="13"/>
                <w:rFonts w:ascii="宋体" w:hAnsi="宋体"/>
                <w:szCs w:val="28"/>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p>
        </w:tc>
        <w:tc>
          <w:tcPr>
            <w:tcW w:w="3451" w:type="dxa"/>
            <w:tcBorders>
              <w:top w:val="single" w:color="000000" w:sz="4" w:space="0"/>
              <w:left w:val="single" w:color="000000" w:sz="4" w:space="0"/>
              <w:bottom w:val="single" w:color="000000" w:sz="4" w:space="0"/>
              <w:right w:val="single" w:color="000000" w:sz="4" w:space="0"/>
            </w:tcBorders>
            <w:vAlign w:val="center"/>
          </w:tcPr>
          <w:p>
            <w:pPr>
              <w:spacing w:line="240" w:lineRule="exact"/>
              <w:textAlignment w:val="auto"/>
              <w:rPr>
                <w:rStyle w:val="13"/>
                <w:rFonts w:ascii="宋体" w:hAnsi="宋体"/>
                <w:szCs w:val="28"/>
              </w:rPr>
            </w:pPr>
            <w:r>
              <w:rPr>
                <w:rStyle w:val="13"/>
                <w:rFonts w:ascii="宋体" w:hAnsi="宋体"/>
                <w:szCs w:val="28"/>
              </w:rPr>
              <w:t>慢病智能管理系统</w:t>
            </w:r>
          </w:p>
        </w:tc>
        <w:tc>
          <w:tcPr>
            <w:tcW w:w="65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1</w:t>
            </w:r>
          </w:p>
        </w:tc>
        <w:tc>
          <w:tcPr>
            <w:tcW w:w="102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套</w:t>
            </w:r>
          </w:p>
        </w:tc>
        <w:tc>
          <w:tcPr>
            <w:tcW w:w="184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 w:hRule="atLeast"/>
        </w:trPr>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pStyle w:val="71"/>
              <w:numPr>
                <w:ilvl w:val="0"/>
                <w:numId w:val="7"/>
              </w:numPr>
              <w:spacing w:line="240" w:lineRule="exact"/>
              <w:ind w:firstLineChars="0"/>
              <w:jc w:val="center"/>
              <w:textAlignment w:val="auto"/>
              <w:rPr>
                <w:rStyle w:val="13"/>
                <w:rFonts w:ascii="宋体" w:hAnsi="宋体"/>
                <w:szCs w:val="28"/>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p>
        </w:tc>
        <w:tc>
          <w:tcPr>
            <w:tcW w:w="3451" w:type="dxa"/>
            <w:tcBorders>
              <w:top w:val="single" w:color="000000" w:sz="4" w:space="0"/>
              <w:left w:val="single" w:color="000000" w:sz="4" w:space="0"/>
              <w:bottom w:val="single" w:color="000000" w:sz="4" w:space="0"/>
              <w:right w:val="single" w:color="000000" w:sz="4" w:space="0"/>
            </w:tcBorders>
            <w:vAlign w:val="center"/>
          </w:tcPr>
          <w:p>
            <w:pPr>
              <w:spacing w:line="240" w:lineRule="exact"/>
              <w:textAlignment w:val="auto"/>
              <w:rPr>
                <w:rStyle w:val="13"/>
                <w:rFonts w:ascii="宋体" w:hAnsi="宋体"/>
                <w:szCs w:val="28"/>
              </w:rPr>
            </w:pPr>
            <w:r>
              <w:rPr>
                <w:rStyle w:val="13"/>
                <w:rFonts w:ascii="宋体" w:hAnsi="宋体"/>
                <w:szCs w:val="28"/>
              </w:rPr>
              <w:t>智能血压计</w:t>
            </w:r>
          </w:p>
        </w:tc>
        <w:tc>
          <w:tcPr>
            <w:tcW w:w="65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200</w:t>
            </w:r>
          </w:p>
        </w:tc>
        <w:tc>
          <w:tcPr>
            <w:tcW w:w="102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台</w:t>
            </w:r>
          </w:p>
        </w:tc>
        <w:tc>
          <w:tcPr>
            <w:tcW w:w="184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textAlignment w:val="auto"/>
              <w:rPr>
                <w:rStyle w:val="13"/>
                <w:rFonts w:ascii="宋体" w:hAnsi="宋体"/>
                <w:szCs w:val="28"/>
              </w:rPr>
            </w:pPr>
            <w:r>
              <w:rPr>
                <w:rStyle w:val="13"/>
                <w:rFonts w:ascii="宋体" w:hAnsi="宋体"/>
                <w:szCs w:val="28"/>
              </w:rPr>
              <w:t>含流量卡以及一年流量卡的费用。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pStyle w:val="71"/>
              <w:numPr>
                <w:ilvl w:val="0"/>
                <w:numId w:val="7"/>
              </w:numPr>
              <w:spacing w:line="240" w:lineRule="exact"/>
              <w:ind w:firstLineChars="0"/>
              <w:jc w:val="center"/>
              <w:textAlignment w:val="auto"/>
              <w:rPr>
                <w:rStyle w:val="13"/>
                <w:rFonts w:ascii="宋体" w:hAnsi="宋体"/>
                <w:szCs w:val="28"/>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p>
        </w:tc>
        <w:tc>
          <w:tcPr>
            <w:tcW w:w="3451" w:type="dxa"/>
            <w:tcBorders>
              <w:top w:val="single" w:color="000000" w:sz="4" w:space="0"/>
              <w:left w:val="single" w:color="000000" w:sz="4" w:space="0"/>
              <w:bottom w:val="single" w:color="000000" w:sz="4" w:space="0"/>
              <w:right w:val="single" w:color="000000" w:sz="4" w:space="0"/>
            </w:tcBorders>
            <w:vAlign w:val="center"/>
          </w:tcPr>
          <w:p>
            <w:pPr>
              <w:spacing w:line="240" w:lineRule="exact"/>
              <w:textAlignment w:val="auto"/>
              <w:rPr>
                <w:rStyle w:val="13"/>
                <w:rFonts w:ascii="宋体" w:hAnsi="宋体"/>
                <w:szCs w:val="28"/>
              </w:rPr>
            </w:pPr>
            <w:r>
              <w:rPr>
                <w:rStyle w:val="13"/>
                <w:rFonts w:ascii="宋体" w:hAnsi="宋体"/>
                <w:szCs w:val="28"/>
              </w:rPr>
              <w:t>智能语音外呼助手系统</w:t>
            </w:r>
          </w:p>
        </w:tc>
        <w:tc>
          <w:tcPr>
            <w:tcW w:w="65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1</w:t>
            </w:r>
          </w:p>
        </w:tc>
        <w:tc>
          <w:tcPr>
            <w:tcW w:w="102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套</w:t>
            </w:r>
          </w:p>
        </w:tc>
        <w:tc>
          <w:tcPr>
            <w:tcW w:w="184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textAlignment w:val="auto"/>
              <w:rPr>
                <w:rStyle w:val="13"/>
                <w:rFonts w:ascii="宋体" w:hAnsi="宋体"/>
                <w:szCs w:val="28"/>
              </w:rPr>
            </w:pPr>
            <w:r>
              <w:rPr>
                <w:rStyle w:val="13"/>
                <w:rFonts w:ascii="宋体" w:hAnsi="宋体"/>
                <w:szCs w:val="28"/>
              </w:rPr>
              <w:t>含54万人次外呼，108万人次短信，有效期1年。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 w:hRule="atLeast"/>
        </w:trPr>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pStyle w:val="71"/>
              <w:numPr>
                <w:ilvl w:val="0"/>
                <w:numId w:val="7"/>
              </w:numPr>
              <w:spacing w:line="240" w:lineRule="exact"/>
              <w:ind w:firstLineChars="0"/>
              <w:jc w:val="center"/>
              <w:textAlignment w:val="auto"/>
              <w:rPr>
                <w:rStyle w:val="13"/>
                <w:rFonts w:ascii="宋体" w:hAnsi="宋体"/>
                <w:szCs w:val="28"/>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p>
        </w:tc>
        <w:tc>
          <w:tcPr>
            <w:tcW w:w="3451" w:type="dxa"/>
            <w:tcBorders>
              <w:top w:val="single" w:color="000000" w:sz="4" w:space="0"/>
              <w:left w:val="single" w:color="000000" w:sz="4" w:space="0"/>
              <w:bottom w:val="single" w:color="000000" w:sz="4" w:space="0"/>
              <w:right w:val="single" w:color="000000" w:sz="4" w:space="0"/>
            </w:tcBorders>
            <w:vAlign w:val="center"/>
          </w:tcPr>
          <w:p>
            <w:pPr>
              <w:spacing w:line="240" w:lineRule="exact"/>
              <w:textAlignment w:val="auto"/>
              <w:rPr>
                <w:rStyle w:val="13"/>
                <w:rFonts w:ascii="宋体" w:hAnsi="宋体"/>
                <w:szCs w:val="28"/>
              </w:rPr>
            </w:pPr>
            <w:r>
              <w:rPr>
                <w:rStyle w:val="13"/>
                <w:rFonts w:ascii="宋体" w:hAnsi="宋体"/>
                <w:szCs w:val="28"/>
              </w:rPr>
              <w:t>在线教育培训与管理</w:t>
            </w:r>
          </w:p>
        </w:tc>
        <w:tc>
          <w:tcPr>
            <w:tcW w:w="65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1</w:t>
            </w:r>
          </w:p>
        </w:tc>
        <w:tc>
          <w:tcPr>
            <w:tcW w:w="102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套</w:t>
            </w:r>
          </w:p>
        </w:tc>
        <w:tc>
          <w:tcPr>
            <w:tcW w:w="184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 w:hRule="atLeast"/>
        </w:trPr>
        <w:tc>
          <w:tcPr>
            <w:tcW w:w="662" w:type="dxa"/>
            <w:vMerge w:val="restart"/>
            <w:tcBorders>
              <w:top w:val="single" w:color="000000" w:sz="4" w:space="0"/>
              <w:left w:val="single" w:color="000000" w:sz="4" w:space="0"/>
              <w:bottom w:val="single" w:color="000000" w:sz="4" w:space="0"/>
              <w:right w:val="single" w:color="000000" w:sz="4" w:space="0"/>
            </w:tcBorders>
            <w:vAlign w:val="center"/>
          </w:tcPr>
          <w:p>
            <w:pPr>
              <w:pStyle w:val="71"/>
              <w:numPr>
                <w:ilvl w:val="0"/>
                <w:numId w:val="7"/>
              </w:numPr>
              <w:spacing w:line="240" w:lineRule="exact"/>
              <w:ind w:firstLineChars="0"/>
              <w:jc w:val="center"/>
              <w:textAlignment w:val="auto"/>
              <w:rPr>
                <w:rStyle w:val="13"/>
                <w:rFonts w:ascii="宋体" w:hAnsi="宋体"/>
                <w:szCs w:val="28"/>
              </w:rPr>
            </w:pPr>
          </w:p>
        </w:tc>
        <w:tc>
          <w:tcPr>
            <w:tcW w:w="1915"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互联网医疗平台</w:t>
            </w:r>
          </w:p>
        </w:tc>
        <w:tc>
          <w:tcPr>
            <w:tcW w:w="3451" w:type="dxa"/>
            <w:tcBorders>
              <w:top w:val="single" w:color="000000" w:sz="4" w:space="0"/>
              <w:left w:val="single" w:color="000000" w:sz="4" w:space="0"/>
              <w:bottom w:val="single" w:color="000000" w:sz="4" w:space="0"/>
              <w:right w:val="single" w:color="000000" w:sz="4" w:space="0"/>
            </w:tcBorders>
            <w:vAlign w:val="center"/>
          </w:tcPr>
          <w:p>
            <w:pPr>
              <w:spacing w:line="240" w:lineRule="exact"/>
              <w:textAlignment w:val="auto"/>
              <w:rPr>
                <w:rStyle w:val="13"/>
                <w:rFonts w:ascii="宋体" w:hAnsi="宋体"/>
                <w:szCs w:val="28"/>
              </w:rPr>
            </w:pPr>
            <w:r>
              <w:rPr>
                <w:rStyle w:val="13"/>
                <w:rFonts w:ascii="宋体" w:hAnsi="宋体"/>
                <w:szCs w:val="28"/>
              </w:rPr>
              <w:t>智能导诊预约</w:t>
            </w:r>
          </w:p>
        </w:tc>
        <w:tc>
          <w:tcPr>
            <w:tcW w:w="65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1</w:t>
            </w:r>
          </w:p>
        </w:tc>
        <w:tc>
          <w:tcPr>
            <w:tcW w:w="102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套</w:t>
            </w:r>
          </w:p>
        </w:tc>
        <w:tc>
          <w:tcPr>
            <w:tcW w:w="184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 w:hRule="atLeast"/>
        </w:trPr>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pStyle w:val="71"/>
              <w:numPr>
                <w:ilvl w:val="0"/>
                <w:numId w:val="7"/>
              </w:numPr>
              <w:spacing w:line="240" w:lineRule="exact"/>
              <w:ind w:firstLineChars="0"/>
              <w:jc w:val="center"/>
              <w:textAlignment w:val="auto"/>
              <w:rPr>
                <w:rStyle w:val="13"/>
                <w:rFonts w:ascii="宋体" w:hAnsi="宋体"/>
                <w:szCs w:val="28"/>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p>
        </w:tc>
        <w:tc>
          <w:tcPr>
            <w:tcW w:w="3451" w:type="dxa"/>
            <w:tcBorders>
              <w:top w:val="single" w:color="000000" w:sz="4" w:space="0"/>
              <w:left w:val="single" w:color="000000" w:sz="4" w:space="0"/>
              <w:bottom w:val="single" w:color="000000" w:sz="4" w:space="0"/>
              <w:right w:val="single" w:color="000000" w:sz="4" w:space="0"/>
            </w:tcBorders>
            <w:vAlign w:val="center"/>
          </w:tcPr>
          <w:p>
            <w:pPr>
              <w:spacing w:line="240" w:lineRule="exact"/>
              <w:textAlignment w:val="auto"/>
              <w:rPr>
                <w:rStyle w:val="13"/>
                <w:rFonts w:ascii="宋体" w:hAnsi="宋体"/>
                <w:szCs w:val="28"/>
              </w:rPr>
            </w:pPr>
            <w:r>
              <w:rPr>
                <w:rStyle w:val="13"/>
                <w:rFonts w:ascii="宋体" w:hAnsi="宋体"/>
                <w:szCs w:val="28"/>
              </w:rPr>
              <w:t>在线咨询诊疗</w:t>
            </w:r>
          </w:p>
        </w:tc>
        <w:tc>
          <w:tcPr>
            <w:tcW w:w="65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1</w:t>
            </w:r>
          </w:p>
        </w:tc>
        <w:tc>
          <w:tcPr>
            <w:tcW w:w="102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套</w:t>
            </w:r>
          </w:p>
        </w:tc>
        <w:tc>
          <w:tcPr>
            <w:tcW w:w="184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 w:hRule="atLeast"/>
        </w:trPr>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pStyle w:val="71"/>
              <w:numPr>
                <w:ilvl w:val="0"/>
                <w:numId w:val="7"/>
              </w:numPr>
              <w:spacing w:line="240" w:lineRule="exact"/>
              <w:ind w:firstLineChars="0"/>
              <w:jc w:val="center"/>
              <w:textAlignment w:val="auto"/>
              <w:rPr>
                <w:rStyle w:val="13"/>
                <w:rFonts w:ascii="宋体" w:hAnsi="宋体"/>
                <w:szCs w:val="28"/>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p>
        </w:tc>
        <w:tc>
          <w:tcPr>
            <w:tcW w:w="3451" w:type="dxa"/>
            <w:tcBorders>
              <w:top w:val="single" w:color="000000" w:sz="4" w:space="0"/>
              <w:left w:val="single" w:color="000000" w:sz="4" w:space="0"/>
              <w:bottom w:val="single" w:color="000000" w:sz="4" w:space="0"/>
              <w:right w:val="single" w:color="000000" w:sz="4" w:space="0"/>
            </w:tcBorders>
            <w:vAlign w:val="center"/>
          </w:tcPr>
          <w:p>
            <w:pPr>
              <w:spacing w:line="240" w:lineRule="exact"/>
              <w:textAlignment w:val="auto"/>
              <w:rPr>
                <w:rStyle w:val="13"/>
                <w:rFonts w:ascii="宋体" w:hAnsi="宋体"/>
                <w:szCs w:val="28"/>
              </w:rPr>
            </w:pPr>
            <w:r>
              <w:rPr>
                <w:rStyle w:val="13"/>
                <w:rFonts w:ascii="宋体" w:hAnsi="宋体"/>
                <w:szCs w:val="28"/>
              </w:rPr>
              <w:t>移动支付</w:t>
            </w:r>
          </w:p>
        </w:tc>
        <w:tc>
          <w:tcPr>
            <w:tcW w:w="65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1</w:t>
            </w:r>
          </w:p>
        </w:tc>
        <w:tc>
          <w:tcPr>
            <w:tcW w:w="102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套</w:t>
            </w:r>
          </w:p>
        </w:tc>
        <w:tc>
          <w:tcPr>
            <w:tcW w:w="184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 w:hRule="atLeast"/>
        </w:trPr>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pStyle w:val="71"/>
              <w:numPr>
                <w:ilvl w:val="0"/>
                <w:numId w:val="7"/>
              </w:numPr>
              <w:spacing w:line="240" w:lineRule="exact"/>
              <w:ind w:firstLineChars="0"/>
              <w:jc w:val="center"/>
              <w:textAlignment w:val="auto"/>
              <w:rPr>
                <w:rStyle w:val="13"/>
                <w:rFonts w:ascii="宋体" w:hAnsi="宋体"/>
                <w:szCs w:val="28"/>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p>
        </w:tc>
        <w:tc>
          <w:tcPr>
            <w:tcW w:w="3451" w:type="dxa"/>
            <w:tcBorders>
              <w:top w:val="single" w:color="000000" w:sz="4" w:space="0"/>
              <w:left w:val="single" w:color="000000" w:sz="4" w:space="0"/>
              <w:bottom w:val="single" w:color="000000" w:sz="4" w:space="0"/>
              <w:right w:val="single" w:color="000000" w:sz="4" w:space="0"/>
            </w:tcBorders>
            <w:vAlign w:val="center"/>
          </w:tcPr>
          <w:p>
            <w:pPr>
              <w:spacing w:line="240" w:lineRule="exact"/>
              <w:textAlignment w:val="auto"/>
              <w:rPr>
                <w:rStyle w:val="13"/>
                <w:rFonts w:ascii="宋体" w:hAnsi="宋体"/>
                <w:szCs w:val="28"/>
              </w:rPr>
            </w:pPr>
            <w:r>
              <w:rPr>
                <w:rStyle w:val="13"/>
                <w:rFonts w:ascii="宋体" w:hAnsi="宋体"/>
                <w:szCs w:val="28"/>
              </w:rPr>
              <w:t>智能处方流转</w:t>
            </w:r>
          </w:p>
        </w:tc>
        <w:tc>
          <w:tcPr>
            <w:tcW w:w="65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1</w:t>
            </w:r>
          </w:p>
        </w:tc>
        <w:tc>
          <w:tcPr>
            <w:tcW w:w="102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套</w:t>
            </w:r>
          </w:p>
        </w:tc>
        <w:tc>
          <w:tcPr>
            <w:tcW w:w="184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 w:hRule="atLeast"/>
        </w:trPr>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pStyle w:val="71"/>
              <w:numPr>
                <w:ilvl w:val="0"/>
                <w:numId w:val="7"/>
              </w:numPr>
              <w:spacing w:line="240" w:lineRule="exact"/>
              <w:ind w:firstLineChars="0"/>
              <w:jc w:val="center"/>
              <w:textAlignment w:val="auto"/>
              <w:rPr>
                <w:rStyle w:val="13"/>
                <w:rFonts w:ascii="宋体" w:hAnsi="宋体"/>
                <w:szCs w:val="28"/>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p>
        </w:tc>
        <w:tc>
          <w:tcPr>
            <w:tcW w:w="3451" w:type="dxa"/>
            <w:tcBorders>
              <w:top w:val="single" w:color="000000" w:sz="4" w:space="0"/>
              <w:left w:val="single" w:color="000000" w:sz="4" w:space="0"/>
              <w:bottom w:val="single" w:color="000000" w:sz="4" w:space="0"/>
              <w:right w:val="single" w:color="000000" w:sz="4" w:space="0"/>
            </w:tcBorders>
            <w:vAlign w:val="center"/>
          </w:tcPr>
          <w:p>
            <w:pPr>
              <w:spacing w:line="240" w:lineRule="exact"/>
              <w:textAlignment w:val="auto"/>
              <w:rPr>
                <w:rStyle w:val="13"/>
                <w:rFonts w:ascii="宋体" w:hAnsi="宋体"/>
                <w:szCs w:val="28"/>
              </w:rPr>
            </w:pPr>
            <w:r>
              <w:rPr>
                <w:rStyle w:val="13"/>
                <w:rFonts w:ascii="宋体" w:hAnsi="宋体"/>
                <w:szCs w:val="28"/>
              </w:rPr>
              <w:t>药物配送</w:t>
            </w:r>
          </w:p>
        </w:tc>
        <w:tc>
          <w:tcPr>
            <w:tcW w:w="65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1</w:t>
            </w:r>
          </w:p>
        </w:tc>
        <w:tc>
          <w:tcPr>
            <w:tcW w:w="102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套</w:t>
            </w:r>
          </w:p>
        </w:tc>
        <w:tc>
          <w:tcPr>
            <w:tcW w:w="184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 w:hRule="atLeast"/>
        </w:trPr>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pStyle w:val="71"/>
              <w:numPr>
                <w:ilvl w:val="0"/>
                <w:numId w:val="7"/>
              </w:numPr>
              <w:spacing w:line="240" w:lineRule="exact"/>
              <w:ind w:firstLineChars="0"/>
              <w:jc w:val="center"/>
              <w:textAlignment w:val="auto"/>
              <w:rPr>
                <w:rStyle w:val="13"/>
                <w:rFonts w:ascii="宋体" w:hAnsi="宋体"/>
                <w:szCs w:val="28"/>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p>
        </w:tc>
        <w:tc>
          <w:tcPr>
            <w:tcW w:w="3451" w:type="dxa"/>
            <w:tcBorders>
              <w:top w:val="single" w:color="000000" w:sz="4" w:space="0"/>
              <w:left w:val="single" w:color="000000" w:sz="4" w:space="0"/>
              <w:bottom w:val="single" w:color="000000" w:sz="4" w:space="0"/>
              <w:right w:val="single" w:color="000000" w:sz="4" w:space="0"/>
            </w:tcBorders>
            <w:vAlign w:val="center"/>
          </w:tcPr>
          <w:p>
            <w:pPr>
              <w:spacing w:line="240" w:lineRule="exact"/>
              <w:textAlignment w:val="auto"/>
              <w:rPr>
                <w:rStyle w:val="13"/>
                <w:rFonts w:ascii="宋体" w:hAnsi="宋体"/>
                <w:szCs w:val="28"/>
              </w:rPr>
            </w:pPr>
            <w:r>
              <w:rPr>
                <w:rStyle w:val="13"/>
                <w:rFonts w:ascii="宋体" w:hAnsi="宋体"/>
                <w:szCs w:val="28"/>
              </w:rPr>
              <w:t>互联网协同平台</w:t>
            </w:r>
          </w:p>
        </w:tc>
        <w:tc>
          <w:tcPr>
            <w:tcW w:w="65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1</w:t>
            </w:r>
          </w:p>
        </w:tc>
        <w:tc>
          <w:tcPr>
            <w:tcW w:w="102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套</w:t>
            </w:r>
          </w:p>
        </w:tc>
        <w:tc>
          <w:tcPr>
            <w:tcW w:w="184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 w:hRule="atLeast"/>
        </w:trPr>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pStyle w:val="71"/>
              <w:numPr>
                <w:ilvl w:val="0"/>
                <w:numId w:val="7"/>
              </w:numPr>
              <w:spacing w:line="240" w:lineRule="exact"/>
              <w:ind w:firstLineChars="0"/>
              <w:jc w:val="center"/>
              <w:textAlignment w:val="auto"/>
              <w:rPr>
                <w:rStyle w:val="13"/>
                <w:rFonts w:ascii="宋体" w:hAnsi="宋体"/>
                <w:szCs w:val="28"/>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p>
        </w:tc>
        <w:tc>
          <w:tcPr>
            <w:tcW w:w="3451" w:type="dxa"/>
            <w:tcBorders>
              <w:top w:val="single" w:color="000000" w:sz="4" w:space="0"/>
              <w:left w:val="single" w:color="000000" w:sz="4" w:space="0"/>
              <w:bottom w:val="single" w:color="000000" w:sz="4" w:space="0"/>
              <w:right w:val="single" w:color="000000" w:sz="4" w:space="0"/>
            </w:tcBorders>
            <w:vAlign w:val="center"/>
          </w:tcPr>
          <w:p>
            <w:pPr>
              <w:spacing w:line="240" w:lineRule="exact"/>
              <w:textAlignment w:val="auto"/>
              <w:rPr>
                <w:rStyle w:val="13"/>
                <w:rFonts w:ascii="宋体" w:hAnsi="宋体"/>
                <w:szCs w:val="28"/>
              </w:rPr>
            </w:pPr>
            <w:r>
              <w:rPr>
                <w:rStyle w:val="13"/>
                <w:rFonts w:ascii="宋体" w:hAnsi="宋体"/>
                <w:szCs w:val="28"/>
              </w:rPr>
              <w:t>基础支撑平台</w:t>
            </w:r>
          </w:p>
        </w:tc>
        <w:tc>
          <w:tcPr>
            <w:tcW w:w="65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1</w:t>
            </w:r>
          </w:p>
        </w:tc>
        <w:tc>
          <w:tcPr>
            <w:tcW w:w="102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套</w:t>
            </w:r>
          </w:p>
        </w:tc>
        <w:tc>
          <w:tcPr>
            <w:tcW w:w="184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 w:hRule="atLeast"/>
        </w:trPr>
        <w:tc>
          <w:tcPr>
            <w:tcW w:w="662" w:type="dxa"/>
            <w:vMerge w:val="restart"/>
            <w:tcBorders>
              <w:top w:val="single" w:color="000000" w:sz="4" w:space="0"/>
              <w:left w:val="single" w:color="000000" w:sz="4" w:space="0"/>
              <w:bottom w:val="single" w:color="000000" w:sz="4" w:space="0"/>
              <w:right w:val="single" w:color="000000" w:sz="4" w:space="0"/>
            </w:tcBorders>
            <w:vAlign w:val="center"/>
          </w:tcPr>
          <w:p>
            <w:pPr>
              <w:pStyle w:val="71"/>
              <w:numPr>
                <w:ilvl w:val="0"/>
                <w:numId w:val="7"/>
              </w:numPr>
              <w:spacing w:line="240" w:lineRule="exact"/>
              <w:ind w:firstLineChars="0"/>
              <w:jc w:val="center"/>
              <w:textAlignment w:val="auto"/>
              <w:rPr>
                <w:rStyle w:val="13"/>
                <w:rFonts w:ascii="宋体" w:hAnsi="宋体"/>
                <w:szCs w:val="28"/>
              </w:rPr>
            </w:pPr>
          </w:p>
        </w:tc>
        <w:tc>
          <w:tcPr>
            <w:tcW w:w="1915"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综合监测平台</w:t>
            </w:r>
          </w:p>
        </w:tc>
        <w:tc>
          <w:tcPr>
            <w:tcW w:w="3451" w:type="dxa"/>
            <w:tcBorders>
              <w:top w:val="single" w:color="000000" w:sz="4" w:space="0"/>
              <w:left w:val="single" w:color="000000" w:sz="4" w:space="0"/>
              <w:bottom w:val="single" w:color="000000" w:sz="4" w:space="0"/>
              <w:right w:val="single" w:color="000000" w:sz="4" w:space="0"/>
            </w:tcBorders>
            <w:vAlign w:val="center"/>
          </w:tcPr>
          <w:p>
            <w:pPr>
              <w:spacing w:line="240" w:lineRule="exact"/>
              <w:textAlignment w:val="auto"/>
              <w:rPr>
                <w:rStyle w:val="13"/>
                <w:rFonts w:ascii="宋体" w:hAnsi="宋体"/>
                <w:szCs w:val="28"/>
              </w:rPr>
            </w:pPr>
            <w:r>
              <w:rPr>
                <w:rStyle w:val="13"/>
                <w:rFonts w:ascii="宋体" w:hAnsi="宋体"/>
                <w:szCs w:val="28"/>
              </w:rPr>
              <w:t>人工智能质控审核系统</w:t>
            </w:r>
          </w:p>
        </w:tc>
        <w:tc>
          <w:tcPr>
            <w:tcW w:w="65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1</w:t>
            </w:r>
          </w:p>
        </w:tc>
        <w:tc>
          <w:tcPr>
            <w:tcW w:w="102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套</w:t>
            </w:r>
          </w:p>
        </w:tc>
        <w:tc>
          <w:tcPr>
            <w:tcW w:w="184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 w:hRule="atLeast"/>
        </w:trPr>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pStyle w:val="71"/>
              <w:numPr>
                <w:ilvl w:val="0"/>
                <w:numId w:val="7"/>
              </w:numPr>
              <w:spacing w:line="240" w:lineRule="exact"/>
              <w:ind w:firstLineChars="0"/>
              <w:jc w:val="center"/>
              <w:textAlignment w:val="auto"/>
              <w:rPr>
                <w:rStyle w:val="13"/>
                <w:rFonts w:ascii="宋体" w:hAnsi="宋体"/>
                <w:szCs w:val="28"/>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p>
        </w:tc>
        <w:tc>
          <w:tcPr>
            <w:tcW w:w="3451" w:type="dxa"/>
            <w:tcBorders>
              <w:top w:val="single" w:color="000000" w:sz="4" w:space="0"/>
              <w:left w:val="single" w:color="000000" w:sz="4" w:space="0"/>
              <w:bottom w:val="single" w:color="000000" w:sz="4" w:space="0"/>
              <w:right w:val="single" w:color="000000" w:sz="4" w:space="0"/>
            </w:tcBorders>
            <w:vAlign w:val="center"/>
          </w:tcPr>
          <w:p>
            <w:pPr>
              <w:spacing w:line="240" w:lineRule="exact"/>
              <w:textAlignment w:val="auto"/>
              <w:rPr>
                <w:rStyle w:val="13"/>
                <w:rFonts w:ascii="宋体" w:hAnsi="宋体"/>
                <w:szCs w:val="28"/>
              </w:rPr>
            </w:pPr>
            <w:r>
              <w:rPr>
                <w:rStyle w:val="13"/>
                <w:rFonts w:ascii="宋体" w:hAnsi="宋体"/>
                <w:szCs w:val="28"/>
              </w:rPr>
              <w:t>运行及监管平台</w:t>
            </w:r>
          </w:p>
        </w:tc>
        <w:tc>
          <w:tcPr>
            <w:tcW w:w="65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1</w:t>
            </w:r>
          </w:p>
        </w:tc>
        <w:tc>
          <w:tcPr>
            <w:tcW w:w="102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套</w:t>
            </w:r>
          </w:p>
        </w:tc>
        <w:tc>
          <w:tcPr>
            <w:tcW w:w="184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 w:hRule="atLeast"/>
        </w:trPr>
        <w:tc>
          <w:tcPr>
            <w:tcW w:w="662" w:type="dxa"/>
            <w:vMerge w:val="restart"/>
            <w:tcBorders>
              <w:top w:val="single" w:color="000000" w:sz="4" w:space="0"/>
              <w:left w:val="single" w:color="000000" w:sz="4" w:space="0"/>
              <w:bottom w:val="single" w:color="000000" w:sz="4" w:space="0"/>
              <w:right w:val="single" w:color="000000" w:sz="4" w:space="0"/>
            </w:tcBorders>
            <w:vAlign w:val="center"/>
          </w:tcPr>
          <w:p>
            <w:pPr>
              <w:pStyle w:val="71"/>
              <w:numPr>
                <w:ilvl w:val="0"/>
                <w:numId w:val="7"/>
              </w:numPr>
              <w:spacing w:line="240" w:lineRule="exact"/>
              <w:ind w:firstLineChars="0"/>
              <w:jc w:val="center"/>
              <w:textAlignment w:val="auto"/>
              <w:rPr>
                <w:rStyle w:val="13"/>
                <w:rFonts w:ascii="宋体" w:hAnsi="宋体"/>
                <w:szCs w:val="28"/>
              </w:rPr>
            </w:pPr>
          </w:p>
        </w:tc>
        <w:tc>
          <w:tcPr>
            <w:tcW w:w="1915"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县卫健委后台硬件</w:t>
            </w:r>
          </w:p>
        </w:tc>
        <w:tc>
          <w:tcPr>
            <w:tcW w:w="3451" w:type="dxa"/>
            <w:tcBorders>
              <w:top w:val="single" w:color="000000" w:sz="4" w:space="0"/>
              <w:left w:val="single" w:color="000000" w:sz="4" w:space="0"/>
              <w:bottom w:val="single" w:color="000000" w:sz="4" w:space="0"/>
              <w:right w:val="single" w:color="000000" w:sz="4" w:space="0"/>
            </w:tcBorders>
            <w:vAlign w:val="center"/>
          </w:tcPr>
          <w:p>
            <w:pPr>
              <w:spacing w:line="240" w:lineRule="exact"/>
              <w:textAlignment w:val="auto"/>
              <w:rPr>
                <w:rStyle w:val="13"/>
                <w:rFonts w:ascii="宋体" w:hAnsi="宋体"/>
                <w:szCs w:val="28"/>
              </w:rPr>
            </w:pPr>
            <w:r>
              <w:rPr>
                <w:rStyle w:val="13"/>
                <w:rFonts w:ascii="宋体" w:hAnsi="宋体"/>
                <w:szCs w:val="28"/>
              </w:rPr>
              <w:t>超融合服务器</w:t>
            </w:r>
          </w:p>
        </w:tc>
        <w:tc>
          <w:tcPr>
            <w:tcW w:w="65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6</w:t>
            </w:r>
          </w:p>
        </w:tc>
        <w:tc>
          <w:tcPr>
            <w:tcW w:w="102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台</w:t>
            </w:r>
          </w:p>
        </w:tc>
        <w:tc>
          <w:tcPr>
            <w:tcW w:w="184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 w:hRule="atLeast"/>
        </w:trPr>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pStyle w:val="71"/>
              <w:numPr>
                <w:ilvl w:val="0"/>
                <w:numId w:val="7"/>
              </w:numPr>
              <w:spacing w:line="240" w:lineRule="exact"/>
              <w:ind w:firstLineChars="0"/>
              <w:jc w:val="center"/>
              <w:textAlignment w:val="auto"/>
              <w:rPr>
                <w:rStyle w:val="13"/>
                <w:rFonts w:ascii="宋体" w:hAnsi="宋体"/>
                <w:szCs w:val="28"/>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left"/>
              <w:textAlignment w:val="auto"/>
              <w:rPr>
                <w:rStyle w:val="13"/>
                <w:rFonts w:ascii="宋体" w:hAnsi="宋体"/>
                <w:szCs w:val="28"/>
              </w:rPr>
            </w:pPr>
          </w:p>
        </w:tc>
        <w:tc>
          <w:tcPr>
            <w:tcW w:w="3451" w:type="dxa"/>
            <w:tcBorders>
              <w:top w:val="single" w:color="000000" w:sz="4" w:space="0"/>
              <w:left w:val="single" w:color="000000" w:sz="4" w:space="0"/>
              <w:bottom w:val="single" w:color="000000" w:sz="4" w:space="0"/>
              <w:right w:val="single" w:color="000000" w:sz="4" w:space="0"/>
            </w:tcBorders>
            <w:vAlign w:val="center"/>
          </w:tcPr>
          <w:p>
            <w:pPr>
              <w:spacing w:line="240" w:lineRule="exact"/>
              <w:textAlignment w:val="auto"/>
              <w:rPr>
                <w:rStyle w:val="13"/>
                <w:rFonts w:ascii="宋体" w:hAnsi="宋体"/>
                <w:szCs w:val="28"/>
              </w:rPr>
            </w:pPr>
            <w:r>
              <w:rPr>
                <w:rStyle w:val="13"/>
                <w:rFonts w:ascii="宋体" w:hAnsi="宋体"/>
                <w:szCs w:val="28"/>
              </w:rPr>
              <w:t>服务器虚拟化软件</w:t>
            </w:r>
          </w:p>
        </w:tc>
        <w:tc>
          <w:tcPr>
            <w:tcW w:w="65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12</w:t>
            </w:r>
          </w:p>
        </w:tc>
        <w:tc>
          <w:tcPr>
            <w:tcW w:w="102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CPU授权</w:t>
            </w:r>
          </w:p>
        </w:tc>
        <w:tc>
          <w:tcPr>
            <w:tcW w:w="184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 w:hRule="atLeast"/>
        </w:trPr>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pStyle w:val="71"/>
              <w:numPr>
                <w:ilvl w:val="0"/>
                <w:numId w:val="7"/>
              </w:numPr>
              <w:spacing w:line="240" w:lineRule="exact"/>
              <w:ind w:firstLineChars="0"/>
              <w:jc w:val="center"/>
              <w:textAlignment w:val="auto"/>
              <w:rPr>
                <w:rStyle w:val="13"/>
                <w:rFonts w:ascii="宋体" w:hAnsi="宋体"/>
                <w:szCs w:val="28"/>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left"/>
              <w:textAlignment w:val="auto"/>
              <w:rPr>
                <w:rStyle w:val="13"/>
                <w:rFonts w:ascii="宋体" w:hAnsi="宋体"/>
                <w:szCs w:val="28"/>
              </w:rPr>
            </w:pPr>
          </w:p>
        </w:tc>
        <w:tc>
          <w:tcPr>
            <w:tcW w:w="3451" w:type="dxa"/>
            <w:tcBorders>
              <w:top w:val="single" w:color="000000" w:sz="4" w:space="0"/>
              <w:left w:val="single" w:color="000000" w:sz="4" w:space="0"/>
              <w:bottom w:val="single" w:color="000000" w:sz="4" w:space="0"/>
              <w:right w:val="single" w:color="000000" w:sz="4" w:space="0"/>
            </w:tcBorders>
            <w:vAlign w:val="center"/>
          </w:tcPr>
          <w:p>
            <w:pPr>
              <w:spacing w:line="240" w:lineRule="exact"/>
              <w:textAlignment w:val="auto"/>
              <w:rPr>
                <w:rStyle w:val="13"/>
                <w:rFonts w:ascii="宋体" w:hAnsi="宋体"/>
                <w:szCs w:val="28"/>
              </w:rPr>
            </w:pPr>
            <w:r>
              <w:rPr>
                <w:rStyle w:val="13"/>
                <w:rFonts w:ascii="宋体" w:hAnsi="宋体"/>
                <w:szCs w:val="28"/>
              </w:rPr>
              <w:t>分布式存储软件</w:t>
            </w:r>
          </w:p>
        </w:tc>
        <w:tc>
          <w:tcPr>
            <w:tcW w:w="65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12</w:t>
            </w:r>
          </w:p>
        </w:tc>
        <w:tc>
          <w:tcPr>
            <w:tcW w:w="102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CPU授权</w:t>
            </w:r>
          </w:p>
        </w:tc>
        <w:tc>
          <w:tcPr>
            <w:tcW w:w="184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 w:hRule="atLeast"/>
        </w:trPr>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pStyle w:val="71"/>
              <w:numPr>
                <w:ilvl w:val="0"/>
                <w:numId w:val="7"/>
              </w:numPr>
              <w:spacing w:line="240" w:lineRule="exact"/>
              <w:ind w:firstLineChars="0"/>
              <w:jc w:val="center"/>
              <w:textAlignment w:val="auto"/>
              <w:rPr>
                <w:rStyle w:val="13"/>
                <w:rFonts w:ascii="宋体" w:hAnsi="宋体"/>
                <w:szCs w:val="28"/>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left"/>
              <w:textAlignment w:val="auto"/>
              <w:rPr>
                <w:rStyle w:val="13"/>
                <w:rFonts w:ascii="宋体" w:hAnsi="宋体"/>
                <w:szCs w:val="28"/>
              </w:rPr>
            </w:pPr>
          </w:p>
        </w:tc>
        <w:tc>
          <w:tcPr>
            <w:tcW w:w="3451" w:type="dxa"/>
            <w:tcBorders>
              <w:top w:val="single" w:color="000000" w:sz="4" w:space="0"/>
              <w:left w:val="single" w:color="000000" w:sz="4" w:space="0"/>
              <w:bottom w:val="single" w:color="000000" w:sz="4" w:space="0"/>
              <w:right w:val="single" w:color="000000" w:sz="4" w:space="0"/>
            </w:tcBorders>
            <w:vAlign w:val="center"/>
          </w:tcPr>
          <w:p>
            <w:pPr>
              <w:spacing w:line="240" w:lineRule="exact"/>
              <w:textAlignment w:val="auto"/>
              <w:rPr>
                <w:rStyle w:val="13"/>
                <w:rFonts w:ascii="宋体" w:hAnsi="宋体"/>
                <w:szCs w:val="28"/>
              </w:rPr>
            </w:pPr>
            <w:r>
              <w:rPr>
                <w:rStyle w:val="13"/>
                <w:rFonts w:ascii="宋体" w:hAnsi="宋体"/>
                <w:szCs w:val="28"/>
              </w:rPr>
              <w:t>万兆交换机</w:t>
            </w:r>
          </w:p>
        </w:tc>
        <w:tc>
          <w:tcPr>
            <w:tcW w:w="65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4</w:t>
            </w:r>
          </w:p>
        </w:tc>
        <w:tc>
          <w:tcPr>
            <w:tcW w:w="102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台</w:t>
            </w:r>
          </w:p>
        </w:tc>
        <w:tc>
          <w:tcPr>
            <w:tcW w:w="184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 w:hRule="atLeast"/>
        </w:trPr>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pStyle w:val="71"/>
              <w:numPr>
                <w:ilvl w:val="0"/>
                <w:numId w:val="7"/>
              </w:numPr>
              <w:spacing w:line="240" w:lineRule="exact"/>
              <w:ind w:firstLineChars="0"/>
              <w:jc w:val="center"/>
              <w:textAlignment w:val="auto"/>
              <w:rPr>
                <w:rStyle w:val="13"/>
                <w:rFonts w:ascii="宋体" w:hAnsi="宋体"/>
                <w:szCs w:val="28"/>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left"/>
              <w:textAlignment w:val="auto"/>
              <w:rPr>
                <w:rStyle w:val="13"/>
                <w:rFonts w:ascii="宋体" w:hAnsi="宋体"/>
                <w:szCs w:val="28"/>
              </w:rPr>
            </w:pPr>
          </w:p>
        </w:tc>
        <w:tc>
          <w:tcPr>
            <w:tcW w:w="3451" w:type="dxa"/>
            <w:tcBorders>
              <w:top w:val="single" w:color="000000" w:sz="4" w:space="0"/>
              <w:left w:val="single" w:color="000000" w:sz="4" w:space="0"/>
              <w:bottom w:val="single" w:color="000000" w:sz="4" w:space="0"/>
              <w:right w:val="single" w:color="000000" w:sz="4" w:space="0"/>
            </w:tcBorders>
            <w:vAlign w:val="center"/>
          </w:tcPr>
          <w:p>
            <w:pPr>
              <w:spacing w:line="240" w:lineRule="exact"/>
              <w:textAlignment w:val="auto"/>
              <w:rPr>
                <w:rStyle w:val="13"/>
                <w:rFonts w:ascii="宋体" w:hAnsi="宋体"/>
                <w:szCs w:val="28"/>
              </w:rPr>
            </w:pPr>
            <w:r>
              <w:rPr>
                <w:rStyle w:val="13"/>
                <w:rFonts w:ascii="宋体" w:hAnsi="宋体"/>
                <w:szCs w:val="28"/>
              </w:rPr>
              <w:t>统一容灾一体机</w:t>
            </w:r>
          </w:p>
        </w:tc>
        <w:tc>
          <w:tcPr>
            <w:tcW w:w="65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1</w:t>
            </w:r>
          </w:p>
        </w:tc>
        <w:tc>
          <w:tcPr>
            <w:tcW w:w="102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套</w:t>
            </w:r>
          </w:p>
        </w:tc>
        <w:tc>
          <w:tcPr>
            <w:tcW w:w="184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 w:hRule="atLeast"/>
        </w:trPr>
        <w:tc>
          <w:tcPr>
            <w:tcW w:w="662" w:type="dxa"/>
            <w:vMerge w:val="restart"/>
            <w:tcBorders>
              <w:top w:val="single" w:color="000000" w:sz="4" w:space="0"/>
              <w:left w:val="single" w:color="000000" w:sz="4" w:space="0"/>
              <w:bottom w:val="single" w:color="000000" w:sz="4" w:space="0"/>
              <w:right w:val="single" w:color="000000" w:sz="4" w:space="0"/>
            </w:tcBorders>
            <w:vAlign w:val="center"/>
          </w:tcPr>
          <w:p>
            <w:pPr>
              <w:pStyle w:val="71"/>
              <w:numPr>
                <w:ilvl w:val="0"/>
                <w:numId w:val="7"/>
              </w:numPr>
              <w:spacing w:line="240" w:lineRule="exact"/>
              <w:ind w:firstLineChars="0"/>
              <w:jc w:val="center"/>
              <w:textAlignment w:val="auto"/>
              <w:rPr>
                <w:rStyle w:val="13"/>
                <w:rFonts w:ascii="宋体" w:hAnsi="宋体"/>
                <w:szCs w:val="28"/>
              </w:rPr>
            </w:pPr>
          </w:p>
        </w:tc>
        <w:tc>
          <w:tcPr>
            <w:tcW w:w="1915"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县人民医院后台硬件</w:t>
            </w:r>
          </w:p>
        </w:tc>
        <w:tc>
          <w:tcPr>
            <w:tcW w:w="3451" w:type="dxa"/>
            <w:tcBorders>
              <w:top w:val="single" w:color="000000" w:sz="4" w:space="0"/>
              <w:left w:val="single" w:color="000000" w:sz="4" w:space="0"/>
              <w:bottom w:val="single" w:color="000000" w:sz="4" w:space="0"/>
              <w:right w:val="single" w:color="000000" w:sz="4" w:space="0"/>
            </w:tcBorders>
            <w:vAlign w:val="center"/>
          </w:tcPr>
          <w:p>
            <w:pPr>
              <w:spacing w:line="240" w:lineRule="exact"/>
              <w:textAlignment w:val="auto"/>
              <w:rPr>
                <w:rStyle w:val="13"/>
                <w:rFonts w:ascii="宋体" w:hAnsi="宋体"/>
                <w:szCs w:val="28"/>
              </w:rPr>
            </w:pPr>
            <w:r>
              <w:rPr>
                <w:rStyle w:val="13"/>
                <w:rFonts w:ascii="宋体" w:hAnsi="宋体"/>
                <w:szCs w:val="28"/>
              </w:rPr>
              <w:t>超融合服务器</w:t>
            </w:r>
          </w:p>
        </w:tc>
        <w:tc>
          <w:tcPr>
            <w:tcW w:w="65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2</w:t>
            </w:r>
          </w:p>
        </w:tc>
        <w:tc>
          <w:tcPr>
            <w:tcW w:w="102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台</w:t>
            </w:r>
          </w:p>
        </w:tc>
        <w:tc>
          <w:tcPr>
            <w:tcW w:w="184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 w:hRule="atLeast"/>
        </w:trPr>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pStyle w:val="71"/>
              <w:numPr>
                <w:ilvl w:val="0"/>
                <w:numId w:val="7"/>
              </w:numPr>
              <w:spacing w:line="240" w:lineRule="exact"/>
              <w:ind w:firstLineChars="0"/>
              <w:jc w:val="center"/>
              <w:textAlignment w:val="auto"/>
              <w:rPr>
                <w:rStyle w:val="13"/>
                <w:rFonts w:ascii="宋体" w:hAnsi="宋体"/>
                <w:szCs w:val="28"/>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left"/>
              <w:textAlignment w:val="auto"/>
              <w:rPr>
                <w:rStyle w:val="13"/>
                <w:rFonts w:ascii="宋体" w:hAnsi="宋体"/>
                <w:szCs w:val="28"/>
              </w:rPr>
            </w:pPr>
          </w:p>
        </w:tc>
        <w:tc>
          <w:tcPr>
            <w:tcW w:w="3451" w:type="dxa"/>
            <w:tcBorders>
              <w:top w:val="single" w:color="000000" w:sz="4" w:space="0"/>
              <w:left w:val="single" w:color="000000" w:sz="4" w:space="0"/>
              <w:bottom w:val="single" w:color="000000" w:sz="4" w:space="0"/>
              <w:right w:val="single" w:color="000000" w:sz="4" w:space="0"/>
            </w:tcBorders>
            <w:vAlign w:val="center"/>
          </w:tcPr>
          <w:p>
            <w:pPr>
              <w:spacing w:line="240" w:lineRule="exact"/>
              <w:textAlignment w:val="auto"/>
              <w:rPr>
                <w:rStyle w:val="13"/>
                <w:rFonts w:ascii="宋体" w:hAnsi="宋体"/>
                <w:szCs w:val="28"/>
              </w:rPr>
            </w:pPr>
            <w:r>
              <w:rPr>
                <w:rStyle w:val="13"/>
                <w:rFonts w:ascii="宋体" w:hAnsi="宋体"/>
                <w:szCs w:val="28"/>
              </w:rPr>
              <w:t>服务器虚拟化软件</w:t>
            </w:r>
          </w:p>
        </w:tc>
        <w:tc>
          <w:tcPr>
            <w:tcW w:w="65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4</w:t>
            </w:r>
          </w:p>
        </w:tc>
        <w:tc>
          <w:tcPr>
            <w:tcW w:w="102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CPU授权</w:t>
            </w:r>
          </w:p>
        </w:tc>
        <w:tc>
          <w:tcPr>
            <w:tcW w:w="184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 w:hRule="atLeast"/>
        </w:trPr>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pStyle w:val="71"/>
              <w:numPr>
                <w:ilvl w:val="0"/>
                <w:numId w:val="7"/>
              </w:numPr>
              <w:spacing w:line="240" w:lineRule="exact"/>
              <w:ind w:firstLineChars="0"/>
              <w:jc w:val="center"/>
              <w:textAlignment w:val="auto"/>
              <w:rPr>
                <w:rStyle w:val="13"/>
                <w:rFonts w:ascii="宋体" w:hAnsi="宋体"/>
                <w:szCs w:val="28"/>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left"/>
              <w:textAlignment w:val="auto"/>
              <w:rPr>
                <w:rStyle w:val="13"/>
                <w:rFonts w:ascii="宋体" w:hAnsi="宋体"/>
                <w:szCs w:val="28"/>
              </w:rPr>
            </w:pPr>
          </w:p>
        </w:tc>
        <w:tc>
          <w:tcPr>
            <w:tcW w:w="3451" w:type="dxa"/>
            <w:tcBorders>
              <w:top w:val="single" w:color="000000" w:sz="4" w:space="0"/>
              <w:left w:val="single" w:color="000000" w:sz="4" w:space="0"/>
              <w:bottom w:val="single" w:color="000000" w:sz="4" w:space="0"/>
              <w:right w:val="single" w:color="000000" w:sz="4" w:space="0"/>
            </w:tcBorders>
            <w:vAlign w:val="center"/>
          </w:tcPr>
          <w:p>
            <w:pPr>
              <w:spacing w:line="240" w:lineRule="exact"/>
              <w:textAlignment w:val="auto"/>
              <w:rPr>
                <w:rStyle w:val="13"/>
                <w:rFonts w:ascii="宋体" w:hAnsi="宋体"/>
                <w:szCs w:val="28"/>
              </w:rPr>
            </w:pPr>
            <w:r>
              <w:rPr>
                <w:rStyle w:val="13"/>
                <w:rFonts w:ascii="宋体" w:hAnsi="宋体"/>
                <w:szCs w:val="28"/>
              </w:rPr>
              <w:t>分布式存储软件</w:t>
            </w:r>
          </w:p>
        </w:tc>
        <w:tc>
          <w:tcPr>
            <w:tcW w:w="65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4</w:t>
            </w:r>
          </w:p>
        </w:tc>
        <w:tc>
          <w:tcPr>
            <w:tcW w:w="102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CPU授权</w:t>
            </w:r>
          </w:p>
        </w:tc>
        <w:tc>
          <w:tcPr>
            <w:tcW w:w="184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 w:hRule="atLeast"/>
        </w:trPr>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pStyle w:val="71"/>
              <w:numPr>
                <w:ilvl w:val="0"/>
                <w:numId w:val="7"/>
              </w:numPr>
              <w:spacing w:line="240" w:lineRule="exact"/>
              <w:ind w:firstLineChars="0"/>
              <w:jc w:val="center"/>
              <w:textAlignment w:val="auto"/>
              <w:rPr>
                <w:rStyle w:val="13"/>
                <w:rFonts w:ascii="宋体" w:hAnsi="宋体"/>
                <w:szCs w:val="28"/>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left"/>
              <w:textAlignment w:val="auto"/>
              <w:rPr>
                <w:rStyle w:val="13"/>
                <w:rFonts w:ascii="宋体" w:hAnsi="宋体"/>
                <w:szCs w:val="28"/>
              </w:rPr>
            </w:pPr>
          </w:p>
        </w:tc>
        <w:tc>
          <w:tcPr>
            <w:tcW w:w="3451" w:type="dxa"/>
            <w:tcBorders>
              <w:top w:val="single" w:color="000000" w:sz="4" w:space="0"/>
              <w:left w:val="single" w:color="000000" w:sz="4" w:space="0"/>
              <w:bottom w:val="single" w:color="000000" w:sz="4" w:space="0"/>
              <w:right w:val="single" w:color="000000" w:sz="4" w:space="0"/>
            </w:tcBorders>
            <w:vAlign w:val="center"/>
          </w:tcPr>
          <w:p>
            <w:pPr>
              <w:spacing w:line="240" w:lineRule="exact"/>
              <w:textAlignment w:val="auto"/>
              <w:rPr>
                <w:rStyle w:val="13"/>
                <w:rFonts w:ascii="宋体" w:hAnsi="宋体"/>
                <w:szCs w:val="28"/>
              </w:rPr>
            </w:pPr>
            <w:r>
              <w:rPr>
                <w:rStyle w:val="13"/>
                <w:rFonts w:ascii="宋体" w:hAnsi="宋体"/>
                <w:szCs w:val="28"/>
              </w:rPr>
              <w:t>万兆交换机</w:t>
            </w:r>
          </w:p>
        </w:tc>
        <w:tc>
          <w:tcPr>
            <w:tcW w:w="65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2</w:t>
            </w:r>
          </w:p>
        </w:tc>
        <w:tc>
          <w:tcPr>
            <w:tcW w:w="102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r>
              <w:rPr>
                <w:rStyle w:val="13"/>
                <w:rFonts w:ascii="宋体" w:hAnsi="宋体"/>
                <w:szCs w:val="28"/>
              </w:rPr>
              <w:t>台</w:t>
            </w:r>
          </w:p>
        </w:tc>
        <w:tc>
          <w:tcPr>
            <w:tcW w:w="184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auto"/>
              <w:rPr>
                <w:rStyle w:val="13"/>
                <w:rFonts w:ascii="宋体" w:hAnsi="宋体"/>
                <w:szCs w:val="28"/>
              </w:rPr>
            </w:pPr>
          </w:p>
        </w:tc>
      </w:tr>
    </w:tbl>
    <w:p>
      <w:pPr>
        <w:pStyle w:val="18"/>
        <w:numPr>
          <w:ilvl w:val="0"/>
          <w:numId w:val="0"/>
        </w:numPr>
        <w:spacing w:line="480" w:lineRule="auto"/>
        <w:textAlignment w:val="auto"/>
        <w:rPr>
          <w:rStyle w:val="13"/>
          <w:rFonts w:ascii="宋体" w:hAnsi="宋体"/>
          <w:b/>
          <w:sz w:val="28"/>
          <w:szCs w:val="28"/>
        </w:rPr>
      </w:pPr>
      <w:r>
        <w:rPr>
          <w:rStyle w:val="13"/>
          <w:rFonts w:ascii="宋体" w:hAnsi="宋体"/>
          <w:b/>
          <w:sz w:val="28"/>
          <w:szCs w:val="28"/>
        </w:rPr>
        <w:t>一、技术要求</w:t>
      </w:r>
    </w:p>
    <w:p>
      <w:pPr>
        <w:pStyle w:val="19"/>
        <w:tabs>
          <w:tab w:val="left" w:pos="2835"/>
        </w:tabs>
        <w:spacing w:before="0" w:after="0" w:line="480" w:lineRule="auto"/>
        <w:textAlignment w:val="auto"/>
        <w:rPr>
          <w:rStyle w:val="13"/>
          <w:rFonts w:ascii="宋体" w:hAnsi="宋体" w:eastAsia="宋体" w:cs="宋体"/>
          <w:b/>
          <w:bCs/>
          <w:sz w:val="24"/>
          <w:szCs w:val="24"/>
        </w:rPr>
      </w:pPr>
      <w:r>
        <w:rPr>
          <w:rStyle w:val="13"/>
          <w:rFonts w:ascii="宋体" w:hAnsi="宋体" w:eastAsia="宋体" w:cs="宋体"/>
          <w:b/>
          <w:bCs/>
          <w:sz w:val="24"/>
          <w:szCs w:val="24"/>
        </w:rPr>
        <w:t>（一）项目背景</w:t>
      </w:r>
    </w:p>
    <w:p>
      <w:pPr>
        <w:spacing w:line="480" w:lineRule="auto"/>
        <w:ind w:firstLine="560"/>
        <w:textAlignment w:val="auto"/>
        <w:rPr>
          <w:rStyle w:val="13"/>
        </w:rPr>
      </w:pPr>
      <w:r>
        <w:rPr>
          <w:rStyle w:val="13"/>
        </w:rPr>
        <w:t>党的十九大对“实施健康中国战略”作出了全面部署，要求把人民健康放在优先发展的战略位置，以“大卫生、大健康”理念作为实施健康中国战略的行动引领，遵循党的领导，发展中国特色卫生健康道路。明确指出实施健康中国战略的工作方针：“以基层为重点，以改革创新为动力，预防为主，中西医并重，将健康融入所有政策，人民共建共享。”</w:t>
      </w:r>
    </w:p>
    <w:p>
      <w:pPr>
        <w:spacing w:line="480" w:lineRule="auto"/>
        <w:ind w:firstLine="560"/>
        <w:textAlignment w:val="auto"/>
        <w:rPr>
          <w:rStyle w:val="13"/>
        </w:rPr>
      </w:pPr>
      <w:r>
        <w:rPr>
          <w:rStyle w:val="13"/>
        </w:rPr>
        <w:t>2017年4月，中共中央国务院发布《国务院办公厅关于推进医疗联合体建设和发展的指导意见》，明确在县域主要组建医疗共同体，推动优质医疗资源向基层和边远贫困地区流动。</w:t>
      </w:r>
    </w:p>
    <w:p>
      <w:pPr>
        <w:spacing w:line="480" w:lineRule="auto"/>
        <w:ind w:firstLine="560"/>
        <w:textAlignment w:val="auto"/>
        <w:rPr>
          <w:rStyle w:val="13"/>
        </w:rPr>
      </w:pPr>
      <w:r>
        <w:rPr>
          <w:rStyle w:val="13"/>
        </w:rPr>
        <w:t>2018年7月，国家卫生健康委发布《医疗联合体综合绩效考核工作方案（试行）》指出进一步加强医联体绩效考核，规范医联体建设发展，调动医疗机构积极性。加强对医联体建设工作的统筹规划与指导，规范医联体建设与管理。</w:t>
      </w:r>
    </w:p>
    <w:p>
      <w:pPr>
        <w:spacing w:line="480" w:lineRule="auto"/>
        <w:ind w:firstLine="560"/>
        <w:textAlignment w:val="auto"/>
        <w:rPr>
          <w:rStyle w:val="13"/>
        </w:rPr>
      </w:pPr>
      <w:r>
        <w:rPr>
          <w:rStyle w:val="13"/>
        </w:rPr>
        <w:t>2018年11月8号，国家卫生健康委、国家中医药局印发《全面提升县级医院综合能力工作方案(2018-2020年)》（国卫医发〔2018〕37号）的通知，通知指出要落实县级医院功能定位，提升综合服务能力，加快信息平台建设，提升医院信息化管理水平，积极推进远程医疗服务，稳步推进“互联网+”医疗服务。</w:t>
      </w:r>
    </w:p>
    <w:p>
      <w:pPr>
        <w:spacing w:line="480" w:lineRule="auto"/>
        <w:ind w:firstLine="560"/>
        <w:textAlignment w:val="auto"/>
        <w:rPr>
          <w:rStyle w:val="13"/>
        </w:rPr>
      </w:pPr>
      <w:r>
        <w:rPr>
          <w:rStyle w:val="13"/>
        </w:rPr>
        <w:t>2019年5月，国家卫生健康委基层卫生健康司发布了《关于推进紧密型县域医疗卫生共同体建设的通知》，通过建设紧密型医共体，既有利于进一步完善县域医疗卫生服务体系，提高县域医疗卫生资源配置和使用效率，加快提升基层医疗卫生服务能力，推动构建分级诊疗、合理诊治和有序就医的新秩序。也有利于贯彻落实“以人民健康为中心”的理念，为广大居民提供连续性、高质量的医疗卫生服务。</w:t>
      </w:r>
    </w:p>
    <w:p>
      <w:pPr>
        <w:spacing w:line="480" w:lineRule="auto"/>
        <w:ind w:firstLine="560"/>
        <w:textAlignment w:val="auto"/>
        <w:rPr>
          <w:rStyle w:val="13"/>
        </w:rPr>
      </w:pPr>
      <w:r>
        <w:rPr>
          <w:rStyle w:val="13"/>
        </w:rPr>
        <w:t>为响应国家政策号召，2019年新疆维吾尔自治区卫生健康委员会发布了《关于做好紧密型县域医疗卫生共同体建设试点工作的通知》中提到：“到今年年底，县域医共体内实现检查检验结果互认。争取到2020年底，县域就诊率达到90%，县域内基层就诊率达到65%左右。”新疆自治区通过推进县域医共体建设工作，不断提升基层医疗单位服务能力，有效促进基层医疗卫生事业发展。目前，自治区三级医疗机构和相关医院，通过“托管式”帮扶和“组团式”援疆模式，由管理团队在基层服务两年、专家团队服务一年，切实提高县域医疗卫生服务能力、诊疗能力和管理水平。</w:t>
      </w:r>
    </w:p>
    <w:p>
      <w:pPr>
        <w:spacing w:line="480" w:lineRule="auto"/>
        <w:ind w:firstLine="560"/>
        <w:textAlignment w:val="auto"/>
        <w:rPr>
          <w:rStyle w:val="13"/>
        </w:rPr>
      </w:pPr>
      <w:r>
        <w:rPr>
          <w:rStyle w:val="13"/>
        </w:rPr>
        <w:t>开展县域医共体建设，是深化医改的重要步骤和制度创新，有利于调整和优化医疗资源结构布局，促进医疗卫生工作重心下移和资源下沉，提升基层服务能力；有利于医疗资源上下贯通，提升医疗服务体系整体效能，更好实施分级诊疗和满足群众健康需求。</w:t>
      </w:r>
    </w:p>
    <w:p>
      <w:pPr>
        <w:pStyle w:val="19"/>
        <w:tabs>
          <w:tab w:val="left" w:pos="2835"/>
        </w:tabs>
        <w:spacing w:before="0" w:after="0" w:line="480" w:lineRule="auto"/>
        <w:textAlignment w:val="auto"/>
        <w:rPr>
          <w:rStyle w:val="13"/>
          <w:b/>
          <w:bCs/>
          <w:sz w:val="24"/>
          <w:szCs w:val="24"/>
        </w:rPr>
      </w:pPr>
      <w:r>
        <w:rPr>
          <w:rStyle w:val="13"/>
          <w:b/>
          <w:bCs/>
          <w:sz w:val="24"/>
          <w:szCs w:val="24"/>
        </w:rPr>
        <w:t>（二）项目建设现状</w:t>
      </w:r>
    </w:p>
    <w:p>
      <w:pPr>
        <w:spacing w:line="480" w:lineRule="auto"/>
        <w:ind w:firstLine="560"/>
        <w:textAlignment w:val="auto"/>
        <w:rPr>
          <w:rStyle w:val="13"/>
        </w:rPr>
      </w:pPr>
      <w:r>
        <w:rPr>
          <w:rStyle w:val="13"/>
        </w:rPr>
        <w:t>（1）皮山概况</w:t>
      </w:r>
    </w:p>
    <w:p>
      <w:pPr>
        <w:spacing w:line="480" w:lineRule="auto"/>
        <w:ind w:firstLine="560"/>
        <w:textAlignment w:val="auto"/>
        <w:rPr>
          <w:rStyle w:val="13"/>
        </w:rPr>
      </w:pPr>
      <w:r>
        <w:rPr>
          <w:rStyle w:val="13"/>
        </w:rPr>
        <w:t>皮山县位于新疆维吾尔自治区的最南端，喀喇昆仑山的北麓，塔克拉玛干沙漠的南缘，与印控克什米尔交界，是一个以维吾尔族为主体，汉族、塔吉克族、柯尔克孜族等12个民族聚居的边境县，边境线长54.5公里，距离首府乌鲁木齐1800公里。皮山县是一个以维吾尔族为主体，汉族、塔吉克族、柯尔克孜族等12个民族聚居的边境县，总面积3.97万平方公里，全县辖16个乡镇（315国道南北分别有7个平原乡镇和9个山区乡镇）、一个农业综合开发区和一个良种场、一个国营牧场。全县乡村分布非常分散，169个行政村分布在大小54块绿洲上。有5个乡镇距离县城超过100公里，最远的赛图拉镇距离县城400多公里。目前，全县总人口25.8万人，少数民族占98.4%。全县现有耕地面积45万亩。2011年全县粮食播种面积26万亩，总产量达12.5万吨，达到了县内平衡，略有节余。2018年全县实现生产总值（GDP）301555万元，按可比价计算，增长7.5%。其中，第一产业增加值88688万元，增长2.38%；第二产业增加值36624万元，增长14.37%；第三产业增加值176263万元，增长9.09%。按常住人口计算，人均生产总值9373元，比上年增加842元，增长9.86%。 2018年全县实现生产总值（GDP）301555万元，按可比价计算，增长7.5%。其中，第一产业增加值88688万元，增长2.38%；第二产业增加值36624万元，增长14.37%；第三产业增加值176263万元，增长9.09%。按常住人口计算，人均生产总值9373元，比上年增加842元，增长9.86%。皮山县自然环境十分恶劣，降水稀少，蒸发量大，空气干燥，属暖温带大陆性干旱气候，降水稀少，蒸发量大，空气干燥，年平均气温11.8℃，年平均降水量39.8毫米，年平均蒸发量2412.9毫米，是降水量的60倍，年均沙尘天气在240天以上。皮山境内5条河流均发源于喀喇昆仑山，系冰川融雪补偿型河流，年地表水径流量7.5亿立方米，地下水储量2.5亿立方米，年内分布不均，开发利用率低，总体上水资源短缺，干旱缺水是制约我县经济发展的关键因素。</w:t>
      </w:r>
    </w:p>
    <w:p>
      <w:pPr>
        <w:spacing w:line="480" w:lineRule="auto"/>
        <w:ind w:firstLine="560"/>
        <w:textAlignment w:val="auto"/>
        <w:rPr>
          <w:rStyle w:val="13"/>
        </w:rPr>
      </w:pPr>
      <w:r>
        <w:rPr>
          <w:rStyle w:val="13"/>
        </w:rPr>
        <w:t>皮山矿产资源比较丰富，现已探明的矿产有48种，已发现的矿产资源有煤、石油、天然气、硫磺、铅、锌、铁、大理石、玉石、金刚砂、石榴石、云母、锂、铍、钽、铯等。目前正在开发利用的主要有煤炭、锰铁、石灰岩、石膏、玉石、粘土等8种矿产。粘土、砂石料资源丰富，分布广泛；另外，石膏矿、石英岩矿储量可观，品位高。新疆八钢、四川矿业、兰州三普电力正在做铁矿、铅锌矿和石墨矿的勘探开发工作；境内的柯东1井即将开发生产，皮北一井勘探前景良好。野生动物有地山羊、野猪、刺猬、藏狐、雪鸡、鹭鸶等。野生药用植物资源有肉苁蓉、当归、党参、甘草、雪莲、车前子、曼陀罗等。</w:t>
      </w:r>
    </w:p>
    <w:p>
      <w:pPr>
        <w:spacing w:line="480" w:lineRule="auto"/>
        <w:ind w:firstLine="560"/>
        <w:textAlignment w:val="auto"/>
        <w:rPr>
          <w:rStyle w:val="13"/>
        </w:rPr>
      </w:pPr>
      <w:r>
        <w:rPr>
          <w:rStyle w:val="13"/>
        </w:rPr>
        <w:t>皮山，风景秀丽，古迹众多。桑株岩画线条古朴，风格粗狂，长3米，高1.3米，画面上人物、动物，画风简洁，栩栩如生，有极高的艺术价值，现为国家重点文物保护单位。桑株河、杜瓦河、阔什塔格河，如三条玉带，横贯皮山全境，浇灌着万顷良田。桑株、江岗、雅普泉等9座水库，犹如9块绿宝石镶嵌在皮山大地，养育着各族人民。</w:t>
      </w:r>
    </w:p>
    <w:p>
      <w:pPr>
        <w:spacing w:line="480" w:lineRule="auto"/>
        <w:ind w:firstLine="560"/>
        <w:textAlignment w:val="auto"/>
        <w:rPr>
          <w:rStyle w:val="13"/>
        </w:rPr>
      </w:pPr>
      <w:r>
        <w:rPr>
          <w:rStyle w:val="13"/>
        </w:rPr>
        <w:t>（2）卫生信息化概况</w:t>
      </w:r>
    </w:p>
    <w:p>
      <w:pPr>
        <w:spacing w:line="480" w:lineRule="auto"/>
        <w:ind w:firstLine="560"/>
        <w:textAlignment w:val="auto"/>
        <w:rPr>
          <w:rStyle w:val="13"/>
        </w:rPr>
      </w:pPr>
      <w:r>
        <w:rPr>
          <w:rStyle w:val="13"/>
        </w:rPr>
        <w:t>皮山县现有县维吾尔医医院、县人民医院两家县级医疗机构，1家社区卫生服务中心，16家乡镇卫生院。目前县维吾尔医医院部署了院内HIS系统、超声报告系统、社保结算系统，同时一直与自治区的信息平台进行数据上报。县人民医院部署了HIS、EMR、LIS、PACS、RIS和超声系统，各系统之间无法进行数据互联。1家社区卫生服务中心，包括7个片区（诊室），30余名医生，服务3.6万人群，重点人群2400余人，包含：65岁以上600人，高血压1400余人，糖尿病300余人。以科克铁热克乡卫生院为例，科乡卫生院现有门诊部、住院部，现有30余名医护人员，50余个床位；全乡现有3.3万余居民，其中：重点人群1.9万人；该卫生院共有8个家庭医生团队，村医64名分布在31个片区25个村卫生室；其中重点人群签约率95%，高血压管理率已达到70%。</w:t>
      </w:r>
    </w:p>
    <w:p>
      <w:pPr>
        <w:spacing w:line="480" w:lineRule="auto"/>
        <w:ind w:firstLine="560"/>
        <w:textAlignment w:val="auto"/>
        <w:rPr>
          <w:rStyle w:val="13"/>
        </w:rPr>
      </w:pPr>
      <w:r>
        <w:rPr>
          <w:rStyle w:val="13"/>
        </w:rPr>
        <w:t>2020年初挂网的皮山县“互联网+医疗健康”信息化平台建设项目，包括医共体服务信息平台、医共体平台基础管理、基于平台的业务功能应用、综合业务查询与监管、病人服务平台、基层医疗卫生服务机构综合信息系统（含门急诊医疗服务、住院医疗服务、医学影像系统、实验室信息管理、电子病历管理、药品管理服务、全民体检健康管理系统、病案管理系统、物资设备管理系统和医保接口）、村卫生室综合管理系统、远程会诊系统和相关的接口对接和硬件设备。</w:t>
      </w:r>
    </w:p>
    <w:p>
      <w:pPr>
        <w:spacing w:line="480" w:lineRule="auto"/>
        <w:ind w:firstLine="560"/>
        <w:textAlignment w:val="auto"/>
        <w:rPr>
          <w:rStyle w:val="13"/>
        </w:rPr>
      </w:pPr>
      <w:r>
        <w:rPr>
          <w:rStyle w:val="13"/>
        </w:rPr>
        <w:t>（3）紧密型县域医共体的建设要求及现状</w:t>
      </w:r>
    </w:p>
    <w:p>
      <w:pPr>
        <w:spacing w:line="480" w:lineRule="auto"/>
        <w:ind w:firstLine="560"/>
        <w:textAlignment w:val="auto"/>
        <w:rPr>
          <w:rStyle w:val="13"/>
        </w:rPr>
      </w:pPr>
      <w:r>
        <w:rPr>
          <w:rStyle w:val="13"/>
        </w:rPr>
        <w:t>2019年新疆各地（州、市）按照新疆卫健委2019年重点工作部署，推进县域医共体建设，全疆96个县（市、区）中有92个县（市、区）开展了县域医共体建设，其中开展紧密型县域医共体的县（市、区）有64个，但仍需提升县域医疗服务体系、服务能力和质量，深化体制改革，完善保障制度。自治区通过推进县域医共体建设工作，不断提升基层医疗单位服务能力，有效促进基层医疗卫生事业发展。目前，自治区三级医疗机构和相关医院，通过“托管式”帮扶和“组团式”援疆模式，由管理团队在基层服务两年、专家团队服务一年，切实提高县域医疗卫生服务能力、诊疗能力和管理水平。</w:t>
      </w:r>
    </w:p>
    <w:p>
      <w:pPr>
        <w:spacing w:line="480" w:lineRule="auto"/>
        <w:ind w:firstLine="560"/>
        <w:textAlignment w:val="auto"/>
        <w:rPr>
          <w:rStyle w:val="13"/>
        </w:rPr>
      </w:pPr>
      <w:r>
        <w:rPr>
          <w:rStyle w:val="13"/>
        </w:rPr>
        <w:t>紧密型县域医共体的建设要求为各县加强医联体建设和县乡村一体化管理，充分利用三甲医院对口帮扶、“托管式”帮扶及“组团式”帮扶力量，通过专科共建、临床带教、业务指导、教学查房、科研和项目协作、远程诊疗等多种方式，提升牵头机构医疗服务能力与管理水平，实现紧密型县域医共体内行政、人员、业务、药品、财务、绩效为主要内容的一体化管理，实施乡村医生，县招、乡管、村用，进一步保障其收入待遇，解决基层缺乏合格医生问题。</w:t>
      </w:r>
    </w:p>
    <w:p>
      <w:pPr>
        <w:spacing w:line="480" w:lineRule="auto"/>
        <w:ind w:firstLine="560"/>
        <w:textAlignment w:val="auto"/>
        <w:rPr>
          <w:rStyle w:val="13"/>
        </w:rPr>
      </w:pPr>
      <w:r>
        <w:rPr>
          <w:rStyle w:val="13"/>
        </w:rPr>
        <w:t>以皮山县人民医院为例，该院通过新疆维吾尔自治区人民医院“组团式”托管帮扶，优化整合县域医疗资源，探索成立了以皮山县人民医院为中心，以固玛镇、阔什塔格镇、桑株乡3个重点乡镇卫生院为辐射面，向周边乡镇区域辐射的优势医疗资源辐射网，在3家医共体实行执行院长制度，派驻医共体执行院长，强化基层医院运营管理，加强信息化建设，充分利用远程会诊系统，实现医共体内三级联动、基层首诊、分级诊疗、双向转诊，减少患者外地就医，确保实现“90%病人住院不出县”的目标。</w:t>
      </w:r>
    </w:p>
    <w:p>
      <w:pPr>
        <w:spacing w:line="480" w:lineRule="auto"/>
        <w:ind w:firstLine="560"/>
        <w:textAlignment w:val="auto"/>
        <w:rPr>
          <w:rStyle w:val="13"/>
        </w:rPr>
      </w:pPr>
      <w:r>
        <w:rPr>
          <w:rStyle w:val="13"/>
        </w:rPr>
        <w:t>通过紧密型医共体建设，全疆县域医疗卫生服务能力明显提升，医保基金得到有效利用，居民医药费用负担合理控制，家庭医生签约率提升，强化公共卫生服务水平。到2019年底，试点县域内医共体实现检查检验结果互认，基本解决基层缺乏合格医务人员状况。争取到2020年底，全疆县域就诊率达到90%，县域内基层就诊率达到65%左右，基层医疗卫生机构有能力开展的技术、项目不断增加。</w:t>
      </w:r>
    </w:p>
    <w:p>
      <w:pPr>
        <w:spacing w:line="480" w:lineRule="auto"/>
        <w:ind w:firstLine="560"/>
        <w:textAlignment w:val="auto"/>
        <w:rPr>
          <w:rStyle w:val="13"/>
        </w:rPr>
      </w:pPr>
      <w:r>
        <w:rPr>
          <w:rStyle w:val="13"/>
        </w:rPr>
        <w:t>（4）语言不通是援疆医务人员最大的障碍</w:t>
      </w:r>
    </w:p>
    <w:p>
      <w:pPr>
        <w:spacing w:line="480" w:lineRule="auto"/>
        <w:ind w:firstLine="560"/>
        <w:textAlignment w:val="auto"/>
        <w:rPr>
          <w:rStyle w:val="13"/>
        </w:rPr>
      </w:pPr>
      <w:r>
        <w:rPr>
          <w:rStyle w:val="13"/>
        </w:rPr>
        <w:t>援疆医疗团队，救死扶伤，抢危济命，工作繁忙，患者与医生无法进行正常语言交流，医生不能及时了解患者情况，患者不能准确描述症状，造成医患信息不对称，导致医生不能通过患者临床体征做出正确诊断。长期以来，心脑血管病、结核、结石、发病率高。看病难，看好病，因病致贫、因病返贫问题尤为突出。随着国家多项帮扶政策的颁布，自治区迎来越来越多的援疆医疗团队，但由于医患沟通存在障碍，医患双方教育背景差异，导致医护人员的解释或沟通内容引起患者的误解；患者对病情的描述不够准确，导致双方产生理解偏差，引起误解等一系列问题。</w:t>
      </w:r>
    </w:p>
    <w:p>
      <w:pPr>
        <w:pStyle w:val="19"/>
        <w:tabs>
          <w:tab w:val="left" w:pos="2835"/>
        </w:tabs>
        <w:spacing w:before="0" w:after="0" w:line="480" w:lineRule="auto"/>
        <w:textAlignment w:val="auto"/>
        <w:rPr>
          <w:rStyle w:val="13"/>
          <w:b/>
          <w:bCs/>
          <w:sz w:val="24"/>
          <w:szCs w:val="24"/>
        </w:rPr>
      </w:pPr>
      <w:r>
        <w:rPr>
          <w:rStyle w:val="13"/>
          <w:b/>
          <w:bCs/>
          <w:sz w:val="24"/>
          <w:szCs w:val="24"/>
        </w:rPr>
        <w:t>（三）建设目标</w:t>
      </w:r>
    </w:p>
    <w:p>
      <w:pPr>
        <w:spacing w:line="480" w:lineRule="auto"/>
        <w:ind w:firstLine="560"/>
        <w:textAlignment w:val="auto"/>
        <w:rPr>
          <w:rStyle w:val="13"/>
        </w:rPr>
      </w:pPr>
      <w:r>
        <w:rPr>
          <w:rStyle w:val="13"/>
        </w:rPr>
        <w:t>皮山县AI+紧密型医共体建设坚持以患者为中心，以问题为导向，以改善医疗服务质量、效率和可及性为出发点，以提升管理、服务能力为目标，通过优化流程、提升质量、保障安全、促进沟通等措施，为人民群众提供安全、有效、方便的基本医疗服务，为医务人员提供高效的服务工具，为各级管理人员提供强有力的管理手段，实现全面的惠民、惠医、惠政，主要包括以下几个方面：</w:t>
      </w:r>
    </w:p>
    <w:p>
      <w:pPr>
        <w:spacing w:line="480" w:lineRule="auto"/>
        <w:ind w:firstLine="562"/>
        <w:textAlignment w:val="auto"/>
        <w:rPr>
          <w:rStyle w:val="13"/>
          <w:b/>
        </w:rPr>
      </w:pPr>
      <w:r>
        <w:rPr>
          <w:rStyle w:val="13"/>
          <w:b/>
        </w:rPr>
        <w:t>（1）构建智慧医院，提高医院就诊服务质量和效率</w:t>
      </w:r>
    </w:p>
    <w:p>
      <w:pPr>
        <w:spacing w:line="480" w:lineRule="auto"/>
        <w:ind w:firstLine="560"/>
        <w:textAlignment w:val="auto"/>
        <w:rPr>
          <w:rStyle w:val="13"/>
        </w:rPr>
      </w:pPr>
      <w:r>
        <w:rPr>
          <w:rStyle w:val="13"/>
        </w:rPr>
        <w:t>本项目通过建设面向医护人员的语音输入套件、门诊语音电子病历、超声科智能语音助理系统、AI移动查房系统、AI移动护理工作站系统助力医院诊疗服务行为，减少冗余环节，缩短病人等待时间；促进医院信息化建设，加强诊疗流程优化再造，提升医疗服务水平。</w:t>
      </w:r>
    </w:p>
    <w:p>
      <w:pPr>
        <w:spacing w:line="480" w:lineRule="auto"/>
        <w:ind w:firstLine="562"/>
        <w:textAlignment w:val="auto"/>
        <w:rPr>
          <w:rStyle w:val="13"/>
          <w:b/>
        </w:rPr>
      </w:pPr>
      <w:r>
        <w:rPr>
          <w:rStyle w:val="13"/>
          <w:b/>
        </w:rPr>
        <w:t>（2）构建多语言智能窗口，化解医患沟通障碍</w:t>
      </w:r>
    </w:p>
    <w:p>
      <w:pPr>
        <w:spacing w:line="480" w:lineRule="auto"/>
        <w:ind w:firstLine="560"/>
        <w:textAlignment w:val="auto"/>
        <w:rPr>
          <w:rStyle w:val="13"/>
        </w:rPr>
      </w:pPr>
      <w:r>
        <w:rPr>
          <w:rStyle w:val="13"/>
        </w:rPr>
        <w:t>本项目建设的多语言智能窗口话务系统，针对医生会诊与患者问诊、咨询等窗口工作场景，通过部署软硬一体化设备，实现汉语到多种语言（包括维吾尔语在内的国内外34种语言）间的口语在线实时互译等医院窗口业务支撑功能，能够在确保翻译准确率的基础上，提升医生工作效率，对提高始发地的疾病预防、治疗和应急救治水平，控制传染病源和切断传播途径，以及加强医务人员的安全防护，最大限度的挽救人民群众和医护人员的生命，对维护区域和平稳定具有积极意义。</w:t>
      </w:r>
    </w:p>
    <w:p>
      <w:pPr>
        <w:spacing w:line="480" w:lineRule="auto"/>
        <w:ind w:firstLine="562"/>
        <w:textAlignment w:val="auto"/>
        <w:rPr>
          <w:rStyle w:val="13"/>
          <w:b/>
        </w:rPr>
      </w:pPr>
      <w:r>
        <w:rPr>
          <w:rStyle w:val="13"/>
          <w:b/>
        </w:rPr>
        <w:t>（3）构建智慧基层，提升基层医疗卫生健康服务能力</w:t>
      </w:r>
    </w:p>
    <w:p>
      <w:pPr>
        <w:spacing w:line="480" w:lineRule="auto"/>
        <w:ind w:firstLine="560"/>
        <w:textAlignment w:val="auto"/>
        <w:rPr>
          <w:rStyle w:val="13"/>
        </w:rPr>
      </w:pPr>
      <w:r>
        <w:rPr>
          <w:rStyle w:val="13"/>
        </w:rPr>
        <w:t>本项目通过建设面向基层医生的全科辅助诊疗系统、慢病智能管理系统、智能语音外呼助手系统和在线教育培训与管理系统为基层医生公卫服务和诊疗服务提供行之有效的辅助工具，在诊疗服务方面提供智能辅助诊断和病历质检服务，帮助基层医生实时获取诊疗决策支持，提升基层诊断水平和诊疗规范性；在公卫服务方面提供慢病管理服务和智能外呼服务，有效提高家庭医生履约服务质量和效率。以权威、一流的师资和学习培训资源库，科学规范的组织与管理，为基层医院提供规范便捷的在线教育培训服务，培养基层医生临床思维能力，补齐全科诊疗理论知识。</w:t>
      </w:r>
    </w:p>
    <w:p>
      <w:pPr>
        <w:spacing w:line="480" w:lineRule="auto"/>
        <w:ind w:firstLine="562"/>
        <w:textAlignment w:val="auto"/>
        <w:rPr>
          <w:rStyle w:val="13"/>
          <w:b/>
        </w:rPr>
      </w:pPr>
      <w:r>
        <w:rPr>
          <w:rStyle w:val="13"/>
          <w:b/>
        </w:rPr>
        <w:t>（4）构建智慧区域，依托区域医疗资源提供紧密型医疗服务</w:t>
      </w:r>
    </w:p>
    <w:p>
      <w:pPr>
        <w:spacing w:line="480" w:lineRule="auto"/>
        <w:ind w:firstLine="560"/>
        <w:textAlignment w:val="auto"/>
        <w:rPr>
          <w:rStyle w:val="13"/>
        </w:rPr>
      </w:pPr>
      <w:r>
        <w:rPr>
          <w:rStyle w:val="13"/>
        </w:rPr>
        <w:t>本项目通过建设面向居民的智能导诊预约系统，主要包括智能导诊、疾病自查、精准预约挂号、诊前病史采集以及预约检查检验，提供分级分流服务，常见病、慢性病患者推荐线上基层医生，重症患者链接至县医院预约挂号流程；建设在线咨询诊疗、移动支付、智能处方流转、互联网医院协同平台等，便于开展远程诊疗服务；药物配送提供足不出户看病取药服务；通过建设综合监测平台，推动全县分级诊疗体系发展。</w:t>
      </w:r>
    </w:p>
    <w:p>
      <w:pPr>
        <w:pStyle w:val="19"/>
        <w:tabs>
          <w:tab w:val="left" w:pos="2835"/>
        </w:tabs>
        <w:spacing w:before="0" w:after="0" w:line="480" w:lineRule="auto"/>
        <w:textAlignment w:val="auto"/>
        <w:rPr>
          <w:rStyle w:val="13"/>
          <w:b/>
          <w:bCs/>
          <w:sz w:val="24"/>
          <w:szCs w:val="24"/>
        </w:rPr>
      </w:pPr>
      <w:r>
        <w:rPr>
          <w:rStyle w:val="13"/>
          <w:b/>
          <w:bCs/>
          <w:sz w:val="24"/>
          <w:szCs w:val="24"/>
        </w:rPr>
        <w:t>（四）覆盖范围</w:t>
      </w:r>
    </w:p>
    <w:p>
      <w:pPr>
        <w:spacing w:line="480" w:lineRule="auto"/>
        <w:ind w:firstLine="560"/>
        <w:textAlignment w:val="auto"/>
        <w:rPr>
          <w:rStyle w:val="13"/>
        </w:rPr>
      </w:pPr>
      <w:r>
        <w:rPr>
          <w:rStyle w:val="13"/>
        </w:rPr>
        <w:t>本项目建设规模涵盖皮山县卫生健康委，皮山县人民医院，1家社区卫生服务中心，16家乡镇卫生院，包括固玛镇卫生院、杜瓦镇卫生院、阔什塔格乡卫生院、克里阳乡卫生院、科克铁热克乡卫生院、桑株乡卫生院、木吉镇卫生院、乔达乡卫生院、木奎拉乡卫生院、藏桂乡人民卫生院、皮亚勒玛乡人民卫生院、皮西那乡卫生院、巴什兰干乡卫生院、赛图拉镇卫生院、垴阿巴提塔吉克族乡卫生院、康克尔柯尔克孜族乡卫生院</w:t>
      </w:r>
      <w:r>
        <w:rPr>
          <w:rStyle w:val="13"/>
          <w:rFonts w:hint="eastAsia"/>
        </w:rPr>
        <w:t>，</w:t>
      </w:r>
      <w:r>
        <w:rPr>
          <w:rFonts w:hint="eastAsia"/>
        </w:rPr>
        <w:t>以及皮山县200家村卫生室（社区卫生服务站）</w:t>
      </w:r>
      <w:r>
        <w:rPr>
          <w:rStyle w:val="13"/>
        </w:rPr>
        <w:t>。</w:t>
      </w:r>
    </w:p>
    <w:p>
      <w:pPr>
        <w:spacing w:line="480" w:lineRule="auto"/>
        <w:textAlignment w:val="auto"/>
        <w:rPr>
          <w:rStyle w:val="13"/>
        </w:rPr>
      </w:pPr>
      <w:r>
        <w:rPr>
          <w:rStyle w:val="13"/>
          <w:b/>
          <w:bCs/>
          <w:sz w:val="24"/>
        </w:rPr>
        <w:t>（五）建设内容如下：</w:t>
      </w:r>
    </w:p>
    <w:p>
      <w:pPr>
        <w:spacing w:line="360" w:lineRule="auto"/>
        <w:ind w:firstLine="560"/>
        <w:textAlignment w:val="auto"/>
        <w:rPr>
          <w:rStyle w:val="13"/>
          <w:rFonts w:ascii="宋体" w:hAnsi="宋体"/>
          <w:sz w:val="24"/>
        </w:rPr>
      </w:pPr>
      <w:r>
        <w:rPr>
          <w:rStyle w:val="13"/>
          <w:rFonts w:ascii="宋体" w:hAnsi="宋体"/>
          <w:sz w:val="24"/>
        </w:rPr>
        <w:t>结合国家出台的相关卫生政策，参照国际、国内目前区域医疗建设现状，针对皮山县现状，我们采用顶层设计思路，本项目建设医学人工智能能力平台、人工智能应用系统、多语言智能窗口话务系统、基层服务平台、互联网医疗平台、综合监测平台。</w:t>
      </w:r>
    </w:p>
    <w:tbl>
      <w:tblPr>
        <w:tblStyle w:val="10"/>
        <w:tblW w:w="9457" w:type="dxa"/>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22"/>
        <w:gridCol w:w="2366"/>
        <w:gridCol w:w="2909"/>
        <w:gridCol w:w="691"/>
        <w:gridCol w:w="759"/>
        <w:gridCol w:w="20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exact"/>
        </w:trPr>
        <w:tc>
          <w:tcPr>
            <w:tcW w:w="722" w:type="dxa"/>
            <w:tcBorders>
              <w:top w:val="single" w:color="000000" w:sz="4" w:space="0"/>
              <w:left w:val="single" w:color="000000" w:sz="4" w:space="0"/>
              <w:bottom w:val="single" w:color="000000" w:sz="4" w:space="0"/>
              <w:right w:val="single" w:color="000000" w:sz="4" w:space="0"/>
            </w:tcBorders>
            <w:shd w:val="clear" w:color="auto" w:fill="D8D8D8"/>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序号</w:t>
            </w:r>
          </w:p>
        </w:tc>
        <w:tc>
          <w:tcPr>
            <w:tcW w:w="2366" w:type="dxa"/>
            <w:tcBorders>
              <w:top w:val="single" w:color="000000" w:sz="4" w:space="0"/>
              <w:left w:val="single" w:color="000000" w:sz="4" w:space="0"/>
              <w:bottom w:val="single" w:color="000000" w:sz="4" w:space="0"/>
              <w:right w:val="single" w:color="000000" w:sz="4" w:space="0"/>
            </w:tcBorders>
            <w:shd w:val="clear" w:color="auto" w:fill="D8D8D8"/>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建设内容</w:t>
            </w:r>
          </w:p>
        </w:tc>
        <w:tc>
          <w:tcPr>
            <w:tcW w:w="2909" w:type="dxa"/>
            <w:tcBorders>
              <w:top w:val="single" w:color="000000" w:sz="4" w:space="0"/>
              <w:left w:val="single" w:color="000000" w:sz="4" w:space="0"/>
              <w:bottom w:val="single" w:color="000000" w:sz="4" w:space="0"/>
              <w:right w:val="single" w:color="000000" w:sz="4" w:space="0"/>
            </w:tcBorders>
            <w:shd w:val="clear" w:color="auto" w:fill="D8D8D8"/>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子项</w:t>
            </w:r>
          </w:p>
        </w:tc>
        <w:tc>
          <w:tcPr>
            <w:tcW w:w="691" w:type="dxa"/>
            <w:tcBorders>
              <w:top w:val="single" w:color="000000" w:sz="4" w:space="0"/>
              <w:left w:val="single" w:color="000000" w:sz="4" w:space="0"/>
              <w:bottom w:val="single" w:color="000000" w:sz="4" w:space="0"/>
              <w:right w:val="single" w:color="000000" w:sz="4" w:space="0"/>
            </w:tcBorders>
            <w:shd w:val="clear" w:color="auto" w:fill="D8D8D8"/>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单位</w:t>
            </w:r>
          </w:p>
        </w:tc>
        <w:tc>
          <w:tcPr>
            <w:tcW w:w="759" w:type="dxa"/>
            <w:tcBorders>
              <w:top w:val="single" w:color="000000" w:sz="4" w:space="0"/>
              <w:left w:val="single" w:color="000000" w:sz="4" w:space="0"/>
              <w:bottom w:val="single" w:color="000000" w:sz="4" w:space="0"/>
              <w:right w:val="single" w:color="000000" w:sz="4" w:space="0"/>
            </w:tcBorders>
            <w:shd w:val="clear" w:color="auto" w:fill="D8D8D8"/>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数量</w:t>
            </w:r>
          </w:p>
        </w:tc>
        <w:tc>
          <w:tcPr>
            <w:tcW w:w="2010" w:type="dxa"/>
            <w:tcBorders>
              <w:top w:val="single" w:color="000000" w:sz="4" w:space="0"/>
              <w:left w:val="single" w:color="000000" w:sz="4" w:space="0"/>
              <w:bottom w:val="single" w:color="000000" w:sz="4" w:space="0"/>
              <w:right w:val="single" w:color="000000" w:sz="4" w:space="0"/>
            </w:tcBorders>
            <w:shd w:val="clear" w:color="auto" w:fill="D8D8D8"/>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exact"/>
        </w:trPr>
        <w:tc>
          <w:tcPr>
            <w:tcW w:w="722" w:type="dxa"/>
            <w:tcBorders>
              <w:top w:val="single" w:color="000000" w:sz="4" w:space="0"/>
              <w:left w:val="single" w:color="000000" w:sz="4" w:space="0"/>
              <w:bottom w:val="single" w:color="000000" w:sz="4" w:space="0"/>
              <w:right w:val="single" w:color="000000" w:sz="4" w:space="0"/>
            </w:tcBorders>
            <w:vAlign w:val="center"/>
          </w:tcPr>
          <w:p>
            <w:pPr>
              <w:pStyle w:val="71"/>
              <w:numPr>
                <w:ilvl w:val="0"/>
                <w:numId w:val="7"/>
              </w:numPr>
              <w:spacing w:line="360" w:lineRule="auto"/>
              <w:ind w:firstLineChars="0"/>
              <w:jc w:val="center"/>
              <w:textAlignment w:val="auto"/>
              <w:rPr>
                <w:rStyle w:val="13"/>
                <w:rFonts w:ascii="宋体" w:hAnsi="宋体"/>
                <w:sz w:val="22"/>
                <w:szCs w:val="22"/>
              </w:rPr>
            </w:pPr>
          </w:p>
        </w:tc>
        <w:tc>
          <w:tcPr>
            <w:tcW w:w="2366"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2"/>
                <w:szCs w:val="22"/>
              </w:rPr>
            </w:pPr>
            <w:r>
              <w:rPr>
                <w:rStyle w:val="13"/>
                <w:rFonts w:ascii="宋体" w:hAnsi="宋体"/>
                <w:sz w:val="22"/>
                <w:szCs w:val="22"/>
              </w:rPr>
              <w:t>医学人工智能能力平台</w:t>
            </w:r>
          </w:p>
        </w:tc>
        <w:tc>
          <w:tcPr>
            <w:tcW w:w="2909"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2"/>
                <w:szCs w:val="22"/>
              </w:rPr>
            </w:pPr>
            <w:r>
              <w:rPr>
                <w:rStyle w:val="13"/>
                <w:rFonts w:ascii="宋体" w:hAnsi="宋体"/>
                <w:sz w:val="22"/>
                <w:szCs w:val="22"/>
              </w:rPr>
              <w:t>医学AI能力平台</w:t>
            </w:r>
          </w:p>
        </w:tc>
        <w:tc>
          <w:tcPr>
            <w:tcW w:w="69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1</w:t>
            </w:r>
          </w:p>
        </w:tc>
        <w:tc>
          <w:tcPr>
            <w:tcW w:w="7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套</w:t>
            </w:r>
          </w:p>
        </w:tc>
        <w:tc>
          <w:tcPr>
            <w:tcW w:w="20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exact"/>
        </w:trPr>
        <w:tc>
          <w:tcPr>
            <w:tcW w:w="722" w:type="dxa"/>
            <w:vMerge w:val="restart"/>
            <w:tcBorders>
              <w:top w:val="single" w:color="000000" w:sz="4" w:space="0"/>
              <w:left w:val="single" w:color="000000" w:sz="4" w:space="0"/>
              <w:bottom w:val="single" w:color="000000" w:sz="4" w:space="0"/>
              <w:right w:val="single" w:color="000000" w:sz="4" w:space="0"/>
            </w:tcBorders>
            <w:vAlign w:val="center"/>
          </w:tcPr>
          <w:p>
            <w:pPr>
              <w:pStyle w:val="71"/>
              <w:numPr>
                <w:ilvl w:val="0"/>
                <w:numId w:val="7"/>
              </w:numPr>
              <w:spacing w:line="360" w:lineRule="auto"/>
              <w:ind w:firstLineChars="0"/>
              <w:jc w:val="center"/>
              <w:textAlignment w:val="auto"/>
              <w:rPr>
                <w:rStyle w:val="13"/>
                <w:rFonts w:ascii="宋体" w:hAnsi="宋体"/>
                <w:sz w:val="22"/>
                <w:szCs w:val="22"/>
              </w:rPr>
            </w:pPr>
          </w:p>
        </w:tc>
        <w:tc>
          <w:tcPr>
            <w:tcW w:w="2366"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2"/>
                <w:szCs w:val="22"/>
              </w:rPr>
            </w:pPr>
            <w:r>
              <w:rPr>
                <w:rStyle w:val="13"/>
                <w:rFonts w:ascii="宋体" w:hAnsi="宋体"/>
                <w:sz w:val="22"/>
                <w:szCs w:val="22"/>
              </w:rPr>
              <w:t>人工智能应用系统</w:t>
            </w:r>
          </w:p>
        </w:tc>
        <w:tc>
          <w:tcPr>
            <w:tcW w:w="2909"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2"/>
                <w:szCs w:val="22"/>
              </w:rPr>
            </w:pPr>
            <w:r>
              <w:rPr>
                <w:rStyle w:val="13"/>
                <w:rFonts w:ascii="宋体" w:hAnsi="宋体"/>
                <w:sz w:val="22"/>
                <w:szCs w:val="22"/>
              </w:rPr>
              <w:t>语音输入套件</w:t>
            </w:r>
          </w:p>
        </w:tc>
        <w:tc>
          <w:tcPr>
            <w:tcW w:w="69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200</w:t>
            </w:r>
          </w:p>
        </w:tc>
        <w:tc>
          <w:tcPr>
            <w:tcW w:w="7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台</w:t>
            </w:r>
          </w:p>
        </w:tc>
        <w:tc>
          <w:tcPr>
            <w:tcW w:w="20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exact"/>
        </w:trPr>
        <w:tc>
          <w:tcPr>
            <w:tcW w:w="722" w:type="dxa"/>
            <w:vMerge w:val="continue"/>
            <w:tcBorders>
              <w:top w:val="single" w:color="000000" w:sz="4" w:space="0"/>
              <w:left w:val="single" w:color="000000" w:sz="4" w:space="0"/>
              <w:bottom w:val="single" w:color="000000" w:sz="4" w:space="0"/>
              <w:right w:val="single" w:color="000000" w:sz="4" w:space="0"/>
            </w:tcBorders>
            <w:vAlign w:val="center"/>
          </w:tcPr>
          <w:p>
            <w:pPr>
              <w:pStyle w:val="71"/>
              <w:numPr>
                <w:ilvl w:val="0"/>
                <w:numId w:val="7"/>
              </w:numPr>
              <w:spacing w:line="360" w:lineRule="auto"/>
              <w:ind w:firstLineChars="0"/>
              <w:jc w:val="center"/>
              <w:textAlignment w:val="auto"/>
              <w:rPr>
                <w:rStyle w:val="13"/>
                <w:rFonts w:ascii="宋体" w:hAnsi="宋体"/>
                <w:sz w:val="22"/>
                <w:szCs w:val="22"/>
              </w:rPr>
            </w:pPr>
          </w:p>
        </w:tc>
        <w:tc>
          <w:tcPr>
            <w:tcW w:w="236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2"/>
                <w:szCs w:val="22"/>
              </w:rPr>
            </w:pPr>
          </w:p>
        </w:tc>
        <w:tc>
          <w:tcPr>
            <w:tcW w:w="2909"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2"/>
                <w:szCs w:val="22"/>
              </w:rPr>
            </w:pPr>
            <w:r>
              <w:rPr>
                <w:rStyle w:val="13"/>
                <w:rFonts w:ascii="宋体" w:hAnsi="宋体"/>
                <w:sz w:val="22"/>
                <w:szCs w:val="22"/>
              </w:rPr>
              <w:t>门诊语音电子病历系统</w:t>
            </w:r>
          </w:p>
        </w:tc>
        <w:tc>
          <w:tcPr>
            <w:tcW w:w="69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1</w:t>
            </w:r>
          </w:p>
        </w:tc>
        <w:tc>
          <w:tcPr>
            <w:tcW w:w="7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套</w:t>
            </w:r>
          </w:p>
        </w:tc>
        <w:tc>
          <w:tcPr>
            <w:tcW w:w="20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exact"/>
        </w:trPr>
        <w:tc>
          <w:tcPr>
            <w:tcW w:w="722" w:type="dxa"/>
            <w:vMerge w:val="continue"/>
            <w:tcBorders>
              <w:top w:val="single" w:color="000000" w:sz="4" w:space="0"/>
              <w:left w:val="single" w:color="000000" w:sz="4" w:space="0"/>
              <w:bottom w:val="single" w:color="000000" w:sz="4" w:space="0"/>
              <w:right w:val="single" w:color="000000" w:sz="4" w:space="0"/>
            </w:tcBorders>
            <w:vAlign w:val="center"/>
          </w:tcPr>
          <w:p>
            <w:pPr>
              <w:pStyle w:val="71"/>
              <w:numPr>
                <w:ilvl w:val="0"/>
                <w:numId w:val="7"/>
              </w:numPr>
              <w:spacing w:line="360" w:lineRule="auto"/>
              <w:ind w:firstLineChars="0"/>
              <w:jc w:val="center"/>
              <w:textAlignment w:val="auto"/>
              <w:rPr>
                <w:rStyle w:val="13"/>
                <w:rFonts w:ascii="宋体" w:hAnsi="宋体"/>
                <w:sz w:val="22"/>
                <w:szCs w:val="22"/>
              </w:rPr>
            </w:pPr>
          </w:p>
        </w:tc>
        <w:tc>
          <w:tcPr>
            <w:tcW w:w="236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2"/>
                <w:szCs w:val="22"/>
              </w:rPr>
            </w:pPr>
          </w:p>
        </w:tc>
        <w:tc>
          <w:tcPr>
            <w:tcW w:w="2909"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2"/>
                <w:szCs w:val="22"/>
              </w:rPr>
            </w:pPr>
            <w:r>
              <w:rPr>
                <w:rStyle w:val="13"/>
                <w:rFonts w:ascii="宋体" w:hAnsi="宋体"/>
                <w:sz w:val="22"/>
                <w:szCs w:val="22"/>
              </w:rPr>
              <w:t>超声科智能语音助理系统</w:t>
            </w:r>
          </w:p>
        </w:tc>
        <w:tc>
          <w:tcPr>
            <w:tcW w:w="69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1</w:t>
            </w:r>
          </w:p>
        </w:tc>
        <w:tc>
          <w:tcPr>
            <w:tcW w:w="7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套</w:t>
            </w:r>
          </w:p>
        </w:tc>
        <w:tc>
          <w:tcPr>
            <w:tcW w:w="20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exact"/>
        </w:trPr>
        <w:tc>
          <w:tcPr>
            <w:tcW w:w="722" w:type="dxa"/>
            <w:vMerge w:val="continue"/>
            <w:tcBorders>
              <w:top w:val="single" w:color="000000" w:sz="4" w:space="0"/>
              <w:left w:val="single" w:color="000000" w:sz="4" w:space="0"/>
              <w:bottom w:val="single" w:color="000000" w:sz="4" w:space="0"/>
              <w:right w:val="single" w:color="000000" w:sz="4" w:space="0"/>
            </w:tcBorders>
            <w:vAlign w:val="center"/>
          </w:tcPr>
          <w:p>
            <w:pPr>
              <w:pStyle w:val="71"/>
              <w:numPr>
                <w:ilvl w:val="0"/>
                <w:numId w:val="7"/>
              </w:numPr>
              <w:spacing w:line="360" w:lineRule="auto"/>
              <w:ind w:firstLineChars="0"/>
              <w:jc w:val="center"/>
              <w:textAlignment w:val="auto"/>
              <w:rPr>
                <w:rStyle w:val="13"/>
                <w:rFonts w:ascii="宋体" w:hAnsi="宋体"/>
                <w:sz w:val="22"/>
                <w:szCs w:val="22"/>
              </w:rPr>
            </w:pPr>
          </w:p>
        </w:tc>
        <w:tc>
          <w:tcPr>
            <w:tcW w:w="236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sz w:val="22"/>
                <w:szCs w:val="22"/>
              </w:rPr>
            </w:pPr>
          </w:p>
        </w:tc>
        <w:tc>
          <w:tcPr>
            <w:tcW w:w="2909"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2"/>
                <w:szCs w:val="22"/>
              </w:rPr>
            </w:pPr>
            <w:r>
              <w:rPr>
                <w:rStyle w:val="13"/>
                <w:rFonts w:ascii="宋体" w:hAnsi="宋体"/>
                <w:sz w:val="22"/>
                <w:szCs w:val="22"/>
              </w:rPr>
              <w:t>AI移动查房系统</w:t>
            </w:r>
          </w:p>
        </w:tc>
        <w:tc>
          <w:tcPr>
            <w:tcW w:w="69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1</w:t>
            </w:r>
          </w:p>
        </w:tc>
        <w:tc>
          <w:tcPr>
            <w:tcW w:w="7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套</w:t>
            </w:r>
          </w:p>
        </w:tc>
        <w:tc>
          <w:tcPr>
            <w:tcW w:w="20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exact"/>
        </w:trPr>
        <w:tc>
          <w:tcPr>
            <w:tcW w:w="722" w:type="dxa"/>
            <w:vMerge w:val="continue"/>
            <w:tcBorders>
              <w:top w:val="single" w:color="000000" w:sz="4" w:space="0"/>
              <w:left w:val="single" w:color="000000" w:sz="4" w:space="0"/>
              <w:bottom w:val="single" w:color="000000" w:sz="4" w:space="0"/>
              <w:right w:val="single" w:color="000000" w:sz="4" w:space="0"/>
            </w:tcBorders>
            <w:vAlign w:val="center"/>
          </w:tcPr>
          <w:p>
            <w:pPr>
              <w:pStyle w:val="71"/>
              <w:numPr>
                <w:ilvl w:val="0"/>
                <w:numId w:val="7"/>
              </w:numPr>
              <w:spacing w:line="360" w:lineRule="auto"/>
              <w:ind w:firstLineChars="0"/>
              <w:jc w:val="center"/>
              <w:textAlignment w:val="auto"/>
              <w:rPr>
                <w:rStyle w:val="13"/>
                <w:rFonts w:ascii="宋体" w:hAnsi="宋体"/>
                <w:sz w:val="22"/>
                <w:szCs w:val="22"/>
              </w:rPr>
            </w:pPr>
          </w:p>
        </w:tc>
        <w:tc>
          <w:tcPr>
            <w:tcW w:w="236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sz w:val="22"/>
                <w:szCs w:val="22"/>
              </w:rPr>
            </w:pPr>
          </w:p>
        </w:tc>
        <w:tc>
          <w:tcPr>
            <w:tcW w:w="2909"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2"/>
                <w:szCs w:val="22"/>
              </w:rPr>
            </w:pPr>
            <w:r>
              <w:rPr>
                <w:rStyle w:val="13"/>
                <w:rFonts w:ascii="宋体" w:hAnsi="宋体"/>
                <w:sz w:val="22"/>
                <w:szCs w:val="22"/>
              </w:rPr>
              <w:t>AI移动护理工作站系统</w:t>
            </w:r>
          </w:p>
        </w:tc>
        <w:tc>
          <w:tcPr>
            <w:tcW w:w="69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1</w:t>
            </w:r>
          </w:p>
        </w:tc>
        <w:tc>
          <w:tcPr>
            <w:tcW w:w="7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套</w:t>
            </w:r>
          </w:p>
        </w:tc>
        <w:tc>
          <w:tcPr>
            <w:tcW w:w="20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exact"/>
        </w:trPr>
        <w:tc>
          <w:tcPr>
            <w:tcW w:w="722" w:type="dxa"/>
            <w:vMerge w:val="continue"/>
            <w:tcBorders>
              <w:top w:val="single" w:color="000000" w:sz="4" w:space="0"/>
              <w:left w:val="single" w:color="000000" w:sz="4" w:space="0"/>
              <w:bottom w:val="single" w:color="000000" w:sz="4" w:space="0"/>
              <w:right w:val="single" w:color="000000" w:sz="4" w:space="0"/>
            </w:tcBorders>
            <w:vAlign w:val="center"/>
          </w:tcPr>
          <w:p>
            <w:pPr>
              <w:pStyle w:val="71"/>
              <w:numPr>
                <w:ilvl w:val="0"/>
                <w:numId w:val="7"/>
              </w:numPr>
              <w:spacing w:line="360" w:lineRule="auto"/>
              <w:ind w:firstLineChars="0"/>
              <w:jc w:val="center"/>
              <w:textAlignment w:val="auto"/>
              <w:rPr>
                <w:rStyle w:val="13"/>
                <w:rFonts w:ascii="宋体" w:hAnsi="宋体"/>
                <w:sz w:val="22"/>
                <w:szCs w:val="22"/>
              </w:rPr>
            </w:pPr>
          </w:p>
        </w:tc>
        <w:tc>
          <w:tcPr>
            <w:tcW w:w="236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sz w:val="22"/>
                <w:szCs w:val="22"/>
              </w:rPr>
            </w:pPr>
          </w:p>
        </w:tc>
        <w:tc>
          <w:tcPr>
            <w:tcW w:w="2909"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2"/>
                <w:szCs w:val="22"/>
              </w:rPr>
            </w:pPr>
            <w:r>
              <w:rPr>
                <w:rStyle w:val="13"/>
                <w:rFonts w:ascii="宋体" w:hAnsi="宋体"/>
                <w:sz w:val="22"/>
                <w:szCs w:val="22"/>
              </w:rPr>
              <w:t>PDA硬件</w:t>
            </w:r>
          </w:p>
        </w:tc>
        <w:tc>
          <w:tcPr>
            <w:tcW w:w="69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50</w:t>
            </w:r>
          </w:p>
        </w:tc>
        <w:tc>
          <w:tcPr>
            <w:tcW w:w="7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台</w:t>
            </w:r>
          </w:p>
        </w:tc>
        <w:tc>
          <w:tcPr>
            <w:tcW w:w="20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exact"/>
        </w:trPr>
        <w:tc>
          <w:tcPr>
            <w:tcW w:w="722" w:type="dxa"/>
            <w:vMerge w:val="restart"/>
            <w:tcBorders>
              <w:top w:val="single" w:color="000000" w:sz="4" w:space="0"/>
              <w:left w:val="single" w:color="000000" w:sz="4" w:space="0"/>
              <w:bottom w:val="single" w:color="000000" w:sz="4" w:space="0"/>
              <w:right w:val="single" w:color="000000" w:sz="4" w:space="0"/>
            </w:tcBorders>
            <w:vAlign w:val="center"/>
          </w:tcPr>
          <w:p>
            <w:pPr>
              <w:pStyle w:val="71"/>
              <w:numPr>
                <w:ilvl w:val="0"/>
                <w:numId w:val="7"/>
              </w:numPr>
              <w:spacing w:line="360" w:lineRule="auto"/>
              <w:ind w:firstLineChars="0"/>
              <w:jc w:val="center"/>
              <w:textAlignment w:val="auto"/>
              <w:rPr>
                <w:rStyle w:val="13"/>
                <w:rFonts w:ascii="宋体" w:hAnsi="宋体"/>
                <w:sz w:val="22"/>
                <w:szCs w:val="22"/>
              </w:rPr>
            </w:pPr>
          </w:p>
        </w:tc>
        <w:tc>
          <w:tcPr>
            <w:tcW w:w="2366"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2"/>
                <w:szCs w:val="22"/>
              </w:rPr>
            </w:pPr>
            <w:r>
              <w:rPr>
                <w:rStyle w:val="13"/>
                <w:rFonts w:ascii="宋体" w:hAnsi="宋体"/>
                <w:sz w:val="22"/>
                <w:szCs w:val="22"/>
              </w:rPr>
              <w:t>多语言智能窗口话务系统</w:t>
            </w:r>
          </w:p>
        </w:tc>
        <w:tc>
          <w:tcPr>
            <w:tcW w:w="2909"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2"/>
                <w:szCs w:val="22"/>
              </w:rPr>
            </w:pPr>
            <w:r>
              <w:rPr>
                <w:rStyle w:val="13"/>
                <w:rFonts w:ascii="宋体" w:hAnsi="宋体"/>
                <w:sz w:val="22"/>
                <w:szCs w:val="22"/>
              </w:rPr>
              <w:t>汉维翻译终端</w:t>
            </w:r>
          </w:p>
        </w:tc>
        <w:tc>
          <w:tcPr>
            <w:tcW w:w="69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20</w:t>
            </w:r>
          </w:p>
        </w:tc>
        <w:tc>
          <w:tcPr>
            <w:tcW w:w="7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台</w:t>
            </w:r>
          </w:p>
        </w:tc>
        <w:tc>
          <w:tcPr>
            <w:tcW w:w="20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exact"/>
        </w:trPr>
        <w:tc>
          <w:tcPr>
            <w:tcW w:w="722" w:type="dxa"/>
            <w:vMerge w:val="continue"/>
            <w:tcBorders>
              <w:top w:val="single" w:color="000000" w:sz="4" w:space="0"/>
              <w:left w:val="single" w:color="000000" w:sz="4" w:space="0"/>
              <w:bottom w:val="single" w:color="000000" w:sz="4" w:space="0"/>
              <w:right w:val="single" w:color="000000" w:sz="4" w:space="0"/>
            </w:tcBorders>
            <w:vAlign w:val="center"/>
          </w:tcPr>
          <w:p>
            <w:pPr>
              <w:pStyle w:val="71"/>
              <w:numPr>
                <w:ilvl w:val="0"/>
                <w:numId w:val="7"/>
              </w:numPr>
              <w:spacing w:line="360" w:lineRule="auto"/>
              <w:ind w:firstLineChars="0"/>
              <w:jc w:val="center"/>
              <w:textAlignment w:val="auto"/>
              <w:rPr>
                <w:rStyle w:val="13"/>
                <w:rFonts w:ascii="宋体" w:hAnsi="宋体"/>
                <w:sz w:val="22"/>
                <w:szCs w:val="22"/>
              </w:rPr>
            </w:pPr>
          </w:p>
        </w:tc>
        <w:tc>
          <w:tcPr>
            <w:tcW w:w="236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2"/>
                <w:szCs w:val="22"/>
              </w:rPr>
            </w:pPr>
          </w:p>
        </w:tc>
        <w:tc>
          <w:tcPr>
            <w:tcW w:w="2909"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2"/>
                <w:szCs w:val="22"/>
              </w:rPr>
            </w:pPr>
            <w:r>
              <w:rPr>
                <w:rStyle w:val="13"/>
                <w:rFonts w:ascii="宋体" w:hAnsi="宋体"/>
                <w:sz w:val="22"/>
                <w:szCs w:val="22"/>
              </w:rPr>
              <w:t>多语言智能窗口话务系统</w:t>
            </w:r>
          </w:p>
        </w:tc>
        <w:tc>
          <w:tcPr>
            <w:tcW w:w="69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10</w:t>
            </w:r>
          </w:p>
        </w:tc>
        <w:tc>
          <w:tcPr>
            <w:tcW w:w="7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套</w:t>
            </w:r>
          </w:p>
        </w:tc>
        <w:tc>
          <w:tcPr>
            <w:tcW w:w="20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exact"/>
        </w:trPr>
        <w:tc>
          <w:tcPr>
            <w:tcW w:w="722" w:type="dxa"/>
            <w:vMerge w:val="restart"/>
            <w:tcBorders>
              <w:top w:val="single" w:color="000000" w:sz="4" w:space="0"/>
              <w:left w:val="single" w:color="000000" w:sz="4" w:space="0"/>
              <w:bottom w:val="single" w:color="000000" w:sz="4" w:space="0"/>
              <w:right w:val="single" w:color="000000" w:sz="4" w:space="0"/>
            </w:tcBorders>
            <w:vAlign w:val="center"/>
          </w:tcPr>
          <w:p>
            <w:pPr>
              <w:pStyle w:val="71"/>
              <w:numPr>
                <w:ilvl w:val="0"/>
                <w:numId w:val="7"/>
              </w:numPr>
              <w:spacing w:line="360" w:lineRule="auto"/>
              <w:ind w:firstLineChars="0"/>
              <w:jc w:val="center"/>
              <w:textAlignment w:val="auto"/>
              <w:rPr>
                <w:rStyle w:val="13"/>
                <w:rFonts w:ascii="宋体" w:hAnsi="宋体"/>
                <w:sz w:val="22"/>
                <w:szCs w:val="22"/>
              </w:rPr>
            </w:pPr>
          </w:p>
        </w:tc>
        <w:tc>
          <w:tcPr>
            <w:tcW w:w="2366"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2"/>
                <w:szCs w:val="22"/>
              </w:rPr>
            </w:pPr>
            <w:r>
              <w:rPr>
                <w:rStyle w:val="13"/>
                <w:rFonts w:ascii="宋体" w:hAnsi="宋体"/>
                <w:sz w:val="22"/>
                <w:szCs w:val="22"/>
              </w:rPr>
              <w:t>基层服务平台</w:t>
            </w:r>
          </w:p>
        </w:tc>
        <w:tc>
          <w:tcPr>
            <w:tcW w:w="2909"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2"/>
                <w:szCs w:val="22"/>
              </w:rPr>
            </w:pPr>
            <w:r>
              <w:rPr>
                <w:rStyle w:val="13"/>
                <w:rFonts w:ascii="宋体" w:hAnsi="宋体"/>
                <w:sz w:val="22"/>
                <w:szCs w:val="22"/>
              </w:rPr>
              <w:t>基层全科辅助诊疗系统</w:t>
            </w:r>
          </w:p>
        </w:tc>
        <w:tc>
          <w:tcPr>
            <w:tcW w:w="69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1</w:t>
            </w:r>
          </w:p>
        </w:tc>
        <w:tc>
          <w:tcPr>
            <w:tcW w:w="7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套</w:t>
            </w:r>
          </w:p>
        </w:tc>
        <w:tc>
          <w:tcPr>
            <w:tcW w:w="20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exact"/>
        </w:trPr>
        <w:tc>
          <w:tcPr>
            <w:tcW w:w="722" w:type="dxa"/>
            <w:vMerge w:val="continue"/>
            <w:tcBorders>
              <w:top w:val="single" w:color="000000" w:sz="4" w:space="0"/>
              <w:left w:val="single" w:color="000000" w:sz="4" w:space="0"/>
              <w:bottom w:val="single" w:color="000000" w:sz="4" w:space="0"/>
              <w:right w:val="single" w:color="000000" w:sz="4" w:space="0"/>
            </w:tcBorders>
            <w:vAlign w:val="center"/>
          </w:tcPr>
          <w:p>
            <w:pPr>
              <w:pStyle w:val="71"/>
              <w:numPr>
                <w:ilvl w:val="0"/>
                <w:numId w:val="7"/>
              </w:numPr>
              <w:spacing w:line="360" w:lineRule="auto"/>
              <w:ind w:firstLineChars="0"/>
              <w:jc w:val="center"/>
              <w:textAlignment w:val="auto"/>
              <w:rPr>
                <w:rStyle w:val="13"/>
                <w:rFonts w:ascii="宋体" w:hAnsi="宋体"/>
                <w:sz w:val="22"/>
                <w:szCs w:val="22"/>
              </w:rPr>
            </w:pPr>
          </w:p>
        </w:tc>
        <w:tc>
          <w:tcPr>
            <w:tcW w:w="236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2"/>
                <w:szCs w:val="22"/>
              </w:rPr>
            </w:pPr>
          </w:p>
        </w:tc>
        <w:tc>
          <w:tcPr>
            <w:tcW w:w="2909"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2"/>
                <w:szCs w:val="22"/>
              </w:rPr>
            </w:pPr>
            <w:r>
              <w:rPr>
                <w:rStyle w:val="13"/>
                <w:rFonts w:ascii="宋体" w:hAnsi="宋体"/>
                <w:sz w:val="22"/>
                <w:szCs w:val="22"/>
              </w:rPr>
              <w:t>慢病智能管理系统</w:t>
            </w:r>
          </w:p>
        </w:tc>
        <w:tc>
          <w:tcPr>
            <w:tcW w:w="69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1</w:t>
            </w:r>
          </w:p>
        </w:tc>
        <w:tc>
          <w:tcPr>
            <w:tcW w:w="7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套</w:t>
            </w:r>
          </w:p>
        </w:tc>
        <w:tc>
          <w:tcPr>
            <w:tcW w:w="20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exact"/>
        </w:trPr>
        <w:tc>
          <w:tcPr>
            <w:tcW w:w="722" w:type="dxa"/>
            <w:vMerge w:val="continue"/>
            <w:tcBorders>
              <w:top w:val="single" w:color="000000" w:sz="4" w:space="0"/>
              <w:left w:val="single" w:color="000000" w:sz="4" w:space="0"/>
              <w:bottom w:val="single" w:color="000000" w:sz="4" w:space="0"/>
              <w:right w:val="single" w:color="000000" w:sz="4" w:space="0"/>
            </w:tcBorders>
            <w:vAlign w:val="center"/>
          </w:tcPr>
          <w:p>
            <w:pPr>
              <w:pStyle w:val="71"/>
              <w:numPr>
                <w:ilvl w:val="0"/>
                <w:numId w:val="7"/>
              </w:numPr>
              <w:spacing w:line="360" w:lineRule="auto"/>
              <w:ind w:firstLineChars="0"/>
              <w:jc w:val="center"/>
              <w:textAlignment w:val="auto"/>
              <w:rPr>
                <w:rStyle w:val="13"/>
                <w:rFonts w:ascii="宋体" w:hAnsi="宋体"/>
                <w:sz w:val="22"/>
                <w:szCs w:val="22"/>
              </w:rPr>
            </w:pPr>
          </w:p>
        </w:tc>
        <w:tc>
          <w:tcPr>
            <w:tcW w:w="236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2"/>
                <w:szCs w:val="22"/>
              </w:rPr>
            </w:pPr>
          </w:p>
        </w:tc>
        <w:tc>
          <w:tcPr>
            <w:tcW w:w="2909"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2"/>
                <w:szCs w:val="22"/>
              </w:rPr>
            </w:pPr>
            <w:r>
              <w:rPr>
                <w:rStyle w:val="13"/>
                <w:rFonts w:ascii="宋体" w:hAnsi="宋体"/>
                <w:sz w:val="22"/>
                <w:szCs w:val="22"/>
              </w:rPr>
              <w:t>智能血压计</w:t>
            </w:r>
          </w:p>
        </w:tc>
        <w:tc>
          <w:tcPr>
            <w:tcW w:w="69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200</w:t>
            </w:r>
          </w:p>
        </w:tc>
        <w:tc>
          <w:tcPr>
            <w:tcW w:w="7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台</w:t>
            </w:r>
          </w:p>
        </w:tc>
        <w:tc>
          <w:tcPr>
            <w:tcW w:w="2010"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sz w:val="22"/>
                <w:szCs w:val="22"/>
              </w:rPr>
            </w:pPr>
            <w:r>
              <w:rPr>
                <w:rStyle w:val="13"/>
                <w:rFonts w:ascii="宋体" w:hAnsi="宋体"/>
                <w:sz w:val="22"/>
                <w:szCs w:val="22"/>
              </w:rPr>
              <w:t>含流量卡以及一年流量卡的费用。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exact"/>
        </w:trPr>
        <w:tc>
          <w:tcPr>
            <w:tcW w:w="722" w:type="dxa"/>
            <w:vMerge w:val="continue"/>
            <w:tcBorders>
              <w:top w:val="single" w:color="000000" w:sz="4" w:space="0"/>
              <w:left w:val="single" w:color="000000" w:sz="4" w:space="0"/>
              <w:bottom w:val="single" w:color="000000" w:sz="4" w:space="0"/>
              <w:right w:val="single" w:color="000000" w:sz="4" w:space="0"/>
            </w:tcBorders>
            <w:vAlign w:val="center"/>
          </w:tcPr>
          <w:p>
            <w:pPr>
              <w:pStyle w:val="71"/>
              <w:numPr>
                <w:ilvl w:val="0"/>
                <w:numId w:val="7"/>
              </w:numPr>
              <w:spacing w:line="360" w:lineRule="auto"/>
              <w:ind w:firstLineChars="0"/>
              <w:jc w:val="center"/>
              <w:textAlignment w:val="auto"/>
              <w:rPr>
                <w:rStyle w:val="13"/>
                <w:rFonts w:ascii="宋体" w:hAnsi="宋体"/>
                <w:sz w:val="22"/>
                <w:szCs w:val="22"/>
              </w:rPr>
            </w:pPr>
          </w:p>
        </w:tc>
        <w:tc>
          <w:tcPr>
            <w:tcW w:w="236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2"/>
                <w:szCs w:val="22"/>
              </w:rPr>
            </w:pPr>
          </w:p>
        </w:tc>
        <w:tc>
          <w:tcPr>
            <w:tcW w:w="2909"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2"/>
                <w:szCs w:val="22"/>
              </w:rPr>
            </w:pPr>
            <w:r>
              <w:rPr>
                <w:rStyle w:val="13"/>
                <w:rFonts w:ascii="宋体" w:hAnsi="宋体"/>
                <w:sz w:val="22"/>
                <w:szCs w:val="22"/>
              </w:rPr>
              <w:t>智能语音外呼助手系统</w:t>
            </w:r>
          </w:p>
        </w:tc>
        <w:tc>
          <w:tcPr>
            <w:tcW w:w="69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1</w:t>
            </w:r>
          </w:p>
        </w:tc>
        <w:tc>
          <w:tcPr>
            <w:tcW w:w="7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套</w:t>
            </w:r>
          </w:p>
        </w:tc>
        <w:tc>
          <w:tcPr>
            <w:tcW w:w="2010"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sz w:val="22"/>
                <w:szCs w:val="22"/>
              </w:rPr>
            </w:pPr>
            <w:r>
              <w:rPr>
                <w:rStyle w:val="13"/>
                <w:rFonts w:ascii="宋体" w:hAnsi="宋体"/>
                <w:sz w:val="22"/>
                <w:szCs w:val="22"/>
              </w:rPr>
              <w:t>含54万人次外呼，108万人次短信，有效期1年。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exact"/>
        </w:trPr>
        <w:tc>
          <w:tcPr>
            <w:tcW w:w="722" w:type="dxa"/>
            <w:vMerge w:val="continue"/>
            <w:tcBorders>
              <w:top w:val="single" w:color="000000" w:sz="4" w:space="0"/>
              <w:left w:val="single" w:color="000000" w:sz="4" w:space="0"/>
              <w:bottom w:val="single" w:color="000000" w:sz="4" w:space="0"/>
              <w:right w:val="single" w:color="000000" w:sz="4" w:space="0"/>
            </w:tcBorders>
            <w:vAlign w:val="center"/>
          </w:tcPr>
          <w:p>
            <w:pPr>
              <w:pStyle w:val="71"/>
              <w:numPr>
                <w:ilvl w:val="0"/>
                <w:numId w:val="7"/>
              </w:numPr>
              <w:spacing w:line="360" w:lineRule="auto"/>
              <w:ind w:firstLineChars="0"/>
              <w:jc w:val="center"/>
              <w:textAlignment w:val="auto"/>
              <w:rPr>
                <w:rStyle w:val="13"/>
                <w:rFonts w:ascii="宋体" w:hAnsi="宋体"/>
                <w:sz w:val="22"/>
                <w:szCs w:val="22"/>
              </w:rPr>
            </w:pPr>
          </w:p>
        </w:tc>
        <w:tc>
          <w:tcPr>
            <w:tcW w:w="236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sz w:val="22"/>
                <w:szCs w:val="22"/>
              </w:rPr>
            </w:pPr>
          </w:p>
        </w:tc>
        <w:tc>
          <w:tcPr>
            <w:tcW w:w="2909"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2"/>
                <w:szCs w:val="22"/>
              </w:rPr>
            </w:pPr>
            <w:r>
              <w:rPr>
                <w:rStyle w:val="13"/>
                <w:rFonts w:ascii="宋体" w:hAnsi="宋体"/>
                <w:sz w:val="22"/>
                <w:szCs w:val="22"/>
              </w:rPr>
              <w:t>在线教育培训与管理</w:t>
            </w:r>
          </w:p>
        </w:tc>
        <w:tc>
          <w:tcPr>
            <w:tcW w:w="69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1</w:t>
            </w:r>
          </w:p>
        </w:tc>
        <w:tc>
          <w:tcPr>
            <w:tcW w:w="7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套</w:t>
            </w:r>
          </w:p>
        </w:tc>
        <w:tc>
          <w:tcPr>
            <w:tcW w:w="20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exact"/>
        </w:trPr>
        <w:tc>
          <w:tcPr>
            <w:tcW w:w="722" w:type="dxa"/>
            <w:vMerge w:val="restart"/>
            <w:tcBorders>
              <w:top w:val="single" w:color="000000" w:sz="4" w:space="0"/>
              <w:left w:val="single" w:color="000000" w:sz="4" w:space="0"/>
              <w:bottom w:val="single" w:color="000000" w:sz="4" w:space="0"/>
              <w:right w:val="single" w:color="000000" w:sz="4" w:space="0"/>
            </w:tcBorders>
            <w:vAlign w:val="center"/>
          </w:tcPr>
          <w:p>
            <w:pPr>
              <w:pStyle w:val="71"/>
              <w:numPr>
                <w:ilvl w:val="0"/>
                <w:numId w:val="7"/>
              </w:numPr>
              <w:spacing w:line="360" w:lineRule="auto"/>
              <w:ind w:firstLineChars="0"/>
              <w:jc w:val="center"/>
              <w:textAlignment w:val="auto"/>
              <w:rPr>
                <w:rStyle w:val="13"/>
                <w:rFonts w:ascii="宋体" w:hAnsi="宋体"/>
                <w:sz w:val="22"/>
                <w:szCs w:val="22"/>
              </w:rPr>
            </w:pPr>
          </w:p>
        </w:tc>
        <w:tc>
          <w:tcPr>
            <w:tcW w:w="2366"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sz w:val="22"/>
                <w:szCs w:val="22"/>
              </w:rPr>
            </w:pPr>
            <w:r>
              <w:rPr>
                <w:rStyle w:val="13"/>
                <w:rFonts w:ascii="宋体" w:hAnsi="宋体"/>
                <w:sz w:val="22"/>
                <w:szCs w:val="22"/>
              </w:rPr>
              <w:t>互联网医疗平台</w:t>
            </w:r>
          </w:p>
        </w:tc>
        <w:tc>
          <w:tcPr>
            <w:tcW w:w="2909"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2"/>
                <w:szCs w:val="22"/>
              </w:rPr>
            </w:pPr>
            <w:r>
              <w:rPr>
                <w:rStyle w:val="13"/>
                <w:rFonts w:ascii="宋体" w:hAnsi="宋体"/>
                <w:sz w:val="22"/>
                <w:szCs w:val="22"/>
              </w:rPr>
              <w:t>智能导诊预约</w:t>
            </w:r>
          </w:p>
        </w:tc>
        <w:tc>
          <w:tcPr>
            <w:tcW w:w="69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1</w:t>
            </w:r>
          </w:p>
        </w:tc>
        <w:tc>
          <w:tcPr>
            <w:tcW w:w="7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套</w:t>
            </w:r>
          </w:p>
        </w:tc>
        <w:tc>
          <w:tcPr>
            <w:tcW w:w="20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exact"/>
        </w:trPr>
        <w:tc>
          <w:tcPr>
            <w:tcW w:w="722" w:type="dxa"/>
            <w:vMerge w:val="continue"/>
            <w:tcBorders>
              <w:top w:val="single" w:color="000000" w:sz="4" w:space="0"/>
              <w:left w:val="single" w:color="000000" w:sz="4" w:space="0"/>
              <w:bottom w:val="single" w:color="000000" w:sz="4" w:space="0"/>
              <w:right w:val="single" w:color="000000" w:sz="4" w:space="0"/>
            </w:tcBorders>
            <w:vAlign w:val="center"/>
          </w:tcPr>
          <w:p>
            <w:pPr>
              <w:pStyle w:val="71"/>
              <w:numPr>
                <w:ilvl w:val="0"/>
                <w:numId w:val="7"/>
              </w:numPr>
              <w:spacing w:line="360" w:lineRule="auto"/>
              <w:ind w:firstLineChars="0"/>
              <w:jc w:val="center"/>
              <w:textAlignment w:val="auto"/>
              <w:rPr>
                <w:rStyle w:val="13"/>
                <w:rFonts w:ascii="宋体" w:hAnsi="宋体"/>
                <w:sz w:val="22"/>
                <w:szCs w:val="22"/>
              </w:rPr>
            </w:pPr>
          </w:p>
        </w:tc>
        <w:tc>
          <w:tcPr>
            <w:tcW w:w="236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sz w:val="22"/>
                <w:szCs w:val="22"/>
              </w:rPr>
            </w:pPr>
          </w:p>
        </w:tc>
        <w:tc>
          <w:tcPr>
            <w:tcW w:w="2909"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2"/>
                <w:szCs w:val="22"/>
              </w:rPr>
            </w:pPr>
            <w:r>
              <w:rPr>
                <w:rStyle w:val="13"/>
                <w:rFonts w:ascii="宋体" w:hAnsi="宋体"/>
                <w:sz w:val="22"/>
                <w:szCs w:val="22"/>
              </w:rPr>
              <w:t>在线咨询诊疗</w:t>
            </w:r>
          </w:p>
        </w:tc>
        <w:tc>
          <w:tcPr>
            <w:tcW w:w="69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1</w:t>
            </w:r>
          </w:p>
        </w:tc>
        <w:tc>
          <w:tcPr>
            <w:tcW w:w="7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套</w:t>
            </w:r>
          </w:p>
        </w:tc>
        <w:tc>
          <w:tcPr>
            <w:tcW w:w="20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exact"/>
        </w:trPr>
        <w:tc>
          <w:tcPr>
            <w:tcW w:w="722" w:type="dxa"/>
            <w:vMerge w:val="continue"/>
            <w:tcBorders>
              <w:top w:val="single" w:color="000000" w:sz="4" w:space="0"/>
              <w:left w:val="single" w:color="000000" w:sz="4" w:space="0"/>
              <w:bottom w:val="single" w:color="000000" w:sz="4" w:space="0"/>
              <w:right w:val="single" w:color="000000" w:sz="4" w:space="0"/>
            </w:tcBorders>
            <w:vAlign w:val="center"/>
          </w:tcPr>
          <w:p>
            <w:pPr>
              <w:pStyle w:val="71"/>
              <w:numPr>
                <w:ilvl w:val="0"/>
                <w:numId w:val="7"/>
              </w:numPr>
              <w:spacing w:line="360" w:lineRule="auto"/>
              <w:ind w:firstLineChars="0"/>
              <w:jc w:val="center"/>
              <w:textAlignment w:val="auto"/>
              <w:rPr>
                <w:rStyle w:val="13"/>
                <w:rFonts w:ascii="宋体" w:hAnsi="宋体"/>
                <w:sz w:val="22"/>
                <w:szCs w:val="22"/>
              </w:rPr>
            </w:pPr>
          </w:p>
        </w:tc>
        <w:tc>
          <w:tcPr>
            <w:tcW w:w="236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sz w:val="22"/>
                <w:szCs w:val="22"/>
              </w:rPr>
            </w:pPr>
          </w:p>
        </w:tc>
        <w:tc>
          <w:tcPr>
            <w:tcW w:w="2909"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2"/>
                <w:szCs w:val="22"/>
              </w:rPr>
            </w:pPr>
            <w:r>
              <w:rPr>
                <w:rStyle w:val="13"/>
                <w:rFonts w:ascii="宋体" w:hAnsi="宋体"/>
                <w:sz w:val="22"/>
                <w:szCs w:val="22"/>
              </w:rPr>
              <w:t>移动支付</w:t>
            </w:r>
          </w:p>
        </w:tc>
        <w:tc>
          <w:tcPr>
            <w:tcW w:w="69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1</w:t>
            </w:r>
          </w:p>
        </w:tc>
        <w:tc>
          <w:tcPr>
            <w:tcW w:w="7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套</w:t>
            </w:r>
          </w:p>
        </w:tc>
        <w:tc>
          <w:tcPr>
            <w:tcW w:w="20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exact"/>
        </w:trPr>
        <w:tc>
          <w:tcPr>
            <w:tcW w:w="722" w:type="dxa"/>
            <w:vMerge w:val="continue"/>
            <w:tcBorders>
              <w:top w:val="single" w:color="000000" w:sz="4" w:space="0"/>
              <w:left w:val="single" w:color="000000" w:sz="4" w:space="0"/>
              <w:bottom w:val="single" w:color="000000" w:sz="4" w:space="0"/>
              <w:right w:val="single" w:color="000000" w:sz="4" w:space="0"/>
            </w:tcBorders>
            <w:vAlign w:val="center"/>
          </w:tcPr>
          <w:p>
            <w:pPr>
              <w:pStyle w:val="71"/>
              <w:numPr>
                <w:ilvl w:val="0"/>
                <w:numId w:val="7"/>
              </w:numPr>
              <w:spacing w:line="360" w:lineRule="auto"/>
              <w:ind w:firstLineChars="0"/>
              <w:jc w:val="center"/>
              <w:textAlignment w:val="auto"/>
              <w:rPr>
                <w:rStyle w:val="13"/>
                <w:rFonts w:ascii="宋体" w:hAnsi="宋体"/>
                <w:sz w:val="22"/>
                <w:szCs w:val="22"/>
              </w:rPr>
            </w:pPr>
          </w:p>
        </w:tc>
        <w:tc>
          <w:tcPr>
            <w:tcW w:w="236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sz w:val="22"/>
                <w:szCs w:val="22"/>
              </w:rPr>
            </w:pPr>
          </w:p>
        </w:tc>
        <w:tc>
          <w:tcPr>
            <w:tcW w:w="2909"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2"/>
                <w:szCs w:val="22"/>
              </w:rPr>
            </w:pPr>
            <w:r>
              <w:rPr>
                <w:rStyle w:val="13"/>
                <w:rFonts w:ascii="宋体" w:hAnsi="宋体"/>
                <w:sz w:val="22"/>
                <w:szCs w:val="22"/>
              </w:rPr>
              <w:t>智能处方流转</w:t>
            </w:r>
          </w:p>
        </w:tc>
        <w:tc>
          <w:tcPr>
            <w:tcW w:w="69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1</w:t>
            </w:r>
          </w:p>
        </w:tc>
        <w:tc>
          <w:tcPr>
            <w:tcW w:w="7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套</w:t>
            </w:r>
          </w:p>
        </w:tc>
        <w:tc>
          <w:tcPr>
            <w:tcW w:w="20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exact"/>
        </w:trPr>
        <w:tc>
          <w:tcPr>
            <w:tcW w:w="722" w:type="dxa"/>
            <w:vMerge w:val="continue"/>
            <w:tcBorders>
              <w:top w:val="single" w:color="000000" w:sz="4" w:space="0"/>
              <w:left w:val="single" w:color="000000" w:sz="4" w:space="0"/>
              <w:bottom w:val="single" w:color="000000" w:sz="4" w:space="0"/>
              <w:right w:val="single" w:color="000000" w:sz="4" w:space="0"/>
            </w:tcBorders>
            <w:vAlign w:val="center"/>
          </w:tcPr>
          <w:p>
            <w:pPr>
              <w:pStyle w:val="71"/>
              <w:numPr>
                <w:ilvl w:val="0"/>
                <w:numId w:val="7"/>
              </w:numPr>
              <w:spacing w:line="360" w:lineRule="auto"/>
              <w:ind w:firstLineChars="0"/>
              <w:jc w:val="center"/>
              <w:textAlignment w:val="auto"/>
              <w:rPr>
                <w:rStyle w:val="13"/>
                <w:rFonts w:ascii="宋体" w:hAnsi="宋体"/>
                <w:sz w:val="22"/>
                <w:szCs w:val="22"/>
              </w:rPr>
            </w:pPr>
          </w:p>
        </w:tc>
        <w:tc>
          <w:tcPr>
            <w:tcW w:w="236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sz w:val="22"/>
                <w:szCs w:val="22"/>
              </w:rPr>
            </w:pPr>
          </w:p>
        </w:tc>
        <w:tc>
          <w:tcPr>
            <w:tcW w:w="2909"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2"/>
                <w:szCs w:val="22"/>
              </w:rPr>
            </w:pPr>
            <w:r>
              <w:rPr>
                <w:rStyle w:val="13"/>
                <w:rFonts w:ascii="宋体" w:hAnsi="宋体"/>
                <w:sz w:val="22"/>
                <w:szCs w:val="22"/>
              </w:rPr>
              <w:t>药物配送</w:t>
            </w:r>
          </w:p>
        </w:tc>
        <w:tc>
          <w:tcPr>
            <w:tcW w:w="69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1</w:t>
            </w:r>
          </w:p>
        </w:tc>
        <w:tc>
          <w:tcPr>
            <w:tcW w:w="7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套</w:t>
            </w:r>
          </w:p>
        </w:tc>
        <w:tc>
          <w:tcPr>
            <w:tcW w:w="20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exact"/>
        </w:trPr>
        <w:tc>
          <w:tcPr>
            <w:tcW w:w="722" w:type="dxa"/>
            <w:vMerge w:val="continue"/>
            <w:tcBorders>
              <w:top w:val="single" w:color="000000" w:sz="4" w:space="0"/>
              <w:left w:val="single" w:color="000000" w:sz="4" w:space="0"/>
              <w:bottom w:val="single" w:color="000000" w:sz="4" w:space="0"/>
              <w:right w:val="single" w:color="000000" w:sz="4" w:space="0"/>
            </w:tcBorders>
            <w:vAlign w:val="center"/>
          </w:tcPr>
          <w:p>
            <w:pPr>
              <w:pStyle w:val="71"/>
              <w:numPr>
                <w:ilvl w:val="0"/>
                <w:numId w:val="7"/>
              </w:numPr>
              <w:spacing w:line="360" w:lineRule="auto"/>
              <w:ind w:firstLineChars="0"/>
              <w:jc w:val="center"/>
              <w:textAlignment w:val="auto"/>
              <w:rPr>
                <w:rStyle w:val="13"/>
                <w:rFonts w:ascii="宋体" w:hAnsi="宋体"/>
                <w:sz w:val="22"/>
                <w:szCs w:val="22"/>
              </w:rPr>
            </w:pPr>
          </w:p>
        </w:tc>
        <w:tc>
          <w:tcPr>
            <w:tcW w:w="236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sz w:val="22"/>
                <w:szCs w:val="22"/>
              </w:rPr>
            </w:pPr>
          </w:p>
        </w:tc>
        <w:tc>
          <w:tcPr>
            <w:tcW w:w="2909"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2"/>
                <w:szCs w:val="22"/>
              </w:rPr>
            </w:pPr>
            <w:r>
              <w:rPr>
                <w:rStyle w:val="13"/>
                <w:rFonts w:ascii="宋体" w:hAnsi="宋体"/>
                <w:sz w:val="22"/>
                <w:szCs w:val="22"/>
              </w:rPr>
              <w:t>互联网协同平台</w:t>
            </w:r>
          </w:p>
        </w:tc>
        <w:tc>
          <w:tcPr>
            <w:tcW w:w="69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1</w:t>
            </w:r>
          </w:p>
        </w:tc>
        <w:tc>
          <w:tcPr>
            <w:tcW w:w="7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套</w:t>
            </w:r>
          </w:p>
        </w:tc>
        <w:tc>
          <w:tcPr>
            <w:tcW w:w="20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exact"/>
        </w:trPr>
        <w:tc>
          <w:tcPr>
            <w:tcW w:w="722" w:type="dxa"/>
            <w:vMerge w:val="continue"/>
            <w:tcBorders>
              <w:top w:val="single" w:color="000000" w:sz="4" w:space="0"/>
              <w:left w:val="single" w:color="000000" w:sz="4" w:space="0"/>
              <w:bottom w:val="single" w:color="000000" w:sz="4" w:space="0"/>
              <w:right w:val="single" w:color="000000" w:sz="4" w:space="0"/>
            </w:tcBorders>
            <w:vAlign w:val="center"/>
          </w:tcPr>
          <w:p>
            <w:pPr>
              <w:pStyle w:val="71"/>
              <w:numPr>
                <w:ilvl w:val="0"/>
                <w:numId w:val="7"/>
              </w:numPr>
              <w:spacing w:line="360" w:lineRule="auto"/>
              <w:ind w:firstLineChars="0"/>
              <w:jc w:val="center"/>
              <w:textAlignment w:val="auto"/>
              <w:rPr>
                <w:rStyle w:val="13"/>
                <w:rFonts w:ascii="宋体" w:hAnsi="宋体"/>
                <w:sz w:val="22"/>
                <w:szCs w:val="22"/>
              </w:rPr>
            </w:pPr>
          </w:p>
        </w:tc>
        <w:tc>
          <w:tcPr>
            <w:tcW w:w="236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sz w:val="22"/>
                <w:szCs w:val="22"/>
              </w:rPr>
            </w:pPr>
          </w:p>
        </w:tc>
        <w:tc>
          <w:tcPr>
            <w:tcW w:w="2909"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2"/>
                <w:szCs w:val="22"/>
              </w:rPr>
            </w:pPr>
            <w:r>
              <w:rPr>
                <w:rStyle w:val="13"/>
                <w:rFonts w:ascii="宋体" w:hAnsi="宋体"/>
                <w:sz w:val="22"/>
                <w:szCs w:val="22"/>
              </w:rPr>
              <w:t>基础支撑平台</w:t>
            </w:r>
          </w:p>
        </w:tc>
        <w:tc>
          <w:tcPr>
            <w:tcW w:w="69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1</w:t>
            </w:r>
          </w:p>
        </w:tc>
        <w:tc>
          <w:tcPr>
            <w:tcW w:w="7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套</w:t>
            </w:r>
          </w:p>
        </w:tc>
        <w:tc>
          <w:tcPr>
            <w:tcW w:w="20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exact"/>
        </w:trPr>
        <w:tc>
          <w:tcPr>
            <w:tcW w:w="722" w:type="dxa"/>
            <w:vMerge w:val="restart"/>
            <w:tcBorders>
              <w:top w:val="single" w:color="000000" w:sz="4" w:space="0"/>
              <w:left w:val="single" w:color="000000" w:sz="4" w:space="0"/>
              <w:bottom w:val="single" w:color="000000" w:sz="4" w:space="0"/>
              <w:right w:val="single" w:color="000000" w:sz="4" w:space="0"/>
            </w:tcBorders>
            <w:vAlign w:val="center"/>
          </w:tcPr>
          <w:p>
            <w:pPr>
              <w:pStyle w:val="71"/>
              <w:numPr>
                <w:ilvl w:val="0"/>
                <w:numId w:val="7"/>
              </w:numPr>
              <w:spacing w:line="360" w:lineRule="auto"/>
              <w:ind w:firstLineChars="0"/>
              <w:jc w:val="center"/>
              <w:textAlignment w:val="auto"/>
              <w:rPr>
                <w:rStyle w:val="13"/>
                <w:rFonts w:ascii="宋体" w:hAnsi="宋体"/>
                <w:sz w:val="22"/>
                <w:szCs w:val="22"/>
              </w:rPr>
            </w:pPr>
          </w:p>
        </w:tc>
        <w:tc>
          <w:tcPr>
            <w:tcW w:w="2366"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2"/>
                <w:szCs w:val="22"/>
              </w:rPr>
            </w:pPr>
            <w:r>
              <w:rPr>
                <w:rStyle w:val="13"/>
                <w:rFonts w:ascii="宋体" w:hAnsi="宋体"/>
                <w:sz w:val="22"/>
                <w:szCs w:val="22"/>
              </w:rPr>
              <w:t>综合监测平台</w:t>
            </w:r>
          </w:p>
        </w:tc>
        <w:tc>
          <w:tcPr>
            <w:tcW w:w="2909"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2"/>
                <w:szCs w:val="22"/>
              </w:rPr>
            </w:pPr>
            <w:r>
              <w:rPr>
                <w:rStyle w:val="13"/>
                <w:rFonts w:ascii="宋体" w:hAnsi="宋体"/>
                <w:sz w:val="22"/>
                <w:szCs w:val="22"/>
              </w:rPr>
              <w:t>人工智能质控审核系统</w:t>
            </w:r>
          </w:p>
        </w:tc>
        <w:tc>
          <w:tcPr>
            <w:tcW w:w="69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1</w:t>
            </w:r>
          </w:p>
        </w:tc>
        <w:tc>
          <w:tcPr>
            <w:tcW w:w="7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套</w:t>
            </w:r>
          </w:p>
        </w:tc>
        <w:tc>
          <w:tcPr>
            <w:tcW w:w="20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exact"/>
        </w:trPr>
        <w:tc>
          <w:tcPr>
            <w:tcW w:w="722" w:type="dxa"/>
            <w:vMerge w:val="continue"/>
            <w:tcBorders>
              <w:top w:val="single" w:color="000000" w:sz="4" w:space="0"/>
              <w:left w:val="single" w:color="000000" w:sz="4" w:space="0"/>
              <w:bottom w:val="single" w:color="000000" w:sz="4" w:space="0"/>
              <w:right w:val="single" w:color="000000" w:sz="4" w:space="0"/>
            </w:tcBorders>
            <w:vAlign w:val="center"/>
          </w:tcPr>
          <w:p>
            <w:pPr>
              <w:pStyle w:val="71"/>
              <w:numPr>
                <w:ilvl w:val="0"/>
                <w:numId w:val="7"/>
              </w:numPr>
              <w:spacing w:line="360" w:lineRule="auto"/>
              <w:ind w:firstLineChars="0"/>
              <w:jc w:val="center"/>
              <w:textAlignment w:val="auto"/>
              <w:rPr>
                <w:rStyle w:val="13"/>
                <w:rFonts w:ascii="宋体" w:hAnsi="宋体"/>
                <w:sz w:val="22"/>
                <w:szCs w:val="22"/>
              </w:rPr>
            </w:pPr>
          </w:p>
        </w:tc>
        <w:tc>
          <w:tcPr>
            <w:tcW w:w="236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sz w:val="22"/>
                <w:szCs w:val="22"/>
              </w:rPr>
            </w:pPr>
          </w:p>
        </w:tc>
        <w:tc>
          <w:tcPr>
            <w:tcW w:w="2909"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2"/>
                <w:szCs w:val="22"/>
              </w:rPr>
            </w:pPr>
            <w:r>
              <w:rPr>
                <w:rStyle w:val="13"/>
                <w:rFonts w:ascii="宋体" w:hAnsi="宋体"/>
                <w:sz w:val="22"/>
                <w:szCs w:val="22"/>
              </w:rPr>
              <w:t>运行及监管平台</w:t>
            </w:r>
          </w:p>
        </w:tc>
        <w:tc>
          <w:tcPr>
            <w:tcW w:w="69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1</w:t>
            </w:r>
          </w:p>
        </w:tc>
        <w:tc>
          <w:tcPr>
            <w:tcW w:w="7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套</w:t>
            </w:r>
          </w:p>
        </w:tc>
        <w:tc>
          <w:tcPr>
            <w:tcW w:w="20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exact"/>
        </w:trPr>
        <w:tc>
          <w:tcPr>
            <w:tcW w:w="722" w:type="dxa"/>
            <w:vMerge w:val="restart"/>
            <w:tcBorders>
              <w:top w:val="single" w:color="000000" w:sz="4" w:space="0"/>
              <w:left w:val="single" w:color="000000" w:sz="4" w:space="0"/>
              <w:bottom w:val="single" w:color="000000" w:sz="4" w:space="0"/>
              <w:right w:val="single" w:color="000000" w:sz="4" w:space="0"/>
            </w:tcBorders>
            <w:vAlign w:val="center"/>
          </w:tcPr>
          <w:p>
            <w:pPr>
              <w:pStyle w:val="71"/>
              <w:numPr>
                <w:ilvl w:val="0"/>
                <w:numId w:val="7"/>
              </w:numPr>
              <w:spacing w:line="360" w:lineRule="auto"/>
              <w:ind w:firstLineChars="0"/>
              <w:jc w:val="center"/>
              <w:textAlignment w:val="auto"/>
              <w:rPr>
                <w:rStyle w:val="13"/>
                <w:rFonts w:ascii="宋体" w:hAnsi="宋体"/>
                <w:sz w:val="22"/>
                <w:szCs w:val="22"/>
              </w:rPr>
            </w:pPr>
          </w:p>
        </w:tc>
        <w:tc>
          <w:tcPr>
            <w:tcW w:w="2366"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sz w:val="22"/>
                <w:szCs w:val="22"/>
              </w:rPr>
            </w:pPr>
            <w:r>
              <w:rPr>
                <w:rStyle w:val="13"/>
                <w:rFonts w:ascii="宋体" w:hAnsi="宋体"/>
                <w:sz w:val="22"/>
                <w:szCs w:val="22"/>
              </w:rPr>
              <w:t>县卫健委后台硬件</w:t>
            </w:r>
          </w:p>
        </w:tc>
        <w:tc>
          <w:tcPr>
            <w:tcW w:w="2909"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2"/>
                <w:szCs w:val="22"/>
              </w:rPr>
            </w:pPr>
            <w:r>
              <w:rPr>
                <w:rStyle w:val="13"/>
                <w:rFonts w:ascii="宋体" w:hAnsi="宋体"/>
                <w:sz w:val="22"/>
                <w:szCs w:val="22"/>
              </w:rPr>
              <w:t>超融合服务器</w:t>
            </w:r>
          </w:p>
        </w:tc>
        <w:tc>
          <w:tcPr>
            <w:tcW w:w="69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6</w:t>
            </w:r>
          </w:p>
        </w:tc>
        <w:tc>
          <w:tcPr>
            <w:tcW w:w="7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台</w:t>
            </w:r>
          </w:p>
        </w:tc>
        <w:tc>
          <w:tcPr>
            <w:tcW w:w="20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exact"/>
        </w:trPr>
        <w:tc>
          <w:tcPr>
            <w:tcW w:w="722" w:type="dxa"/>
            <w:vMerge w:val="continue"/>
            <w:tcBorders>
              <w:top w:val="single" w:color="000000" w:sz="4" w:space="0"/>
              <w:left w:val="single" w:color="000000" w:sz="4" w:space="0"/>
              <w:bottom w:val="single" w:color="000000" w:sz="4" w:space="0"/>
              <w:right w:val="single" w:color="000000" w:sz="4" w:space="0"/>
            </w:tcBorders>
            <w:vAlign w:val="center"/>
          </w:tcPr>
          <w:p>
            <w:pPr>
              <w:pStyle w:val="71"/>
              <w:numPr>
                <w:ilvl w:val="0"/>
                <w:numId w:val="7"/>
              </w:numPr>
              <w:spacing w:line="360" w:lineRule="auto"/>
              <w:ind w:firstLineChars="0"/>
              <w:jc w:val="center"/>
              <w:textAlignment w:val="auto"/>
              <w:rPr>
                <w:rStyle w:val="13"/>
                <w:rFonts w:ascii="宋体" w:hAnsi="宋体"/>
                <w:sz w:val="22"/>
                <w:szCs w:val="22"/>
              </w:rPr>
            </w:pPr>
          </w:p>
        </w:tc>
        <w:tc>
          <w:tcPr>
            <w:tcW w:w="236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sz w:val="22"/>
                <w:szCs w:val="22"/>
              </w:rPr>
            </w:pPr>
          </w:p>
        </w:tc>
        <w:tc>
          <w:tcPr>
            <w:tcW w:w="2909"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2"/>
                <w:szCs w:val="22"/>
              </w:rPr>
            </w:pPr>
            <w:r>
              <w:rPr>
                <w:rStyle w:val="13"/>
                <w:rFonts w:ascii="宋体" w:hAnsi="宋体"/>
                <w:sz w:val="22"/>
                <w:szCs w:val="22"/>
              </w:rPr>
              <w:t>服务器虚拟化软件</w:t>
            </w:r>
          </w:p>
        </w:tc>
        <w:tc>
          <w:tcPr>
            <w:tcW w:w="69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12</w:t>
            </w:r>
          </w:p>
        </w:tc>
        <w:tc>
          <w:tcPr>
            <w:tcW w:w="7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CPU授权</w:t>
            </w:r>
          </w:p>
        </w:tc>
        <w:tc>
          <w:tcPr>
            <w:tcW w:w="20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exact"/>
        </w:trPr>
        <w:tc>
          <w:tcPr>
            <w:tcW w:w="722" w:type="dxa"/>
            <w:vMerge w:val="continue"/>
            <w:tcBorders>
              <w:top w:val="single" w:color="000000" w:sz="4" w:space="0"/>
              <w:left w:val="single" w:color="000000" w:sz="4" w:space="0"/>
              <w:bottom w:val="single" w:color="000000" w:sz="4" w:space="0"/>
              <w:right w:val="single" w:color="000000" w:sz="4" w:space="0"/>
            </w:tcBorders>
            <w:vAlign w:val="center"/>
          </w:tcPr>
          <w:p>
            <w:pPr>
              <w:pStyle w:val="71"/>
              <w:numPr>
                <w:ilvl w:val="0"/>
                <w:numId w:val="7"/>
              </w:numPr>
              <w:spacing w:line="360" w:lineRule="auto"/>
              <w:ind w:firstLineChars="0"/>
              <w:jc w:val="center"/>
              <w:textAlignment w:val="auto"/>
              <w:rPr>
                <w:rStyle w:val="13"/>
                <w:rFonts w:ascii="宋体" w:hAnsi="宋体"/>
                <w:sz w:val="22"/>
                <w:szCs w:val="22"/>
              </w:rPr>
            </w:pPr>
          </w:p>
        </w:tc>
        <w:tc>
          <w:tcPr>
            <w:tcW w:w="236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sz w:val="22"/>
                <w:szCs w:val="22"/>
              </w:rPr>
            </w:pPr>
          </w:p>
        </w:tc>
        <w:tc>
          <w:tcPr>
            <w:tcW w:w="2909"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2"/>
                <w:szCs w:val="22"/>
              </w:rPr>
            </w:pPr>
            <w:r>
              <w:rPr>
                <w:rStyle w:val="13"/>
                <w:rFonts w:ascii="宋体" w:hAnsi="宋体"/>
                <w:sz w:val="22"/>
                <w:szCs w:val="22"/>
              </w:rPr>
              <w:t>分布式存储软件</w:t>
            </w:r>
          </w:p>
        </w:tc>
        <w:tc>
          <w:tcPr>
            <w:tcW w:w="69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12</w:t>
            </w:r>
          </w:p>
        </w:tc>
        <w:tc>
          <w:tcPr>
            <w:tcW w:w="7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CPU授权</w:t>
            </w:r>
          </w:p>
        </w:tc>
        <w:tc>
          <w:tcPr>
            <w:tcW w:w="20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exact"/>
        </w:trPr>
        <w:tc>
          <w:tcPr>
            <w:tcW w:w="722" w:type="dxa"/>
            <w:vMerge w:val="continue"/>
            <w:tcBorders>
              <w:top w:val="single" w:color="000000" w:sz="4" w:space="0"/>
              <w:left w:val="single" w:color="000000" w:sz="4" w:space="0"/>
              <w:bottom w:val="single" w:color="000000" w:sz="4" w:space="0"/>
              <w:right w:val="single" w:color="000000" w:sz="4" w:space="0"/>
            </w:tcBorders>
            <w:vAlign w:val="center"/>
          </w:tcPr>
          <w:p>
            <w:pPr>
              <w:pStyle w:val="71"/>
              <w:numPr>
                <w:ilvl w:val="0"/>
                <w:numId w:val="7"/>
              </w:numPr>
              <w:spacing w:line="360" w:lineRule="auto"/>
              <w:ind w:firstLineChars="0"/>
              <w:jc w:val="center"/>
              <w:textAlignment w:val="auto"/>
              <w:rPr>
                <w:rStyle w:val="13"/>
                <w:rFonts w:ascii="宋体" w:hAnsi="宋体"/>
                <w:sz w:val="22"/>
                <w:szCs w:val="22"/>
              </w:rPr>
            </w:pPr>
          </w:p>
        </w:tc>
        <w:tc>
          <w:tcPr>
            <w:tcW w:w="236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sz w:val="22"/>
                <w:szCs w:val="22"/>
              </w:rPr>
            </w:pPr>
          </w:p>
        </w:tc>
        <w:tc>
          <w:tcPr>
            <w:tcW w:w="2909"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2"/>
                <w:szCs w:val="22"/>
              </w:rPr>
            </w:pPr>
            <w:r>
              <w:rPr>
                <w:rStyle w:val="13"/>
                <w:rFonts w:ascii="宋体" w:hAnsi="宋体"/>
                <w:sz w:val="22"/>
                <w:szCs w:val="22"/>
              </w:rPr>
              <w:t>万兆交换机</w:t>
            </w:r>
          </w:p>
        </w:tc>
        <w:tc>
          <w:tcPr>
            <w:tcW w:w="69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4</w:t>
            </w:r>
          </w:p>
        </w:tc>
        <w:tc>
          <w:tcPr>
            <w:tcW w:w="7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台</w:t>
            </w:r>
          </w:p>
        </w:tc>
        <w:tc>
          <w:tcPr>
            <w:tcW w:w="20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exact"/>
        </w:trPr>
        <w:tc>
          <w:tcPr>
            <w:tcW w:w="722" w:type="dxa"/>
            <w:vMerge w:val="continue"/>
            <w:tcBorders>
              <w:top w:val="single" w:color="000000" w:sz="4" w:space="0"/>
              <w:left w:val="single" w:color="000000" w:sz="4" w:space="0"/>
              <w:bottom w:val="single" w:color="000000" w:sz="4" w:space="0"/>
              <w:right w:val="single" w:color="000000" w:sz="4" w:space="0"/>
            </w:tcBorders>
            <w:vAlign w:val="center"/>
          </w:tcPr>
          <w:p>
            <w:pPr>
              <w:pStyle w:val="71"/>
              <w:numPr>
                <w:ilvl w:val="0"/>
                <w:numId w:val="7"/>
              </w:numPr>
              <w:spacing w:line="360" w:lineRule="auto"/>
              <w:ind w:firstLineChars="0"/>
              <w:jc w:val="center"/>
              <w:textAlignment w:val="auto"/>
              <w:rPr>
                <w:rStyle w:val="13"/>
                <w:rFonts w:ascii="宋体" w:hAnsi="宋体"/>
                <w:sz w:val="22"/>
                <w:szCs w:val="22"/>
              </w:rPr>
            </w:pPr>
          </w:p>
        </w:tc>
        <w:tc>
          <w:tcPr>
            <w:tcW w:w="236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sz w:val="22"/>
                <w:szCs w:val="22"/>
              </w:rPr>
            </w:pPr>
          </w:p>
        </w:tc>
        <w:tc>
          <w:tcPr>
            <w:tcW w:w="2909"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2"/>
                <w:szCs w:val="22"/>
              </w:rPr>
            </w:pPr>
            <w:r>
              <w:rPr>
                <w:rStyle w:val="13"/>
                <w:rFonts w:ascii="宋体" w:hAnsi="宋体"/>
                <w:sz w:val="22"/>
                <w:szCs w:val="22"/>
              </w:rPr>
              <w:t>统一容灾一体机</w:t>
            </w:r>
          </w:p>
        </w:tc>
        <w:tc>
          <w:tcPr>
            <w:tcW w:w="69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1</w:t>
            </w:r>
          </w:p>
        </w:tc>
        <w:tc>
          <w:tcPr>
            <w:tcW w:w="7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套</w:t>
            </w:r>
          </w:p>
        </w:tc>
        <w:tc>
          <w:tcPr>
            <w:tcW w:w="20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exact"/>
        </w:trPr>
        <w:tc>
          <w:tcPr>
            <w:tcW w:w="722" w:type="dxa"/>
            <w:vMerge w:val="restart"/>
            <w:tcBorders>
              <w:top w:val="single" w:color="000000" w:sz="4" w:space="0"/>
              <w:left w:val="single" w:color="000000" w:sz="4" w:space="0"/>
              <w:bottom w:val="single" w:color="000000" w:sz="4" w:space="0"/>
              <w:right w:val="single" w:color="000000" w:sz="4" w:space="0"/>
            </w:tcBorders>
            <w:vAlign w:val="center"/>
          </w:tcPr>
          <w:p>
            <w:pPr>
              <w:pStyle w:val="71"/>
              <w:numPr>
                <w:ilvl w:val="0"/>
                <w:numId w:val="7"/>
              </w:numPr>
              <w:spacing w:line="360" w:lineRule="auto"/>
              <w:ind w:firstLineChars="0"/>
              <w:jc w:val="center"/>
              <w:textAlignment w:val="auto"/>
              <w:rPr>
                <w:rStyle w:val="13"/>
                <w:rFonts w:ascii="宋体" w:hAnsi="宋体"/>
                <w:sz w:val="22"/>
                <w:szCs w:val="22"/>
              </w:rPr>
            </w:pPr>
          </w:p>
        </w:tc>
        <w:tc>
          <w:tcPr>
            <w:tcW w:w="2366"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sz w:val="22"/>
                <w:szCs w:val="22"/>
              </w:rPr>
            </w:pPr>
            <w:r>
              <w:rPr>
                <w:rStyle w:val="13"/>
                <w:rFonts w:ascii="宋体" w:hAnsi="宋体"/>
                <w:sz w:val="22"/>
                <w:szCs w:val="22"/>
              </w:rPr>
              <w:t>县人民医院后台硬件</w:t>
            </w:r>
          </w:p>
        </w:tc>
        <w:tc>
          <w:tcPr>
            <w:tcW w:w="2909"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2"/>
                <w:szCs w:val="22"/>
              </w:rPr>
            </w:pPr>
            <w:r>
              <w:rPr>
                <w:rStyle w:val="13"/>
                <w:rFonts w:ascii="宋体" w:hAnsi="宋体"/>
                <w:sz w:val="22"/>
                <w:szCs w:val="22"/>
              </w:rPr>
              <w:t>超融合服务器</w:t>
            </w:r>
          </w:p>
        </w:tc>
        <w:tc>
          <w:tcPr>
            <w:tcW w:w="69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2</w:t>
            </w:r>
          </w:p>
        </w:tc>
        <w:tc>
          <w:tcPr>
            <w:tcW w:w="7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台</w:t>
            </w:r>
          </w:p>
        </w:tc>
        <w:tc>
          <w:tcPr>
            <w:tcW w:w="20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exact"/>
        </w:trPr>
        <w:tc>
          <w:tcPr>
            <w:tcW w:w="722" w:type="dxa"/>
            <w:vMerge w:val="continue"/>
            <w:tcBorders>
              <w:top w:val="single" w:color="000000" w:sz="4" w:space="0"/>
              <w:left w:val="single" w:color="000000" w:sz="4" w:space="0"/>
              <w:bottom w:val="single" w:color="000000" w:sz="4" w:space="0"/>
              <w:right w:val="single" w:color="000000" w:sz="4" w:space="0"/>
            </w:tcBorders>
            <w:vAlign w:val="center"/>
          </w:tcPr>
          <w:p>
            <w:pPr>
              <w:pStyle w:val="71"/>
              <w:numPr>
                <w:ilvl w:val="0"/>
                <w:numId w:val="7"/>
              </w:numPr>
              <w:spacing w:line="360" w:lineRule="auto"/>
              <w:ind w:firstLineChars="0"/>
              <w:jc w:val="center"/>
              <w:textAlignment w:val="auto"/>
              <w:rPr>
                <w:rStyle w:val="13"/>
                <w:rFonts w:ascii="宋体" w:hAnsi="宋体"/>
                <w:sz w:val="22"/>
                <w:szCs w:val="22"/>
              </w:rPr>
            </w:pPr>
          </w:p>
        </w:tc>
        <w:tc>
          <w:tcPr>
            <w:tcW w:w="236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sz w:val="22"/>
                <w:szCs w:val="22"/>
              </w:rPr>
            </w:pPr>
          </w:p>
        </w:tc>
        <w:tc>
          <w:tcPr>
            <w:tcW w:w="2909"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2"/>
                <w:szCs w:val="22"/>
              </w:rPr>
            </w:pPr>
            <w:r>
              <w:rPr>
                <w:rStyle w:val="13"/>
                <w:rFonts w:ascii="宋体" w:hAnsi="宋体"/>
                <w:sz w:val="22"/>
                <w:szCs w:val="22"/>
              </w:rPr>
              <w:t>服务器虚拟化软件</w:t>
            </w:r>
          </w:p>
        </w:tc>
        <w:tc>
          <w:tcPr>
            <w:tcW w:w="69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4</w:t>
            </w:r>
          </w:p>
        </w:tc>
        <w:tc>
          <w:tcPr>
            <w:tcW w:w="7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CPU授权</w:t>
            </w:r>
          </w:p>
        </w:tc>
        <w:tc>
          <w:tcPr>
            <w:tcW w:w="20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exact"/>
        </w:trPr>
        <w:tc>
          <w:tcPr>
            <w:tcW w:w="722" w:type="dxa"/>
            <w:vMerge w:val="continue"/>
            <w:tcBorders>
              <w:top w:val="single" w:color="000000" w:sz="4" w:space="0"/>
              <w:left w:val="single" w:color="000000" w:sz="4" w:space="0"/>
              <w:bottom w:val="single" w:color="000000" w:sz="4" w:space="0"/>
              <w:right w:val="single" w:color="000000" w:sz="4" w:space="0"/>
            </w:tcBorders>
            <w:vAlign w:val="center"/>
          </w:tcPr>
          <w:p>
            <w:pPr>
              <w:pStyle w:val="71"/>
              <w:numPr>
                <w:ilvl w:val="0"/>
                <w:numId w:val="7"/>
              </w:numPr>
              <w:spacing w:line="360" w:lineRule="auto"/>
              <w:ind w:firstLineChars="0"/>
              <w:jc w:val="center"/>
              <w:textAlignment w:val="auto"/>
              <w:rPr>
                <w:rStyle w:val="13"/>
                <w:rFonts w:ascii="宋体" w:hAnsi="宋体"/>
                <w:sz w:val="22"/>
                <w:szCs w:val="22"/>
              </w:rPr>
            </w:pPr>
          </w:p>
        </w:tc>
        <w:tc>
          <w:tcPr>
            <w:tcW w:w="236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sz w:val="22"/>
                <w:szCs w:val="22"/>
              </w:rPr>
            </w:pPr>
          </w:p>
        </w:tc>
        <w:tc>
          <w:tcPr>
            <w:tcW w:w="2909"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2"/>
                <w:szCs w:val="22"/>
              </w:rPr>
            </w:pPr>
            <w:r>
              <w:rPr>
                <w:rStyle w:val="13"/>
                <w:rFonts w:ascii="宋体" w:hAnsi="宋体"/>
                <w:sz w:val="22"/>
                <w:szCs w:val="22"/>
              </w:rPr>
              <w:t>分布式存储软件</w:t>
            </w:r>
          </w:p>
        </w:tc>
        <w:tc>
          <w:tcPr>
            <w:tcW w:w="69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4</w:t>
            </w:r>
          </w:p>
        </w:tc>
        <w:tc>
          <w:tcPr>
            <w:tcW w:w="7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CPU授权</w:t>
            </w:r>
          </w:p>
        </w:tc>
        <w:tc>
          <w:tcPr>
            <w:tcW w:w="20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exact"/>
        </w:trPr>
        <w:tc>
          <w:tcPr>
            <w:tcW w:w="722" w:type="dxa"/>
            <w:vMerge w:val="continue"/>
            <w:tcBorders>
              <w:top w:val="single" w:color="000000" w:sz="4" w:space="0"/>
              <w:left w:val="single" w:color="000000" w:sz="4" w:space="0"/>
              <w:bottom w:val="single" w:color="000000" w:sz="4" w:space="0"/>
              <w:right w:val="single" w:color="000000" w:sz="4" w:space="0"/>
            </w:tcBorders>
            <w:vAlign w:val="center"/>
          </w:tcPr>
          <w:p>
            <w:pPr>
              <w:pStyle w:val="71"/>
              <w:numPr>
                <w:ilvl w:val="0"/>
                <w:numId w:val="7"/>
              </w:numPr>
              <w:spacing w:line="360" w:lineRule="auto"/>
              <w:ind w:firstLineChars="0"/>
              <w:jc w:val="center"/>
              <w:textAlignment w:val="auto"/>
              <w:rPr>
                <w:rStyle w:val="13"/>
                <w:rFonts w:ascii="宋体" w:hAnsi="宋体"/>
                <w:sz w:val="22"/>
                <w:szCs w:val="22"/>
              </w:rPr>
            </w:pPr>
          </w:p>
        </w:tc>
        <w:tc>
          <w:tcPr>
            <w:tcW w:w="236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sz w:val="22"/>
                <w:szCs w:val="22"/>
              </w:rPr>
            </w:pPr>
          </w:p>
        </w:tc>
        <w:tc>
          <w:tcPr>
            <w:tcW w:w="2909"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2"/>
                <w:szCs w:val="22"/>
              </w:rPr>
            </w:pPr>
            <w:r>
              <w:rPr>
                <w:rStyle w:val="13"/>
                <w:rFonts w:ascii="宋体" w:hAnsi="宋体"/>
                <w:sz w:val="22"/>
                <w:szCs w:val="22"/>
              </w:rPr>
              <w:t>万兆交换机</w:t>
            </w:r>
          </w:p>
        </w:tc>
        <w:tc>
          <w:tcPr>
            <w:tcW w:w="69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2</w:t>
            </w:r>
          </w:p>
        </w:tc>
        <w:tc>
          <w:tcPr>
            <w:tcW w:w="7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r>
              <w:rPr>
                <w:rStyle w:val="13"/>
                <w:rFonts w:ascii="宋体" w:hAnsi="宋体"/>
                <w:sz w:val="22"/>
                <w:szCs w:val="22"/>
              </w:rPr>
              <w:t>台</w:t>
            </w:r>
          </w:p>
        </w:tc>
        <w:tc>
          <w:tcPr>
            <w:tcW w:w="20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sz w:val="22"/>
                <w:szCs w:val="22"/>
              </w:rPr>
            </w:pPr>
          </w:p>
        </w:tc>
      </w:tr>
    </w:tbl>
    <w:p>
      <w:pPr>
        <w:spacing w:line="360" w:lineRule="auto"/>
        <w:ind w:firstLine="560"/>
        <w:textAlignment w:val="auto"/>
        <w:rPr>
          <w:rStyle w:val="13"/>
          <w:rFonts w:ascii="宋体" w:hAnsi="宋体"/>
          <w:sz w:val="22"/>
          <w:szCs w:val="22"/>
        </w:rPr>
      </w:pPr>
    </w:p>
    <w:p>
      <w:pPr>
        <w:pStyle w:val="18"/>
        <w:spacing w:line="360" w:lineRule="auto"/>
        <w:textAlignment w:val="auto"/>
        <w:rPr>
          <w:rStyle w:val="13"/>
          <w:rFonts w:ascii="宋体" w:hAnsi="宋体"/>
          <w:b/>
          <w:sz w:val="24"/>
          <w:szCs w:val="24"/>
        </w:rPr>
      </w:pPr>
      <w:r>
        <w:rPr>
          <w:rStyle w:val="13"/>
          <w:rFonts w:ascii="宋体" w:hAnsi="宋体"/>
          <w:b/>
          <w:sz w:val="24"/>
          <w:szCs w:val="24"/>
        </w:rPr>
        <w:t>技术要求</w:t>
      </w:r>
    </w:p>
    <w:p>
      <w:pPr>
        <w:pStyle w:val="19"/>
        <w:tabs>
          <w:tab w:val="left" w:pos="2835"/>
        </w:tabs>
        <w:spacing w:before="0" w:after="0" w:line="360" w:lineRule="auto"/>
        <w:textAlignment w:val="auto"/>
        <w:rPr>
          <w:rStyle w:val="13"/>
          <w:rFonts w:ascii="宋体" w:hAnsi="宋体" w:eastAsia="宋体" w:cs="宋体"/>
          <w:b/>
          <w:bCs/>
          <w:sz w:val="24"/>
          <w:szCs w:val="24"/>
        </w:rPr>
      </w:pPr>
      <w:r>
        <w:rPr>
          <w:rStyle w:val="13"/>
          <w:rFonts w:ascii="宋体" w:hAnsi="宋体" w:eastAsia="宋体" w:cs="宋体"/>
          <w:b/>
          <w:bCs/>
          <w:sz w:val="24"/>
          <w:szCs w:val="24"/>
        </w:rPr>
        <w:t>项目背景</w:t>
      </w:r>
    </w:p>
    <w:p>
      <w:pPr>
        <w:spacing w:line="360" w:lineRule="auto"/>
        <w:ind w:firstLine="560"/>
        <w:textAlignment w:val="auto"/>
        <w:rPr>
          <w:rStyle w:val="13"/>
          <w:rFonts w:ascii="宋体" w:hAnsi="宋体"/>
          <w:sz w:val="24"/>
        </w:rPr>
      </w:pPr>
      <w:r>
        <w:rPr>
          <w:rStyle w:val="13"/>
          <w:rFonts w:ascii="宋体" w:hAnsi="宋体"/>
          <w:sz w:val="24"/>
        </w:rPr>
        <w:t>党的十九大对“实施健康中国战略”作出了全面部署，要求把人民健康放在优先发展的战略位置，以“大卫生、大健康”理念作为实施健康中国战略的行动引领，遵循党的领导，发展中国特色卫生健康道路。明确指出实施健康中国战略的工作方针：“以基层为重点，以改革创新为动力，预防为主，中西医并重，将健康融入所有政策，人民共建共享。”</w:t>
      </w:r>
    </w:p>
    <w:p>
      <w:pPr>
        <w:spacing w:line="360" w:lineRule="auto"/>
        <w:ind w:firstLine="560"/>
        <w:textAlignment w:val="auto"/>
        <w:rPr>
          <w:rStyle w:val="13"/>
          <w:rFonts w:ascii="宋体" w:hAnsi="宋体"/>
          <w:sz w:val="24"/>
        </w:rPr>
      </w:pPr>
      <w:r>
        <w:rPr>
          <w:rStyle w:val="13"/>
          <w:rFonts w:ascii="宋体" w:hAnsi="宋体"/>
          <w:sz w:val="24"/>
        </w:rPr>
        <w:t>2017年4月，中共中央国务院发布《国务院办公厅关于推进医疗联合体建设和发展的指导意见》，明确在县域主要组建医疗共同体，推动优质医疗资源向基层和边远贫困地区流动。</w:t>
      </w:r>
    </w:p>
    <w:p>
      <w:pPr>
        <w:spacing w:line="360" w:lineRule="auto"/>
        <w:ind w:firstLine="560"/>
        <w:textAlignment w:val="auto"/>
        <w:rPr>
          <w:rStyle w:val="13"/>
          <w:rFonts w:ascii="宋体" w:hAnsi="宋体"/>
          <w:sz w:val="24"/>
        </w:rPr>
      </w:pPr>
      <w:r>
        <w:rPr>
          <w:rStyle w:val="13"/>
          <w:rFonts w:ascii="宋体" w:hAnsi="宋体"/>
          <w:sz w:val="24"/>
        </w:rPr>
        <w:t>2018年7月，国家卫生健康委发布《医疗联合体综合绩效考核工作方案（试行）》指出进一步加强医联体绩效考核，规范医联体建设发展，调动医疗机构积极性。加强对医联体建设工作的统筹规划与指导，规范医联体建设与管理。</w:t>
      </w:r>
    </w:p>
    <w:p>
      <w:pPr>
        <w:spacing w:line="360" w:lineRule="auto"/>
        <w:ind w:firstLine="560"/>
        <w:textAlignment w:val="auto"/>
        <w:rPr>
          <w:rStyle w:val="13"/>
          <w:rFonts w:ascii="宋体" w:hAnsi="宋体"/>
          <w:sz w:val="24"/>
        </w:rPr>
      </w:pPr>
      <w:r>
        <w:rPr>
          <w:rStyle w:val="13"/>
          <w:rFonts w:ascii="宋体" w:hAnsi="宋体"/>
          <w:sz w:val="24"/>
        </w:rPr>
        <w:t>2018年11月8号，国家卫生健康委、国家中医药局印发《全面提升县级医院综合能力工作方案(2018-2020年)》（国卫医发〔2018〕37号）的通知，通知指出要落实县级医院功能定位，提升综合服务能力，加快信息平台建设，提升医院信息化管理水平，积极推进远程医疗服务，稳步推进“互联网+”医疗服务。</w:t>
      </w:r>
    </w:p>
    <w:p>
      <w:pPr>
        <w:spacing w:line="360" w:lineRule="auto"/>
        <w:ind w:firstLine="560"/>
        <w:textAlignment w:val="auto"/>
        <w:rPr>
          <w:rStyle w:val="13"/>
          <w:rFonts w:ascii="宋体" w:hAnsi="宋体"/>
          <w:sz w:val="24"/>
        </w:rPr>
      </w:pPr>
      <w:r>
        <w:rPr>
          <w:rStyle w:val="13"/>
          <w:rFonts w:ascii="宋体" w:hAnsi="宋体"/>
          <w:sz w:val="24"/>
        </w:rPr>
        <w:t>2019年5月，国家卫生健康委基层卫生健康司发布了《关于推进紧密型县域医疗卫生共同体建设的通知》，通过建设紧密型医共体，既有利于进一步完善县域医疗卫生服务体系，提高县域医疗卫生资源配置和使用效率，加快提升基层医疗卫生服务能力，推动构建分级诊疗、合理诊治和有序就医的新秩序。也有利于贯彻落实“以人民健康为中心”的理念，为广大居民提供连续性、高质量的医疗卫生服务。</w:t>
      </w:r>
    </w:p>
    <w:p>
      <w:pPr>
        <w:spacing w:line="360" w:lineRule="auto"/>
        <w:ind w:firstLine="560"/>
        <w:textAlignment w:val="auto"/>
        <w:rPr>
          <w:rStyle w:val="13"/>
          <w:rFonts w:ascii="宋体" w:hAnsi="宋体"/>
          <w:sz w:val="24"/>
        </w:rPr>
      </w:pPr>
      <w:r>
        <w:rPr>
          <w:rStyle w:val="13"/>
          <w:rFonts w:ascii="宋体" w:hAnsi="宋体"/>
          <w:sz w:val="24"/>
        </w:rPr>
        <w:t>为响应国家政策号召，2019年新疆维吾尔自治区卫生健康委员会发布了《关于做好紧密型县域医疗卫生共同体建设试点工作的通知》中提到：“到今年年底，县域医共体内实现检查检验结果互认。争取到2020年底，县域就诊率达到90%，县域内基层就诊率达到65%左右。”新疆自治区通过推进县域医共体建设工作，不断提升基层医疗单位服务能力，有效促进基层医疗卫生事业发展。目前，自治区三级医疗机构和相关医院，通过“托管式”帮扶和“组团式”援疆模式，由管理团队在基层服务两年、专家团队服务一年，切实提高县域医疗卫生服务能力、诊疗能力和管理水平。</w:t>
      </w:r>
    </w:p>
    <w:p>
      <w:pPr>
        <w:spacing w:line="360" w:lineRule="auto"/>
        <w:ind w:firstLine="560"/>
        <w:textAlignment w:val="auto"/>
        <w:rPr>
          <w:rStyle w:val="13"/>
          <w:rFonts w:ascii="宋体" w:hAnsi="宋体"/>
          <w:sz w:val="24"/>
        </w:rPr>
      </w:pPr>
      <w:r>
        <w:rPr>
          <w:rStyle w:val="13"/>
          <w:rFonts w:ascii="宋体" w:hAnsi="宋体"/>
          <w:sz w:val="24"/>
        </w:rPr>
        <w:t>开展县域医共体建设，是深化医改的重要步骤和制度创新，有利于调整和优化医疗资源结构布局，促进医疗卫生工作重心下移和资源下沉，提升基层服务能力；有利于医疗资源上下贯通，提升医疗服务体系整体效能，更好实施分级诊疗和满足群众健康需求。</w:t>
      </w:r>
    </w:p>
    <w:p>
      <w:pPr>
        <w:pStyle w:val="19"/>
        <w:tabs>
          <w:tab w:val="left" w:pos="2835"/>
        </w:tabs>
        <w:spacing w:before="0" w:after="0" w:line="360" w:lineRule="auto"/>
        <w:textAlignment w:val="auto"/>
        <w:rPr>
          <w:rStyle w:val="13"/>
          <w:rFonts w:ascii="宋体" w:hAnsi="宋体" w:eastAsia="宋体" w:cs="宋体"/>
          <w:b/>
          <w:bCs/>
          <w:sz w:val="24"/>
          <w:szCs w:val="24"/>
        </w:rPr>
      </w:pPr>
      <w:r>
        <w:rPr>
          <w:rStyle w:val="13"/>
          <w:rFonts w:ascii="宋体" w:hAnsi="宋体" w:eastAsia="宋体" w:cs="宋体"/>
          <w:b/>
          <w:bCs/>
          <w:sz w:val="24"/>
          <w:szCs w:val="24"/>
        </w:rPr>
        <w:t>项目建设现状</w:t>
      </w:r>
    </w:p>
    <w:p>
      <w:pPr>
        <w:spacing w:line="360" w:lineRule="auto"/>
        <w:ind w:firstLine="560"/>
        <w:textAlignment w:val="auto"/>
        <w:rPr>
          <w:rStyle w:val="13"/>
          <w:rFonts w:ascii="宋体" w:hAnsi="宋体"/>
          <w:sz w:val="24"/>
        </w:rPr>
      </w:pPr>
      <w:r>
        <w:rPr>
          <w:rStyle w:val="13"/>
          <w:rFonts w:ascii="宋体" w:hAnsi="宋体"/>
          <w:sz w:val="24"/>
        </w:rPr>
        <w:t>（1）皮山概况</w:t>
      </w:r>
    </w:p>
    <w:p>
      <w:pPr>
        <w:spacing w:line="360" w:lineRule="auto"/>
        <w:ind w:firstLine="560"/>
        <w:textAlignment w:val="auto"/>
        <w:rPr>
          <w:rStyle w:val="13"/>
          <w:rFonts w:ascii="宋体" w:hAnsi="宋体"/>
          <w:sz w:val="24"/>
        </w:rPr>
      </w:pPr>
      <w:r>
        <w:rPr>
          <w:rStyle w:val="13"/>
          <w:rFonts w:ascii="宋体" w:hAnsi="宋体"/>
          <w:sz w:val="24"/>
        </w:rPr>
        <w:t>皮山县位于新疆维吾尔自治区的最南端，喀喇昆仑山的北麓，塔克拉玛干沙漠的南缘，与印控克什米尔交界，是一个以维吾尔族为主体，汉族、塔吉克族、柯尔克孜族等12个民族聚居的边境县，边境线长54.5公里，距离首府乌鲁木齐1800公里。皮山县是一个以维吾尔族为主体，汉族、塔吉克族、柯尔克孜族等12个民族聚居的边境县，总面积3.97万平方公里，全县辖16个乡镇（315国道南北分别有7个平原乡镇和9个山区乡镇）、一个农业综合开发区和一个良种场、一个国营牧场。全县乡村分布非常分散，169个行政村分布在大小54块绿洲上。有5个乡镇距离县城超过100公里，最远的赛图拉镇距离县城400多公里。目前，全县总人口25.8万人，少数民族占98.4%。全县现有耕地面积45万亩。2011年全县粮食播种面积26万亩，总产量达12.5万吨，达到了县内平衡，略有节余。2018年全县实现生产总值（GDP）301555万元，按可比价计算，增长7.5%。其中，第一产业增加值88688万元，增长2.38%；第二产业增加值36624万元，增长14.37%；第三产业增加值176263万元，增长9.09%。按常住人口计算，人均生产总值9373元，比上年增加842元，增长9.86%。 2018年全县实现生产总值（GDP）301555万元，按可比价计算，增长7.5%。其中，第一产业增加值88688万元，增长2.38%；第二产业增加值36624万元，增长14.37%；第三产业增加值176263万元，增长9.09%。按常住人口计算，人均生产总值9373元，比上年增加842元，增长9.86%。皮山县自然环境十分恶劣，降水稀少，蒸发量大，空气干燥，属暖温带大陆性干旱气候，降水稀少，蒸发量大，空气干燥，年平均气温11.8℃，年平均降水量39.8毫米，年平均蒸发量2412.9毫米，是降水量的60倍，年均沙尘天气在240天以上。皮山境内5条河流均发源于喀喇昆仑山，系冰川融雪补偿型河流，年地表水径流量7.5亿立方米，地下水储量2.5亿立方米，年内分布不均，开发利用率低，总体上水资源短缺，干旱缺水是制约我县经济发展的关键因素。</w:t>
      </w:r>
    </w:p>
    <w:p>
      <w:pPr>
        <w:spacing w:line="360" w:lineRule="auto"/>
        <w:ind w:firstLine="560"/>
        <w:textAlignment w:val="auto"/>
        <w:rPr>
          <w:rStyle w:val="13"/>
          <w:rFonts w:ascii="宋体" w:hAnsi="宋体"/>
          <w:sz w:val="24"/>
        </w:rPr>
      </w:pPr>
      <w:r>
        <w:rPr>
          <w:rStyle w:val="13"/>
          <w:rFonts w:ascii="宋体" w:hAnsi="宋体"/>
          <w:sz w:val="24"/>
        </w:rPr>
        <w:t>皮山矿产资源比较丰富，现已探明的矿产有48种，已发现的矿产资源有煤、石油、天然气、硫磺、铅、锌、铁、大理石、玉石、金刚砂、石榴石、云母、锂、铍、钽、铯等。目前正在开发利用的主要有煤炭、锰铁、石灰岩、石膏、玉石、粘土等8种矿产。粘土、砂石料资源丰富，分布广泛；另外，石膏矿、石英岩矿储量可观，品位高。新疆八钢、四川矿业、兰州三普电力正在做铁矿、铅锌矿和石墨矿的勘探开发工作；境内的柯东1井即将开发生产，皮北一井勘探前景良好。野生动物有地山羊、野猪、刺猬、藏狐、雪鸡、鹭鸶等。野生药用植物资源有肉苁蓉、当归、党参、甘草、雪莲、车前子、曼陀罗等。</w:t>
      </w:r>
    </w:p>
    <w:p>
      <w:pPr>
        <w:spacing w:line="360" w:lineRule="auto"/>
        <w:ind w:firstLine="560"/>
        <w:textAlignment w:val="auto"/>
        <w:rPr>
          <w:rStyle w:val="13"/>
          <w:rFonts w:ascii="宋体" w:hAnsi="宋体"/>
          <w:sz w:val="24"/>
        </w:rPr>
      </w:pPr>
      <w:r>
        <w:rPr>
          <w:rStyle w:val="13"/>
          <w:rFonts w:ascii="宋体" w:hAnsi="宋体"/>
          <w:sz w:val="24"/>
        </w:rPr>
        <w:t>皮山，风景秀丽，古迹众多。桑株岩画线条古朴，风格粗狂，长3米，高1.3米，画面上人物、动物，画风简洁，栩栩如生，有极高的艺术价值，现为国家重点文物保护单位。桑株河、杜瓦河、阔什塔格河，如三条玉带，横贯皮山全境，浇灌着万顷良田。桑株、江岗、雅普泉等9座水库，犹如9块绿宝石镶嵌在皮山大地，养育着各族人民。</w:t>
      </w:r>
    </w:p>
    <w:p>
      <w:pPr>
        <w:spacing w:line="360" w:lineRule="auto"/>
        <w:ind w:firstLine="560"/>
        <w:textAlignment w:val="auto"/>
        <w:rPr>
          <w:rStyle w:val="13"/>
          <w:rFonts w:ascii="宋体" w:hAnsi="宋体"/>
          <w:sz w:val="24"/>
        </w:rPr>
      </w:pPr>
      <w:r>
        <w:rPr>
          <w:rStyle w:val="13"/>
          <w:rFonts w:ascii="宋体" w:hAnsi="宋体"/>
          <w:sz w:val="24"/>
        </w:rPr>
        <w:t>（2）卫生信息化概况</w:t>
      </w:r>
    </w:p>
    <w:p>
      <w:pPr>
        <w:spacing w:line="360" w:lineRule="auto"/>
        <w:ind w:firstLine="560"/>
        <w:textAlignment w:val="auto"/>
        <w:rPr>
          <w:rStyle w:val="13"/>
          <w:rFonts w:ascii="宋体" w:hAnsi="宋体"/>
          <w:sz w:val="24"/>
        </w:rPr>
      </w:pPr>
      <w:r>
        <w:rPr>
          <w:rStyle w:val="13"/>
          <w:rFonts w:ascii="宋体" w:hAnsi="宋体"/>
          <w:sz w:val="24"/>
        </w:rPr>
        <w:t>皮山县现有县维吾尔医医院、县人民医院两家县级医疗机构，1家社区卫生服务中心，16家乡镇卫生院。目前县维吾尔医医院部署了院内HIS系统、超声报告系统、社保结算系统，同时一直与自治区的信息平台进行数据上报。县人民医院部署了HIS、EMR、LIS、PACS、RIS和超声系统，各系统之间无法进行数据互联。1家社区卫生服务中心，包括7个片区（诊室），30余名医生，服务3.6万人群，重点人群2400余人，包含：65岁以上600人，高血压1400余人，糖尿病300余人。以科克铁热克乡卫生院为例，科乡卫生院现有门诊部、住院部，现有30余名医护人员，50余个床位；全乡现有3.3万余居民，其中：重点人群1.9万人；该卫生院共有8个家庭医生团队，村医64名分布在31个片区25个村卫生室；其中重点人群签约率95%，高血压管理率已达到70%。</w:t>
      </w:r>
    </w:p>
    <w:p>
      <w:pPr>
        <w:spacing w:line="360" w:lineRule="auto"/>
        <w:ind w:firstLine="560"/>
        <w:textAlignment w:val="auto"/>
        <w:rPr>
          <w:rStyle w:val="13"/>
          <w:rFonts w:ascii="宋体" w:hAnsi="宋体"/>
          <w:sz w:val="24"/>
        </w:rPr>
      </w:pPr>
      <w:r>
        <w:rPr>
          <w:rStyle w:val="13"/>
          <w:rFonts w:ascii="宋体" w:hAnsi="宋体"/>
          <w:sz w:val="24"/>
        </w:rPr>
        <w:t>2020年初挂网的皮山县“互联网+医疗健康”信息化平台建设项目，包括医共体服务信息平台、医共体平台基础管理、基于平台的业务功能应用、综合业务查询与监管、病人服务平台、基层医疗卫生服务机构综合信息系统（含门急诊医疗服务、住院医疗服务、医学影像系统、实验室信息管理、电子病历管理、药品管理服务、全民体检健康管理系统、病案管理系统、物资设备管理系统和医保接口）、村卫生室综合管理系统、远程会诊系统和相关的接口对接和硬件设备。</w:t>
      </w:r>
    </w:p>
    <w:p>
      <w:pPr>
        <w:spacing w:line="360" w:lineRule="auto"/>
        <w:ind w:firstLine="560"/>
        <w:textAlignment w:val="auto"/>
        <w:rPr>
          <w:rStyle w:val="13"/>
          <w:rFonts w:ascii="宋体" w:hAnsi="宋体"/>
          <w:sz w:val="24"/>
        </w:rPr>
      </w:pPr>
      <w:r>
        <w:rPr>
          <w:rStyle w:val="13"/>
          <w:rFonts w:ascii="宋体" w:hAnsi="宋体"/>
          <w:sz w:val="24"/>
        </w:rPr>
        <w:t>（3）紧密型县域医共体的建设要求及现状</w:t>
      </w:r>
    </w:p>
    <w:p>
      <w:pPr>
        <w:spacing w:line="360" w:lineRule="auto"/>
        <w:ind w:firstLine="560"/>
        <w:textAlignment w:val="auto"/>
        <w:rPr>
          <w:rStyle w:val="13"/>
          <w:rFonts w:ascii="宋体" w:hAnsi="宋体"/>
          <w:sz w:val="24"/>
        </w:rPr>
      </w:pPr>
      <w:r>
        <w:rPr>
          <w:rStyle w:val="13"/>
          <w:rFonts w:ascii="宋体" w:hAnsi="宋体"/>
          <w:sz w:val="24"/>
        </w:rPr>
        <w:t>2019年新疆各地（州、市）按照新疆卫健委2019年重点工作部署，推进县域医共体建设，全疆96个县（市、区）中有92个县（市、区）开展了县域医共体建设，其中开展紧密型县域医共体的县（市、区）有64个，但仍需提升县域医疗服务体系、服务能力和质量，深化体制改革，完善保障制度。自治区通过推进县域医共体建设工作，不断提升基层医疗单位服务能力，有效促进基层医疗卫生事业发展。目前，自治区三级医疗机构和相关医院，通过“托管式”帮扶和“组团式”援疆模式，由管理团队在基层服务两年、专家团队服务一年，切实提高县域医疗卫生服务能力、诊疗能力和管理水平。</w:t>
      </w:r>
    </w:p>
    <w:p>
      <w:pPr>
        <w:spacing w:line="360" w:lineRule="auto"/>
        <w:ind w:firstLine="560"/>
        <w:textAlignment w:val="auto"/>
        <w:rPr>
          <w:rStyle w:val="13"/>
          <w:rFonts w:ascii="宋体" w:hAnsi="宋体"/>
          <w:sz w:val="24"/>
        </w:rPr>
      </w:pPr>
      <w:r>
        <w:rPr>
          <w:rStyle w:val="13"/>
          <w:rFonts w:ascii="宋体" w:hAnsi="宋体"/>
          <w:sz w:val="24"/>
        </w:rPr>
        <w:t>紧密型县域医共体的建设要求为各县加强医联体建设和县乡村一体化管理，充分利用三甲医院对口帮扶、“托管式”帮扶及“组团式”帮扶力量，通过专科共建、临床带教、业务指导、教学查房、科研和项目协作、远程诊疗等多种方式，提升牵头机构医疗服务能力与管理水平，实现紧密型县域医共体内行政、人员、业务、药品、财务、绩效为主要内容的一体化管理，实施乡村医生，县招、乡管、村用，进一步保障其收入待遇，解决基层缺乏合格医生问题。</w:t>
      </w:r>
    </w:p>
    <w:p>
      <w:pPr>
        <w:spacing w:line="360" w:lineRule="auto"/>
        <w:ind w:firstLine="560"/>
        <w:textAlignment w:val="auto"/>
        <w:rPr>
          <w:rStyle w:val="13"/>
          <w:rFonts w:ascii="宋体" w:hAnsi="宋体"/>
          <w:sz w:val="24"/>
        </w:rPr>
      </w:pPr>
      <w:r>
        <w:rPr>
          <w:rStyle w:val="13"/>
          <w:rFonts w:ascii="宋体" w:hAnsi="宋体"/>
          <w:sz w:val="24"/>
        </w:rPr>
        <w:t>以皮山县人民医院为例，该院通过新疆维吾尔自治区人民医院“组团式”托管帮扶，优化整合县域医疗资源，探索成立了以皮山县人民医院为中心，以固玛镇、阔什塔格镇、桑株乡3个重点乡镇卫生院为辐射面，向周边乡镇区域辐射的优势医疗资源辐射网，在3家医共体实行执行院长制度，派驻医共体执行院长，强化基层医院运营管理，加强信息化建设，充分利用远程会诊系统，实现医共体内三级联动、基层首诊、分级诊疗、双向转诊，减少患者外地就医，确保实现“90%病人住院不出县”的目标。</w:t>
      </w:r>
    </w:p>
    <w:p>
      <w:pPr>
        <w:spacing w:line="360" w:lineRule="auto"/>
        <w:ind w:firstLine="560"/>
        <w:textAlignment w:val="auto"/>
        <w:rPr>
          <w:rStyle w:val="13"/>
          <w:rFonts w:ascii="宋体" w:hAnsi="宋体"/>
          <w:sz w:val="24"/>
        </w:rPr>
      </w:pPr>
      <w:r>
        <w:rPr>
          <w:rStyle w:val="13"/>
          <w:rFonts w:ascii="宋体" w:hAnsi="宋体"/>
          <w:sz w:val="24"/>
        </w:rPr>
        <w:t>通过紧密型医共体建设，全疆县域医疗卫生服务能力明显提升，医保基金得到有效利用，居民医药费用负担合理控制，家庭医生签约率提升，强化公共卫生服务水平。到2019年底，试点县域内医共体实现检查检验结果互认，基本解决基层缺乏合格医务人员状况。争取到2020年底，全疆县域就诊率达到90%，县域内基层就诊率达到65%左右，基层医疗卫生机构有能力开展的技术、项目不断增加。</w:t>
      </w:r>
    </w:p>
    <w:p>
      <w:pPr>
        <w:spacing w:line="360" w:lineRule="auto"/>
        <w:ind w:firstLine="560"/>
        <w:textAlignment w:val="auto"/>
        <w:rPr>
          <w:rStyle w:val="13"/>
          <w:rFonts w:ascii="宋体" w:hAnsi="宋体"/>
          <w:sz w:val="24"/>
        </w:rPr>
      </w:pPr>
      <w:r>
        <w:rPr>
          <w:rStyle w:val="13"/>
          <w:rFonts w:ascii="宋体" w:hAnsi="宋体"/>
          <w:sz w:val="24"/>
        </w:rPr>
        <w:t>（4）语言不通是援疆医务人员最大的障碍</w:t>
      </w:r>
    </w:p>
    <w:p>
      <w:pPr>
        <w:spacing w:line="360" w:lineRule="auto"/>
        <w:ind w:firstLine="560"/>
        <w:textAlignment w:val="auto"/>
        <w:rPr>
          <w:rStyle w:val="13"/>
          <w:rFonts w:ascii="宋体" w:hAnsi="宋体"/>
          <w:sz w:val="24"/>
        </w:rPr>
      </w:pPr>
      <w:r>
        <w:rPr>
          <w:rStyle w:val="13"/>
          <w:rFonts w:ascii="宋体" w:hAnsi="宋体"/>
          <w:sz w:val="24"/>
        </w:rPr>
        <w:t>援疆医疗团队，救死扶伤，抢危济命，工作繁忙，患者与医生无法进行正常语言交流，医生不能及时了解患者情况，患者不能准确描述症状，造成医患信息不对称，导致医生不能通过患者临床体征做出正确诊断。长期以来，心脑血管病、结核、结石、发病率高。看病难，看好病，因病致贫、因病返贫问题尤为突出。随着国家多项帮扶政策的颁布，自治区迎来越来越多的援疆医疗团队，但由于医患沟通存在障碍，医患双方教育背景差异，导致医护人员的解释或沟通内容引起患者的误解；患者对病情的描述不够准确，导致双方产生理解偏差，引起误解等一系列问题。</w:t>
      </w:r>
    </w:p>
    <w:p>
      <w:pPr>
        <w:pStyle w:val="19"/>
        <w:tabs>
          <w:tab w:val="left" w:pos="2835"/>
        </w:tabs>
        <w:spacing w:before="0" w:after="0" w:line="360" w:lineRule="auto"/>
        <w:textAlignment w:val="auto"/>
        <w:rPr>
          <w:rStyle w:val="13"/>
          <w:rFonts w:ascii="宋体" w:hAnsi="宋体" w:eastAsia="宋体" w:cs="宋体"/>
          <w:b/>
          <w:bCs/>
          <w:sz w:val="24"/>
          <w:szCs w:val="24"/>
        </w:rPr>
      </w:pPr>
      <w:r>
        <w:rPr>
          <w:rStyle w:val="13"/>
          <w:rFonts w:ascii="宋体" w:hAnsi="宋体" w:eastAsia="宋体" w:cs="宋体"/>
          <w:b/>
          <w:bCs/>
          <w:sz w:val="24"/>
          <w:szCs w:val="24"/>
        </w:rPr>
        <w:t>建设目标</w:t>
      </w:r>
    </w:p>
    <w:p>
      <w:pPr>
        <w:spacing w:line="360" w:lineRule="auto"/>
        <w:ind w:firstLine="560"/>
        <w:textAlignment w:val="auto"/>
        <w:rPr>
          <w:rStyle w:val="13"/>
          <w:rFonts w:ascii="宋体" w:hAnsi="宋体"/>
          <w:sz w:val="24"/>
        </w:rPr>
      </w:pPr>
      <w:r>
        <w:rPr>
          <w:rStyle w:val="13"/>
          <w:rFonts w:ascii="宋体" w:hAnsi="宋体"/>
          <w:sz w:val="24"/>
        </w:rPr>
        <w:t>皮山县AI+紧密型医共体建设坚持以患者为中心，以问题为导向，以改善医疗服务质量、效率和可及性为出发点，以提升管理、服务能力为目标，通过优化流程、提升质量、保障安全、促进沟通等措施，为人民群众提供安全、有效、方便的基本医疗服务，为医务人员提供高效的服务工具，为各级管理人员提供强有力的管理手段，实现全面的惠民、惠医、惠政，主要包括以下几个方面：</w:t>
      </w:r>
    </w:p>
    <w:p>
      <w:pPr>
        <w:spacing w:line="360" w:lineRule="auto"/>
        <w:ind w:firstLine="562"/>
        <w:textAlignment w:val="auto"/>
        <w:rPr>
          <w:rStyle w:val="13"/>
          <w:rFonts w:ascii="宋体" w:hAnsi="宋体"/>
          <w:b/>
          <w:sz w:val="24"/>
        </w:rPr>
      </w:pPr>
      <w:r>
        <w:rPr>
          <w:rStyle w:val="13"/>
          <w:rFonts w:ascii="宋体" w:hAnsi="宋体"/>
          <w:b/>
          <w:sz w:val="24"/>
        </w:rPr>
        <w:t>（1）构建智慧医院，提高医院就诊服务质量和效率</w:t>
      </w:r>
    </w:p>
    <w:p>
      <w:pPr>
        <w:spacing w:line="360" w:lineRule="auto"/>
        <w:ind w:firstLine="560"/>
        <w:textAlignment w:val="auto"/>
        <w:rPr>
          <w:rStyle w:val="13"/>
          <w:rFonts w:ascii="宋体" w:hAnsi="宋体"/>
          <w:sz w:val="24"/>
        </w:rPr>
      </w:pPr>
      <w:r>
        <w:rPr>
          <w:rStyle w:val="13"/>
          <w:rFonts w:ascii="宋体" w:hAnsi="宋体"/>
          <w:sz w:val="24"/>
        </w:rPr>
        <w:t>本项目通过建设面向医护人员的语音输入套件、门诊语音电子病历、超声科智能语音助理系统、AI移动查房系统、AI移动护理工作站系统助力医院诊疗服务行为，减少冗余环节，缩短病人等待时间；促进医院信息化建设，加强诊疗流程优化再造，提升医疗服务水平。</w:t>
      </w:r>
    </w:p>
    <w:p>
      <w:pPr>
        <w:spacing w:line="360" w:lineRule="auto"/>
        <w:ind w:firstLine="562"/>
        <w:textAlignment w:val="auto"/>
        <w:rPr>
          <w:rStyle w:val="13"/>
          <w:rFonts w:ascii="宋体" w:hAnsi="宋体"/>
          <w:b/>
          <w:sz w:val="24"/>
        </w:rPr>
      </w:pPr>
      <w:r>
        <w:rPr>
          <w:rStyle w:val="13"/>
          <w:rFonts w:ascii="宋体" w:hAnsi="宋体"/>
          <w:b/>
          <w:sz w:val="24"/>
        </w:rPr>
        <w:t>（2）构建多语言智能窗口，化解医患沟通障碍</w:t>
      </w:r>
    </w:p>
    <w:p>
      <w:pPr>
        <w:spacing w:line="360" w:lineRule="auto"/>
        <w:ind w:firstLine="560"/>
        <w:textAlignment w:val="auto"/>
        <w:rPr>
          <w:rStyle w:val="13"/>
          <w:rFonts w:ascii="宋体" w:hAnsi="宋体"/>
          <w:sz w:val="24"/>
        </w:rPr>
      </w:pPr>
      <w:r>
        <w:rPr>
          <w:rStyle w:val="13"/>
          <w:rFonts w:ascii="宋体" w:hAnsi="宋体"/>
          <w:sz w:val="24"/>
        </w:rPr>
        <w:t>本项目建设的多语言智能窗口话务系统，针对医生会诊与患者问诊、咨询等窗口工作场景，通过部署软硬一体化设备，实现汉语到多种语言（包括维吾尔语在内的国内外34种语言）间的口语在线实时互译等医院窗口业务支撑功能，能够在确保翻译准确率的基础上，提升医生工作效率，对提高始发地的疾病预防、治疗和应急救治水平，控制传染病源和切断传播途径，以及加强医务人员的安全防护，最大限度的挽救人民群众和医护人员的生命，对维护区域和平稳定具有积极意义。</w:t>
      </w:r>
    </w:p>
    <w:p>
      <w:pPr>
        <w:spacing w:line="360" w:lineRule="auto"/>
        <w:ind w:firstLine="562"/>
        <w:textAlignment w:val="auto"/>
        <w:rPr>
          <w:rStyle w:val="13"/>
          <w:rFonts w:ascii="宋体" w:hAnsi="宋体"/>
          <w:b/>
          <w:sz w:val="24"/>
        </w:rPr>
      </w:pPr>
      <w:r>
        <w:rPr>
          <w:rStyle w:val="13"/>
          <w:rFonts w:ascii="宋体" w:hAnsi="宋体"/>
          <w:b/>
          <w:sz w:val="24"/>
        </w:rPr>
        <w:t>（3）构建智慧基层，提升基层医疗卫生健康服务能力</w:t>
      </w:r>
    </w:p>
    <w:p>
      <w:pPr>
        <w:spacing w:line="360" w:lineRule="auto"/>
        <w:ind w:firstLine="560"/>
        <w:textAlignment w:val="auto"/>
        <w:rPr>
          <w:rStyle w:val="13"/>
          <w:rFonts w:ascii="宋体" w:hAnsi="宋体"/>
          <w:sz w:val="24"/>
        </w:rPr>
      </w:pPr>
      <w:r>
        <w:rPr>
          <w:rStyle w:val="13"/>
          <w:rFonts w:ascii="宋体" w:hAnsi="宋体"/>
          <w:sz w:val="24"/>
        </w:rPr>
        <w:t>本项目通过建设面向基层医生的全科辅助诊疗系统、慢病智能管理系统、智能语音外呼助手系统和在线教育培训与管理系统为基层医生公卫服务和诊疗服务提供行之有效的辅助工具，在诊疗服务方面提供智能辅助诊断和病历质检服务，帮助基层医生实时获取诊疗决策支持，提升基层诊断水平和诊疗规范性；在公卫服务方面提供慢病管理服务和智能外呼服务，有效提高家庭医生履约服务质量和效率。以权威、一流的师资和学习培训资源库，科学规范的组织与管理，为基层医院提供规范便捷的在线教育培训服务，培养基层医生临床思维能力，补齐全科诊疗理论知识。</w:t>
      </w:r>
    </w:p>
    <w:p>
      <w:pPr>
        <w:spacing w:line="360" w:lineRule="auto"/>
        <w:ind w:firstLine="562"/>
        <w:textAlignment w:val="auto"/>
        <w:rPr>
          <w:rStyle w:val="13"/>
          <w:rFonts w:ascii="宋体" w:hAnsi="宋体"/>
          <w:b/>
          <w:sz w:val="24"/>
        </w:rPr>
      </w:pPr>
      <w:r>
        <w:rPr>
          <w:rStyle w:val="13"/>
          <w:rFonts w:ascii="宋体" w:hAnsi="宋体"/>
          <w:b/>
          <w:sz w:val="24"/>
        </w:rPr>
        <w:t>（4）构建智慧区域，依托区域医疗资源提供紧密型医疗服务</w:t>
      </w:r>
    </w:p>
    <w:p>
      <w:pPr>
        <w:spacing w:line="360" w:lineRule="auto"/>
        <w:ind w:firstLine="560"/>
        <w:textAlignment w:val="auto"/>
        <w:rPr>
          <w:rStyle w:val="13"/>
          <w:rFonts w:ascii="宋体" w:hAnsi="宋体"/>
          <w:sz w:val="24"/>
        </w:rPr>
      </w:pPr>
      <w:r>
        <w:rPr>
          <w:rStyle w:val="13"/>
          <w:rFonts w:ascii="宋体" w:hAnsi="宋体"/>
          <w:sz w:val="24"/>
        </w:rPr>
        <w:t>本项目通过建设面向居民的智能导诊预约系统，主要包括智能导诊、疾病自查、精准预约挂号、诊前病史采集以及预约检查检验，提供分级分流服务，常见病、慢性病患者推荐线上基层医生，重症患者链接至县医院预约挂号流程；建设在线咨询诊疗、移动支付、智能处方流转、互联网医院协同平台等，便于开展远程诊疗服务；药物配送提供足不出户看病取药服务；通过建设综合监测平台，推动全县分级诊疗体系发展。</w:t>
      </w:r>
    </w:p>
    <w:p>
      <w:pPr>
        <w:pStyle w:val="19"/>
        <w:tabs>
          <w:tab w:val="left" w:pos="2835"/>
        </w:tabs>
        <w:spacing w:before="0" w:after="0" w:line="360" w:lineRule="auto"/>
        <w:textAlignment w:val="auto"/>
        <w:rPr>
          <w:rStyle w:val="13"/>
          <w:rFonts w:ascii="宋体" w:hAnsi="宋体" w:eastAsia="宋体" w:cs="宋体"/>
          <w:b/>
          <w:bCs/>
          <w:sz w:val="24"/>
          <w:szCs w:val="24"/>
        </w:rPr>
      </w:pPr>
      <w:r>
        <w:rPr>
          <w:rStyle w:val="13"/>
          <w:rFonts w:ascii="宋体" w:hAnsi="宋体" w:eastAsia="宋体" w:cs="宋体"/>
          <w:b/>
          <w:bCs/>
          <w:sz w:val="24"/>
          <w:szCs w:val="24"/>
        </w:rPr>
        <w:t>覆盖范围</w:t>
      </w:r>
    </w:p>
    <w:p>
      <w:pPr>
        <w:spacing w:line="360" w:lineRule="auto"/>
        <w:ind w:firstLine="560"/>
        <w:textAlignment w:val="auto"/>
        <w:rPr>
          <w:rStyle w:val="13"/>
          <w:rFonts w:ascii="宋体" w:hAnsi="宋体"/>
          <w:sz w:val="24"/>
        </w:rPr>
      </w:pPr>
      <w:r>
        <w:rPr>
          <w:rStyle w:val="13"/>
          <w:rFonts w:ascii="宋体" w:hAnsi="宋体"/>
          <w:sz w:val="24"/>
        </w:rPr>
        <w:t>本项目建设规模涵盖皮山县卫生健康委，皮山县人民医院，1家社区卫生服务中心，16家乡镇卫生院，包括固玛镇卫生院、杜瓦镇卫生院、阔什塔格乡卫生院、克里阳乡卫生院、科克铁热克乡卫生院、桑株乡卫生院、木吉镇卫生院、乔达乡卫生院、木奎拉乡卫生院、藏桂乡人民卫生院、皮亚勒玛乡人民卫生院、皮西那乡卫生院、巴什兰干乡卫生院、赛图拉镇卫生院、垴阿巴提塔吉克族乡卫生院、康克尔柯尔克孜族乡卫生院。</w:t>
      </w:r>
    </w:p>
    <w:p>
      <w:pPr>
        <w:pStyle w:val="19"/>
        <w:tabs>
          <w:tab w:val="left" w:pos="2835"/>
        </w:tabs>
        <w:spacing w:before="0" w:after="0" w:line="360" w:lineRule="auto"/>
        <w:textAlignment w:val="auto"/>
        <w:rPr>
          <w:rStyle w:val="13"/>
          <w:rFonts w:ascii="宋体" w:hAnsi="宋体" w:eastAsia="宋体" w:cs="宋体"/>
          <w:b/>
          <w:bCs/>
          <w:sz w:val="24"/>
          <w:szCs w:val="24"/>
        </w:rPr>
      </w:pPr>
      <w:r>
        <w:rPr>
          <w:rStyle w:val="13"/>
          <w:rFonts w:ascii="宋体" w:hAnsi="宋体" w:eastAsia="宋体" w:cs="宋体"/>
          <w:b/>
          <w:bCs/>
          <w:sz w:val="24"/>
          <w:szCs w:val="24"/>
        </w:rPr>
        <w:t>建设内容</w:t>
      </w:r>
    </w:p>
    <w:p>
      <w:pPr>
        <w:pStyle w:val="20"/>
        <w:spacing w:before="0" w:after="0" w:line="360" w:lineRule="auto"/>
        <w:textAlignment w:val="auto"/>
        <w:rPr>
          <w:rStyle w:val="13"/>
          <w:rFonts w:ascii="宋体" w:hAnsi="宋体"/>
          <w:sz w:val="24"/>
          <w:szCs w:val="24"/>
        </w:rPr>
      </w:pPr>
      <w:r>
        <w:rPr>
          <w:rStyle w:val="13"/>
          <w:rFonts w:ascii="宋体" w:hAnsi="宋体"/>
          <w:sz w:val="24"/>
          <w:szCs w:val="24"/>
        </w:rPr>
        <w:t>医学AI能力平台</w:t>
      </w:r>
    </w:p>
    <w:p>
      <w:pPr>
        <w:pStyle w:val="21"/>
        <w:spacing w:line="360" w:lineRule="auto"/>
        <w:textAlignment w:val="auto"/>
        <w:rPr>
          <w:rStyle w:val="13"/>
          <w:rFonts w:cs="宋体"/>
          <w:bCs/>
          <w:sz w:val="24"/>
          <w:szCs w:val="24"/>
        </w:rPr>
      </w:pPr>
      <w:r>
        <w:rPr>
          <w:rStyle w:val="13"/>
          <w:rFonts w:cs="宋体"/>
          <w:bCs/>
          <w:sz w:val="24"/>
          <w:szCs w:val="24"/>
        </w:rPr>
        <w:t>产品要求</w:t>
      </w:r>
    </w:p>
    <w:p>
      <w:pPr>
        <w:spacing w:line="360" w:lineRule="auto"/>
        <w:ind w:firstLine="560"/>
        <w:textAlignment w:val="auto"/>
        <w:rPr>
          <w:rStyle w:val="13"/>
          <w:rFonts w:ascii="宋体" w:hAnsi="宋体"/>
          <w:sz w:val="24"/>
        </w:rPr>
      </w:pPr>
      <w:r>
        <w:rPr>
          <w:rStyle w:val="13"/>
          <w:rFonts w:ascii="宋体" w:hAnsi="宋体"/>
          <w:sz w:val="24"/>
        </w:rPr>
        <w:t>医学AI能力平台系统默认提供语音听写识别引擎、语音合成引擎，自然语言理解引擎三大服务能力,提供统一高可用的语音交互服务。</w:t>
      </w:r>
    </w:p>
    <w:p>
      <w:pPr>
        <w:spacing w:line="360" w:lineRule="auto"/>
        <w:ind w:firstLine="560"/>
        <w:textAlignment w:val="auto"/>
        <w:rPr>
          <w:rStyle w:val="13"/>
          <w:rFonts w:ascii="宋体" w:hAnsi="宋体"/>
          <w:sz w:val="24"/>
        </w:rPr>
      </w:pPr>
      <w:r>
        <w:rPr>
          <w:rStyle w:val="13"/>
          <w:rFonts w:ascii="宋体" w:hAnsi="宋体"/>
          <w:sz w:val="24"/>
        </w:rPr>
        <w:t>医学AI能力云平台主要采用院内或卫健委统一私有化部署，以中间件服务的方式为应用终端提供智能化服务，通过集成标准的SDK控件或API，为最终用户提供语音交互等人工智能服务。</w:t>
      </w:r>
    </w:p>
    <w:p>
      <w:pPr>
        <w:spacing w:line="360" w:lineRule="auto"/>
        <w:ind w:firstLine="560"/>
        <w:textAlignment w:val="auto"/>
        <w:rPr>
          <w:rStyle w:val="13"/>
          <w:rFonts w:ascii="宋体" w:hAnsi="宋体"/>
          <w:color w:val="000000"/>
          <w:sz w:val="24"/>
        </w:rPr>
      </w:pPr>
      <w:r>
        <w:rPr>
          <w:rStyle w:val="13"/>
          <w:rFonts w:ascii="宋体" w:hAnsi="宋体"/>
          <w:sz w:val="24"/>
        </w:rPr>
        <w:t>主要包括服务和接口两部分</w:t>
      </w:r>
      <w:r>
        <w:rPr>
          <w:rStyle w:val="13"/>
          <w:rFonts w:ascii="宋体" w:hAnsi="宋体"/>
          <w:color w:val="000000"/>
          <w:sz w:val="24"/>
        </w:rPr>
        <w:t>：</w:t>
      </w:r>
    </w:p>
    <w:p>
      <w:pPr>
        <w:spacing w:line="360" w:lineRule="auto"/>
        <w:ind w:firstLine="560"/>
        <w:textAlignment w:val="auto"/>
        <w:rPr>
          <w:rStyle w:val="13"/>
          <w:rFonts w:ascii="宋体" w:hAnsi="宋体"/>
          <w:color w:val="000000"/>
          <w:sz w:val="24"/>
        </w:rPr>
      </w:pPr>
      <w:r>
        <w:rPr>
          <w:rStyle w:val="13"/>
          <w:rFonts w:ascii="宋体" w:hAnsi="宋体"/>
          <w:color w:val="000000"/>
          <w:sz w:val="24"/>
        </w:rPr>
        <w:t>1）提供多路并发的语音识别、语音合成等功能，通过语音应用服务器，用户可以随时随地获得高质量的语音服务；</w:t>
      </w:r>
    </w:p>
    <w:p>
      <w:pPr>
        <w:spacing w:line="360" w:lineRule="auto"/>
        <w:ind w:firstLine="560"/>
        <w:textAlignment w:val="auto"/>
        <w:rPr>
          <w:rStyle w:val="13"/>
          <w:rFonts w:ascii="宋体" w:hAnsi="宋体"/>
          <w:color w:val="000000"/>
          <w:sz w:val="24"/>
        </w:rPr>
      </w:pPr>
      <w:r>
        <w:rPr>
          <w:rStyle w:val="13"/>
          <w:rFonts w:ascii="宋体" w:hAnsi="宋体"/>
          <w:color w:val="000000"/>
          <w:sz w:val="24"/>
        </w:rPr>
        <w:t>2）实现语音应用客户端，提供统一的语音应用开发接口，通过该接口用户可以方便、快速地开发语音应用；</w:t>
      </w:r>
    </w:p>
    <w:p>
      <w:pPr>
        <w:pStyle w:val="21"/>
        <w:spacing w:line="360" w:lineRule="auto"/>
        <w:textAlignment w:val="auto"/>
        <w:rPr>
          <w:rStyle w:val="13"/>
          <w:rFonts w:cs="宋体"/>
          <w:bCs/>
          <w:sz w:val="24"/>
          <w:szCs w:val="24"/>
        </w:rPr>
      </w:pPr>
      <w:r>
        <w:rPr>
          <w:rStyle w:val="13"/>
          <w:rFonts w:cs="宋体"/>
          <w:bCs/>
          <w:sz w:val="24"/>
          <w:szCs w:val="24"/>
        </w:rPr>
        <w:t>技术参数</w:t>
      </w:r>
    </w:p>
    <w:p>
      <w:pPr>
        <w:pStyle w:val="3"/>
        <w:spacing w:line="360" w:lineRule="auto"/>
        <w:textAlignment w:val="auto"/>
        <w:rPr>
          <w:rStyle w:val="13"/>
          <w:rFonts w:ascii="宋体" w:hAnsi="宋体" w:eastAsia="宋体"/>
          <w:sz w:val="24"/>
          <w:szCs w:val="24"/>
        </w:rPr>
      </w:pPr>
      <w:r>
        <w:rPr>
          <w:rStyle w:val="13"/>
          <w:rFonts w:ascii="宋体" w:hAnsi="宋体" w:eastAsia="宋体"/>
          <w:sz w:val="24"/>
          <w:szCs w:val="24"/>
        </w:rPr>
        <w:t>表格 1医学AI能力平台技术参数一览表</w:t>
      </w:r>
    </w:p>
    <w:tbl>
      <w:tblPr>
        <w:tblStyle w:val="10"/>
        <w:tblW w:w="8495" w:type="dxa"/>
        <w:jc w:val="center"/>
        <w:tblLayout w:type="autofit"/>
        <w:tblCellMar>
          <w:top w:w="0" w:type="dxa"/>
          <w:left w:w="0" w:type="dxa"/>
          <w:bottom w:w="0" w:type="dxa"/>
          <w:right w:w="0" w:type="dxa"/>
        </w:tblCellMar>
      </w:tblPr>
      <w:tblGrid>
        <w:gridCol w:w="713"/>
        <w:gridCol w:w="1203"/>
        <w:gridCol w:w="1203"/>
        <w:gridCol w:w="5376"/>
      </w:tblGrid>
      <w:tr>
        <w:tblPrEx>
          <w:tblCellMar>
            <w:top w:w="0" w:type="dxa"/>
            <w:left w:w="0" w:type="dxa"/>
            <w:bottom w:w="0" w:type="dxa"/>
            <w:right w:w="0" w:type="dxa"/>
          </w:tblCellMar>
        </w:tblPrEx>
        <w:trPr>
          <w:trHeight w:val="285" w:hRule="atLeast"/>
          <w:tblHeader/>
          <w:jc w:val="center"/>
        </w:trPr>
        <w:tc>
          <w:tcPr>
            <w:tcW w:w="71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spacing w:line="360" w:lineRule="auto"/>
              <w:jc w:val="center"/>
              <w:textAlignment w:val="auto"/>
              <w:rPr>
                <w:rStyle w:val="13"/>
                <w:rFonts w:ascii="宋体" w:hAnsi="宋体" w:cs="宋体"/>
                <w:b/>
                <w:bCs/>
                <w:color w:val="000000"/>
                <w:kern w:val="0"/>
                <w:sz w:val="24"/>
              </w:rPr>
            </w:pPr>
            <w:r>
              <w:rPr>
                <w:rStyle w:val="13"/>
                <w:rFonts w:ascii="宋体" w:hAnsi="宋体" w:cs="宋体"/>
                <w:b/>
                <w:bCs/>
                <w:color w:val="000000"/>
                <w:kern w:val="0"/>
                <w:sz w:val="24"/>
              </w:rPr>
              <w:t>序号</w:t>
            </w:r>
          </w:p>
        </w:tc>
        <w:tc>
          <w:tcPr>
            <w:tcW w:w="1203" w:type="dxa"/>
            <w:tcBorders>
              <w:top w:val="single" w:color="000000" w:sz="4" w:space="0"/>
              <w:left w:val="nil"/>
              <w:bottom w:val="single" w:color="000000" w:sz="4" w:space="0"/>
              <w:right w:val="single" w:color="000000" w:sz="4" w:space="0"/>
            </w:tcBorders>
            <w:shd w:val="clear" w:color="auto" w:fill="D9D9D9"/>
            <w:noWrap/>
            <w:vAlign w:val="center"/>
          </w:tcPr>
          <w:p>
            <w:pPr>
              <w:spacing w:line="360" w:lineRule="auto"/>
              <w:jc w:val="center"/>
              <w:textAlignment w:val="auto"/>
              <w:rPr>
                <w:rStyle w:val="13"/>
                <w:rFonts w:ascii="宋体" w:hAnsi="宋体" w:cs="宋体"/>
                <w:b/>
                <w:bCs/>
                <w:color w:val="000000"/>
                <w:kern w:val="0"/>
                <w:sz w:val="24"/>
              </w:rPr>
            </w:pPr>
            <w:r>
              <w:rPr>
                <w:rStyle w:val="13"/>
                <w:rFonts w:ascii="宋体" w:hAnsi="宋体" w:cs="宋体"/>
                <w:b/>
                <w:bCs/>
                <w:color w:val="000000"/>
                <w:kern w:val="0"/>
                <w:sz w:val="24"/>
              </w:rPr>
              <w:t>模块</w:t>
            </w:r>
          </w:p>
        </w:tc>
        <w:tc>
          <w:tcPr>
            <w:tcW w:w="1203" w:type="dxa"/>
            <w:tcBorders>
              <w:top w:val="single" w:color="000000" w:sz="4" w:space="0"/>
              <w:left w:val="nil"/>
              <w:bottom w:val="single" w:color="000000" w:sz="4" w:space="0"/>
              <w:right w:val="single" w:color="000000" w:sz="4" w:space="0"/>
            </w:tcBorders>
            <w:shd w:val="clear" w:color="auto" w:fill="D9D9D9"/>
            <w:vAlign w:val="center"/>
          </w:tcPr>
          <w:p>
            <w:pPr>
              <w:spacing w:line="360" w:lineRule="auto"/>
              <w:jc w:val="center"/>
              <w:textAlignment w:val="auto"/>
              <w:rPr>
                <w:rStyle w:val="13"/>
                <w:rFonts w:ascii="宋体" w:hAnsi="宋体" w:cs="宋体"/>
                <w:b/>
                <w:bCs/>
                <w:color w:val="000000"/>
                <w:kern w:val="0"/>
                <w:sz w:val="24"/>
              </w:rPr>
            </w:pPr>
            <w:r>
              <w:rPr>
                <w:rStyle w:val="13"/>
                <w:rFonts w:ascii="宋体" w:hAnsi="宋体" w:cs="宋体"/>
                <w:b/>
                <w:bCs/>
                <w:color w:val="000000"/>
                <w:kern w:val="0"/>
                <w:sz w:val="24"/>
              </w:rPr>
              <w:t>模块功能</w:t>
            </w:r>
          </w:p>
        </w:tc>
        <w:tc>
          <w:tcPr>
            <w:tcW w:w="5376" w:type="dxa"/>
            <w:tcBorders>
              <w:top w:val="single" w:color="000000" w:sz="4" w:space="0"/>
              <w:left w:val="nil"/>
              <w:bottom w:val="single" w:color="000000" w:sz="4" w:space="0"/>
              <w:right w:val="single" w:color="000000" w:sz="4" w:space="0"/>
            </w:tcBorders>
            <w:shd w:val="clear" w:color="auto" w:fill="D9D9D9"/>
            <w:vAlign w:val="center"/>
          </w:tcPr>
          <w:p>
            <w:pPr>
              <w:spacing w:line="360" w:lineRule="auto"/>
              <w:jc w:val="center"/>
              <w:textAlignment w:val="auto"/>
              <w:rPr>
                <w:rStyle w:val="13"/>
                <w:rFonts w:ascii="宋体" w:hAnsi="宋体" w:cs="宋体"/>
                <w:b/>
                <w:bCs/>
                <w:color w:val="000000"/>
                <w:kern w:val="0"/>
                <w:sz w:val="24"/>
              </w:rPr>
            </w:pPr>
            <w:r>
              <w:rPr>
                <w:rStyle w:val="13"/>
                <w:rFonts w:ascii="宋体" w:hAnsi="宋体" w:cs="宋体"/>
                <w:b/>
                <w:bCs/>
                <w:color w:val="000000"/>
                <w:kern w:val="0"/>
                <w:sz w:val="24"/>
              </w:rPr>
              <w:t>技术参数说明</w:t>
            </w:r>
          </w:p>
        </w:tc>
      </w:tr>
      <w:tr>
        <w:tblPrEx>
          <w:tblCellMar>
            <w:top w:w="0" w:type="dxa"/>
            <w:left w:w="0" w:type="dxa"/>
            <w:bottom w:w="0" w:type="dxa"/>
            <w:right w:w="0" w:type="dxa"/>
          </w:tblCellMar>
        </w:tblPrEx>
        <w:trPr>
          <w:trHeight w:val="570" w:hRule="atLeast"/>
          <w:jc w:val="center"/>
        </w:trPr>
        <w:tc>
          <w:tcPr>
            <w:tcW w:w="713"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1</w:t>
            </w:r>
          </w:p>
        </w:tc>
        <w:tc>
          <w:tcPr>
            <w:tcW w:w="1203" w:type="dxa"/>
            <w:vMerge w:val="restart"/>
            <w:tcBorders>
              <w:top w:val="nil"/>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语音识别</w:t>
            </w:r>
          </w:p>
        </w:tc>
        <w:tc>
          <w:tcPr>
            <w:tcW w:w="1203"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中文连续听写</w:t>
            </w:r>
          </w:p>
        </w:tc>
        <w:tc>
          <w:tcPr>
            <w:tcW w:w="5376"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支持中文连续语音听写识别，标准或带口音普通话的免切换；</w:t>
            </w:r>
          </w:p>
        </w:tc>
      </w:tr>
      <w:tr>
        <w:tblPrEx>
          <w:tblCellMar>
            <w:top w:w="0" w:type="dxa"/>
            <w:left w:w="0" w:type="dxa"/>
            <w:bottom w:w="0" w:type="dxa"/>
            <w:right w:w="0" w:type="dxa"/>
          </w:tblCellMar>
        </w:tblPrEx>
        <w:trPr>
          <w:trHeight w:val="570" w:hRule="atLeast"/>
          <w:jc w:val="center"/>
        </w:trPr>
        <w:tc>
          <w:tcPr>
            <w:tcW w:w="713"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2</w:t>
            </w:r>
          </w:p>
        </w:tc>
        <w:tc>
          <w:tcPr>
            <w:tcW w:w="1203"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203"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sz w:val="24"/>
              </w:rPr>
              <w:t>★</w:t>
            </w:r>
            <w:r>
              <w:rPr>
                <w:rStyle w:val="13"/>
                <w:rFonts w:ascii="宋体" w:hAnsi="宋体"/>
                <w:color w:val="000000"/>
                <w:kern w:val="0"/>
                <w:sz w:val="24"/>
              </w:rPr>
              <w:t>中英文混合听写</w:t>
            </w:r>
          </w:p>
        </w:tc>
        <w:tc>
          <w:tcPr>
            <w:tcW w:w="5376"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支持中英文混合听写识别，如</w:t>
            </w:r>
            <w:r>
              <w:rPr>
                <w:rStyle w:val="13"/>
                <w:rFonts w:ascii="宋体" w:hAnsi="宋体"/>
                <w:sz w:val="24"/>
              </w:rPr>
              <w:t>中文混读常见英文单词或字母</w:t>
            </w:r>
            <w:r>
              <w:rPr>
                <w:rStyle w:val="13"/>
                <w:rFonts w:ascii="宋体" w:hAnsi="宋体"/>
                <w:color w:val="000000"/>
                <w:kern w:val="0"/>
                <w:sz w:val="24"/>
              </w:rPr>
              <w:t>；</w:t>
            </w:r>
          </w:p>
        </w:tc>
      </w:tr>
      <w:tr>
        <w:tblPrEx>
          <w:tblCellMar>
            <w:top w:w="0" w:type="dxa"/>
            <w:left w:w="0" w:type="dxa"/>
            <w:bottom w:w="0" w:type="dxa"/>
            <w:right w:w="0" w:type="dxa"/>
          </w:tblCellMar>
        </w:tblPrEx>
        <w:trPr>
          <w:trHeight w:val="570" w:hRule="atLeast"/>
          <w:jc w:val="center"/>
        </w:trPr>
        <w:tc>
          <w:tcPr>
            <w:tcW w:w="713"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3</w:t>
            </w:r>
          </w:p>
        </w:tc>
        <w:tc>
          <w:tcPr>
            <w:tcW w:w="1203"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203"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数字串听写识别</w:t>
            </w:r>
          </w:p>
        </w:tc>
        <w:tc>
          <w:tcPr>
            <w:tcW w:w="5376"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sz w:val="24"/>
              </w:rPr>
              <w:t>支持按数字串或数值两种口述方式；</w:t>
            </w:r>
          </w:p>
        </w:tc>
      </w:tr>
      <w:tr>
        <w:tblPrEx>
          <w:tblCellMar>
            <w:top w:w="0" w:type="dxa"/>
            <w:left w:w="0" w:type="dxa"/>
            <w:bottom w:w="0" w:type="dxa"/>
            <w:right w:w="0" w:type="dxa"/>
          </w:tblCellMar>
        </w:tblPrEx>
        <w:trPr>
          <w:trHeight w:val="285" w:hRule="atLeast"/>
          <w:jc w:val="center"/>
        </w:trPr>
        <w:tc>
          <w:tcPr>
            <w:tcW w:w="713"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4</w:t>
            </w:r>
          </w:p>
        </w:tc>
        <w:tc>
          <w:tcPr>
            <w:tcW w:w="1203"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203"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标点预测</w:t>
            </w:r>
          </w:p>
        </w:tc>
        <w:tc>
          <w:tcPr>
            <w:tcW w:w="5376"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sz w:val="24"/>
              </w:rPr>
              <w:t>提供标点智能预测和口述标点相结合方式</w:t>
            </w:r>
            <w:r>
              <w:rPr>
                <w:rStyle w:val="13"/>
                <w:rFonts w:ascii="宋体" w:hAnsi="宋体"/>
                <w:color w:val="000000"/>
                <w:kern w:val="0"/>
                <w:sz w:val="24"/>
              </w:rPr>
              <w:t>；</w:t>
            </w:r>
          </w:p>
        </w:tc>
      </w:tr>
      <w:tr>
        <w:tblPrEx>
          <w:tblCellMar>
            <w:top w:w="0" w:type="dxa"/>
            <w:left w:w="0" w:type="dxa"/>
            <w:bottom w:w="0" w:type="dxa"/>
            <w:right w:w="0" w:type="dxa"/>
          </w:tblCellMar>
        </w:tblPrEx>
        <w:trPr>
          <w:trHeight w:val="285" w:hRule="atLeast"/>
          <w:jc w:val="center"/>
        </w:trPr>
        <w:tc>
          <w:tcPr>
            <w:tcW w:w="713"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5</w:t>
            </w:r>
          </w:p>
        </w:tc>
        <w:tc>
          <w:tcPr>
            <w:tcW w:w="1203"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203"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sz w:val="24"/>
              </w:rPr>
              <w:t>★</w:t>
            </w:r>
            <w:r>
              <w:rPr>
                <w:rStyle w:val="13"/>
                <w:rFonts w:ascii="宋体" w:hAnsi="宋体"/>
                <w:color w:val="000000"/>
                <w:kern w:val="0"/>
                <w:sz w:val="24"/>
              </w:rPr>
              <w:t>超长语音</w:t>
            </w:r>
          </w:p>
        </w:tc>
        <w:tc>
          <w:tcPr>
            <w:tcW w:w="5376"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支持连续长语音（&gt;=3小时）识别功能；</w:t>
            </w:r>
          </w:p>
        </w:tc>
      </w:tr>
      <w:tr>
        <w:tblPrEx>
          <w:tblCellMar>
            <w:top w:w="0" w:type="dxa"/>
            <w:left w:w="0" w:type="dxa"/>
            <w:bottom w:w="0" w:type="dxa"/>
            <w:right w:w="0" w:type="dxa"/>
          </w:tblCellMar>
        </w:tblPrEx>
        <w:trPr>
          <w:trHeight w:val="285" w:hRule="atLeast"/>
          <w:jc w:val="center"/>
        </w:trPr>
        <w:tc>
          <w:tcPr>
            <w:tcW w:w="713"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6</w:t>
            </w:r>
          </w:p>
        </w:tc>
        <w:tc>
          <w:tcPr>
            <w:tcW w:w="1203"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203"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噪音消除</w:t>
            </w:r>
          </w:p>
        </w:tc>
        <w:tc>
          <w:tcPr>
            <w:tcW w:w="5376"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提供噪声消除功能；</w:t>
            </w:r>
          </w:p>
        </w:tc>
      </w:tr>
      <w:tr>
        <w:tblPrEx>
          <w:tblCellMar>
            <w:top w:w="0" w:type="dxa"/>
            <w:left w:w="0" w:type="dxa"/>
            <w:bottom w:w="0" w:type="dxa"/>
            <w:right w:w="0" w:type="dxa"/>
          </w:tblCellMar>
        </w:tblPrEx>
        <w:trPr>
          <w:trHeight w:val="285" w:hRule="atLeast"/>
          <w:jc w:val="center"/>
        </w:trPr>
        <w:tc>
          <w:tcPr>
            <w:tcW w:w="713"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7</w:t>
            </w:r>
          </w:p>
        </w:tc>
        <w:tc>
          <w:tcPr>
            <w:tcW w:w="1203"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203"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热词优化</w:t>
            </w:r>
          </w:p>
        </w:tc>
        <w:tc>
          <w:tcPr>
            <w:tcW w:w="5376"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支持热词优化，通过对热词动态更新，提升专有词汇的识别率；</w:t>
            </w:r>
          </w:p>
        </w:tc>
      </w:tr>
      <w:tr>
        <w:tblPrEx>
          <w:tblCellMar>
            <w:top w:w="0" w:type="dxa"/>
            <w:left w:w="0" w:type="dxa"/>
            <w:bottom w:w="0" w:type="dxa"/>
            <w:right w:w="0" w:type="dxa"/>
          </w:tblCellMar>
        </w:tblPrEx>
        <w:trPr>
          <w:trHeight w:val="570" w:hRule="atLeast"/>
          <w:jc w:val="center"/>
        </w:trPr>
        <w:tc>
          <w:tcPr>
            <w:tcW w:w="713"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8</w:t>
            </w:r>
          </w:p>
        </w:tc>
        <w:tc>
          <w:tcPr>
            <w:tcW w:w="1203"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203"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语音起止配置</w:t>
            </w:r>
          </w:p>
        </w:tc>
        <w:tc>
          <w:tcPr>
            <w:tcW w:w="5376"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支持对语音起止间隔进行参数配置，满足不同场景需求；</w:t>
            </w:r>
          </w:p>
        </w:tc>
      </w:tr>
      <w:tr>
        <w:tblPrEx>
          <w:tblCellMar>
            <w:top w:w="0" w:type="dxa"/>
            <w:left w:w="0" w:type="dxa"/>
            <w:bottom w:w="0" w:type="dxa"/>
            <w:right w:w="0" w:type="dxa"/>
          </w:tblCellMar>
        </w:tblPrEx>
        <w:trPr>
          <w:trHeight w:val="285" w:hRule="atLeast"/>
          <w:jc w:val="center"/>
        </w:trPr>
        <w:tc>
          <w:tcPr>
            <w:tcW w:w="713"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9</w:t>
            </w:r>
          </w:p>
        </w:tc>
        <w:tc>
          <w:tcPr>
            <w:tcW w:w="1203"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203"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sz w:val="24"/>
              </w:rPr>
              <w:t>★</w:t>
            </w:r>
            <w:r>
              <w:rPr>
                <w:rStyle w:val="13"/>
                <w:rFonts w:ascii="宋体" w:hAnsi="宋体"/>
                <w:color w:val="000000"/>
                <w:kern w:val="0"/>
                <w:sz w:val="24"/>
              </w:rPr>
              <w:t>资源包定制</w:t>
            </w:r>
          </w:p>
        </w:tc>
        <w:tc>
          <w:tcPr>
            <w:tcW w:w="5376"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支持不少于5套的分科室小包资源定制及部署使用。</w:t>
            </w:r>
          </w:p>
        </w:tc>
      </w:tr>
      <w:tr>
        <w:tblPrEx>
          <w:tblCellMar>
            <w:top w:w="0" w:type="dxa"/>
            <w:left w:w="0" w:type="dxa"/>
            <w:bottom w:w="0" w:type="dxa"/>
            <w:right w:w="0" w:type="dxa"/>
          </w:tblCellMar>
        </w:tblPrEx>
        <w:trPr>
          <w:trHeight w:val="270" w:hRule="atLeast"/>
          <w:jc w:val="center"/>
        </w:trPr>
        <w:tc>
          <w:tcPr>
            <w:tcW w:w="713"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10</w:t>
            </w:r>
          </w:p>
        </w:tc>
        <w:tc>
          <w:tcPr>
            <w:tcW w:w="1203" w:type="dxa"/>
            <w:vMerge w:val="restart"/>
            <w:tcBorders>
              <w:top w:val="nil"/>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自然语言处理</w:t>
            </w:r>
          </w:p>
        </w:tc>
        <w:tc>
          <w:tcPr>
            <w:tcW w:w="1203"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文本规范处理</w:t>
            </w:r>
          </w:p>
        </w:tc>
        <w:tc>
          <w:tcPr>
            <w:tcW w:w="5376"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支持文本规范化的通用处理，如</w:t>
            </w:r>
            <w:r>
              <w:rPr>
                <w:rStyle w:val="13"/>
                <w:rFonts w:ascii="宋体" w:hAnsi="宋体"/>
                <w:sz w:val="24"/>
              </w:rPr>
              <w:t>字母大小写、数字串、医学单位符号、简说规整等</w:t>
            </w:r>
            <w:r>
              <w:rPr>
                <w:rStyle w:val="13"/>
                <w:rFonts w:ascii="宋体" w:hAnsi="宋体"/>
                <w:color w:val="000000"/>
                <w:kern w:val="0"/>
                <w:sz w:val="24"/>
              </w:rPr>
              <w:t>；</w:t>
            </w:r>
          </w:p>
        </w:tc>
      </w:tr>
      <w:tr>
        <w:tblPrEx>
          <w:tblCellMar>
            <w:top w:w="0" w:type="dxa"/>
            <w:left w:w="0" w:type="dxa"/>
            <w:bottom w:w="0" w:type="dxa"/>
            <w:right w:w="0" w:type="dxa"/>
          </w:tblCellMar>
        </w:tblPrEx>
        <w:trPr>
          <w:trHeight w:val="570" w:hRule="atLeast"/>
          <w:jc w:val="center"/>
        </w:trPr>
        <w:tc>
          <w:tcPr>
            <w:tcW w:w="713"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11</w:t>
            </w:r>
          </w:p>
        </w:tc>
        <w:tc>
          <w:tcPr>
            <w:tcW w:w="1203"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203"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sz w:val="24"/>
              </w:rPr>
              <w:t>★</w:t>
            </w:r>
            <w:r>
              <w:rPr>
                <w:rStyle w:val="13"/>
                <w:rFonts w:ascii="宋体" w:hAnsi="宋体"/>
                <w:color w:val="000000"/>
                <w:kern w:val="0"/>
                <w:sz w:val="24"/>
              </w:rPr>
              <w:t>闲聊拒识</w:t>
            </w:r>
          </w:p>
        </w:tc>
        <w:tc>
          <w:tcPr>
            <w:tcW w:w="5376"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支持文本分类，拒识闲聊文本。如可以区分出病历报告文本和非病历报告文本，完成对闲聊无关内容的过滤（需要提供相应的软件功能截图证明材料）；</w:t>
            </w:r>
          </w:p>
        </w:tc>
      </w:tr>
      <w:tr>
        <w:tblPrEx>
          <w:tblCellMar>
            <w:top w:w="0" w:type="dxa"/>
            <w:left w:w="0" w:type="dxa"/>
            <w:bottom w:w="0" w:type="dxa"/>
            <w:right w:w="0" w:type="dxa"/>
          </w:tblCellMar>
        </w:tblPrEx>
        <w:trPr>
          <w:trHeight w:val="570" w:hRule="atLeast"/>
          <w:jc w:val="center"/>
        </w:trPr>
        <w:tc>
          <w:tcPr>
            <w:tcW w:w="713"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12</w:t>
            </w:r>
          </w:p>
        </w:tc>
        <w:tc>
          <w:tcPr>
            <w:tcW w:w="1203"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203"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通用信息抽取</w:t>
            </w:r>
          </w:p>
        </w:tc>
        <w:tc>
          <w:tcPr>
            <w:tcW w:w="5376"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支持通用片段文法信息抽取，可根据关键词来对相关句子进行语义理解，</w:t>
            </w:r>
            <w:r>
              <w:rPr>
                <w:rStyle w:val="13"/>
                <w:rFonts w:ascii="宋体" w:hAnsi="宋体"/>
                <w:sz w:val="24"/>
              </w:rPr>
              <w:t>如可提取出控制指令（如打开、保存、主诉、现病史、既往史、诊断、处置等）</w:t>
            </w:r>
            <w:r>
              <w:rPr>
                <w:rStyle w:val="13"/>
                <w:rFonts w:ascii="宋体" w:hAnsi="宋体"/>
                <w:color w:val="000000"/>
                <w:kern w:val="0"/>
                <w:sz w:val="24"/>
              </w:rPr>
              <w:t>；</w:t>
            </w:r>
          </w:p>
        </w:tc>
      </w:tr>
      <w:tr>
        <w:tblPrEx>
          <w:tblCellMar>
            <w:top w:w="0" w:type="dxa"/>
            <w:left w:w="0" w:type="dxa"/>
            <w:bottom w:w="0" w:type="dxa"/>
            <w:right w:w="0" w:type="dxa"/>
          </w:tblCellMar>
        </w:tblPrEx>
        <w:trPr>
          <w:trHeight w:val="570" w:hRule="atLeast"/>
          <w:jc w:val="center"/>
        </w:trPr>
        <w:tc>
          <w:tcPr>
            <w:tcW w:w="713"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13</w:t>
            </w:r>
          </w:p>
        </w:tc>
        <w:tc>
          <w:tcPr>
            <w:tcW w:w="1203"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203"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多场景应用</w:t>
            </w:r>
          </w:p>
        </w:tc>
        <w:tc>
          <w:tcPr>
            <w:tcW w:w="5376"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提供基于各模块功能封装后的多场景自然语言处理服务，可满足门诊语音电子病历、超声智能语音助理等产品的调用。</w:t>
            </w:r>
          </w:p>
        </w:tc>
      </w:tr>
      <w:tr>
        <w:tblPrEx>
          <w:tblCellMar>
            <w:top w:w="0" w:type="dxa"/>
            <w:left w:w="0" w:type="dxa"/>
            <w:bottom w:w="0" w:type="dxa"/>
            <w:right w:w="0" w:type="dxa"/>
          </w:tblCellMar>
        </w:tblPrEx>
        <w:trPr>
          <w:trHeight w:val="270" w:hRule="atLeast"/>
          <w:jc w:val="center"/>
        </w:trPr>
        <w:tc>
          <w:tcPr>
            <w:tcW w:w="713"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14</w:t>
            </w:r>
          </w:p>
        </w:tc>
        <w:tc>
          <w:tcPr>
            <w:tcW w:w="1203" w:type="dxa"/>
            <w:vMerge w:val="restart"/>
            <w:tcBorders>
              <w:top w:val="nil"/>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语音合成</w:t>
            </w:r>
          </w:p>
        </w:tc>
        <w:tc>
          <w:tcPr>
            <w:tcW w:w="1203"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语速设置</w:t>
            </w:r>
          </w:p>
        </w:tc>
        <w:tc>
          <w:tcPr>
            <w:tcW w:w="5376"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支持语速快慢调节；</w:t>
            </w:r>
          </w:p>
        </w:tc>
      </w:tr>
      <w:tr>
        <w:tblPrEx>
          <w:tblCellMar>
            <w:top w:w="0" w:type="dxa"/>
            <w:left w:w="0" w:type="dxa"/>
            <w:bottom w:w="0" w:type="dxa"/>
            <w:right w:w="0" w:type="dxa"/>
          </w:tblCellMar>
        </w:tblPrEx>
        <w:trPr>
          <w:trHeight w:val="285" w:hRule="atLeast"/>
          <w:jc w:val="center"/>
        </w:trPr>
        <w:tc>
          <w:tcPr>
            <w:tcW w:w="713"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15</w:t>
            </w:r>
          </w:p>
        </w:tc>
        <w:tc>
          <w:tcPr>
            <w:tcW w:w="1203"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203"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中英混读</w:t>
            </w:r>
          </w:p>
        </w:tc>
        <w:tc>
          <w:tcPr>
            <w:tcW w:w="5376"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支持中英文混合播报</w:t>
            </w:r>
          </w:p>
        </w:tc>
      </w:tr>
      <w:tr>
        <w:tblPrEx>
          <w:tblCellMar>
            <w:top w:w="0" w:type="dxa"/>
            <w:left w:w="0" w:type="dxa"/>
            <w:bottom w:w="0" w:type="dxa"/>
            <w:right w:w="0" w:type="dxa"/>
          </w:tblCellMar>
        </w:tblPrEx>
        <w:trPr>
          <w:trHeight w:val="285" w:hRule="atLeast"/>
          <w:jc w:val="center"/>
        </w:trPr>
        <w:tc>
          <w:tcPr>
            <w:tcW w:w="713"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16</w:t>
            </w:r>
          </w:p>
        </w:tc>
        <w:tc>
          <w:tcPr>
            <w:tcW w:w="1203"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203"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发音人</w:t>
            </w:r>
          </w:p>
        </w:tc>
        <w:tc>
          <w:tcPr>
            <w:tcW w:w="5376"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支持多个医疗定制发音人（默认提供2个女声和1个男声），满足多场景合成播报需要；</w:t>
            </w:r>
          </w:p>
        </w:tc>
      </w:tr>
      <w:tr>
        <w:tblPrEx>
          <w:tblCellMar>
            <w:top w:w="0" w:type="dxa"/>
            <w:left w:w="0" w:type="dxa"/>
            <w:bottom w:w="0" w:type="dxa"/>
            <w:right w:w="0" w:type="dxa"/>
          </w:tblCellMar>
        </w:tblPrEx>
        <w:trPr>
          <w:trHeight w:val="285" w:hRule="atLeast"/>
          <w:jc w:val="center"/>
        </w:trPr>
        <w:tc>
          <w:tcPr>
            <w:tcW w:w="713"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17</w:t>
            </w:r>
          </w:p>
        </w:tc>
        <w:tc>
          <w:tcPr>
            <w:tcW w:w="1203"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203"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合成标记语言</w:t>
            </w:r>
          </w:p>
        </w:tc>
        <w:tc>
          <w:tcPr>
            <w:tcW w:w="5376"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支持用户自定义发音词典、停顿优化等参数设置的标记语言；</w:t>
            </w:r>
          </w:p>
        </w:tc>
      </w:tr>
      <w:tr>
        <w:tblPrEx>
          <w:tblCellMar>
            <w:top w:w="0" w:type="dxa"/>
            <w:left w:w="0" w:type="dxa"/>
            <w:bottom w:w="0" w:type="dxa"/>
            <w:right w:w="0" w:type="dxa"/>
          </w:tblCellMar>
        </w:tblPrEx>
        <w:trPr>
          <w:trHeight w:val="270" w:hRule="atLeast"/>
          <w:jc w:val="center"/>
        </w:trPr>
        <w:tc>
          <w:tcPr>
            <w:tcW w:w="713"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18</w:t>
            </w:r>
          </w:p>
        </w:tc>
        <w:tc>
          <w:tcPr>
            <w:tcW w:w="1203" w:type="dxa"/>
            <w:vMerge w:val="restart"/>
            <w:tcBorders>
              <w:top w:val="nil"/>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提供SDK接口</w:t>
            </w:r>
          </w:p>
        </w:tc>
        <w:tc>
          <w:tcPr>
            <w:tcW w:w="1203"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自然语言理解</w:t>
            </w:r>
          </w:p>
        </w:tc>
        <w:tc>
          <w:tcPr>
            <w:tcW w:w="5376"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支持自然语言理解服务接口调用；</w:t>
            </w:r>
          </w:p>
        </w:tc>
      </w:tr>
      <w:tr>
        <w:tblPrEx>
          <w:tblCellMar>
            <w:top w:w="0" w:type="dxa"/>
            <w:left w:w="0" w:type="dxa"/>
            <w:bottom w:w="0" w:type="dxa"/>
            <w:right w:w="0" w:type="dxa"/>
          </w:tblCellMar>
        </w:tblPrEx>
        <w:trPr>
          <w:trHeight w:val="285" w:hRule="atLeast"/>
          <w:jc w:val="center"/>
        </w:trPr>
        <w:tc>
          <w:tcPr>
            <w:tcW w:w="713"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19</w:t>
            </w:r>
          </w:p>
        </w:tc>
        <w:tc>
          <w:tcPr>
            <w:tcW w:w="1203"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203"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语音合成</w:t>
            </w:r>
          </w:p>
        </w:tc>
        <w:tc>
          <w:tcPr>
            <w:tcW w:w="5376"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支持语音合成服务接口调用；</w:t>
            </w:r>
          </w:p>
        </w:tc>
      </w:tr>
      <w:tr>
        <w:tblPrEx>
          <w:tblCellMar>
            <w:top w:w="0" w:type="dxa"/>
            <w:left w:w="0" w:type="dxa"/>
            <w:bottom w:w="0" w:type="dxa"/>
            <w:right w:w="0" w:type="dxa"/>
          </w:tblCellMar>
        </w:tblPrEx>
        <w:trPr>
          <w:trHeight w:val="285" w:hRule="atLeast"/>
          <w:jc w:val="center"/>
        </w:trPr>
        <w:tc>
          <w:tcPr>
            <w:tcW w:w="713"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20</w:t>
            </w:r>
          </w:p>
        </w:tc>
        <w:tc>
          <w:tcPr>
            <w:tcW w:w="1203"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203"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语音识别</w:t>
            </w:r>
          </w:p>
        </w:tc>
        <w:tc>
          <w:tcPr>
            <w:tcW w:w="5376"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支持服务端语音识别服务接口调用；</w:t>
            </w:r>
          </w:p>
        </w:tc>
      </w:tr>
      <w:tr>
        <w:tblPrEx>
          <w:tblCellMar>
            <w:top w:w="0" w:type="dxa"/>
            <w:left w:w="0" w:type="dxa"/>
            <w:bottom w:w="0" w:type="dxa"/>
            <w:right w:w="0" w:type="dxa"/>
          </w:tblCellMar>
        </w:tblPrEx>
        <w:trPr>
          <w:trHeight w:val="285" w:hRule="atLeast"/>
          <w:jc w:val="center"/>
        </w:trPr>
        <w:tc>
          <w:tcPr>
            <w:tcW w:w="713"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21</w:t>
            </w:r>
          </w:p>
        </w:tc>
        <w:tc>
          <w:tcPr>
            <w:tcW w:w="1203"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203"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接口封装</w:t>
            </w:r>
          </w:p>
        </w:tc>
        <w:tc>
          <w:tcPr>
            <w:tcW w:w="5376"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提供录音、音频压缩、语音识别、自然语言理解等功能的封装组合接口；</w:t>
            </w:r>
          </w:p>
        </w:tc>
      </w:tr>
      <w:tr>
        <w:tblPrEx>
          <w:tblCellMar>
            <w:top w:w="0" w:type="dxa"/>
            <w:left w:w="0" w:type="dxa"/>
            <w:bottom w:w="0" w:type="dxa"/>
            <w:right w:w="0" w:type="dxa"/>
          </w:tblCellMar>
        </w:tblPrEx>
        <w:trPr>
          <w:trHeight w:val="570" w:hRule="atLeast"/>
          <w:jc w:val="center"/>
        </w:trPr>
        <w:tc>
          <w:tcPr>
            <w:tcW w:w="713"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22</w:t>
            </w:r>
          </w:p>
        </w:tc>
        <w:tc>
          <w:tcPr>
            <w:tcW w:w="1203" w:type="dxa"/>
            <w:vMerge w:val="restart"/>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应用效果</w:t>
            </w:r>
          </w:p>
        </w:tc>
        <w:tc>
          <w:tcPr>
            <w:tcW w:w="1203" w:type="dxa"/>
            <w:tcBorders>
              <w:top w:val="nil"/>
              <w:left w:val="nil"/>
              <w:bottom w:val="single" w:color="000000" w:sz="4" w:space="0"/>
              <w:right w:val="single" w:color="000000" w:sz="4" w:space="0"/>
            </w:tcBorders>
            <w:vAlign w:val="center"/>
          </w:tcPr>
          <w:p>
            <w:pPr>
              <w:spacing w:line="360" w:lineRule="auto"/>
              <w:jc w:val="center"/>
              <w:textAlignment w:val="auto"/>
              <w:rPr>
                <w:rStyle w:val="13"/>
                <w:rFonts w:ascii="宋体" w:hAnsi="宋体"/>
                <w:color w:val="000000"/>
                <w:kern w:val="0"/>
                <w:sz w:val="24"/>
              </w:rPr>
            </w:pPr>
            <w:r>
              <w:rPr>
                <w:rStyle w:val="13"/>
                <w:rFonts w:ascii="宋体" w:hAnsi="宋体"/>
                <w:sz w:val="24"/>
              </w:rPr>
              <w:t>★</w:t>
            </w:r>
            <w:r>
              <w:rPr>
                <w:rStyle w:val="13"/>
                <w:rFonts w:ascii="宋体" w:hAnsi="宋体"/>
                <w:color w:val="000000"/>
                <w:kern w:val="0"/>
                <w:sz w:val="24"/>
              </w:rPr>
              <w:t>语音识别准确率</w:t>
            </w:r>
          </w:p>
        </w:tc>
        <w:tc>
          <w:tcPr>
            <w:tcW w:w="5376" w:type="dxa"/>
            <w:tcBorders>
              <w:top w:val="nil"/>
              <w:left w:val="nil"/>
              <w:bottom w:val="single" w:color="000000" w:sz="4" w:space="0"/>
              <w:right w:val="single" w:color="000000" w:sz="4" w:space="0"/>
            </w:tcBorders>
            <w:vAlign w:val="center"/>
          </w:tcPr>
          <w:p>
            <w:pPr>
              <w:spacing w:line="360" w:lineRule="auto"/>
              <w:textAlignment w:val="auto"/>
              <w:rPr>
                <w:rStyle w:val="13"/>
                <w:rFonts w:ascii="宋体" w:hAnsi="宋体"/>
                <w:color w:val="000000"/>
                <w:kern w:val="0"/>
                <w:sz w:val="24"/>
              </w:rPr>
            </w:pPr>
            <w:r>
              <w:rPr>
                <w:rStyle w:val="13"/>
                <w:rFonts w:ascii="宋体" w:hAnsi="宋体"/>
                <w:color w:val="000000"/>
                <w:kern w:val="0"/>
                <w:sz w:val="24"/>
              </w:rPr>
              <w:t>医学AI能力平台中英文语音识别准确率达到95%及以上（需提供省级及以上检测机构证明材料）</w:t>
            </w:r>
          </w:p>
        </w:tc>
      </w:tr>
      <w:tr>
        <w:tblPrEx>
          <w:tblCellMar>
            <w:top w:w="0" w:type="dxa"/>
            <w:left w:w="0" w:type="dxa"/>
            <w:bottom w:w="0" w:type="dxa"/>
            <w:right w:w="0" w:type="dxa"/>
          </w:tblCellMar>
        </w:tblPrEx>
        <w:trPr>
          <w:trHeight w:val="855" w:hRule="atLeast"/>
          <w:jc w:val="center"/>
        </w:trPr>
        <w:tc>
          <w:tcPr>
            <w:tcW w:w="713"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23</w:t>
            </w:r>
          </w:p>
        </w:tc>
        <w:tc>
          <w:tcPr>
            <w:tcW w:w="1203"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203" w:type="dxa"/>
            <w:tcBorders>
              <w:top w:val="nil"/>
              <w:left w:val="nil"/>
              <w:bottom w:val="single" w:color="000000" w:sz="4" w:space="0"/>
              <w:right w:val="single" w:color="000000" w:sz="4" w:space="0"/>
            </w:tcBorders>
            <w:vAlign w:val="center"/>
          </w:tcPr>
          <w:p>
            <w:pPr>
              <w:spacing w:line="360" w:lineRule="auto"/>
              <w:jc w:val="center"/>
              <w:textAlignment w:val="auto"/>
              <w:rPr>
                <w:rStyle w:val="13"/>
                <w:rFonts w:ascii="宋体" w:hAnsi="宋体"/>
                <w:color w:val="000000"/>
                <w:kern w:val="0"/>
                <w:sz w:val="24"/>
              </w:rPr>
            </w:pPr>
            <w:r>
              <w:rPr>
                <w:rStyle w:val="13"/>
                <w:rFonts w:ascii="宋体" w:hAnsi="宋体"/>
                <w:sz w:val="24"/>
              </w:rPr>
              <w:t>★</w:t>
            </w:r>
            <w:r>
              <w:rPr>
                <w:rStyle w:val="13"/>
                <w:rFonts w:ascii="宋体" w:hAnsi="宋体"/>
                <w:color w:val="000000"/>
                <w:kern w:val="0"/>
                <w:sz w:val="24"/>
              </w:rPr>
              <w:t>中英文语音合成自然度</w:t>
            </w:r>
          </w:p>
        </w:tc>
        <w:tc>
          <w:tcPr>
            <w:tcW w:w="5376" w:type="dxa"/>
            <w:tcBorders>
              <w:top w:val="nil"/>
              <w:left w:val="nil"/>
              <w:bottom w:val="single" w:color="000000" w:sz="4" w:space="0"/>
              <w:right w:val="single" w:color="000000" w:sz="4" w:space="0"/>
            </w:tcBorders>
            <w:vAlign w:val="center"/>
          </w:tcPr>
          <w:p>
            <w:pPr>
              <w:spacing w:line="360" w:lineRule="auto"/>
              <w:textAlignment w:val="auto"/>
              <w:rPr>
                <w:rStyle w:val="13"/>
                <w:rFonts w:ascii="宋体" w:hAnsi="宋体"/>
                <w:color w:val="000000"/>
                <w:kern w:val="0"/>
                <w:sz w:val="24"/>
              </w:rPr>
            </w:pPr>
            <w:r>
              <w:rPr>
                <w:rStyle w:val="13"/>
                <w:rFonts w:ascii="宋体" w:hAnsi="宋体"/>
                <w:color w:val="000000"/>
                <w:kern w:val="0"/>
                <w:sz w:val="24"/>
              </w:rPr>
              <w:t>医学AI能力平台中英文语音合成自然度达到4.5分及以上（需提供省级及以上检测机构证明材料）</w:t>
            </w:r>
          </w:p>
        </w:tc>
      </w:tr>
      <w:tr>
        <w:tblPrEx>
          <w:tblCellMar>
            <w:top w:w="0" w:type="dxa"/>
            <w:left w:w="0" w:type="dxa"/>
            <w:bottom w:w="0" w:type="dxa"/>
            <w:right w:w="0" w:type="dxa"/>
          </w:tblCellMar>
        </w:tblPrEx>
        <w:trPr>
          <w:trHeight w:val="570" w:hRule="atLeast"/>
          <w:jc w:val="center"/>
        </w:trPr>
        <w:tc>
          <w:tcPr>
            <w:tcW w:w="713"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24</w:t>
            </w:r>
          </w:p>
        </w:tc>
        <w:tc>
          <w:tcPr>
            <w:tcW w:w="1203" w:type="dxa"/>
            <w:vMerge w:val="restart"/>
            <w:tcBorders>
              <w:top w:val="nil"/>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相关格式</w:t>
            </w:r>
          </w:p>
        </w:tc>
        <w:tc>
          <w:tcPr>
            <w:tcW w:w="1203"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语音输出格式</w:t>
            </w:r>
          </w:p>
        </w:tc>
        <w:tc>
          <w:tcPr>
            <w:tcW w:w="5376"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语音合成输出格式：语音合成支持16000Hz、16bit pcm无头格式和标准音频头格式的语音输出</w:t>
            </w:r>
          </w:p>
        </w:tc>
      </w:tr>
      <w:tr>
        <w:tblPrEx>
          <w:tblCellMar>
            <w:top w:w="0" w:type="dxa"/>
            <w:left w:w="0" w:type="dxa"/>
            <w:bottom w:w="0" w:type="dxa"/>
            <w:right w:w="0" w:type="dxa"/>
          </w:tblCellMar>
        </w:tblPrEx>
        <w:trPr>
          <w:trHeight w:val="285" w:hRule="atLeast"/>
          <w:jc w:val="center"/>
        </w:trPr>
        <w:tc>
          <w:tcPr>
            <w:tcW w:w="713"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25</w:t>
            </w:r>
          </w:p>
        </w:tc>
        <w:tc>
          <w:tcPr>
            <w:tcW w:w="1203"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203"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字库格式</w:t>
            </w:r>
          </w:p>
        </w:tc>
        <w:tc>
          <w:tcPr>
            <w:tcW w:w="5376"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语音合成和识别支持GBK字库的汉字</w:t>
            </w:r>
          </w:p>
        </w:tc>
      </w:tr>
      <w:tr>
        <w:tblPrEx>
          <w:tblCellMar>
            <w:top w:w="0" w:type="dxa"/>
            <w:left w:w="0" w:type="dxa"/>
            <w:bottom w:w="0" w:type="dxa"/>
            <w:right w:w="0" w:type="dxa"/>
          </w:tblCellMar>
        </w:tblPrEx>
        <w:trPr>
          <w:trHeight w:val="285" w:hRule="atLeast"/>
          <w:jc w:val="center"/>
        </w:trPr>
        <w:tc>
          <w:tcPr>
            <w:tcW w:w="713"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26</w:t>
            </w:r>
          </w:p>
        </w:tc>
        <w:tc>
          <w:tcPr>
            <w:tcW w:w="1203"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203"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操作系统</w:t>
            </w:r>
          </w:p>
        </w:tc>
        <w:tc>
          <w:tcPr>
            <w:tcW w:w="5376"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接口支持的操作系统有IOS 10.0及以上，android3.0及以上，windows xp及以上</w:t>
            </w:r>
          </w:p>
        </w:tc>
      </w:tr>
      <w:tr>
        <w:tblPrEx>
          <w:tblCellMar>
            <w:top w:w="0" w:type="dxa"/>
            <w:left w:w="0" w:type="dxa"/>
            <w:bottom w:w="0" w:type="dxa"/>
            <w:right w:w="0" w:type="dxa"/>
          </w:tblCellMar>
        </w:tblPrEx>
        <w:trPr>
          <w:trHeight w:val="285" w:hRule="atLeast"/>
          <w:jc w:val="center"/>
        </w:trPr>
        <w:tc>
          <w:tcPr>
            <w:tcW w:w="713"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27</w:t>
            </w:r>
          </w:p>
        </w:tc>
        <w:tc>
          <w:tcPr>
            <w:tcW w:w="1203"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203"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开发语言</w:t>
            </w:r>
          </w:p>
        </w:tc>
        <w:tc>
          <w:tcPr>
            <w:tcW w:w="5376"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接口支持开发语言有 C++、JAVA、C#、webapi</w:t>
            </w:r>
          </w:p>
        </w:tc>
      </w:tr>
      <w:tr>
        <w:tblPrEx>
          <w:tblCellMar>
            <w:top w:w="0" w:type="dxa"/>
            <w:left w:w="0" w:type="dxa"/>
            <w:bottom w:w="0" w:type="dxa"/>
            <w:right w:w="0" w:type="dxa"/>
          </w:tblCellMar>
        </w:tblPrEx>
        <w:trPr>
          <w:trHeight w:val="285" w:hRule="atLeast"/>
          <w:jc w:val="center"/>
        </w:trPr>
        <w:tc>
          <w:tcPr>
            <w:tcW w:w="713"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28</w:t>
            </w:r>
          </w:p>
        </w:tc>
        <w:tc>
          <w:tcPr>
            <w:tcW w:w="1203"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203" w:type="dxa"/>
            <w:tcBorders>
              <w:top w:val="nil"/>
              <w:left w:val="nil"/>
              <w:bottom w:val="single" w:color="000000" w:sz="4" w:space="0"/>
              <w:right w:val="single" w:color="000000" w:sz="4" w:space="0"/>
            </w:tcBorders>
            <w:noWrap/>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效果优化</w:t>
            </w:r>
          </w:p>
        </w:tc>
        <w:tc>
          <w:tcPr>
            <w:tcW w:w="5376" w:type="dxa"/>
            <w:tcBorders>
              <w:top w:val="nil"/>
              <w:left w:val="nil"/>
              <w:bottom w:val="single" w:color="000000" w:sz="4" w:space="0"/>
              <w:right w:val="single" w:color="000000" w:sz="4" w:space="0"/>
            </w:tcBorders>
            <w:noWrap/>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支持对识别应用效果进行持续的优化提升。</w:t>
            </w:r>
          </w:p>
        </w:tc>
      </w:tr>
      <w:tr>
        <w:tblPrEx>
          <w:tblCellMar>
            <w:top w:w="0" w:type="dxa"/>
            <w:left w:w="0" w:type="dxa"/>
            <w:bottom w:w="0" w:type="dxa"/>
            <w:right w:w="0" w:type="dxa"/>
          </w:tblCellMar>
        </w:tblPrEx>
        <w:trPr>
          <w:trHeight w:val="762"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29</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公共组件</w:t>
            </w:r>
          </w:p>
        </w:tc>
        <w:tc>
          <w:tcPr>
            <w:tcW w:w="12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服务路由</w:t>
            </w:r>
          </w:p>
        </w:tc>
        <w:tc>
          <w:tcPr>
            <w:tcW w:w="5376" w:type="dxa"/>
            <w:tcBorders>
              <w:top w:val="single" w:color="000000" w:sz="4" w:space="0"/>
              <w:left w:val="nil"/>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为后台服务提供路由和负载均衡功能</w:t>
            </w:r>
          </w:p>
          <w:p>
            <w:pPr>
              <w:spacing w:line="360" w:lineRule="auto"/>
              <w:ind w:firstLine="560"/>
              <w:jc w:val="left"/>
              <w:textAlignment w:val="auto"/>
              <w:rPr>
                <w:rStyle w:val="13"/>
                <w:rFonts w:ascii="宋体" w:hAnsi="宋体"/>
                <w:color w:val="000000"/>
                <w:kern w:val="0"/>
                <w:sz w:val="24"/>
              </w:rPr>
            </w:pPr>
          </w:p>
        </w:tc>
      </w:tr>
      <w:tr>
        <w:tblPrEx>
          <w:tblCellMar>
            <w:top w:w="0" w:type="dxa"/>
            <w:left w:w="0" w:type="dxa"/>
            <w:bottom w:w="0" w:type="dxa"/>
            <w:right w:w="0" w:type="dxa"/>
          </w:tblCellMar>
        </w:tblPrEx>
        <w:trPr>
          <w:trHeight w:val="570"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30</w:t>
            </w:r>
          </w:p>
        </w:tc>
        <w:tc>
          <w:tcPr>
            <w:tcW w:w="120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统一日志</w:t>
            </w:r>
          </w:p>
        </w:tc>
        <w:tc>
          <w:tcPr>
            <w:tcW w:w="5376" w:type="dxa"/>
            <w:tcBorders>
              <w:top w:val="single" w:color="000000" w:sz="4" w:space="0"/>
              <w:left w:val="nil"/>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统计客户端请求和服务端响应的信息并组合成运行日志，将日志信息上传到统一日志平台，方便使用方掌握系统的运行状态</w:t>
            </w:r>
          </w:p>
        </w:tc>
      </w:tr>
      <w:tr>
        <w:tblPrEx>
          <w:tblCellMar>
            <w:top w:w="0" w:type="dxa"/>
            <w:left w:w="0" w:type="dxa"/>
            <w:bottom w:w="0" w:type="dxa"/>
            <w:right w:w="0" w:type="dxa"/>
          </w:tblCellMar>
        </w:tblPrEx>
        <w:trPr>
          <w:trHeight w:val="285" w:hRule="atLeast"/>
          <w:jc w:val="center"/>
        </w:trPr>
        <w:tc>
          <w:tcPr>
            <w:tcW w:w="713"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31</w:t>
            </w:r>
          </w:p>
        </w:tc>
        <w:tc>
          <w:tcPr>
            <w:tcW w:w="1203"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203"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5376" w:type="dxa"/>
            <w:tcBorders>
              <w:top w:val="nil"/>
              <w:left w:val="nil"/>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日志支持等级配置</w:t>
            </w:r>
          </w:p>
        </w:tc>
      </w:tr>
      <w:tr>
        <w:tblPrEx>
          <w:tblCellMar>
            <w:top w:w="0" w:type="dxa"/>
            <w:left w:w="0" w:type="dxa"/>
            <w:bottom w:w="0" w:type="dxa"/>
            <w:right w:w="0" w:type="dxa"/>
          </w:tblCellMar>
        </w:tblPrEx>
        <w:trPr>
          <w:trHeight w:val="285" w:hRule="atLeast"/>
          <w:jc w:val="center"/>
        </w:trPr>
        <w:tc>
          <w:tcPr>
            <w:tcW w:w="713"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32</w:t>
            </w:r>
          </w:p>
        </w:tc>
        <w:tc>
          <w:tcPr>
            <w:tcW w:w="1203"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203" w:type="dxa"/>
            <w:vMerge w:val="restart"/>
            <w:tcBorders>
              <w:top w:val="nil"/>
              <w:left w:val="single" w:color="000000" w:sz="4" w:space="0"/>
              <w:bottom w:val="single" w:color="000000" w:sz="4" w:space="0"/>
              <w:right w:val="single" w:color="000000" w:sz="4" w:space="0"/>
            </w:tcBorders>
            <w:shd w:val="clear" w:color="auto" w:fill="FFFFFF"/>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统一存储</w:t>
            </w:r>
          </w:p>
        </w:tc>
        <w:tc>
          <w:tcPr>
            <w:tcW w:w="5376" w:type="dxa"/>
            <w:tcBorders>
              <w:top w:val="nil"/>
              <w:left w:val="nil"/>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保存客户端请求中的音频数据至统一存储平台，能为使用方后期数据分析提供数据支持</w:t>
            </w:r>
          </w:p>
        </w:tc>
      </w:tr>
      <w:tr>
        <w:tblPrEx>
          <w:tblCellMar>
            <w:top w:w="0" w:type="dxa"/>
            <w:left w:w="0" w:type="dxa"/>
            <w:bottom w:w="0" w:type="dxa"/>
            <w:right w:w="0" w:type="dxa"/>
          </w:tblCellMar>
        </w:tblPrEx>
        <w:trPr>
          <w:trHeight w:val="285" w:hRule="atLeast"/>
          <w:jc w:val="center"/>
        </w:trPr>
        <w:tc>
          <w:tcPr>
            <w:tcW w:w="713"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33</w:t>
            </w:r>
          </w:p>
        </w:tc>
        <w:tc>
          <w:tcPr>
            <w:tcW w:w="1203"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203"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5376" w:type="dxa"/>
            <w:tcBorders>
              <w:top w:val="nil"/>
              <w:left w:val="nil"/>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存储路径支持配置</w:t>
            </w:r>
          </w:p>
        </w:tc>
      </w:tr>
      <w:tr>
        <w:tblPrEx>
          <w:tblCellMar>
            <w:top w:w="0" w:type="dxa"/>
            <w:left w:w="0" w:type="dxa"/>
            <w:bottom w:w="0" w:type="dxa"/>
            <w:right w:w="0" w:type="dxa"/>
          </w:tblCellMar>
        </w:tblPrEx>
        <w:trPr>
          <w:trHeight w:val="285" w:hRule="atLeast"/>
          <w:jc w:val="center"/>
        </w:trPr>
        <w:tc>
          <w:tcPr>
            <w:tcW w:w="713"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34</w:t>
            </w:r>
          </w:p>
        </w:tc>
        <w:tc>
          <w:tcPr>
            <w:tcW w:w="1203"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203" w:type="dxa"/>
            <w:vMerge w:val="restart"/>
            <w:tcBorders>
              <w:top w:val="nil"/>
              <w:left w:val="single" w:color="000000" w:sz="4" w:space="0"/>
              <w:bottom w:val="single" w:color="000000" w:sz="4" w:space="0"/>
              <w:right w:val="single" w:color="000000" w:sz="4" w:space="0"/>
            </w:tcBorders>
            <w:shd w:val="clear" w:color="auto" w:fill="FFFFFF"/>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统一监控</w:t>
            </w:r>
          </w:p>
        </w:tc>
        <w:tc>
          <w:tcPr>
            <w:tcW w:w="5376" w:type="dxa"/>
            <w:tcBorders>
              <w:top w:val="nil"/>
              <w:left w:val="nil"/>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对接组件守护程序，可通过系统监控，对异常模块进行自动拉起</w:t>
            </w:r>
          </w:p>
        </w:tc>
      </w:tr>
      <w:tr>
        <w:tblPrEx>
          <w:tblCellMar>
            <w:top w:w="0" w:type="dxa"/>
            <w:left w:w="0" w:type="dxa"/>
            <w:bottom w:w="0" w:type="dxa"/>
            <w:right w:w="0" w:type="dxa"/>
          </w:tblCellMar>
        </w:tblPrEx>
        <w:trPr>
          <w:trHeight w:val="285" w:hRule="atLeast"/>
          <w:jc w:val="center"/>
        </w:trPr>
        <w:tc>
          <w:tcPr>
            <w:tcW w:w="713"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35</w:t>
            </w:r>
          </w:p>
        </w:tc>
        <w:tc>
          <w:tcPr>
            <w:tcW w:w="1203"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203"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5376" w:type="dxa"/>
            <w:tcBorders>
              <w:top w:val="nil"/>
              <w:left w:val="nil"/>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要求7*24小时稳定运行</w:t>
            </w:r>
          </w:p>
        </w:tc>
      </w:tr>
    </w:tbl>
    <w:p>
      <w:pPr>
        <w:spacing w:line="360" w:lineRule="auto"/>
        <w:ind w:firstLine="560"/>
        <w:jc w:val="center"/>
        <w:textAlignment w:val="auto"/>
        <w:rPr>
          <w:rStyle w:val="13"/>
          <w:rFonts w:ascii="宋体" w:hAnsi="宋体"/>
          <w:sz w:val="24"/>
        </w:rPr>
      </w:pPr>
    </w:p>
    <w:p>
      <w:pPr>
        <w:pStyle w:val="20"/>
        <w:spacing w:before="0" w:after="0" w:line="360" w:lineRule="auto"/>
        <w:textAlignment w:val="auto"/>
        <w:rPr>
          <w:rStyle w:val="13"/>
          <w:rFonts w:ascii="宋体" w:hAnsi="宋体"/>
          <w:b/>
          <w:bCs/>
          <w:sz w:val="24"/>
          <w:szCs w:val="24"/>
        </w:rPr>
      </w:pPr>
      <w:r>
        <w:rPr>
          <w:rStyle w:val="13"/>
          <w:rFonts w:ascii="宋体" w:hAnsi="宋体"/>
          <w:b/>
          <w:bCs/>
          <w:sz w:val="24"/>
          <w:szCs w:val="24"/>
        </w:rPr>
        <w:t>人工智能应用系统</w:t>
      </w:r>
    </w:p>
    <w:p>
      <w:pPr>
        <w:pStyle w:val="21"/>
        <w:spacing w:line="360" w:lineRule="auto"/>
        <w:textAlignment w:val="auto"/>
        <w:rPr>
          <w:rStyle w:val="13"/>
          <w:rFonts w:cs="宋体"/>
          <w:bCs/>
          <w:sz w:val="24"/>
          <w:szCs w:val="24"/>
        </w:rPr>
      </w:pPr>
      <w:r>
        <w:rPr>
          <w:rStyle w:val="13"/>
          <w:rFonts w:cs="宋体"/>
          <w:b/>
          <w:sz w:val="24"/>
          <w:szCs w:val="24"/>
        </w:rPr>
        <w:t>语音输入套件</w:t>
      </w:r>
    </w:p>
    <w:p>
      <w:pPr>
        <w:pStyle w:val="22"/>
        <w:numPr>
          <w:ilvl w:val="4"/>
          <w:numId w:val="0"/>
        </w:numPr>
        <w:spacing w:before="0" w:after="0" w:line="360" w:lineRule="auto"/>
        <w:ind w:left="1560"/>
        <w:textAlignment w:val="auto"/>
        <w:rPr>
          <w:rStyle w:val="13"/>
          <w:rFonts w:ascii="宋体" w:hAnsi="宋体" w:cs="宋体"/>
          <w:bCs/>
          <w:sz w:val="24"/>
          <w:szCs w:val="24"/>
        </w:rPr>
      </w:pPr>
      <w:r>
        <w:rPr>
          <w:rStyle w:val="13"/>
          <w:rFonts w:hint="eastAsia" w:ascii="宋体" w:hAnsi="宋体" w:cs="宋体"/>
          <w:bCs/>
          <w:sz w:val="24"/>
          <w:szCs w:val="24"/>
        </w:rPr>
        <w:t>1.</w:t>
      </w:r>
      <w:r>
        <w:rPr>
          <w:rStyle w:val="13"/>
          <w:rFonts w:ascii="宋体" w:hAnsi="宋体" w:cs="宋体"/>
          <w:bCs/>
          <w:sz w:val="24"/>
          <w:szCs w:val="24"/>
        </w:rPr>
        <w:t>产品要求</w:t>
      </w:r>
    </w:p>
    <w:p>
      <w:pPr>
        <w:spacing w:line="360" w:lineRule="auto"/>
        <w:ind w:firstLine="560"/>
        <w:textAlignment w:val="auto"/>
        <w:rPr>
          <w:rStyle w:val="13"/>
          <w:rFonts w:ascii="宋体" w:hAnsi="宋体"/>
          <w:sz w:val="24"/>
        </w:rPr>
      </w:pPr>
      <w:r>
        <w:rPr>
          <w:rStyle w:val="13"/>
          <w:rFonts w:ascii="宋体" w:hAnsi="宋体"/>
          <w:sz w:val="24"/>
        </w:rPr>
        <w:t>通过软硬件一体化专业智能设备，结合成熟的医疗语音识别、语义理解技术，使医务人员能在电脑不外接互联网、背景嘈杂的环境中实现高速、准确的自然语音实时转文字输入，大大提升医生工作效率和医疗文书的规范性，做到所说即所见。</w:t>
      </w:r>
    </w:p>
    <w:p>
      <w:pPr>
        <w:pStyle w:val="22"/>
        <w:numPr>
          <w:ilvl w:val="4"/>
          <w:numId w:val="0"/>
        </w:numPr>
        <w:spacing w:before="0" w:after="0" w:line="360" w:lineRule="auto"/>
        <w:ind w:left="1560"/>
        <w:textAlignment w:val="auto"/>
        <w:rPr>
          <w:rStyle w:val="13"/>
          <w:rFonts w:ascii="宋体" w:hAnsi="宋体" w:cs="宋体"/>
          <w:bCs/>
          <w:sz w:val="24"/>
          <w:szCs w:val="24"/>
        </w:rPr>
      </w:pPr>
      <w:r>
        <w:rPr>
          <w:rStyle w:val="13"/>
          <w:rFonts w:hint="eastAsia" w:ascii="宋体" w:hAnsi="宋体" w:cs="宋体"/>
          <w:bCs/>
          <w:sz w:val="24"/>
          <w:szCs w:val="24"/>
        </w:rPr>
        <w:t>1.1</w:t>
      </w:r>
      <w:r>
        <w:rPr>
          <w:rStyle w:val="13"/>
          <w:rFonts w:ascii="宋体" w:hAnsi="宋体" w:cs="宋体"/>
          <w:bCs/>
          <w:sz w:val="24"/>
          <w:szCs w:val="24"/>
        </w:rPr>
        <w:t>技术参数</w:t>
      </w:r>
    </w:p>
    <w:p>
      <w:pPr>
        <w:pStyle w:val="3"/>
        <w:spacing w:line="360" w:lineRule="auto"/>
        <w:textAlignment w:val="auto"/>
        <w:rPr>
          <w:rStyle w:val="13"/>
          <w:rFonts w:ascii="宋体" w:hAnsi="宋体" w:eastAsia="宋体"/>
          <w:sz w:val="24"/>
          <w:szCs w:val="24"/>
        </w:rPr>
      </w:pPr>
      <w:r>
        <w:rPr>
          <w:rStyle w:val="13"/>
          <w:rFonts w:ascii="宋体" w:hAnsi="宋体" w:eastAsia="宋体"/>
          <w:sz w:val="24"/>
          <w:szCs w:val="24"/>
        </w:rPr>
        <w:t>表格 2语音输入套件技术参数一览表</w:t>
      </w:r>
    </w:p>
    <w:tbl>
      <w:tblPr>
        <w:tblStyle w:val="10"/>
        <w:tblW w:w="823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46"/>
        <w:gridCol w:w="1417"/>
        <w:gridCol w:w="59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blHeader/>
        </w:trPr>
        <w:tc>
          <w:tcPr>
            <w:tcW w:w="846" w:type="dxa"/>
            <w:tcBorders>
              <w:top w:val="single" w:color="000000" w:sz="4" w:space="0"/>
              <w:left w:val="single" w:color="000000" w:sz="4" w:space="0"/>
              <w:bottom w:val="single" w:color="000000" w:sz="4" w:space="0"/>
              <w:right w:val="single" w:color="000000" w:sz="4" w:space="0"/>
            </w:tcBorders>
            <w:shd w:val="clear" w:color="auto" w:fill="D8D8D8"/>
            <w:vAlign w:val="center"/>
          </w:tcPr>
          <w:p>
            <w:pPr>
              <w:spacing w:line="360" w:lineRule="auto"/>
              <w:jc w:val="center"/>
              <w:textAlignment w:val="auto"/>
              <w:rPr>
                <w:rStyle w:val="13"/>
                <w:rFonts w:ascii="宋体" w:hAnsi="宋体"/>
                <w:b/>
                <w:sz w:val="24"/>
              </w:rPr>
            </w:pPr>
            <w:r>
              <w:rPr>
                <w:rStyle w:val="13"/>
                <w:rFonts w:ascii="宋体" w:hAnsi="宋体"/>
                <w:b/>
                <w:sz w:val="24"/>
              </w:rPr>
              <w:t>序号</w:t>
            </w:r>
          </w:p>
        </w:tc>
        <w:tc>
          <w:tcPr>
            <w:tcW w:w="1417" w:type="dxa"/>
            <w:tcBorders>
              <w:top w:val="single" w:color="000000" w:sz="4" w:space="0"/>
              <w:left w:val="single" w:color="000000" w:sz="4" w:space="0"/>
              <w:bottom w:val="single" w:color="000000" w:sz="4" w:space="0"/>
              <w:right w:val="single" w:color="000000" w:sz="4" w:space="0"/>
            </w:tcBorders>
            <w:shd w:val="clear" w:color="auto" w:fill="D8D8D8"/>
            <w:vAlign w:val="center"/>
          </w:tcPr>
          <w:p>
            <w:pPr>
              <w:spacing w:line="360" w:lineRule="auto"/>
              <w:jc w:val="center"/>
              <w:textAlignment w:val="auto"/>
              <w:rPr>
                <w:rStyle w:val="13"/>
                <w:rFonts w:ascii="宋体" w:hAnsi="宋体"/>
                <w:b/>
                <w:sz w:val="24"/>
              </w:rPr>
            </w:pPr>
            <w:r>
              <w:rPr>
                <w:rStyle w:val="13"/>
                <w:rFonts w:ascii="宋体" w:hAnsi="宋体"/>
                <w:b/>
                <w:sz w:val="24"/>
              </w:rPr>
              <w:t>模块</w:t>
            </w:r>
          </w:p>
        </w:tc>
        <w:tc>
          <w:tcPr>
            <w:tcW w:w="5971" w:type="dxa"/>
            <w:tcBorders>
              <w:top w:val="single" w:color="000000" w:sz="4" w:space="0"/>
              <w:left w:val="single" w:color="000000" w:sz="4" w:space="0"/>
              <w:bottom w:val="single" w:color="000000" w:sz="4" w:space="0"/>
              <w:right w:val="single" w:color="000000" w:sz="4" w:space="0"/>
            </w:tcBorders>
            <w:shd w:val="clear" w:color="auto" w:fill="D8D8D8"/>
            <w:vAlign w:val="center"/>
          </w:tcPr>
          <w:p>
            <w:pPr>
              <w:spacing w:line="360" w:lineRule="auto"/>
              <w:jc w:val="center"/>
              <w:textAlignment w:val="auto"/>
              <w:rPr>
                <w:rStyle w:val="13"/>
                <w:rFonts w:ascii="宋体" w:hAnsi="宋体"/>
                <w:b/>
                <w:sz w:val="24"/>
              </w:rPr>
            </w:pPr>
            <w:r>
              <w:rPr>
                <w:rStyle w:val="13"/>
                <w:rFonts w:ascii="宋体" w:hAnsi="宋体"/>
                <w:b/>
                <w:sz w:val="24"/>
              </w:rPr>
              <w:t>技术参数说明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46" w:type="dxa"/>
            <w:tcBorders>
              <w:top w:val="single" w:color="000000" w:sz="4" w:space="0"/>
              <w:left w:val="single" w:color="000000" w:sz="4" w:space="0"/>
              <w:bottom w:val="single" w:color="000000" w:sz="4" w:space="0"/>
              <w:right w:val="single" w:color="000000" w:sz="4" w:space="0"/>
            </w:tcBorders>
            <w:vAlign w:val="center"/>
          </w:tcPr>
          <w:p>
            <w:pPr>
              <w:numPr>
                <w:ilvl w:val="0"/>
                <w:numId w:val="8"/>
              </w:numPr>
              <w:spacing w:line="360" w:lineRule="auto"/>
              <w:jc w:val="center"/>
              <w:textAlignment w:val="auto"/>
              <w:rPr>
                <w:rStyle w:val="13"/>
                <w:rFonts w:ascii="宋体" w:hAnsi="宋体"/>
                <w:sz w:val="24"/>
              </w:rPr>
            </w:pPr>
          </w:p>
        </w:tc>
        <w:tc>
          <w:tcPr>
            <w:tcW w:w="1417"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b/>
                <w:sz w:val="24"/>
              </w:rPr>
            </w:pPr>
            <w:r>
              <w:rPr>
                <w:rStyle w:val="13"/>
                <w:rFonts w:ascii="宋体" w:hAnsi="宋体"/>
                <w:b/>
                <w:sz w:val="24"/>
              </w:rPr>
              <w:t>功能要求</w:t>
            </w:r>
          </w:p>
        </w:tc>
        <w:tc>
          <w:tcPr>
            <w:tcW w:w="5971"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r>
              <w:rPr>
                <w:rStyle w:val="13"/>
                <w:rFonts w:ascii="宋体" w:hAnsi="宋体"/>
                <w:sz w:val="24"/>
              </w:rPr>
              <w:t>★基本功能：自然语音实时转文字在电脑文本框光标处的上屏输入，实现所说即所得。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46" w:type="dxa"/>
            <w:tcBorders>
              <w:top w:val="single" w:color="000000" w:sz="4" w:space="0"/>
              <w:left w:val="single" w:color="000000" w:sz="4" w:space="0"/>
              <w:bottom w:val="single" w:color="000000" w:sz="4" w:space="0"/>
              <w:right w:val="single" w:color="000000" w:sz="4" w:space="0"/>
            </w:tcBorders>
            <w:vAlign w:val="center"/>
          </w:tcPr>
          <w:p>
            <w:pPr>
              <w:numPr>
                <w:ilvl w:val="0"/>
                <w:numId w:val="8"/>
              </w:numPr>
              <w:spacing w:line="360" w:lineRule="auto"/>
              <w:jc w:val="center"/>
              <w:textAlignment w:val="auto"/>
              <w:rPr>
                <w:rStyle w:val="13"/>
                <w:rFonts w:ascii="宋体" w:hAnsi="宋体"/>
                <w:sz w:val="24"/>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b/>
                <w:sz w:val="24"/>
              </w:rPr>
            </w:pPr>
          </w:p>
        </w:tc>
        <w:tc>
          <w:tcPr>
            <w:tcW w:w="5971"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r>
              <w:rPr>
                <w:rStyle w:val="13"/>
                <w:rFonts w:ascii="宋体" w:hAnsi="宋体"/>
                <w:sz w:val="24"/>
              </w:rPr>
              <w:t>★支持医学专有名词、医学常用计量单位、医学专有特殊符号、医学专用中英文混合单词、医学专有英文简称、罗马数字、希腊字母的识别，支持英文单词大小写区分。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46" w:type="dxa"/>
            <w:tcBorders>
              <w:top w:val="single" w:color="000000" w:sz="4" w:space="0"/>
              <w:left w:val="single" w:color="000000" w:sz="4" w:space="0"/>
              <w:bottom w:val="single" w:color="000000" w:sz="4" w:space="0"/>
              <w:right w:val="single" w:color="000000" w:sz="4" w:space="0"/>
            </w:tcBorders>
            <w:vAlign w:val="center"/>
          </w:tcPr>
          <w:p>
            <w:pPr>
              <w:numPr>
                <w:ilvl w:val="0"/>
                <w:numId w:val="8"/>
              </w:numPr>
              <w:spacing w:line="360" w:lineRule="auto"/>
              <w:jc w:val="center"/>
              <w:textAlignment w:val="auto"/>
              <w:rPr>
                <w:rStyle w:val="13"/>
                <w:rFonts w:ascii="宋体" w:hAnsi="宋体"/>
                <w:sz w:val="24"/>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b/>
                <w:sz w:val="24"/>
              </w:rPr>
            </w:pPr>
          </w:p>
        </w:tc>
        <w:tc>
          <w:tcPr>
            <w:tcW w:w="5971"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r>
              <w:rPr>
                <w:rStyle w:val="13"/>
                <w:rFonts w:ascii="宋体" w:hAnsi="宋体"/>
                <w:sz w:val="24"/>
              </w:rPr>
              <w:t>支持中文、英文两个语种的识别。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46" w:type="dxa"/>
            <w:tcBorders>
              <w:top w:val="single" w:color="000000" w:sz="4" w:space="0"/>
              <w:left w:val="single" w:color="000000" w:sz="4" w:space="0"/>
              <w:bottom w:val="single" w:color="000000" w:sz="4" w:space="0"/>
              <w:right w:val="single" w:color="000000" w:sz="4" w:space="0"/>
            </w:tcBorders>
            <w:vAlign w:val="center"/>
          </w:tcPr>
          <w:p>
            <w:pPr>
              <w:numPr>
                <w:ilvl w:val="0"/>
                <w:numId w:val="8"/>
              </w:numPr>
              <w:spacing w:line="360" w:lineRule="auto"/>
              <w:jc w:val="center"/>
              <w:textAlignment w:val="auto"/>
              <w:rPr>
                <w:rStyle w:val="13"/>
                <w:rFonts w:ascii="宋体" w:hAnsi="宋体"/>
                <w:sz w:val="24"/>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b/>
                <w:sz w:val="24"/>
              </w:rPr>
            </w:pPr>
          </w:p>
        </w:tc>
        <w:tc>
          <w:tcPr>
            <w:tcW w:w="5971"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r>
              <w:rPr>
                <w:rStyle w:val="13"/>
                <w:rFonts w:ascii="宋体" w:hAnsi="宋体"/>
                <w:sz w:val="24"/>
              </w:rPr>
              <w:t>支持语音命令功能，包括回车、换行、空格、跳格、退格、向后删除等。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46" w:type="dxa"/>
            <w:tcBorders>
              <w:top w:val="single" w:color="000000" w:sz="4" w:space="0"/>
              <w:left w:val="single" w:color="000000" w:sz="4" w:space="0"/>
              <w:bottom w:val="single" w:color="000000" w:sz="4" w:space="0"/>
              <w:right w:val="single" w:color="000000" w:sz="4" w:space="0"/>
            </w:tcBorders>
            <w:vAlign w:val="center"/>
          </w:tcPr>
          <w:p>
            <w:pPr>
              <w:numPr>
                <w:ilvl w:val="0"/>
                <w:numId w:val="8"/>
              </w:numPr>
              <w:spacing w:line="360" w:lineRule="auto"/>
              <w:jc w:val="center"/>
              <w:textAlignment w:val="auto"/>
              <w:rPr>
                <w:rStyle w:val="13"/>
                <w:rFonts w:ascii="宋体" w:hAnsi="宋体"/>
                <w:sz w:val="24"/>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b/>
                <w:sz w:val="24"/>
              </w:rPr>
            </w:pPr>
          </w:p>
        </w:tc>
        <w:tc>
          <w:tcPr>
            <w:tcW w:w="5971"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r>
              <w:rPr>
                <w:rStyle w:val="13"/>
                <w:rFonts w:ascii="宋体" w:hAnsi="宋体"/>
                <w:sz w:val="24"/>
              </w:rPr>
              <w:t>支持数字串自动规整功能，可以准确识别日期、血压、脉搏等阿拉伯数字。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46" w:type="dxa"/>
            <w:tcBorders>
              <w:top w:val="single" w:color="000000" w:sz="4" w:space="0"/>
              <w:left w:val="single" w:color="000000" w:sz="4" w:space="0"/>
              <w:bottom w:val="single" w:color="000000" w:sz="4" w:space="0"/>
              <w:right w:val="single" w:color="000000" w:sz="4" w:space="0"/>
            </w:tcBorders>
            <w:vAlign w:val="center"/>
          </w:tcPr>
          <w:p>
            <w:pPr>
              <w:numPr>
                <w:ilvl w:val="0"/>
                <w:numId w:val="8"/>
              </w:numPr>
              <w:spacing w:line="360" w:lineRule="auto"/>
              <w:jc w:val="center"/>
              <w:textAlignment w:val="auto"/>
              <w:rPr>
                <w:rStyle w:val="13"/>
                <w:rFonts w:ascii="宋体" w:hAnsi="宋体"/>
                <w:sz w:val="24"/>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b/>
                <w:sz w:val="24"/>
              </w:rPr>
            </w:pPr>
          </w:p>
        </w:tc>
        <w:tc>
          <w:tcPr>
            <w:tcW w:w="5971"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r>
              <w:rPr>
                <w:rStyle w:val="13"/>
                <w:rFonts w:ascii="宋体" w:hAnsi="宋体"/>
                <w:sz w:val="24"/>
              </w:rPr>
              <w:t>支持自动添加标点，在语音识别过程中，会自动根据句义给出逗号、句号等常见符号。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46" w:type="dxa"/>
            <w:tcBorders>
              <w:top w:val="single" w:color="000000" w:sz="4" w:space="0"/>
              <w:left w:val="single" w:color="000000" w:sz="4" w:space="0"/>
              <w:bottom w:val="single" w:color="000000" w:sz="4" w:space="0"/>
              <w:right w:val="single" w:color="000000" w:sz="4" w:space="0"/>
            </w:tcBorders>
            <w:vAlign w:val="center"/>
          </w:tcPr>
          <w:p>
            <w:pPr>
              <w:numPr>
                <w:ilvl w:val="0"/>
                <w:numId w:val="8"/>
              </w:numPr>
              <w:spacing w:line="360" w:lineRule="auto"/>
              <w:jc w:val="center"/>
              <w:textAlignment w:val="auto"/>
              <w:rPr>
                <w:rStyle w:val="13"/>
                <w:rFonts w:ascii="宋体" w:hAnsi="宋体"/>
                <w:sz w:val="24"/>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b/>
                <w:sz w:val="24"/>
              </w:rPr>
            </w:pPr>
          </w:p>
        </w:tc>
        <w:tc>
          <w:tcPr>
            <w:tcW w:w="5971"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r>
              <w:rPr>
                <w:rStyle w:val="13"/>
                <w:rFonts w:ascii="宋体" w:hAnsi="宋体"/>
                <w:sz w:val="24"/>
              </w:rPr>
              <w:t>支持部分符号可口述生成：右中括号、方括号、尖括号、竖杠、加号、减号、横杠、下划线、大于号、大于等于、等于号、等号、小于号、小于等于、美元符号、百分号、折音号、波浪号等。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46" w:type="dxa"/>
            <w:tcBorders>
              <w:top w:val="single" w:color="000000" w:sz="4" w:space="0"/>
              <w:left w:val="single" w:color="000000" w:sz="4" w:space="0"/>
              <w:bottom w:val="single" w:color="000000" w:sz="4" w:space="0"/>
              <w:right w:val="single" w:color="000000" w:sz="4" w:space="0"/>
            </w:tcBorders>
            <w:vAlign w:val="center"/>
          </w:tcPr>
          <w:p>
            <w:pPr>
              <w:numPr>
                <w:ilvl w:val="0"/>
                <w:numId w:val="8"/>
              </w:numPr>
              <w:spacing w:line="360" w:lineRule="auto"/>
              <w:jc w:val="center"/>
              <w:textAlignment w:val="auto"/>
              <w:rPr>
                <w:rStyle w:val="13"/>
                <w:rFonts w:ascii="宋体" w:hAnsi="宋体"/>
                <w:sz w:val="24"/>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b/>
                <w:sz w:val="24"/>
              </w:rPr>
            </w:pPr>
          </w:p>
        </w:tc>
        <w:tc>
          <w:tcPr>
            <w:tcW w:w="5971"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r>
              <w:rPr>
                <w:rStyle w:val="13"/>
                <w:rFonts w:ascii="宋体" w:hAnsi="宋体"/>
                <w:sz w:val="24"/>
              </w:rPr>
              <w:t>支持识别文本内容的顺滑，自动过滤语气词等无意义内容。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46" w:type="dxa"/>
            <w:tcBorders>
              <w:top w:val="single" w:color="000000" w:sz="4" w:space="0"/>
              <w:left w:val="single" w:color="000000" w:sz="4" w:space="0"/>
              <w:bottom w:val="single" w:color="000000" w:sz="4" w:space="0"/>
              <w:right w:val="single" w:color="000000" w:sz="4" w:space="0"/>
            </w:tcBorders>
            <w:vAlign w:val="center"/>
          </w:tcPr>
          <w:p>
            <w:pPr>
              <w:numPr>
                <w:ilvl w:val="0"/>
                <w:numId w:val="8"/>
              </w:numPr>
              <w:spacing w:line="360" w:lineRule="auto"/>
              <w:jc w:val="center"/>
              <w:textAlignment w:val="auto"/>
              <w:rPr>
                <w:rStyle w:val="13"/>
                <w:rFonts w:ascii="宋体" w:hAnsi="宋体"/>
                <w:sz w:val="24"/>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b/>
                <w:sz w:val="24"/>
              </w:rPr>
            </w:pPr>
          </w:p>
        </w:tc>
        <w:tc>
          <w:tcPr>
            <w:tcW w:w="5971"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r>
              <w:rPr>
                <w:rStyle w:val="13"/>
                <w:rFonts w:ascii="宋体" w:hAnsi="宋体"/>
                <w:sz w:val="24"/>
              </w:rPr>
              <w:t>支持鼠标联动功能，鼠标按键可直接对输入进行启停控制。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46" w:type="dxa"/>
            <w:tcBorders>
              <w:top w:val="single" w:color="000000" w:sz="4" w:space="0"/>
              <w:left w:val="single" w:color="000000" w:sz="4" w:space="0"/>
              <w:bottom w:val="single" w:color="000000" w:sz="4" w:space="0"/>
              <w:right w:val="single" w:color="000000" w:sz="4" w:space="0"/>
            </w:tcBorders>
            <w:vAlign w:val="center"/>
          </w:tcPr>
          <w:p>
            <w:pPr>
              <w:numPr>
                <w:ilvl w:val="0"/>
                <w:numId w:val="8"/>
              </w:numPr>
              <w:spacing w:line="360" w:lineRule="auto"/>
              <w:jc w:val="center"/>
              <w:textAlignment w:val="auto"/>
              <w:rPr>
                <w:rStyle w:val="13"/>
                <w:rFonts w:ascii="宋体" w:hAnsi="宋体"/>
                <w:sz w:val="24"/>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b/>
                <w:sz w:val="24"/>
              </w:rPr>
            </w:pPr>
          </w:p>
        </w:tc>
        <w:tc>
          <w:tcPr>
            <w:tcW w:w="5971"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r>
              <w:rPr>
                <w:rStyle w:val="13"/>
                <w:rFonts w:ascii="宋体" w:hAnsi="宋体"/>
                <w:sz w:val="24"/>
              </w:rPr>
              <w:t>支持本地静音检测，长时间无录入，自动关闭录音功能。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46" w:type="dxa"/>
            <w:tcBorders>
              <w:top w:val="single" w:color="000000" w:sz="4" w:space="0"/>
              <w:left w:val="single" w:color="000000" w:sz="4" w:space="0"/>
              <w:bottom w:val="single" w:color="000000" w:sz="4" w:space="0"/>
              <w:right w:val="single" w:color="000000" w:sz="4" w:space="0"/>
            </w:tcBorders>
            <w:vAlign w:val="center"/>
          </w:tcPr>
          <w:p>
            <w:pPr>
              <w:numPr>
                <w:ilvl w:val="0"/>
                <w:numId w:val="8"/>
              </w:numPr>
              <w:spacing w:line="360" w:lineRule="auto"/>
              <w:jc w:val="center"/>
              <w:textAlignment w:val="auto"/>
              <w:rPr>
                <w:rStyle w:val="13"/>
                <w:rFonts w:ascii="宋体" w:hAnsi="宋体"/>
                <w:sz w:val="24"/>
              </w:rPr>
            </w:pPr>
          </w:p>
        </w:tc>
        <w:tc>
          <w:tcPr>
            <w:tcW w:w="1417"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b/>
                <w:sz w:val="24"/>
              </w:rPr>
            </w:pPr>
            <w:r>
              <w:rPr>
                <w:rStyle w:val="13"/>
                <w:rFonts w:ascii="宋体" w:hAnsi="宋体"/>
                <w:b/>
                <w:sz w:val="24"/>
              </w:rPr>
              <w:t>效果要求</w:t>
            </w:r>
          </w:p>
        </w:tc>
        <w:tc>
          <w:tcPr>
            <w:tcW w:w="5971"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r>
              <w:rPr>
                <w:rStyle w:val="13"/>
                <w:rFonts w:ascii="宋体" w:hAnsi="宋体"/>
                <w:color w:val="000000"/>
                <w:kern w:val="0"/>
                <w:sz w:val="24"/>
              </w:rPr>
              <w:t>输入速度：1分钟400字及以上。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46" w:type="dxa"/>
            <w:tcBorders>
              <w:top w:val="single" w:color="000000" w:sz="4" w:space="0"/>
              <w:left w:val="single" w:color="000000" w:sz="4" w:space="0"/>
              <w:bottom w:val="single" w:color="000000" w:sz="4" w:space="0"/>
              <w:right w:val="single" w:color="000000" w:sz="4" w:space="0"/>
            </w:tcBorders>
            <w:vAlign w:val="center"/>
          </w:tcPr>
          <w:p>
            <w:pPr>
              <w:numPr>
                <w:ilvl w:val="0"/>
                <w:numId w:val="8"/>
              </w:numPr>
              <w:spacing w:line="360" w:lineRule="auto"/>
              <w:jc w:val="center"/>
              <w:textAlignment w:val="auto"/>
              <w:rPr>
                <w:rStyle w:val="13"/>
                <w:rFonts w:ascii="宋体" w:hAnsi="宋体"/>
                <w:sz w:val="24"/>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b/>
                <w:sz w:val="24"/>
              </w:rPr>
            </w:pPr>
          </w:p>
        </w:tc>
        <w:tc>
          <w:tcPr>
            <w:tcW w:w="5971"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r>
              <w:rPr>
                <w:rStyle w:val="13"/>
                <w:rFonts w:ascii="宋体" w:hAnsi="宋体"/>
                <w:color w:val="000000"/>
                <w:kern w:val="0"/>
                <w:sz w:val="24"/>
              </w:rPr>
              <w:t>支持普通用户自定义语音词库，将生僻词或容易识别错误的词增加进词库，实时生效，提升识别准确率。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46" w:type="dxa"/>
            <w:tcBorders>
              <w:top w:val="single" w:color="000000" w:sz="4" w:space="0"/>
              <w:left w:val="single" w:color="000000" w:sz="4" w:space="0"/>
              <w:bottom w:val="single" w:color="000000" w:sz="4" w:space="0"/>
              <w:right w:val="single" w:color="000000" w:sz="4" w:space="0"/>
            </w:tcBorders>
            <w:vAlign w:val="center"/>
          </w:tcPr>
          <w:p>
            <w:pPr>
              <w:numPr>
                <w:ilvl w:val="0"/>
                <w:numId w:val="8"/>
              </w:numPr>
              <w:spacing w:line="360" w:lineRule="auto"/>
              <w:jc w:val="center"/>
              <w:textAlignment w:val="auto"/>
              <w:rPr>
                <w:rStyle w:val="13"/>
                <w:rFonts w:ascii="宋体" w:hAnsi="宋体"/>
                <w:sz w:val="24"/>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b/>
                <w:sz w:val="24"/>
              </w:rPr>
            </w:pPr>
          </w:p>
        </w:tc>
        <w:tc>
          <w:tcPr>
            <w:tcW w:w="5971"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kern w:val="0"/>
                <w:sz w:val="24"/>
              </w:rPr>
            </w:pPr>
            <w:r>
              <w:rPr>
                <w:rStyle w:val="13"/>
                <w:rFonts w:ascii="宋体" w:hAnsi="宋体"/>
                <w:color w:val="000000"/>
                <w:kern w:val="0"/>
                <w:sz w:val="24"/>
              </w:rPr>
              <w:t>设备集成硬件降噪功能。通过4麦克风阵列拾音，实现50厘米外降噪和左右60度夹角内指向性拾音，让设备可在门急诊等嘈杂环境中正常使用。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46" w:type="dxa"/>
            <w:tcBorders>
              <w:top w:val="single" w:color="000000" w:sz="4" w:space="0"/>
              <w:left w:val="single" w:color="000000" w:sz="4" w:space="0"/>
              <w:bottom w:val="single" w:color="000000" w:sz="4" w:space="0"/>
              <w:right w:val="single" w:color="000000" w:sz="4" w:space="0"/>
            </w:tcBorders>
            <w:vAlign w:val="center"/>
          </w:tcPr>
          <w:p>
            <w:pPr>
              <w:numPr>
                <w:ilvl w:val="0"/>
                <w:numId w:val="8"/>
              </w:numPr>
              <w:spacing w:line="360" w:lineRule="auto"/>
              <w:jc w:val="center"/>
              <w:textAlignment w:val="auto"/>
              <w:rPr>
                <w:rStyle w:val="13"/>
                <w:rFonts w:ascii="宋体" w:hAnsi="宋体"/>
                <w:sz w:val="24"/>
              </w:rPr>
            </w:pPr>
          </w:p>
        </w:tc>
        <w:tc>
          <w:tcPr>
            <w:tcW w:w="1417"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b/>
                <w:sz w:val="24"/>
              </w:rPr>
            </w:pPr>
            <w:r>
              <w:rPr>
                <w:rStyle w:val="13"/>
                <w:rFonts w:ascii="宋体" w:hAnsi="宋体"/>
                <w:b/>
                <w:sz w:val="24"/>
              </w:rPr>
              <w:t>部署要求</w:t>
            </w:r>
          </w:p>
        </w:tc>
        <w:tc>
          <w:tcPr>
            <w:tcW w:w="5971"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kern w:val="0"/>
                <w:sz w:val="24"/>
              </w:rPr>
            </w:pPr>
            <w:r>
              <w:rPr>
                <w:rStyle w:val="13"/>
                <w:rFonts w:ascii="宋体" w:hAnsi="宋体"/>
                <w:sz w:val="24"/>
              </w:rPr>
              <w:t>★支持Windows XP/7/8/10操作系统即插即用，无需在电脑上安装软件客户端也可提供语音转文字识别服务</w:t>
            </w:r>
            <w:r>
              <w:rPr>
                <w:rStyle w:val="13"/>
                <w:rFonts w:ascii="宋体" w:hAnsi="宋体"/>
                <w:color w:val="000000"/>
                <w:kern w:val="0"/>
                <w:sz w:val="24"/>
              </w:rPr>
              <w:t>（提供省级或以上</w:t>
            </w:r>
            <w:r>
              <w:rPr>
                <w:rStyle w:val="13"/>
                <w:rFonts w:ascii="宋体" w:hAnsi="宋体"/>
                <w:sz w:val="24"/>
              </w:rPr>
              <w:t>电子产品监督检验所的检验报告作为</w:t>
            </w:r>
            <w:r>
              <w:rPr>
                <w:rStyle w:val="13"/>
                <w:rFonts w:ascii="宋体" w:hAnsi="宋体"/>
                <w:color w:val="000000"/>
                <w:kern w:val="0"/>
                <w:sz w:val="24"/>
              </w:rPr>
              <w:t>证明材料,</w:t>
            </w:r>
            <w:r>
              <w:rPr>
                <w:rStyle w:val="13"/>
                <w:rFonts w:ascii="宋体" w:hAnsi="宋体"/>
                <w:sz w:val="24"/>
              </w:rPr>
              <w:t xml:space="preserve"> 报告中含“即插即用”的事项描述</w:t>
            </w:r>
            <w:r>
              <w:rPr>
                <w:rStyle w:val="13"/>
                <w:rFonts w:ascii="宋体" w:hAnsi="宋体"/>
                <w:color w:val="000000"/>
                <w:kern w:val="0"/>
                <w:sz w:val="24"/>
              </w:rPr>
              <w:t>）</w:t>
            </w:r>
            <w:r>
              <w:rPr>
                <w:rStyle w:val="13"/>
                <w:rFonts w:ascii="宋体" w:hAnsi="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46" w:type="dxa"/>
            <w:tcBorders>
              <w:top w:val="single" w:color="000000" w:sz="4" w:space="0"/>
              <w:left w:val="single" w:color="000000" w:sz="4" w:space="0"/>
              <w:bottom w:val="single" w:color="000000" w:sz="4" w:space="0"/>
              <w:right w:val="single" w:color="000000" w:sz="4" w:space="0"/>
            </w:tcBorders>
            <w:vAlign w:val="center"/>
          </w:tcPr>
          <w:p>
            <w:pPr>
              <w:numPr>
                <w:ilvl w:val="0"/>
                <w:numId w:val="8"/>
              </w:numPr>
              <w:spacing w:line="360" w:lineRule="auto"/>
              <w:jc w:val="center"/>
              <w:textAlignment w:val="auto"/>
              <w:rPr>
                <w:rStyle w:val="13"/>
                <w:rFonts w:ascii="宋体" w:hAnsi="宋体"/>
                <w:sz w:val="24"/>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b/>
                <w:sz w:val="24"/>
              </w:rPr>
            </w:pPr>
          </w:p>
        </w:tc>
        <w:tc>
          <w:tcPr>
            <w:tcW w:w="5971"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kern w:val="0"/>
                <w:sz w:val="24"/>
              </w:rPr>
            </w:pPr>
            <w:r>
              <w:rPr>
                <w:rStyle w:val="13"/>
                <w:rFonts w:ascii="宋体" w:hAnsi="宋体"/>
                <w:sz w:val="24"/>
              </w:rPr>
              <w:t>★当电脑禁用所有有线、无线网卡的情况下，设备仍可继续提供语音转文字识别服务</w:t>
            </w:r>
            <w:r>
              <w:rPr>
                <w:rStyle w:val="13"/>
                <w:rFonts w:ascii="宋体" w:hAnsi="宋体"/>
                <w:color w:val="000000"/>
                <w:kern w:val="0"/>
                <w:sz w:val="24"/>
              </w:rPr>
              <w:t>（提供省级或以上</w:t>
            </w:r>
            <w:r>
              <w:rPr>
                <w:rStyle w:val="13"/>
                <w:rFonts w:ascii="宋体" w:hAnsi="宋体"/>
                <w:sz w:val="24"/>
              </w:rPr>
              <w:t>电子产品监督检验所的检验报告作为</w:t>
            </w:r>
            <w:r>
              <w:rPr>
                <w:rStyle w:val="13"/>
                <w:rFonts w:ascii="宋体" w:hAnsi="宋体"/>
                <w:color w:val="000000"/>
                <w:kern w:val="0"/>
                <w:sz w:val="24"/>
              </w:rPr>
              <w:t>证明材料，</w:t>
            </w:r>
            <w:r>
              <w:rPr>
                <w:rStyle w:val="13"/>
                <w:rFonts w:ascii="宋体" w:hAnsi="宋体"/>
                <w:sz w:val="24"/>
              </w:rPr>
              <w:t>报告中含“PC无网络服务”的事项描述</w:t>
            </w:r>
            <w:r>
              <w:rPr>
                <w:rStyle w:val="13"/>
                <w:rFonts w:ascii="宋体" w:hAnsi="宋体"/>
                <w:color w:val="000000"/>
                <w:kern w:val="0"/>
                <w:sz w:val="24"/>
              </w:rPr>
              <w:t>）</w:t>
            </w:r>
            <w:r>
              <w:rPr>
                <w:rStyle w:val="13"/>
                <w:rFonts w:ascii="宋体" w:hAnsi="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46" w:type="dxa"/>
            <w:tcBorders>
              <w:top w:val="single" w:color="000000" w:sz="4" w:space="0"/>
              <w:left w:val="single" w:color="000000" w:sz="4" w:space="0"/>
              <w:bottom w:val="single" w:color="000000" w:sz="4" w:space="0"/>
              <w:right w:val="single" w:color="000000" w:sz="4" w:space="0"/>
            </w:tcBorders>
            <w:vAlign w:val="center"/>
          </w:tcPr>
          <w:p>
            <w:pPr>
              <w:numPr>
                <w:ilvl w:val="0"/>
                <w:numId w:val="8"/>
              </w:numPr>
              <w:spacing w:line="360" w:lineRule="auto"/>
              <w:jc w:val="center"/>
              <w:textAlignment w:val="auto"/>
              <w:rPr>
                <w:rStyle w:val="13"/>
                <w:rFonts w:ascii="宋体" w:hAnsi="宋体"/>
                <w:sz w:val="24"/>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b/>
                <w:sz w:val="24"/>
              </w:rPr>
            </w:pPr>
          </w:p>
        </w:tc>
        <w:tc>
          <w:tcPr>
            <w:tcW w:w="5971"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kern w:val="0"/>
                <w:sz w:val="24"/>
              </w:rPr>
            </w:pPr>
            <w:r>
              <w:rPr>
                <w:rStyle w:val="13"/>
                <w:rFonts w:ascii="宋体" w:hAnsi="宋体"/>
                <w:sz w:val="24"/>
              </w:rPr>
              <w:t>★无需在医院部署私有识别引擎也可提供语音转文字识别服务</w:t>
            </w:r>
            <w:r>
              <w:rPr>
                <w:rStyle w:val="13"/>
                <w:rFonts w:ascii="宋体" w:hAnsi="宋体"/>
                <w:color w:val="000000"/>
                <w:kern w:val="0"/>
                <w:sz w:val="24"/>
              </w:rPr>
              <w:t>（提供省级或以上</w:t>
            </w:r>
            <w:r>
              <w:rPr>
                <w:rStyle w:val="13"/>
                <w:rFonts w:ascii="宋体" w:hAnsi="宋体"/>
                <w:sz w:val="24"/>
              </w:rPr>
              <w:t>电子产品监督检验所的检验报告作为</w:t>
            </w:r>
            <w:r>
              <w:rPr>
                <w:rStyle w:val="13"/>
                <w:rFonts w:ascii="宋体" w:hAnsi="宋体"/>
                <w:color w:val="000000"/>
                <w:kern w:val="0"/>
                <w:sz w:val="24"/>
              </w:rPr>
              <w:t>证明材料，</w:t>
            </w:r>
            <w:r>
              <w:rPr>
                <w:rStyle w:val="13"/>
                <w:rFonts w:ascii="宋体" w:hAnsi="宋体"/>
                <w:sz w:val="24"/>
              </w:rPr>
              <w:t>报告中含“无私有识别引擎”的事项描述</w:t>
            </w:r>
            <w:r>
              <w:rPr>
                <w:rStyle w:val="13"/>
                <w:rFonts w:ascii="宋体" w:hAnsi="宋体"/>
                <w:color w:val="000000"/>
                <w:kern w:val="0"/>
                <w:sz w:val="24"/>
              </w:rPr>
              <w:t>）</w:t>
            </w:r>
            <w:r>
              <w:rPr>
                <w:rStyle w:val="13"/>
                <w:rFonts w:ascii="宋体" w:hAnsi="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46" w:type="dxa"/>
            <w:tcBorders>
              <w:top w:val="single" w:color="000000" w:sz="4" w:space="0"/>
              <w:left w:val="single" w:color="000000" w:sz="4" w:space="0"/>
              <w:bottom w:val="single" w:color="000000" w:sz="4" w:space="0"/>
              <w:right w:val="single" w:color="000000" w:sz="4" w:space="0"/>
            </w:tcBorders>
            <w:vAlign w:val="center"/>
          </w:tcPr>
          <w:p>
            <w:pPr>
              <w:numPr>
                <w:ilvl w:val="0"/>
                <w:numId w:val="8"/>
              </w:numPr>
              <w:spacing w:line="360" w:lineRule="auto"/>
              <w:jc w:val="center"/>
              <w:textAlignment w:val="auto"/>
              <w:rPr>
                <w:rStyle w:val="13"/>
                <w:rFonts w:ascii="宋体" w:hAnsi="宋体"/>
                <w:sz w:val="24"/>
              </w:rPr>
            </w:pPr>
          </w:p>
        </w:tc>
        <w:tc>
          <w:tcPr>
            <w:tcW w:w="1417"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b/>
                <w:sz w:val="24"/>
              </w:rPr>
            </w:pPr>
            <w:r>
              <w:rPr>
                <w:rStyle w:val="13"/>
                <w:rFonts w:ascii="宋体" w:hAnsi="宋体"/>
                <w:b/>
                <w:sz w:val="24"/>
              </w:rPr>
              <w:t>安全要求</w:t>
            </w:r>
          </w:p>
        </w:tc>
        <w:tc>
          <w:tcPr>
            <w:tcW w:w="5971"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r>
              <w:rPr>
                <w:rStyle w:val="13"/>
                <w:rFonts w:ascii="宋体" w:hAnsi="宋体"/>
                <w:sz w:val="24"/>
              </w:rPr>
              <w:t>★设备全工作流程实现“加密传输、数据不存”的安全机制，用户的音频、文字数据全程加密传输，整个过程数据只会临时存放在内存中，传输和计算后立即销毁，不会以任何形式或任何介质存储，杜绝信息被设备厂商或第三方获取的风险。必须取得省级（或以上）电子产品监督检验所的正式检验报告作为证明，报告中含“加密传输、数据不存”的事项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46" w:type="dxa"/>
            <w:tcBorders>
              <w:top w:val="single" w:color="000000" w:sz="4" w:space="0"/>
              <w:left w:val="single" w:color="000000" w:sz="4" w:space="0"/>
              <w:bottom w:val="single" w:color="000000" w:sz="4" w:space="0"/>
              <w:right w:val="single" w:color="000000" w:sz="4" w:space="0"/>
            </w:tcBorders>
            <w:vAlign w:val="center"/>
          </w:tcPr>
          <w:p>
            <w:pPr>
              <w:numPr>
                <w:ilvl w:val="0"/>
                <w:numId w:val="8"/>
              </w:numPr>
              <w:spacing w:line="360" w:lineRule="auto"/>
              <w:jc w:val="center"/>
              <w:textAlignment w:val="auto"/>
              <w:rPr>
                <w:rStyle w:val="13"/>
                <w:rFonts w:ascii="宋体" w:hAnsi="宋体"/>
                <w:sz w:val="24"/>
              </w:rPr>
            </w:pP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b/>
                <w:sz w:val="24"/>
              </w:rPr>
            </w:pPr>
          </w:p>
        </w:tc>
        <w:tc>
          <w:tcPr>
            <w:tcW w:w="5971"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r>
              <w:rPr>
                <w:rStyle w:val="13"/>
                <w:rFonts w:ascii="宋体" w:hAnsi="宋体"/>
                <w:sz w:val="24"/>
              </w:rPr>
              <w:t>★设备必须是类似扫描枪、刷卡器等只能往电脑端单向传送字符、不能传输任何文件的电脑外设，不会给电脑带来安全风险。必须取得省级（或以上）电子产品监督检验所的正式检验报告作为证明，报告中含“单向字符传输”的事项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46" w:type="dxa"/>
            <w:tcBorders>
              <w:top w:val="single" w:color="000000" w:sz="4" w:space="0"/>
              <w:left w:val="single" w:color="000000" w:sz="4" w:space="0"/>
              <w:bottom w:val="single" w:color="000000" w:sz="4" w:space="0"/>
              <w:right w:val="single" w:color="000000" w:sz="4" w:space="0"/>
            </w:tcBorders>
            <w:vAlign w:val="center"/>
          </w:tcPr>
          <w:p>
            <w:pPr>
              <w:numPr>
                <w:ilvl w:val="0"/>
                <w:numId w:val="8"/>
              </w:numPr>
              <w:spacing w:line="360" w:lineRule="auto"/>
              <w:jc w:val="center"/>
              <w:textAlignment w:val="auto"/>
              <w:rPr>
                <w:rStyle w:val="13"/>
                <w:rFonts w:ascii="宋体" w:hAnsi="宋体"/>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b/>
                <w:color w:val="000000"/>
                <w:kern w:val="0"/>
                <w:sz w:val="24"/>
              </w:rPr>
            </w:pPr>
            <w:r>
              <w:rPr>
                <w:rStyle w:val="13"/>
                <w:rFonts w:ascii="宋体" w:hAnsi="宋体"/>
                <w:b/>
                <w:color w:val="000000"/>
                <w:kern w:val="0"/>
                <w:sz w:val="24"/>
              </w:rPr>
              <w:t>其它</w:t>
            </w:r>
          </w:p>
        </w:tc>
        <w:tc>
          <w:tcPr>
            <w:tcW w:w="5971"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kern w:val="0"/>
                <w:sz w:val="24"/>
              </w:rPr>
            </w:pPr>
            <w:r>
              <w:rPr>
                <w:rStyle w:val="13"/>
                <w:rFonts w:ascii="宋体" w:hAnsi="宋体"/>
                <w:color w:val="000000"/>
                <w:kern w:val="0"/>
                <w:sz w:val="24"/>
              </w:rPr>
              <w:t>支持设备固件自动升级更新。</w:t>
            </w:r>
          </w:p>
        </w:tc>
      </w:tr>
    </w:tbl>
    <w:p>
      <w:pPr>
        <w:pStyle w:val="21"/>
        <w:spacing w:line="360" w:lineRule="auto"/>
        <w:textAlignment w:val="auto"/>
        <w:rPr>
          <w:rStyle w:val="13"/>
          <w:rFonts w:cs="宋体"/>
          <w:b/>
          <w:sz w:val="24"/>
          <w:szCs w:val="24"/>
        </w:rPr>
      </w:pPr>
      <w:r>
        <w:rPr>
          <w:rStyle w:val="13"/>
          <w:rFonts w:cs="宋体"/>
          <w:b/>
          <w:sz w:val="24"/>
          <w:szCs w:val="24"/>
        </w:rPr>
        <w:t>门诊语音电子病历</w:t>
      </w:r>
    </w:p>
    <w:p>
      <w:pPr>
        <w:pStyle w:val="22"/>
        <w:numPr>
          <w:ilvl w:val="4"/>
          <w:numId w:val="0"/>
        </w:numPr>
        <w:spacing w:before="0" w:after="0" w:line="360" w:lineRule="auto"/>
        <w:ind w:left="1560"/>
        <w:textAlignment w:val="auto"/>
        <w:rPr>
          <w:rStyle w:val="13"/>
          <w:rFonts w:ascii="宋体" w:hAnsi="宋体" w:cs="宋体"/>
          <w:bCs/>
          <w:sz w:val="24"/>
          <w:szCs w:val="24"/>
        </w:rPr>
      </w:pPr>
      <w:r>
        <w:rPr>
          <w:rStyle w:val="13"/>
          <w:rFonts w:hint="eastAsia" w:ascii="宋体" w:hAnsi="宋体" w:cs="宋体"/>
          <w:bCs/>
          <w:sz w:val="24"/>
          <w:szCs w:val="24"/>
        </w:rPr>
        <w:t>1.</w:t>
      </w:r>
      <w:r>
        <w:rPr>
          <w:rStyle w:val="13"/>
          <w:rFonts w:ascii="宋体" w:hAnsi="宋体" w:cs="宋体"/>
          <w:bCs/>
          <w:sz w:val="24"/>
          <w:szCs w:val="24"/>
        </w:rPr>
        <w:t>产品要求</w:t>
      </w:r>
    </w:p>
    <w:p>
      <w:pPr>
        <w:spacing w:line="360" w:lineRule="auto"/>
        <w:ind w:firstLine="560"/>
        <w:textAlignment w:val="auto"/>
        <w:rPr>
          <w:rStyle w:val="13"/>
          <w:rFonts w:ascii="宋体" w:hAnsi="宋体"/>
          <w:sz w:val="24"/>
        </w:rPr>
      </w:pPr>
      <w:r>
        <w:rPr>
          <w:rStyle w:val="13"/>
          <w:rFonts w:ascii="宋体" w:hAnsi="宋体"/>
          <w:sz w:val="24"/>
        </w:rPr>
        <w:t>门诊语音电子病历将医疗人工智能语音技术运用日常门诊诊疗服务过程中，部署基于医疗人工智能语音云技术为基础的门诊语音电子病历系统。按照医院门诊的诊室数量进行系统部署，采用软件系统与硬件麦克风相结合的方式，针对门诊高噪音、医生行动受限等特点，使用专业级的定向麦克风主动降噪，对医患沟通、检查、处置过程全程录音，医生以口述的方式描述电子病历内容，后台通过语音识别+自然语言理解，在医生工作站实时智能展现医患交流内容、自动生成的结构化的电子病历，医生只需对电子病历内容进行简单修改确认，即可打印提供给患者，并完成电子档保存。</w:t>
      </w:r>
    </w:p>
    <w:p>
      <w:pPr>
        <w:pStyle w:val="22"/>
        <w:numPr>
          <w:ilvl w:val="4"/>
          <w:numId w:val="0"/>
        </w:numPr>
        <w:spacing w:before="0" w:after="0" w:line="360" w:lineRule="auto"/>
        <w:ind w:left="1560"/>
        <w:textAlignment w:val="auto"/>
        <w:rPr>
          <w:rStyle w:val="13"/>
          <w:rFonts w:ascii="宋体" w:hAnsi="宋体" w:cs="宋体"/>
          <w:bCs/>
          <w:sz w:val="24"/>
          <w:szCs w:val="24"/>
        </w:rPr>
      </w:pPr>
      <w:r>
        <w:rPr>
          <w:rStyle w:val="13"/>
          <w:rFonts w:hint="eastAsia" w:ascii="宋体" w:hAnsi="宋体" w:cs="宋体"/>
          <w:bCs/>
          <w:sz w:val="24"/>
          <w:szCs w:val="24"/>
        </w:rPr>
        <w:t>1.1</w:t>
      </w:r>
      <w:r>
        <w:rPr>
          <w:rStyle w:val="13"/>
          <w:rFonts w:ascii="宋体" w:hAnsi="宋体" w:cs="宋体"/>
          <w:bCs/>
          <w:sz w:val="24"/>
          <w:szCs w:val="24"/>
        </w:rPr>
        <w:t>技术参数</w:t>
      </w:r>
    </w:p>
    <w:p>
      <w:pPr>
        <w:pStyle w:val="3"/>
        <w:spacing w:line="360" w:lineRule="auto"/>
        <w:textAlignment w:val="auto"/>
        <w:rPr>
          <w:rStyle w:val="13"/>
          <w:rFonts w:ascii="宋体" w:hAnsi="宋体" w:eastAsia="宋体"/>
          <w:sz w:val="24"/>
          <w:szCs w:val="24"/>
        </w:rPr>
      </w:pPr>
      <w:r>
        <w:rPr>
          <w:rStyle w:val="13"/>
          <w:rFonts w:ascii="宋体" w:hAnsi="宋体" w:eastAsia="宋体"/>
          <w:sz w:val="24"/>
          <w:szCs w:val="24"/>
        </w:rPr>
        <w:t>表格 3门诊语音电子病历技术参数一览表</w:t>
      </w:r>
    </w:p>
    <w:tbl>
      <w:tblPr>
        <w:tblStyle w:val="10"/>
        <w:tblW w:w="84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20"/>
        <w:gridCol w:w="1137"/>
        <w:gridCol w:w="1514"/>
        <w:gridCol w:w="51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blHeader/>
          <w:jc w:val="center"/>
        </w:trPr>
        <w:tc>
          <w:tcPr>
            <w:tcW w:w="720"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360" w:lineRule="auto"/>
              <w:jc w:val="center"/>
              <w:textAlignment w:val="auto"/>
              <w:rPr>
                <w:rStyle w:val="13"/>
                <w:rFonts w:ascii="宋体" w:hAnsi="宋体" w:cs="宋体"/>
                <w:bCs/>
                <w:color w:val="000000"/>
                <w:sz w:val="24"/>
              </w:rPr>
            </w:pPr>
            <w:r>
              <w:rPr>
                <w:rStyle w:val="13"/>
                <w:rFonts w:ascii="宋体" w:hAnsi="宋体" w:cs="宋体"/>
                <w:bCs/>
                <w:color w:val="000000"/>
                <w:kern w:val="0"/>
                <w:sz w:val="24"/>
              </w:rPr>
              <w:t>序号</w:t>
            </w:r>
          </w:p>
        </w:tc>
        <w:tc>
          <w:tcPr>
            <w:tcW w:w="113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360" w:lineRule="auto"/>
              <w:jc w:val="center"/>
              <w:textAlignment w:val="auto"/>
              <w:rPr>
                <w:rStyle w:val="13"/>
                <w:rFonts w:ascii="宋体" w:hAnsi="宋体" w:cs="宋体"/>
                <w:bCs/>
                <w:color w:val="000000"/>
                <w:sz w:val="24"/>
              </w:rPr>
            </w:pPr>
            <w:r>
              <w:rPr>
                <w:rStyle w:val="13"/>
                <w:rFonts w:ascii="宋体" w:hAnsi="宋体" w:cs="宋体"/>
                <w:bCs/>
                <w:color w:val="000000"/>
                <w:kern w:val="0"/>
                <w:sz w:val="24"/>
              </w:rPr>
              <w:t>模块</w:t>
            </w:r>
          </w:p>
        </w:tc>
        <w:tc>
          <w:tcPr>
            <w:tcW w:w="1514"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360" w:lineRule="auto"/>
              <w:jc w:val="center"/>
              <w:textAlignment w:val="auto"/>
              <w:rPr>
                <w:rStyle w:val="13"/>
                <w:rFonts w:ascii="宋体" w:hAnsi="宋体" w:cs="宋体"/>
                <w:bCs/>
                <w:color w:val="000000"/>
                <w:sz w:val="24"/>
              </w:rPr>
            </w:pPr>
            <w:r>
              <w:rPr>
                <w:rStyle w:val="13"/>
                <w:rFonts w:ascii="宋体" w:hAnsi="宋体" w:cs="宋体"/>
                <w:bCs/>
                <w:color w:val="000000"/>
                <w:kern w:val="0"/>
                <w:sz w:val="24"/>
              </w:rPr>
              <w:t>模块功能</w:t>
            </w:r>
          </w:p>
        </w:tc>
        <w:tc>
          <w:tcPr>
            <w:tcW w:w="5124"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360" w:lineRule="auto"/>
              <w:jc w:val="center"/>
              <w:textAlignment w:val="auto"/>
              <w:rPr>
                <w:rStyle w:val="13"/>
                <w:rFonts w:ascii="宋体" w:hAnsi="宋体" w:cs="宋体"/>
                <w:bCs/>
                <w:color w:val="000000"/>
                <w:sz w:val="24"/>
              </w:rPr>
            </w:pPr>
            <w:r>
              <w:rPr>
                <w:rStyle w:val="13"/>
                <w:rFonts w:ascii="宋体" w:hAnsi="宋体"/>
                <w:b/>
                <w:sz w:val="24"/>
              </w:rPr>
              <w:t>技术参数说明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s="宋体"/>
                <w:b/>
                <w:bCs/>
                <w:color w:val="000000"/>
                <w:sz w:val="24"/>
              </w:rPr>
            </w:pPr>
            <w:r>
              <w:rPr>
                <w:rStyle w:val="13"/>
                <w:rFonts w:ascii="宋体" w:hAnsi="宋体" w:cs="宋体"/>
                <w:b/>
                <w:bCs/>
                <w:color w:val="000000"/>
                <w:sz w:val="24"/>
              </w:rPr>
              <w:t>患者列表</w:t>
            </w: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color w:val="000000"/>
                <w:sz w:val="24"/>
              </w:rPr>
              <w:t>列表内容</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olor w:val="000000"/>
                <w:sz w:val="24"/>
              </w:rPr>
              <w:t>显示当前时间有效的已挂号患者列表信息。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color w:val="000000"/>
                <w:sz w:val="24"/>
              </w:rPr>
              <w:t>列表刷新</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olor w:val="000000"/>
                <w:sz w:val="24"/>
              </w:rPr>
              <w:t>可以实时自动对患者列表进行刷新，也可以手动刷新。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color w:val="000000"/>
                <w:sz w:val="24"/>
              </w:rPr>
              <w:t>查看权限</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olor w:val="000000"/>
                <w:sz w:val="24"/>
              </w:rPr>
              <w:t>医生可查看本人名下或者本科室患者。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color w:val="000000"/>
                <w:sz w:val="24"/>
              </w:rPr>
              <w:t>就诊状态同步</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olor w:val="000000"/>
                <w:sz w:val="24"/>
              </w:rPr>
              <w:t>可分组查看患者的当前就诊状态，包括：候诊、就诊中、已就诊等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color w:val="000000"/>
                <w:sz w:val="24"/>
              </w:rPr>
              <w:t>患者检索</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olor w:val="000000"/>
                <w:sz w:val="24"/>
              </w:rPr>
              <w:t>可通过刷卡、条码扫描、输入姓名、输入卡号等多种方式对已挂号的患者进行快速检索。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color w:val="000000"/>
                <w:sz w:val="24"/>
              </w:rPr>
              <w:t>工作量显示</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olor w:val="000000"/>
                <w:sz w:val="24"/>
              </w:rPr>
              <w:t>集中显示当前科室总挂号量、医生已完成病历数和科室已完成病历数。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s="宋体"/>
                <w:b/>
                <w:bCs/>
                <w:color w:val="000000"/>
                <w:sz w:val="24"/>
              </w:rPr>
            </w:pPr>
            <w:r>
              <w:rPr>
                <w:rStyle w:val="13"/>
                <w:rFonts w:ascii="宋体" w:hAnsi="宋体" w:cs="宋体"/>
                <w:b/>
                <w:bCs/>
                <w:color w:val="000000"/>
                <w:sz w:val="24"/>
              </w:rPr>
              <w:t>病历录入</w:t>
            </w: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color w:val="000000"/>
                <w:sz w:val="24"/>
              </w:rPr>
              <w:t>病历格式定义</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olor w:val="000000"/>
                <w:sz w:val="24"/>
              </w:rPr>
              <w:t>根据医院需求设计符合国家规范的病历格式，包括页眉、页脚、数据域等。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color w:val="000000"/>
                <w:sz w:val="24"/>
              </w:rPr>
              <w:t>关键词配置</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olor w:val="000000"/>
                <w:sz w:val="24"/>
              </w:rPr>
              <w:t>支持初诊、复诊、转诊等不同就诊类型的病历关键词配置。可根据国家规范及医院质控要求，在病历保存时针对关键词缺失内容进行提醒或强制要求填写。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sz w:val="24"/>
              </w:rPr>
              <w:t>★</w:t>
            </w:r>
            <w:r>
              <w:rPr>
                <w:rStyle w:val="13"/>
                <w:rFonts w:ascii="宋体" w:hAnsi="宋体"/>
                <w:color w:val="000000"/>
                <w:sz w:val="24"/>
              </w:rPr>
              <w:t>语音录入病历</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olor w:val="000000"/>
                <w:sz w:val="24"/>
              </w:rPr>
              <w:t>支持词、义、音三种语音录入方式（需要提供软件功能界面截图），可使用无线麦克风或台式麦克风通过语音方式录入病历内容。麦克风采用多阵列设计以及降噪算法，可在复杂情景中实现良好的语音采集效果。为了保障语音录入效果，投标人需具有设计台式、领夹式麦克风能力，需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color w:val="000000"/>
                <w:sz w:val="24"/>
              </w:rPr>
              <w:t>智能联想输入</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olor w:val="000000"/>
                <w:sz w:val="24"/>
              </w:rPr>
              <w:t>支持通过算法智能推荐预测的医学联想词汇输入。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color w:val="000000"/>
                <w:sz w:val="24"/>
              </w:rPr>
              <w:t>模板录入病历</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olor w:val="000000"/>
                <w:sz w:val="24"/>
              </w:rPr>
              <w:t>使用自主知识产权的病历编辑器，支持结构化录入、自由文本录入功能，支持单选、多选、提示录入等数据元素。支持快速插入病历、临时编辑后插入病历，一键同步、重置相同数据元素、牙位图等快捷操作。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color w:val="000000"/>
                <w:sz w:val="24"/>
              </w:rPr>
              <w:t>专科模板</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olor w:val="000000"/>
                <w:sz w:val="24"/>
              </w:rPr>
              <w:t>可灵活设置各科室的定制化模板为病历默认模板，创建病历时将该模板作为初始化模板。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color w:val="000000"/>
                <w:sz w:val="24"/>
              </w:rPr>
              <w:t>片段模板</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olor w:val="000000"/>
                <w:sz w:val="24"/>
              </w:rPr>
              <w:t>医生可创建常用的文本片段，快速插入病历中。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color w:val="000000"/>
                <w:sz w:val="24"/>
              </w:rPr>
              <w:t>诊断引用</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olor w:val="000000"/>
                <w:sz w:val="24"/>
              </w:rPr>
              <w:t>支持ICD10标准诊断，支持HIS系统中诊断数据同步及引用。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color w:val="000000"/>
                <w:sz w:val="24"/>
              </w:rPr>
              <w:t>处方引用</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olor w:val="000000"/>
                <w:sz w:val="24"/>
              </w:rPr>
              <w:t>处方查询，医生可选择处方内容格式化插入病历中。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color w:val="000000"/>
                <w:sz w:val="24"/>
              </w:rPr>
              <w:t>医技结果引用</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olor w:val="000000"/>
                <w:sz w:val="24"/>
              </w:rPr>
              <w:t>可调阅相关检查检验结果，相关结果内容插入病历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color w:val="000000"/>
                <w:sz w:val="24"/>
              </w:rPr>
              <w:t>电子签名</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olor w:val="000000"/>
                <w:sz w:val="24"/>
              </w:rPr>
              <w:t>支持第三方数字签名，CA证书签名。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color w:val="000000"/>
                <w:sz w:val="24"/>
              </w:rPr>
              <w:t>病历打印</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olor w:val="000000"/>
                <w:sz w:val="24"/>
              </w:rPr>
              <w:t>支持所见即所得的病历打印功能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color w:val="000000"/>
                <w:sz w:val="24"/>
              </w:rPr>
              <w:t>病历集中打印</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s="宋体"/>
                <w:bCs/>
                <w:color w:val="000000"/>
                <w:sz w:val="24"/>
              </w:rPr>
              <w:t>支持病历统一集中打印，如导诊台、服务台等。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sz w:val="24"/>
              </w:rPr>
              <w:t>★</w:t>
            </w:r>
            <w:r>
              <w:rPr>
                <w:rStyle w:val="13"/>
                <w:rFonts w:ascii="宋体" w:hAnsi="宋体"/>
                <w:color w:val="000000"/>
                <w:sz w:val="24"/>
              </w:rPr>
              <w:t>数据异常恢复</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s="宋体"/>
                <w:bCs/>
                <w:color w:val="000000"/>
                <w:sz w:val="24"/>
              </w:rPr>
              <w:t>支持异常情况下（如断电、断网等）病历编辑未保存的数据备份和恢复机制。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color w:val="000000"/>
                <w:sz w:val="24"/>
              </w:rPr>
              <w:t>特殊符号</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olor w:val="000000"/>
                <w:sz w:val="24"/>
              </w:rPr>
              <w:t>医生可通过语音或键盘方式插入各种专科特有病历符号。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color w:val="000000"/>
                <w:sz w:val="24"/>
              </w:rPr>
              <w:t>既往病历查看</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olor w:val="000000"/>
                <w:sz w:val="24"/>
              </w:rPr>
              <w:t>在某个患者的就诊过程中，系统自动加载该患者的既往病历列表，方便医生查看参考。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color w:val="000000"/>
                <w:sz w:val="24"/>
              </w:rPr>
              <w:t>病历附件</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olor w:val="000000"/>
                <w:sz w:val="24"/>
              </w:rPr>
              <w:t>医生可上传多种多媒体文件，作为该病历的附件，与病历绑定。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color w:val="000000"/>
                <w:sz w:val="24"/>
              </w:rPr>
              <w:t>辅助文书</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olor w:val="000000"/>
                <w:sz w:val="24"/>
              </w:rPr>
              <w:t>医生可在就诊过程中，选择打印出示相关辅助文档，包括：知情同意书、手术安全核对表、麻醉护理记录单等。辅助文书可在后台维护配置制作。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color w:val="000000"/>
                <w:sz w:val="24"/>
              </w:rPr>
              <w:t>病历修改和再打印</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olor w:val="000000"/>
                <w:sz w:val="24"/>
              </w:rPr>
              <w:t>控制病历打印后的相关编辑和再打印权限。医生修改权限可通过“病历管理”模块中申请获得，并对病历再编辑进行留痕。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color w:val="000000"/>
                <w:kern w:val="0"/>
                <w:sz w:val="24"/>
              </w:rPr>
              <w:t>带教功能</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olor w:val="000000"/>
                <w:kern w:val="0"/>
                <w:sz w:val="24"/>
              </w:rPr>
              <w:t>系统支持实习生完成病历，并由带教老师审核签字后提交的功能。支持教学病历打印双签名，带教老师与学生名字以“老师/学生”的形式打印出来，支持学生提交，由带教老师审签功能。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s="宋体"/>
                <w:b/>
                <w:bCs/>
                <w:color w:val="000000"/>
                <w:sz w:val="24"/>
              </w:rPr>
            </w:pPr>
            <w:r>
              <w:rPr>
                <w:rStyle w:val="13"/>
                <w:rFonts w:ascii="宋体" w:hAnsi="宋体" w:cs="宋体"/>
                <w:b/>
                <w:bCs/>
                <w:color w:val="000000"/>
                <w:sz w:val="24"/>
              </w:rPr>
              <w:t>患者预约</w:t>
            </w: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color w:val="000000"/>
                <w:sz w:val="24"/>
              </w:rPr>
              <w:t>预约日历</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olor w:val="000000"/>
                <w:sz w:val="24"/>
              </w:rPr>
              <w:t>以一周七日为单位，根据医院医生常用的日历预约格式，时间可以根据需求进行设置。更方便快捷的查看本周被预约的患者时间安排情况。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color w:val="000000"/>
                <w:sz w:val="24"/>
              </w:rPr>
              <w:t>患者列表</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olor w:val="000000"/>
                <w:sz w:val="24"/>
              </w:rPr>
              <w:t>在左侧患者列表中显示字段包括：患者姓名，性别，电话，初复诊，就诊时间等（可根据不同医院进行不同设置）。可包括“已完成”和“就诊中”患者。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color w:val="000000"/>
                <w:sz w:val="24"/>
              </w:rPr>
              <w:t>患者预约</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olor w:val="000000"/>
                <w:sz w:val="24"/>
              </w:rPr>
              <w:t>通过左侧患者列表，支持直接通过光标拖动当前正在接诊中的患者到预约日历中；也可直接在预约日历界面中进行“新增”操作添加预约患者。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color w:val="000000"/>
                <w:sz w:val="24"/>
              </w:rPr>
              <w:t>预约信息</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olor w:val="000000"/>
                <w:sz w:val="24"/>
              </w:rPr>
              <w:t>新增患者预约信息包括证件号，患者基本信息（HIS信息同步），预约项，持续时间，重要等级等设置。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color w:val="000000"/>
                <w:sz w:val="24"/>
              </w:rPr>
              <w:t>预约状态</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olor w:val="000000"/>
                <w:sz w:val="24"/>
              </w:rPr>
              <w:t>查看预约患者的当前状态：“待完成”，“已完成”。方便医生能够查看在预约时间内，哪些患者前来就诊，哪些没有。并且能够针对“待完成”状态的患者进行快速新建病历。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color w:val="000000"/>
                <w:sz w:val="24"/>
              </w:rPr>
              <w:t>短信提醒</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olor w:val="000000"/>
                <w:sz w:val="24"/>
              </w:rPr>
              <w:t>支持与医院短信预约平台的数据对接，实现通过电子病历系统给预约患者发送短信提醒。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color w:val="000000"/>
                <w:sz w:val="24"/>
              </w:rPr>
              <w:t>患者检索</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olor w:val="000000"/>
                <w:sz w:val="24"/>
              </w:rPr>
              <w:t>通过输入患者姓名查看该患者的预约安排，或者找到该患者后对其进行预约操作。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color w:val="000000"/>
                <w:sz w:val="24"/>
              </w:rPr>
              <w:t>预约检索</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olor w:val="000000"/>
                <w:sz w:val="24"/>
              </w:rPr>
              <w:t>通过检索患者姓名，电话号码查看已预约患者的预约信息，并可操作查看下一位或上一位预约患者信息。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color w:val="000000"/>
                <w:sz w:val="24"/>
              </w:rPr>
              <w:t>快捷操作</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olor w:val="000000"/>
                <w:sz w:val="24"/>
              </w:rPr>
              <w:t>支持快捷操作，如点击“今天”快速定位到当前日期，或者直接选择日期快速定位。以及点击“日”、“周”显示不同日历。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s="宋体"/>
                <w:b/>
                <w:bCs/>
                <w:color w:val="000000"/>
                <w:sz w:val="24"/>
              </w:rPr>
            </w:pPr>
            <w:r>
              <w:rPr>
                <w:rStyle w:val="13"/>
                <w:rFonts w:ascii="宋体" w:hAnsi="宋体" w:cs="宋体"/>
                <w:b/>
                <w:bCs/>
                <w:color w:val="000000"/>
                <w:sz w:val="24"/>
              </w:rPr>
              <w:t>病案首页</w:t>
            </w: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color w:val="000000"/>
                <w:sz w:val="24"/>
              </w:rPr>
              <w:t>患者列表</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olor w:val="000000"/>
                <w:sz w:val="24"/>
              </w:rPr>
              <w:t>查看系统中所有接诊过的患者概况信息。显示患者之后点击查看患者病案，或者直接新建病历。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color w:val="000000"/>
                <w:sz w:val="24"/>
              </w:rPr>
              <w:t>患者检索</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olor w:val="000000"/>
                <w:sz w:val="24"/>
              </w:rPr>
              <w:t>可通过输入患者的姓名，或者患者就诊卡号的方式检索患者的病案。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color w:val="000000"/>
                <w:sz w:val="24"/>
              </w:rPr>
              <w:t>病历首页</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olor w:val="000000"/>
                <w:sz w:val="24"/>
              </w:rPr>
              <w:t>可查看患者所有基本信息，包括初诊日期，健康状况，药物过敏等。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color w:val="000000"/>
                <w:sz w:val="24"/>
              </w:rPr>
              <w:t>病历查阅</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olor w:val="000000"/>
                <w:sz w:val="24"/>
              </w:rPr>
              <w:t>可查看或者编辑（需要权限）某位患者所有病历，增强医生对于患者病情发展的了解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color w:val="000000"/>
                <w:sz w:val="24"/>
              </w:rPr>
              <w:t>检查检验</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olor w:val="000000"/>
                <w:sz w:val="24"/>
              </w:rPr>
              <w:t>通过与院方HIS数据对接，实现快捷方便查看某患者开始就诊以来所做过的所有检查检验情况。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color w:val="000000"/>
                <w:sz w:val="24"/>
              </w:rPr>
              <w:t>汇总打印</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olor w:val="000000"/>
                <w:sz w:val="24"/>
              </w:rPr>
              <w:t>可调出某患者多个病历进行统一打印。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color w:val="000000"/>
                <w:sz w:val="24"/>
              </w:rPr>
              <w:t>扫描病历</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olor w:val="000000"/>
                <w:sz w:val="24"/>
              </w:rPr>
              <w:t>如果病案科把患者历史的纸质病案扫描成电子版，系统可以显示患者既往纸质病历的扫描件。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s="宋体"/>
                <w:b/>
                <w:bCs/>
                <w:color w:val="000000"/>
                <w:sz w:val="24"/>
              </w:rPr>
            </w:pPr>
            <w:r>
              <w:rPr>
                <w:rStyle w:val="13"/>
                <w:rFonts w:ascii="宋体" w:hAnsi="宋体" w:cs="宋体"/>
                <w:b/>
                <w:bCs/>
                <w:color w:val="000000"/>
                <w:sz w:val="24"/>
              </w:rPr>
              <w:t>既往病历</w:t>
            </w: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color w:val="000000"/>
                <w:sz w:val="24"/>
              </w:rPr>
              <w:t>患者列表</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olor w:val="000000"/>
                <w:sz w:val="24"/>
              </w:rPr>
              <w:t>查看系统中所有接诊过的患者的病历信息。根据不同的医生权限，查看的患者范围也不同，医生可查看本人接诊患者病历，也可查看所有患者病历。点击列表可查看该患者的病历详细内容。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color w:val="000000"/>
                <w:sz w:val="24"/>
              </w:rPr>
              <w:t>患者检索</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olor w:val="000000"/>
                <w:sz w:val="24"/>
              </w:rPr>
              <w:t>可通过输入患者的姓名，或者患者就诊卡号的方式检索患者的病历信息。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color w:val="000000"/>
                <w:sz w:val="24"/>
              </w:rPr>
              <w:t>语音测听</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s="宋体"/>
                <w:bCs/>
                <w:color w:val="000000"/>
                <w:sz w:val="24"/>
              </w:rPr>
              <w:t>支持病人就诊过程中的语音重放，方便医生回顾病情书写病历。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color w:val="000000"/>
                <w:sz w:val="24"/>
              </w:rPr>
              <w:t>病历编辑</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olor w:val="000000"/>
                <w:sz w:val="24"/>
              </w:rPr>
              <w:t>支持带教老师身份的账户修改学生身份书写的病历。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s="宋体"/>
                <w:b/>
                <w:bCs/>
                <w:color w:val="000000"/>
                <w:sz w:val="24"/>
              </w:rPr>
            </w:pPr>
            <w:r>
              <w:rPr>
                <w:rStyle w:val="13"/>
                <w:rFonts w:ascii="宋体" w:hAnsi="宋体" w:cs="宋体"/>
                <w:b/>
                <w:bCs/>
                <w:color w:val="000000"/>
                <w:sz w:val="24"/>
              </w:rPr>
              <w:t>病历模板</w:t>
            </w: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color w:val="000000"/>
                <w:sz w:val="24"/>
              </w:rPr>
              <w:t>模板分类</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olor w:val="000000"/>
                <w:sz w:val="24"/>
              </w:rPr>
              <w:t>模板分为个人模板、科室模板以及公共模板，不同类型的模板对应不同的使用权限。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color w:val="000000"/>
                <w:sz w:val="24"/>
              </w:rPr>
              <w:t>丰富的元素设计</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olor w:val="000000"/>
                <w:sz w:val="24"/>
              </w:rPr>
              <w:t>提供单选、多选、提示录入、复选框、数据域等数据元素。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color w:val="000000"/>
                <w:sz w:val="24"/>
              </w:rPr>
              <w:t>多种模板类型</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olor w:val="000000"/>
                <w:sz w:val="24"/>
              </w:rPr>
              <w:t>支持初诊、复诊、转诊等模板类型。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color w:val="000000"/>
                <w:sz w:val="24"/>
              </w:rPr>
              <w:t>专科模板</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olor w:val="000000"/>
                <w:sz w:val="24"/>
              </w:rPr>
              <w:t>支持特殊看诊环节配置相应病历格式（如：纸张大小、表格内容等）。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color w:val="000000"/>
                <w:sz w:val="24"/>
              </w:rPr>
              <w:t>文书模板</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olor w:val="000000"/>
                <w:sz w:val="24"/>
              </w:rPr>
              <w:t>支持辅助类文书（如：诊断证明、知情同意等）模板配置。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color w:val="000000"/>
                <w:sz w:val="24"/>
              </w:rPr>
              <w:t>子模板</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olor w:val="000000"/>
                <w:sz w:val="24"/>
              </w:rPr>
              <w:t>支持病历模板中子模版通过勾选方式展开显示相应的病历内容，且支持子模板的无限层级嵌套。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s="宋体"/>
                <w:b/>
                <w:bCs/>
                <w:color w:val="000000"/>
                <w:sz w:val="24"/>
              </w:rPr>
            </w:pPr>
            <w:r>
              <w:rPr>
                <w:rStyle w:val="13"/>
                <w:rFonts w:ascii="宋体" w:hAnsi="宋体" w:cs="宋体"/>
                <w:b/>
                <w:bCs/>
                <w:color w:val="000000"/>
                <w:sz w:val="24"/>
              </w:rPr>
              <w:t>病历管理</w:t>
            </w: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color w:val="000000"/>
                <w:sz w:val="24"/>
              </w:rPr>
              <w:t>权限审核</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olor w:val="000000"/>
                <w:sz w:val="24"/>
              </w:rPr>
              <w:t>系统对病历的查看、编辑和打印有严格的权限控制。医生可通过权限申请获得查阅、修改、打印相关权限。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s="宋体"/>
                <w:b/>
                <w:bCs/>
                <w:color w:val="000000"/>
                <w:sz w:val="24"/>
              </w:rPr>
            </w:pPr>
            <w:r>
              <w:rPr>
                <w:rStyle w:val="13"/>
                <w:rFonts w:ascii="宋体" w:hAnsi="宋体" w:cs="宋体"/>
                <w:b/>
                <w:bCs/>
                <w:color w:val="000000"/>
                <w:sz w:val="24"/>
              </w:rPr>
              <w:t>病历检索</w:t>
            </w: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color w:val="000000"/>
                <w:sz w:val="24"/>
              </w:rPr>
              <w:t>关键词检索</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olor w:val="000000"/>
                <w:sz w:val="24"/>
              </w:rPr>
              <w:t>支持对于结构化病历内容的关键词检索功能。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color w:val="000000"/>
                <w:sz w:val="24"/>
              </w:rPr>
              <w:t>检索条件筛选</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olor w:val="000000"/>
                <w:sz w:val="24"/>
              </w:rPr>
              <w:t>可在检索结果中勾选患者性别、病历类型、科室等检索条件，实现检索内容筛选。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color w:val="000000"/>
                <w:sz w:val="24"/>
              </w:rPr>
              <w:t>高级检索</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olor w:val="000000"/>
                <w:sz w:val="24"/>
              </w:rPr>
              <w:t>可定制复杂规则的检索规则，支持在指定的诊断、治疗计划下进行结构化病历内容的检索功能。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color w:val="000000"/>
                <w:sz w:val="24"/>
              </w:rPr>
              <w:t>关键词高亮显示</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olor w:val="000000"/>
                <w:sz w:val="24"/>
              </w:rPr>
              <w:t>检索显示病历摘要，检索关键词高亮显示，快速查看关键信息。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color w:val="000000"/>
                <w:sz w:val="24"/>
              </w:rPr>
              <w:t>检索条件保存</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olor w:val="000000"/>
                <w:sz w:val="24"/>
              </w:rPr>
              <w:t>可保存当前检索条件，方便多次相同条件检索。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color w:val="000000"/>
                <w:sz w:val="24"/>
              </w:rPr>
              <w:t>检索历史查看</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olor w:val="000000"/>
                <w:sz w:val="24"/>
              </w:rPr>
              <w:t>可查看最近检索。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s="宋体"/>
                <w:b/>
                <w:bCs/>
                <w:color w:val="000000"/>
                <w:sz w:val="24"/>
              </w:rPr>
            </w:pPr>
            <w:r>
              <w:rPr>
                <w:rStyle w:val="13"/>
                <w:rFonts w:ascii="宋体" w:hAnsi="宋体" w:cs="宋体"/>
                <w:b/>
                <w:bCs/>
                <w:color w:val="000000"/>
                <w:sz w:val="24"/>
              </w:rPr>
              <w:t>病历质控</w:t>
            </w: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color w:val="000000"/>
                <w:sz w:val="24"/>
              </w:rPr>
              <w:t>病历数量统计</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olor w:val="000000"/>
                <w:sz w:val="24"/>
              </w:rPr>
              <w:t>按年、月、日、自定义时间段，科室，医生等各个维度统计病历数量。</w:t>
            </w:r>
          </w:p>
          <w:p>
            <w:pPr>
              <w:spacing w:line="360" w:lineRule="auto"/>
              <w:textAlignment w:val="auto"/>
              <w:rPr>
                <w:rStyle w:val="13"/>
                <w:rFonts w:ascii="宋体" w:hAnsi="宋体"/>
                <w:color w:val="000000"/>
                <w:sz w:val="24"/>
              </w:rPr>
            </w:pPr>
            <w:r>
              <w:rPr>
                <w:rStyle w:val="13"/>
                <w:rFonts w:ascii="宋体" w:hAnsi="宋体"/>
                <w:color w:val="000000"/>
                <w:sz w:val="24"/>
              </w:rPr>
              <w:t>病历完成率统计：从各个维度，根据各个医生的接诊量及病历完成量统计病历完成率。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s="宋体"/>
                <w:b/>
                <w:bCs/>
                <w:color w:val="000000"/>
                <w:sz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color w:val="000000"/>
                <w:sz w:val="24"/>
              </w:rPr>
              <w:t>病历完整性质控</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s="宋体"/>
                <w:bCs/>
                <w:color w:val="000000"/>
                <w:sz w:val="24"/>
              </w:rPr>
              <w:t>支持病历完整性规则设置，并在病历提交时进行完整性校验并根据医院需求实现提醒或控制。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s="宋体"/>
                <w:b/>
                <w:bCs/>
                <w:color w:val="000000"/>
                <w:sz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color w:val="000000"/>
                <w:sz w:val="24"/>
              </w:rPr>
              <w:t>病历内涵质量质控</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s="宋体"/>
                <w:bCs/>
                <w:color w:val="000000"/>
                <w:sz w:val="24"/>
              </w:rPr>
              <w:t>支持病历内涵质量质控规则维护，并在病历提交时对病历全文进行内容校验，实现对医生书写内容的智能检查与提示功能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s="宋体"/>
                <w:b/>
                <w:bCs/>
                <w:color w:val="000000"/>
                <w:sz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color w:val="000000"/>
                <w:sz w:val="24"/>
              </w:rPr>
              <w:t>病历书写时限质控</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s="宋体"/>
                <w:bCs/>
                <w:color w:val="000000"/>
                <w:sz w:val="24"/>
              </w:rPr>
              <w:t>支持根据医院实际需求对病历时限进行提醒设置，并在医生接诊病人的适当时间内对医生进行书写病历的提醒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s="宋体"/>
                <w:b/>
                <w:bCs/>
                <w:color w:val="000000"/>
                <w:sz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color w:val="000000"/>
                <w:sz w:val="24"/>
              </w:rPr>
              <w:t>病历抽查</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s="宋体"/>
                <w:bCs/>
                <w:color w:val="000000"/>
                <w:sz w:val="24"/>
              </w:rPr>
              <w:t>支持</w:t>
            </w:r>
            <w:r>
              <w:rPr>
                <w:rStyle w:val="13"/>
                <w:rFonts w:ascii="宋体" w:hAnsi="宋体"/>
                <w:color w:val="000000"/>
                <w:sz w:val="24"/>
              </w:rPr>
              <w:t>自定义条件对病历进行抽查，支持按照日期范围、科室、抽查份数、是否包含初诊病历、是否包含复诊病历、是否允许同一医生重复抽查等条件进行抽查。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s="宋体"/>
                <w:b/>
                <w:bCs/>
                <w:color w:val="000000"/>
                <w:sz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color w:val="000000"/>
                <w:sz w:val="24"/>
              </w:rPr>
              <w:t>病历分发</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s="宋体"/>
                <w:bCs/>
                <w:color w:val="000000"/>
                <w:sz w:val="24"/>
              </w:rPr>
              <w:t>支持对已抽查病历的查看和自动分发。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sz w:val="24"/>
              </w:rPr>
              <w:t>★</w:t>
            </w:r>
            <w:r>
              <w:rPr>
                <w:rStyle w:val="13"/>
                <w:rFonts w:ascii="宋体" w:hAnsi="宋体"/>
                <w:color w:val="000000"/>
                <w:sz w:val="24"/>
              </w:rPr>
              <w:t>病历质检评分</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olor w:val="000000"/>
                <w:sz w:val="24"/>
              </w:rPr>
              <w:t>根据自定义评分标准质控专家对分发到自己名下的抽查病历进行打分，并实时了解质检及评分完成情况。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color w:val="000000"/>
                <w:sz w:val="24"/>
              </w:rPr>
              <w:t>病历书写完成时限查询</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olor w:val="000000"/>
                <w:sz w:val="24"/>
              </w:rPr>
              <w:t>可以查询不同时限状态下的病历完成情况。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pacing w:line="360" w:lineRule="auto"/>
              <w:ind w:left="0"/>
              <w:jc w:val="center"/>
              <w:textAlignment w:val="auto"/>
              <w:rPr>
                <w:rStyle w:val="13"/>
                <w:rFonts w:ascii="宋体" w:hAnsi="宋体"/>
                <w:color w:val="000000"/>
                <w:kern w:val="0"/>
                <w:sz w:val="24"/>
                <w:lang w:val="zh-CN" w:bidi="en-US"/>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p>
        </w:tc>
        <w:tc>
          <w:tcPr>
            <w:tcW w:w="15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sz w:val="24"/>
              </w:rPr>
            </w:pPr>
            <w:r>
              <w:rPr>
                <w:rStyle w:val="13"/>
                <w:rFonts w:ascii="宋体" w:hAnsi="宋体"/>
                <w:color w:val="000000"/>
                <w:sz w:val="24"/>
              </w:rPr>
              <w:t>病历抽查问题查询</w:t>
            </w: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sz w:val="24"/>
              </w:rPr>
            </w:pPr>
            <w:r>
              <w:rPr>
                <w:rStyle w:val="13"/>
                <w:rFonts w:ascii="宋体" w:hAnsi="宋体"/>
                <w:color w:val="000000"/>
                <w:sz w:val="24"/>
              </w:rPr>
              <w:t>可以汇总查询抽查病历中出现的书写问题。</w:t>
            </w:r>
          </w:p>
        </w:tc>
      </w:tr>
    </w:tbl>
    <w:p>
      <w:pPr>
        <w:pStyle w:val="21"/>
        <w:spacing w:line="360" w:lineRule="auto"/>
        <w:textAlignment w:val="auto"/>
        <w:rPr>
          <w:rStyle w:val="13"/>
          <w:rFonts w:cs="宋体"/>
          <w:b/>
          <w:sz w:val="24"/>
          <w:szCs w:val="24"/>
        </w:rPr>
      </w:pPr>
      <w:r>
        <w:rPr>
          <w:rStyle w:val="13"/>
          <w:rFonts w:cs="宋体"/>
          <w:b/>
          <w:sz w:val="24"/>
          <w:szCs w:val="24"/>
        </w:rPr>
        <w:t>超声科智能语音助理系统</w:t>
      </w:r>
    </w:p>
    <w:p>
      <w:pPr>
        <w:pStyle w:val="22"/>
        <w:numPr>
          <w:ilvl w:val="4"/>
          <w:numId w:val="0"/>
        </w:numPr>
        <w:spacing w:before="0" w:after="0" w:line="360" w:lineRule="auto"/>
        <w:ind w:left="1560"/>
        <w:textAlignment w:val="auto"/>
        <w:rPr>
          <w:rStyle w:val="13"/>
          <w:rFonts w:ascii="宋体" w:hAnsi="宋体" w:cs="宋体"/>
          <w:bCs/>
          <w:sz w:val="24"/>
          <w:szCs w:val="24"/>
        </w:rPr>
      </w:pPr>
      <w:r>
        <w:rPr>
          <w:rStyle w:val="13"/>
          <w:rFonts w:hint="eastAsia" w:ascii="宋体" w:hAnsi="宋体" w:cs="宋体"/>
          <w:bCs/>
          <w:sz w:val="24"/>
          <w:szCs w:val="24"/>
        </w:rPr>
        <w:t>1.</w:t>
      </w:r>
      <w:r>
        <w:rPr>
          <w:rStyle w:val="13"/>
          <w:rFonts w:ascii="宋体" w:hAnsi="宋体" w:cs="宋体"/>
          <w:bCs/>
          <w:sz w:val="24"/>
          <w:szCs w:val="24"/>
        </w:rPr>
        <w:t>产品要求</w:t>
      </w:r>
    </w:p>
    <w:p>
      <w:pPr>
        <w:spacing w:line="360" w:lineRule="auto"/>
        <w:ind w:firstLine="560"/>
        <w:textAlignment w:val="auto"/>
        <w:rPr>
          <w:rStyle w:val="13"/>
          <w:rFonts w:ascii="宋体" w:hAnsi="宋体"/>
          <w:sz w:val="24"/>
        </w:rPr>
      </w:pPr>
      <w:r>
        <w:rPr>
          <w:rStyle w:val="13"/>
          <w:rFonts w:ascii="宋体" w:hAnsi="宋体"/>
          <w:sz w:val="24"/>
        </w:rPr>
        <w:t>超声智能语音助理系统是基于语音识别、自然语言处理等人工智能技术，重新定义超声报告输入模式，降低对报告录入员的依赖性，可语音调取超声报告模板，对检查内容中需要填值的属性项和属性值进行语音快速录入，系统以智能语音技术和人工智能技术为核心，采用语音识别+自然语言理解的方式，通过与医院现有超声PACS系统对接，在不影响日常工作的基础上，优化超声科医生工作流程，医生在为患者进行检查时，通过语音的方式调用报告模板、内容填槽等操作，实现所说所述即所得，可以过滤报告无关文本，提高医生工作效率，适度缓解轮转及进修医生不足的情况及报告输出效率。</w:t>
      </w:r>
    </w:p>
    <w:p>
      <w:pPr>
        <w:pStyle w:val="22"/>
        <w:numPr>
          <w:ilvl w:val="4"/>
          <w:numId w:val="0"/>
        </w:numPr>
        <w:spacing w:before="0" w:after="0" w:line="360" w:lineRule="auto"/>
        <w:ind w:left="1560"/>
        <w:textAlignment w:val="auto"/>
        <w:rPr>
          <w:rStyle w:val="13"/>
          <w:rFonts w:ascii="宋体" w:hAnsi="宋体" w:cs="宋体"/>
          <w:bCs/>
          <w:sz w:val="24"/>
          <w:szCs w:val="24"/>
        </w:rPr>
      </w:pPr>
      <w:r>
        <w:rPr>
          <w:rStyle w:val="13"/>
          <w:rFonts w:hint="eastAsia" w:ascii="宋体" w:hAnsi="宋体" w:cs="宋体"/>
          <w:bCs/>
          <w:sz w:val="24"/>
          <w:szCs w:val="24"/>
        </w:rPr>
        <w:t>1.1</w:t>
      </w:r>
      <w:r>
        <w:rPr>
          <w:rStyle w:val="13"/>
          <w:rFonts w:ascii="宋体" w:hAnsi="宋体" w:cs="宋体"/>
          <w:bCs/>
          <w:sz w:val="24"/>
          <w:szCs w:val="24"/>
        </w:rPr>
        <w:t>技术参数</w:t>
      </w:r>
    </w:p>
    <w:p>
      <w:pPr>
        <w:pStyle w:val="3"/>
        <w:spacing w:line="360" w:lineRule="auto"/>
        <w:textAlignment w:val="auto"/>
        <w:rPr>
          <w:rStyle w:val="13"/>
          <w:rFonts w:ascii="宋体" w:hAnsi="宋体" w:eastAsia="宋体"/>
          <w:sz w:val="24"/>
          <w:szCs w:val="24"/>
        </w:rPr>
      </w:pPr>
      <w:r>
        <w:rPr>
          <w:rStyle w:val="13"/>
          <w:rFonts w:ascii="宋体" w:hAnsi="宋体" w:eastAsia="宋体"/>
          <w:sz w:val="24"/>
          <w:szCs w:val="24"/>
        </w:rPr>
        <w:t>表格 4超声科智能语音助理系统技术参数一览表</w:t>
      </w:r>
    </w:p>
    <w:tbl>
      <w:tblPr>
        <w:tblStyle w:val="10"/>
        <w:tblW w:w="8880" w:type="dxa"/>
        <w:tblInd w:w="-113" w:type="dxa"/>
        <w:tblLayout w:type="autofit"/>
        <w:tblCellMar>
          <w:top w:w="0" w:type="dxa"/>
          <w:left w:w="0" w:type="dxa"/>
          <w:bottom w:w="0" w:type="dxa"/>
          <w:right w:w="0" w:type="dxa"/>
        </w:tblCellMar>
      </w:tblPr>
      <w:tblGrid>
        <w:gridCol w:w="709"/>
        <w:gridCol w:w="1011"/>
        <w:gridCol w:w="1420"/>
        <w:gridCol w:w="5740"/>
      </w:tblGrid>
      <w:tr>
        <w:tblPrEx>
          <w:tblCellMar>
            <w:top w:w="0" w:type="dxa"/>
            <w:left w:w="0" w:type="dxa"/>
            <w:bottom w:w="0" w:type="dxa"/>
            <w:right w:w="0" w:type="dxa"/>
          </w:tblCellMar>
        </w:tblPrEx>
        <w:trPr>
          <w:trHeight w:val="585" w:hRule="atLeast"/>
        </w:trPr>
        <w:tc>
          <w:tcPr>
            <w:tcW w:w="709"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jc w:val="center"/>
              <w:textAlignment w:val="auto"/>
              <w:rPr>
                <w:rStyle w:val="13"/>
                <w:rFonts w:ascii="宋体" w:hAnsi="宋体" w:cs="宋体"/>
                <w:bCs/>
                <w:color w:val="000000"/>
                <w:kern w:val="0"/>
                <w:sz w:val="24"/>
              </w:rPr>
            </w:pPr>
            <w:r>
              <w:rPr>
                <w:rStyle w:val="13"/>
                <w:rFonts w:ascii="宋体" w:hAnsi="宋体" w:cs="宋体"/>
                <w:bCs/>
                <w:color w:val="000000"/>
                <w:kern w:val="0"/>
                <w:sz w:val="24"/>
              </w:rPr>
              <w:t>序号</w:t>
            </w:r>
          </w:p>
        </w:tc>
        <w:tc>
          <w:tcPr>
            <w:tcW w:w="1011" w:type="dxa"/>
            <w:tcBorders>
              <w:top w:val="single" w:color="000000" w:sz="4" w:space="0"/>
              <w:left w:val="nil"/>
              <w:bottom w:val="single" w:color="000000" w:sz="4" w:space="0"/>
              <w:right w:val="single" w:color="000000" w:sz="4" w:space="0"/>
            </w:tcBorders>
            <w:shd w:val="clear" w:color="auto" w:fill="D9D9D9"/>
            <w:noWrap/>
            <w:vAlign w:val="center"/>
          </w:tcPr>
          <w:p>
            <w:pPr>
              <w:jc w:val="center"/>
              <w:textAlignment w:val="auto"/>
              <w:rPr>
                <w:rStyle w:val="13"/>
                <w:rFonts w:ascii="宋体" w:hAnsi="宋体" w:cs="宋体"/>
                <w:bCs/>
                <w:color w:val="000000"/>
                <w:kern w:val="0"/>
                <w:sz w:val="24"/>
              </w:rPr>
            </w:pPr>
            <w:r>
              <w:rPr>
                <w:rStyle w:val="13"/>
                <w:rFonts w:ascii="宋体" w:hAnsi="宋体" w:cs="宋体"/>
                <w:bCs/>
                <w:color w:val="000000"/>
                <w:kern w:val="0"/>
                <w:sz w:val="24"/>
              </w:rPr>
              <w:t>模块</w:t>
            </w:r>
          </w:p>
        </w:tc>
        <w:tc>
          <w:tcPr>
            <w:tcW w:w="1420" w:type="dxa"/>
            <w:tcBorders>
              <w:top w:val="single" w:color="000000" w:sz="4" w:space="0"/>
              <w:left w:val="nil"/>
              <w:bottom w:val="single" w:color="000000" w:sz="4" w:space="0"/>
              <w:right w:val="single" w:color="000000" w:sz="4" w:space="0"/>
            </w:tcBorders>
            <w:shd w:val="clear" w:color="auto" w:fill="D9D9D9"/>
            <w:vAlign w:val="center"/>
          </w:tcPr>
          <w:p>
            <w:pPr>
              <w:jc w:val="center"/>
              <w:textAlignment w:val="auto"/>
              <w:rPr>
                <w:rStyle w:val="13"/>
                <w:rFonts w:ascii="宋体" w:hAnsi="宋体" w:cs="宋体"/>
                <w:bCs/>
                <w:color w:val="000000"/>
                <w:kern w:val="0"/>
                <w:sz w:val="24"/>
              </w:rPr>
            </w:pPr>
            <w:r>
              <w:rPr>
                <w:rStyle w:val="13"/>
                <w:rFonts w:ascii="宋体" w:hAnsi="宋体" w:cs="宋体"/>
                <w:bCs/>
                <w:color w:val="000000"/>
                <w:kern w:val="0"/>
                <w:sz w:val="24"/>
              </w:rPr>
              <w:t>模块功能</w:t>
            </w:r>
          </w:p>
        </w:tc>
        <w:tc>
          <w:tcPr>
            <w:tcW w:w="5740" w:type="dxa"/>
            <w:tcBorders>
              <w:top w:val="single" w:color="000000" w:sz="4" w:space="0"/>
              <w:left w:val="nil"/>
              <w:bottom w:val="single" w:color="000000" w:sz="4" w:space="0"/>
              <w:right w:val="single" w:color="000000" w:sz="4" w:space="0"/>
            </w:tcBorders>
            <w:shd w:val="clear" w:color="auto" w:fill="D9D9D9"/>
            <w:vAlign w:val="center"/>
          </w:tcPr>
          <w:p>
            <w:pPr>
              <w:jc w:val="center"/>
              <w:textAlignment w:val="auto"/>
              <w:rPr>
                <w:rStyle w:val="13"/>
                <w:rFonts w:ascii="宋体" w:hAnsi="宋体" w:cs="宋体"/>
                <w:bCs/>
                <w:color w:val="000000"/>
                <w:kern w:val="0"/>
                <w:sz w:val="24"/>
              </w:rPr>
            </w:pPr>
            <w:r>
              <w:rPr>
                <w:rStyle w:val="13"/>
                <w:rFonts w:ascii="宋体" w:hAnsi="宋体" w:cs="宋体"/>
                <w:bCs/>
                <w:color w:val="000000"/>
                <w:kern w:val="0"/>
                <w:sz w:val="24"/>
              </w:rPr>
              <w:t>技术参数说明</w:t>
            </w:r>
          </w:p>
        </w:tc>
      </w:tr>
      <w:tr>
        <w:tblPrEx>
          <w:tblCellMar>
            <w:top w:w="0" w:type="dxa"/>
            <w:left w:w="0" w:type="dxa"/>
            <w:bottom w:w="0" w:type="dxa"/>
            <w:right w:w="0" w:type="dxa"/>
          </w:tblCellMar>
        </w:tblPrEx>
        <w:trPr>
          <w:trHeight w:val="390" w:hRule="atLeast"/>
        </w:trPr>
        <w:tc>
          <w:tcPr>
            <w:tcW w:w="709" w:type="dxa"/>
            <w:tcBorders>
              <w:top w:val="nil"/>
              <w:left w:val="single" w:color="000000" w:sz="4" w:space="0"/>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1</w:t>
            </w:r>
          </w:p>
        </w:tc>
        <w:tc>
          <w:tcPr>
            <w:tcW w:w="1011" w:type="dxa"/>
            <w:vMerge w:val="restart"/>
            <w:tcBorders>
              <w:top w:val="nil"/>
              <w:left w:val="single" w:color="000000" w:sz="4" w:space="0"/>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语音命令</w:t>
            </w:r>
          </w:p>
        </w:tc>
        <w:tc>
          <w:tcPr>
            <w:tcW w:w="1420"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打开模板</w:t>
            </w:r>
          </w:p>
        </w:tc>
        <w:tc>
          <w:tcPr>
            <w:tcW w:w="5740"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支持语音或手动打开某个模板，点击或口述模板名称即可</w:t>
            </w:r>
          </w:p>
        </w:tc>
      </w:tr>
      <w:tr>
        <w:tblPrEx>
          <w:tblCellMar>
            <w:top w:w="0" w:type="dxa"/>
            <w:left w:w="0" w:type="dxa"/>
            <w:bottom w:w="0" w:type="dxa"/>
            <w:right w:w="0" w:type="dxa"/>
          </w:tblCellMar>
        </w:tblPrEx>
        <w:trPr>
          <w:trHeight w:val="720" w:hRule="atLeast"/>
        </w:trPr>
        <w:tc>
          <w:tcPr>
            <w:tcW w:w="709" w:type="dxa"/>
            <w:tcBorders>
              <w:top w:val="nil"/>
              <w:left w:val="single" w:color="000000" w:sz="4" w:space="0"/>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2</w:t>
            </w:r>
          </w:p>
        </w:tc>
        <w:tc>
          <w:tcPr>
            <w:tcW w:w="1011" w:type="dxa"/>
            <w:vMerge w:val="continue"/>
            <w:tcBorders>
              <w:top w:val="nil"/>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1420"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引入报告</w:t>
            </w:r>
          </w:p>
        </w:tc>
        <w:tc>
          <w:tcPr>
            <w:tcW w:w="5740"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语音或手动将报告内容导入第三方系统，支持检查所见与检查结论分开导入。</w:t>
            </w:r>
          </w:p>
        </w:tc>
      </w:tr>
      <w:tr>
        <w:tblPrEx>
          <w:tblCellMar>
            <w:top w:w="0" w:type="dxa"/>
            <w:left w:w="0" w:type="dxa"/>
            <w:bottom w:w="0" w:type="dxa"/>
            <w:right w:w="0" w:type="dxa"/>
          </w:tblCellMar>
        </w:tblPrEx>
        <w:trPr>
          <w:trHeight w:val="645" w:hRule="atLeast"/>
        </w:trPr>
        <w:tc>
          <w:tcPr>
            <w:tcW w:w="709" w:type="dxa"/>
            <w:tcBorders>
              <w:top w:val="nil"/>
              <w:left w:val="single" w:color="000000" w:sz="4" w:space="0"/>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3</w:t>
            </w:r>
          </w:p>
        </w:tc>
        <w:tc>
          <w:tcPr>
            <w:tcW w:w="1011" w:type="dxa"/>
            <w:vMerge w:val="continue"/>
            <w:tcBorders>
              <w:top w:val="nil"/>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1420"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模板切换</w:t>
            </w:r>
          </w:p>
        </w:tc>
        <w:tc>
          <w:tcPr>
            <w:tcW w:w="5740"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一个模板打开编辑后如果未引入报告,再次打开模板时需要用户进行确认。</w:t>
            </w:r>
          </w:p>
        </w:tc>
      </w:tr>
      <w:tr>
        <w:tblPrEx>
          <w:tblCellMar>
            <w:top w:w="0" w:type="dxa"/>
            <w:left w:w="0" w:type="dxa"/>
            <w:bottom w:w="0" w:type="dxa"/>
            <w:right w:w="0" w:type="dxa"/>
          </w:tblCellMar>
        </w:tblPrEx>
        <w:trPr>
          <w:trHeight w:val="540" w:hRule="atLeast"/>
        </w:trPr>
        <w:tc>
          <w:tcPr>
            <w:tcW w:w="709" w:type="dxa"/>
            <w:tcBorders>
              <w:top w:val="nil"/>
              <w:left w:val="single" w:color="000000" w:sz="4" w:space="0"/>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4</w:t>
            </w:r>
          </w:p>
        </w:tc>
        <w:tc>
          <w:tcPr>
            <w:tcW w:w="1011" w:type="dxa"/>
            <w:vMerge w:val="continue"/>
            <w:tcBorders>
              <w:top w:val="nil"/>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1420"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采图等其他命令</w:t>
            </w:r>
          </w:p>
        </w:tc>
        <w:tc>
          <w:tcPr>
            <w:tcW w:w="5740"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支持语音说“采图”等更多操作命令。</w:t>
            </w:r>
          </w:p>
        </w:tc>
      </w:tr>
      <w:tr>
        <w:tblPrEx>
          <w:tblCellMar>
            <w:top w:w="0" w:type="dxa"/>
            <w:left w:w="0" w:type="dxa"/>
            <w:bottom w:w="0" w:type="dxa"/>
            <w:right w:w="0" w:type="dxa"/>
          </w:tblCellMar>
        </w:tblPrEx>
        <w:trPr>
          <w:trHeight w:val="570" w:hRule="atLeast"/>
        </w:trPr>
        <w:tc>
          <w:tcPr>
            <w:tcW w:w="709" w:type="dxa"/>
            <w:tcBorders>
              <w:top w:val="nil"/>
              <w:left w:val="single" w:color="000000" w:sz="4" w:space="0"/>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5</w:t>
            </w:r>
          </w:p>
        </w:tc>
        <w:tc>
          <w:tcPr>
            <w:tcW w:w="1011" w:type="dxa"/>
            <w:vMerge w:val="continue"/>
            <w:tcBorders>
              <w:top w:val="nil"/>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1420"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操作确认</w:t>
            </w:r>
          </w:p>
        </w:tc>
        <w:tc>
          <w:tcPr>
            <w:tcW w:w="5740"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一个模板打开编辑后如果未引入报告,再次打开模板时需要用户进行确认。</w:t>
            </w:r>
          </w:p>
        </w:tc>
      </w:tr>
      <w:tr>
        <w:tblPrEx>
          <w:tblCellMar>
            <w:top w:w="0" w:type="dxa"/>
            <w:left w:w="0" w:type="dxa"/>
            <w:bottom w:w="0" w:type="dxa"/>
            <w:right w:w="0" w:type="dxa"/>
          </w:tblCellMar>
        </w:tblPrEx>
        <w:trPr>
          <w:trHeight w:val="570" w:hRule="atLeast"/>
        </w:trPr>
        <w:tc>
          <w:tcPr>
            <w:tcW w:w="709" w:type="dxa"/>
            <w:tcBorders>
              <w:top w:val="nil"/>
              <w:left w:val="single" w:color="000000" w:sz="4" w:space="0"/>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6</w:t>
            </w:r>
          </w:p>
        </w:tc>
        <w:tc>
          <w:tcPr>
            <w:tcW w:w="1011" w:type="dxa"/>
            <w:vMerge w:val="restart"/>
            <w:tcBorders>
              <w:top w:val="nil"/>
              <w:left w:val="single" w:color="000000" w:sz="4" w:space="0"/>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模板填充</w:t>
            </w:r>
          </w:p>
        </w:tc>
        <w:tc>
          <w:tcPr>
            <w:tcW w:w="1420"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sz w:val="24"/>
              </w:rPr>
              <w:t>★</w:t>
            </w:r>
            <w:r>
              <w:rPr>
                <w:rStyle w:val="13"/>
                <w:rFonts w:ascii="宋体" w:hAnsi="宋体"/>
                <w:color w:val="000000"/>
                <w:kern w:val="0"/>
                <w:sz w:val="24"/>
              </w:rPr>
              <w:t>语音填槽</w:t>
            </w:r>
          </w:p>
        </w:tc>
        <w:tc>
          <w:tcPr>
            <w:tcW w:w="5740"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将医生口述的数值、选项类内容填充到模板对应位置。</w:t>
            </w:r>
          </w:p>
        </w:tc>
      </w:tr>
      <w:tr>
        <w:tblPrEx>
          <w:tblCellMar>
            <w:top w:w="0" w:type="dxa"/>
            <w:left w:w="0" w:type="dxa"/>
            <w:bottom w:w="0" w:type="dxa"/>
            <w:right w:w="0" w:type="dxa"/>
          </w:tblCellMar>
        </w:tblPrEx>
        <w:trPr>
          <w:trHeight w:val="570" w:hRule="atLeast"/>
        </w:trPr>
        <w:tc>
          <w:tcPr>
            <w:tcW w:w="709" w:type="dxa"/>
            <w:tcBorders>
              <w:top w:val="nil"/>
              <w:left w:val="single" w:color="000000" w:sz="4" w:space="0"/>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7</w:t>
            </w:r>
          </w:p>
        </w:tc>
        <w:tc>
          <w:tcPr>
            <w:tcW w:w="1011" w:type="dxa"/>
            <w:vMerge w:val="continue"/>
            <w:tcBorders>
              <w:top w:val="nil"/>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1420"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词条模式</w:t>
            </w:r>
          </w:p>
        </w:tc>
        <w:tc>
          <w:tcPr>
            <w:tcW w:w="5740"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用户语音输入词条,可以词条内容输入到模板中对应位置。</w:t>
            </w:r>
          </w:p>
        </w:tc>
      </w:tr>
      <w:tr>
        <w:tblPrEx>
          <w:tblCellMar>
            <w:top w:w="0" w:type="dxa"/>
            <w:left w:w="0" w:type="dxa"/>
            <w:bottom w:w="0" w:type="dxa"/>
            <w:right w:w="0" w:type="dxa"/>
          </w:tblCellMar>
        </w:tblPrEx>
        <w:trPr>
          <w:trHeight w:val="375" w:hRule="atLeast"/>
        </w:trPr>
        <w:tc>
          <w:tcPr>
            <w:tcW w:w="709" w:type="dxa"/>
            <w:tcBorders>
              <w:top w:val="nil"/>
              <w:left w:val="single" w:color="000000" w:sz="4" w:space="0"/>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8</w:t>
            </w:r>
          </w:p>
        </w:tc>
        <w:tc>
          <w:tcPr>
            <w:tcW w:w="1011" w:type="dxa"/>
            <w:vMerge w:val="continue"/>
            <w:tcBorders>
              <w:top w:val="nil"/>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1420"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手动编辑</w:t>
            </w:r>
          </w:p>
        </w:tc>
        <w:tc>
          <w:tcPr>
            <w:tcW w:w="5740"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模板内容可编辑：支持用户手动编辑模板(增删改）</w:t>
            </w:r>
          </w:p>
        </w:tc>
      </w:tr>
      <w:tr>
        <w:tblPrEx>
          <w:tblCellMar>
            <w:top w:w="0" w:type="dxa"/>
            <w:left w:w="0" w:type="dxa"/>
            <w:bottom w:w="0" w:type="dxa"/>
            <w:right w:w="0" w:type="dxa"/>
          </w:tblCellMar>
        </w:tblPrEx>
        <w:trPr>
          <w:trHeight w:val="570" w:hRule="atLeast"/>
        </w:trPr>
        <w:tc>
          <w:tcPr>
            <w:tcW w:w="709" w:type="dxa"/>
            <w:tcBorders>
              <w:top w:val="nil"/>
              <w:left w:val="single" w:color="000000" w:sz="4" w:space="0"/>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9</w:t>
            </w:r>
          </w:p>
        </w:tc>
        <w:tc>
          <w:tcPr>
            <w:tcW w:w="1011" w:type="dxa"/>
            <w:vMerge w:val="continue"/>
            <w:tcBorders>
              <w:top w:val="nil"/>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1420"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异常恢复</w:t>
            </w:r>
          </w:p>
        </w:tc>
        <w:tc>
          <w:tcPr>
            <w:tcW w:w="5740"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系统异常退出，再次启动系统后提示用户是否进行恢复，如果是，恢复后可以继续语音填充模板。</w:t>
            </w:r>
          </w:p>
        </w:tc>
      </w:tr>
      <w:tr>
        <w:tblPrEx>
          <w:tblCellMar>
            <w:top w:w="0" w:type="dxa"/>
            <w:left w:w="0" w:type="dxa"/>
            <w:bottom w:w="0" w:type="dxa"/>
            <w:right w:w="0" w:type="dxa"/>
          </w:tblCellMar>
        </w:tblPrEx>
        <w:trPr>
          <w:trHeight w:val="570" w:hRule="atLeast"/>
        </w:trPr>
        <w:tc>
          <w:tcPr>
            <w:tcW w:w="709" w:type="dxa"/>
            <w:tcBorders>
              <w:top w:val="nil"/>
              <w:left w:val="single" w:color="000000" w:sz="4" w:space="0"/>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10</w:t>
            </w:r>
          </w:p>
        </w:tc>
        <w:tc>
          <w:tcPr>
            <w:tcW w:w="1011" w:type="dxa"/>
            <w:vMerge w:val="continue"/>
            <w:tcBorders>
              <w:top w:val="nil"/>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1420"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语音记录</w:t>
            </w:r>
          </w:p>
        </w:tc>
        <w:tc>
          <w:tcPr>
            <w:tcW w:w="5740"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将医生描述性的内容记录到对应位置：替换原模板内容或追加到对应位置或追加到报告最后。</w:t>
            </w:r>
          </w:p>
        </w:tc>
      </w:tr>
      <w:tr>
        <w:tblPrEx>
          <w:tblCellMar>
            <w:top w:w="0" w:type="dxa"/>
            <w:left w:w="0" w:type="dxa"/>
            <w:bottom w:w="0" w:type="dxa"/>
            <w:right w:w="0" w:type="dxa"/>
          </w:tblCellMar>
        </w:tblPrEx>
        <w:trPr>
          <w:trHeight w:val="570" w:hRule="atLeast"/>
        </w:trPr>
        <w:tc>
          <w:tcPr>
            <w:tcW w:w="709" w:type="dxa"/>
            <w:tcBorders>
              <w:top w:val="nil"/>
              <w:left w:val="single" w:color="000000" w:sz="4" w:space="0"/>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11</w:t>
            </w:r>
          </w:p>
        </w:tc>
        <w:tc>
          <w:tcPr>
            <w:tcW w:w="1011" w:type="dxa"/>
            <w:vMerge w:val="restart"/>
            <w:tcBorders>
              <w:top w:val="nil"/>
              <w:left w:val="single" w:color="000000" w:sz="4" w:space="0"/>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效果提升</w:t>
            </w:r>
          </w:p>
        </w:tc>
        <w:tc>
          <w:tcPr>
            <w:tcW w:w="1420"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热词优化</w:t>
            </w:r>
          </w:p>
        </w:tc>
        <w:tc>
          <w:tcPr>
            <w:tcW w:w="5740"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在记录（纯语音输入时）时，支持添加热词功能，提升常用词语词频。</w:t>
            </w:r>
          </w:p>
        </w:tc>
      </w:tr>
      <w:tr>
        <w:tblPrEx>
          <w:tblCellMar>
            <w:top w:w="0" w:type="dxa"/>
            <w:left w:w="0" w:type="dxa"/>
            <w:bottom w:w="0" w:type="dxa"/>
            <w:right w:w="0" w:type="dxa"/>
          </w:tblCellMar>
        </w:tblPrEx>
        <w:trPr>
          <w:trHeight w:val="570" w:hRule="atLeast"/>
        </w:trPr>
        <w:tc>
          <w:tcPr>
            <w:tcW w:w="709" w:type="dxa"/>
            <w:tcBorders>
              <w:top w:val="nil"/>
              <w:left w:val="single" w:color="000000" w:sz="4" w:space="0"/>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12</w:t>
            </w:r>
          </w:p>
        </w:tc>
        <w:tc>
          <w:tcPr>
            <w:tcW w:w="1011" w:type="dxa"/>
            <w:vMerge w:val="continue"/>
            <w:tcBorders>
              <w:top w:val="nil"/>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1420"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替换列表</w:t>
            </w:r>
          </w:p>
        </w:tc>
        <w:tc>
          <w:tcPr>
            <w:tcW w:w="5740"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在记录（纯语音输入时）时，支持替换列表功能。可以简化语音输入内容或替换特定格式。</w:t>
            </w:r>
          </w:p>
        </w:tc>
      </w:tr>
      <w:tr>
        <w:tblPrEx>
          <w:tblCellMar>
            <w:top w:w="0" w:type="dxa"/>
            <w:left w:w="0" w:type="dxa"/>
            <w:bottom w:w="0" w:type="dxa"/>
            <w:right w:w="0" w:type="dxa"/>
          </w:tblCellMar>
        </w:tblPrEx>
        <w:trPr>
          <w:trHeight w:val="390" w:hRule="atLeast"/>
        </w:trPr>
        <w:tc>
          <w:tcPr>
            <w:tcW w:w="709" w:type="dxa"/>
            <w:tcBorders>
              <w:top w:val="nil"/>
              <w:left w:val="single" w:color="000000" w:sz="4" w:space="0"/>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13</w:t>
            </w:r>
          </w:p>
        </w:tc>
        <w:tc>
          <w:tcPr>
            <w:tcW w:w="1011" w:type="dxa"/>
            <w:vMerge w:val="continue"/>
            <w:tcBorders>
              <w:top w:val="nil"/>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1420"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说法支持</w:t>
            </w:r>
          </w:p>
        </w:tc>
        <w:tc>
          <w:tcPr>
            <w:tcW w:w="5740"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支持分开说，联系说，穿插说，简化说等多种说法。</w:t>
            </w:r>
          </w:p>
        </w:tc>
      </w:tr>
      <w:tr>
        <w:tblPrEx>
          <w:tblCellMar>
            <w:top w:w="0" w:type="dxa"/>
            <w:left w:w="0" w:type="dxa"/>
            <w:bottom w:w="0" w:type="dxa"/>
            <w:right w:w="0" w:type="dxa"/>
          </w:tblCellMar>
        </w:tblPrEx>
        <w:trPr>
          <w:trHeight w:val="90" w:hRule="atLeast"/>
        </w:trPr>
        <w:tc>
          <w:tcPr>
            <w:tcW w:w="709" w:type="dxa"/>
            <w:tcBorders>
              <w:top w:val="nil"/>
              <w:left w:val="single" w:color="000000" w:sz="4" w:space="0"/>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14</w:t>
            </w:r>
          </w:p>
        </w:tc>
        <w:tc>
          <w:tcPr>
            <w:tcW w:w="1011" w:type="dxa"/>
            <w:vMerge w:val="restart"/>
            <w:tcBorders>
              <w:top w:val="nil"/>
              <w:left w:val="single" w:color="000000" w:sz="4" w:space="0"/>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后台优化</w:t>
            </w:r>
          </w:p>
        </w:tc>
        <w:tc>
          <w:tcPr>
            <w:tcW w:w="1420"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日志记录</w:t>
            </w:r>
          </w:p>
        </w:tc>
        <w:tc>
          <w:tcPr>
            <w:tcW w:w="5740"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系统可以将用户的语音及界面操作log下来,用于问题分析。</w:t>
            </w:r>
          </w:p>
        </w:tc>
      </w:tr>
      <w:tr>
        <w:tblPrEx>
          <w:tblCellMar>
            <w:top w:w="0" w:type="dxa"/>
            <w:left w:w="0" w:type="dxa"/>
            <w:bottom w:w="0" w:type="dxa"/>
            <w:right w:w="0" w:type="dxa"/>
          </w:tblCellMar>
        </w:tblPrEx>
        <w:trPr>
          <w:trHeight w:val="390" w:hRule="atLeast"/>
        </w:trPr>
        <w:tc>
          <w:tcPr>
            <w:tcW w:w="709" w:type="dxa"/>
            <w:tcBorders>
              <w:top w:val="nil"/>
              <w:left w:val="single" w:color="000000" w:sz="4" w:space="0"/>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15</w:t>
            </w:r>
          </w:p>
        </w:tc>
        <w:tc>
          <w:tcPr>
            <w:tcW w:w="1011" w:type="dxa"/>
            <w:vMerge w:val="continue"/>
            <w:tcBorders>
              <w:top w:val="nil"/>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1420"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日志上传</w:t>
            </w:r>
          </w:p>
        </w:tc>
        <w:tc>
          <w:tcPr>
            <w:tcW w:w="5740"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支持将本地的语音及文本log数据上传到服务器。</w:t>
            </w:r>
          </w:p>
        </w:tc>
      </w:tr>
      <w:tr>
        <w:tblPrEx>
          <w:tblCellMar>
            <w:top w:w="0" w:type="dxa"/>
            <w:left w:w="0" w:type="dxa"/>
            <w:bottom w:w="0" w:type="dxa"/>
            <w:right w:w="0" w:type="dxa"/>
          </w:tblCellMar>
        </w:tblPrEx>
        <w:trPr>
          <w:trHeight w:val="465" w:hRule="atLeast"/>
        </w:trPr>
        <w:tc>
          <w:tcPr>
            <w:tcW w:w="709" w:type="dxa"/>
            <w:tcBorders>
              <w:top w:val="nil"/>
              <w:left w:val="single" w:color="000000" w:sz="4" w:space="0"/>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16</w:t>
            </w:r>
          </w:p>
        </w:tc>
        <w:tc>
          <w:tcPr>
            <w:tcW w:w="1011" w:type="dxa"/>
            <w:vMerge w:val="continue"/>
            <w:tcBorders>
              <w:top w:val="nil"/>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1420"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私有化</w:t>
            </w:r>
          </w:p>
        </w:tc>
        <w:tc>
          <w:tcPr>
            <w:tcW w:w="5740"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系统支持私有化部署，识别+语义能力可复用部署。</w:t>
            </w:r>
          </w:p>
        </w:tc>
      </w:tr>
      <w:tr>
        <w:tblPrEx>
          <w:tblCellMar>
            <w:top w:w="0" w:type="dxa"/>
            <w:left w:w="0" w:type="dxa"/>
            <w:bottom w:w="0" w:type="dxa"/>
            <w:right w:w="0" w:type="dxa"/>
          </w:tblCellMar>
        </w:tblPrEx>
        <w:trPr>
          <w:trHeight w:val="420" w:hRule="atLeast"/>
        </w:trPr>
        <w:tc>
          <w:tcPr>
            <w:tcW w:w="709" w:type="dxa"/>
            <w:tcBorders>
              <w:top w:val="nil"/>
              <w:left w:val="single" w:color="000000" w:sz="4" w:space="0"/>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17</w:t>
            </w:r>
          </w:p>
        </w:tc>
        <w:tc>
          <w:tcPr>
            <w:tcW w:w="1011" w:type="dxa"/>
            <w:vMerge w:val="restart"/>
            <w:tcBorders>
              <w:top w:val="nil"/>
              <w:left w:val="single" w:color="000000" w:sz="4" w:space="0"/>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基础设置</w:t>
            </w:r>
          </w:p>
        </w:tc>
        <w:tc>
          <w:tcPr>
            <w:tcW w:w="1420"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引入设置</w:t>
            </w:r>
          </w:p>
        </w:tc>
        <w:tc>
          <w:tcPr>
            <w:tcW w:w="5740"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无需手动配置，拖动工具自动查找窗体和句柄。</w:t>
            </w:r>
          </w:p>
        </w:tc>
      </w:tr>
      <w:tr>
        <w:tblPrEx>
          <w:tblCellMar>
            <w:top w:w="0" w:type="dxa"/>
            <w:left w:w="0" w:type="dxa"/>
            <w:bottom w:w="0" w:type="dxa"/>
            <w:right w:w="0" w:type="dxa"/>
          </w:tblCellMar>
        </w:tblPrEx>
        <w:trPr>
          <w:trHeight w:val="360" w:hRule="atLeast"/>
        </w:trPr>
        <w:tc>
          <w:tcPr>
            <w:tcW w:w="709" w:type="dxa"/>
            <w:tcBorders>
              <w:top w:val="nil"/>
              <w:left w:val="single" w:color="000000" w:sz="4" w:space="0"/>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18</w:t>
            </w:r>
          </w:p>
        </w:tc>
        <w:tc>
          <w:tcPr>
            <w:tcW w:w="1011" w:type="dxa"/>
            <w:vMerge w:val="continue"/>
            <w:tcBorders>
              <w:top w:val="nil"/>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1420"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界面设置</w:t>
            </w:r>
          </w:p>
        </w:tc>
        <w:tc>
          <w:tcPr>
            <w:tcW w:w="5740"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支持对字体，大小，数字标签等进行设置。</w:t>
            </w:r>
          </w:p>
        </w:tc>
      </w:tr>
      <w:tr>
        <w:tblPrEx>
          <w:tblCellMar>
            <w:top w:w="0" w:type="dxa"/>
            <w:left w:w="0" w:type="dxa"/>
            <w:bottom w:w="0" w:type="dxa"/>
            <w:right w:w="0" w:type="dxa"/>
          </w:tblCellMar>
        </w:tblPrEx>
        <w:trPr>
          <w:trHeight w:val="360" w:hRule="atLeast"/>
        </w:trPr>
        <w:tc>
          <w:tcPr>
            <w:tcW w:w="709" w:type="dxa"/>
            <w:tcBorders>
              <w:top w:val="nil"/>
              <w:left w:val="single" w:color="000000" w:sz="4" w:space="0"/>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19</w:t>
            </w:r>
          </w:p>
        </w:tc>
        <w:tc>
          <w:tcPr>
            <w:tcW w:w="1011" w:type="dxa"/>
            <w:vMerge w:val="continue"/>
            <w:tcBorders>
              <w:top w:val="nil"/>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1420"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热键设置</w:t>
            </w:r>
          </w:p>
        </w:tc>
        <w:tc>
          <w:tcPr>
            <w:tcW w:w="5740"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常用功能支持设置热键，提升效率。</w:t>
            </w:r>
          </w:p>
        </w:tc>
      </w:tr>
      <w:tr>
        <w:tblPrEx>
          <w:tblCellMar>
            <w:top w:w="0" w:type="dxa"/>
            <w:left w:w="0" w:type="dxa"/>
            <w:bottom w:w="0" w:type="dxa"/>
            <w:right w:w="0" w:type="dxa"/>
          </w:tblCellMar>
        </w:tblPrEx>
        <w:trPr>
          <w:trHeight w:val="390" w:hRule="atLeast"/>
        </w:trPr>
        <w:tc>
          <w:tcPr>
            <w:tcW w:w="709" w:type="dxa"/>
            <w:tcBorders>
              <w:top w:val="nil"/>
              <w:left w:val="single" w:color="000000" w:sz="4" w:space="0"/>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20</w:t>
            </w:r>
          </w:p>
        </w:tc>
        <w:tc>
          <w:tcPr>
            <w:tcW w:w="1011" w:type="dxa"/>
            <w:vMerge w:val="continue"/>
            <w:tcBorders>
              <w:top w:val="nil"/>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1420"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开关设置</w:t>
            </w:r>
          </w:p>
        </w:tc>
        <w:tc>
          <w:tcPr>
            <w:tcW w:w="5740"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可以手动开关语音输入和记录模式。</w:t>
            </w:r>
          </w:p>
        </w:tc>
      </w:tr>
    </w:tbl>
    <w:p>
      <w:pPr>
        <w:pStyle w:val="21"/>
        <w:spacing w:line="360" w:lineRule="auto"/>
        <w:textAlignment w:val="auto"/>
        <w:rPr>
          <w:rStyle w:val="13"/>
          <w:rFonts w:cs="宋体"/>
          <w:b/>
          <w:sz w:val="24"/>
          <w:szCs w:val="24"/>
        </w:rPr>
      </w:pPr>
      <w:r>
        <w:rPr>
          <w:rStyle w:val="13"/>
          <w:rFonts w:cs="宋体"/>
          <w:b/>
          <w:sz w:val="24"/>
          <w:szCs w:val="24"/>
        </w:rPr>
        <w:t>AI移动查房系统</w:t>
      </w:r>
    </w:p>
    <w:p>
      <w:pPr>
        <w:pStyle w:val="22"/>
        <w:numPr>
          <w:ilvl w:val="4"/>
          <w:numId w:val="0"/>
        </w:numPr>
        <w:spacing w:before="0" w:after="0" w:line="360" w:lineRule="auto"/>
        <w:ind w:left="1560"/>
        <w:textAlignment w:val="auto"/>
        <w:rPr>
          <w:rStyle w:val="13"/>
          <w:rFonts w:ascii="宋体" w:hAnsi="宋体" w:cs="宋体"/>
          <w:bCs/>
          <w:sz w:val="24"/>
          <w:szCs w:val="24"/>
        </w:rPr>
      </w:pPr>
      <w:r>
        <w:rPr>
          <w:rStyle w:val="13"/>
          <w:rFonts w:hint="eastAsia" w:ascii="宋体" w:hAnsi="宋体" w:cs="宋体"/>
          <w:bCs/>
          <w:sz w:val="24"/>
          <w:szCs w:val="24"/>
        </w:rPr>
        <w:t>1.</w:t>
      </w:r>
      <w:r>
        <w:rPr>
          <w:rStyle w:val="13"/>
          <w:rFonts w:ascii="宋体" w:hAnsi="宋体" w:cs="宋体"/>
          <w:bCs/>
          <w:sz w:val="24"/>
          <w:szCs w:val="24"/>
        </w:rPr>
        <w:t>产品要求</w:t>
      </w:r>
    </w:p>
    <w:p>
      <w:pPr>
        <w:spacing w:line="360" w:lineRule="auto"/>
        <w:ind w:firstLine="560"/>
        <w:textAlignment w:val="auto"/>
        <w:rPr>
          <w:rStyle w:val="13"/>
          <w:rFonts w:ascii="宋体" w:hAnsi="宋体"/>
          <w:sz w:val="24"/>
        </w:rPr>
      </w:pPr>
      <w:r>
        <w:rPr>
          <w:rStyle w:val="13"/>
          <w:rFonts w:ascii="宋体" w:hAnsi="宋体"/>
          <w:sz w:val="24"/>
        </w:rPr>
        <w:t>AI移动查房系统是院内信息化系统的延伸与扩展。移动医生工作站以医生诊疗行为为核心，打造医生移动工作平台。工作平台集智能语音识别技术、自然语言处理及大数据分析、云计算于一身，涵盖移动查房、会诊管理、手术管理、院内OA、医学指南等多种功能，真正实现住院医生移动办公。</w:t>
      </w:r>
    </w:p>
    <w:p>
      <w:pPr>
        <w:pStyle w:val="22"/>
        <w:numPr>
          <w:ilvl w:val="4"/>
          <w:numId w:val="0"/>
        </w:numPr>
        <w:spacing w:before="0" w:after="0" w:line="360" w:lineRule="auto"/>
        <w:ind w:left="1560"/>
        <w:textAlignment w:val="auto"/>
        <w:rPr>
          <w:rStyle w:val="13"/>
          <w:rFonts w:ascii="宋体" w:hAnsi="宋体" w:cs="宋体"/>
          <w:bCs/>
          <w:sz w:val="24"/>
          <w:szCs w:val="24"/>
        </w:rPr>
      </w:pPr>
      <w:r>
        <w:rPr>
          <w:rStyle w:val="13"/>
          <w:rFonts w:hint="eastAsia" w:ascii="宋体" w:hAnsi="宋体" w:cs="宋体"/>
          <w:bCs/>
          <w:sz w:val="24"/>
          <w:szCs w:val="24"/>
        </w:rPr>
        <w:t>1.1</w:t>
      </w:r>
      <w:r>
        <w:rPr>
          <w:rStyle w:val="13"/>
          <w:rFonts w:ascii="宋体" w:hAnsi="宋体" w:cs="宋体"/>
          <w:bCs/>
          <w:sz w:val="24"/>
          <w:szCs w:val="24"/>
        </w:rPr>
        <w:t>技术参数</w:t>
      </w:r>
    </w:p>
    <w:p>
      <w:pPr>
        <w:pStyle w:val="3"/>
        <w:spacing w:line="360" w:lineRule="auto"/>
        <w:textAlignment w:val="auto"/>
        <w:rPr>
          <w:rStyle w:val="13"/>
          <w:rFonts w:ascii="宋体" w:hAnsi="宋体" w:eastAsia="宋体"/>
          <w:sz w:val="24"/>
          <w:szCs w:val="24"/>
        </w:rPr>
      </w:pPr>
      <w:r>
        <w:rPr>
          <w:rStyle w:val="13"/>
          <w:rFonts w:ascii="宋体" w:hAnsi="宋体" w:eastAsia="宋体"/>
          <w:sz w:val="24"/>
          <w:szCs w:val="24"/>
        </w:rPr>
        <w:t>表格 5 AI移动查房系统技术参数一览表</w:t>
      </w:r>
    </w:p>
    <w:tbl>
      <w:tblPr>
        <w:tblStyle w:val="10"/>
        <w:tblW w:w="8495" w:type="dxa"/>
        <w:jc w:val="center"/>
        <w:tblLayout w:type="fixed"/>
        <w:tblCellMar>
          <w:top w:w="0" w:type="dxa"/>
          <w:left w:w="0" w:type="dxa"/>
          <w:bottom w:w="0" w:type="dxa"/>
          <w:right w:w="0" w:type="dxa"/>
        </w:tblCellMar>
      </w:tblPr>
      <w:tblGrid>
        <w:gridCol w:w="662"/>
        <w:gridCol w:w="796"/>
        <w:gridCol w:w="1440"/>
        <w:gridCol w:w="5597"/>
      </w:tblGrid>
      <w:tr>
        <w:tblPrEx>
          <w:tblCellMar>
            <w:top w:w="0" w:type="dxa"/>
            <w:left w:w="0" w:type="dxa"/>
            <w:bottom w:w="0" w:type="dxa"/>
            <w:right w:w="0" w:type="dxa"/>
          </w:tblCellMar>
        </w:tblPrEx>
        <w:trPr>
          <w:trHeight w:val="285"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textAlignment w:val="auto"/>
              <w:rPr>
                <w:rStyle w:val="13"/>
                <w:rFonts w:ascii="宋体" w:hAnsi="宋体" w:cs="宋体"/>
                <w:bCs/>
                <w:color w:val="000000"/>
                <w:kern w:val="0"/>
                <w:sz w:val="24"/>
              </w:rPr>
            </w:pPr>
            <w:r>
              <w:rPr>
                <w:rStyle w:val="13"/>
                <w:rFonts w:ascii="宋体" w:hAnsi="宋体" w:cs="宋体"/>
                <w:bCs/>
                <w:color w:val="000000"/>
                <w:kern w:val="0"/>
                <w:sz w:val="24"/>
              </w:rPr>
              <w:t>序号</w:t>
            </w:r>
          </w:p>
        </w:tc>
        <w:tc>
          <w:tcPr>
            <w:tcW w:w="796" w:type="dxa"/>
            <w:tcBorders>
              <w:top w:val="single" w:color="000000" w:sz="4" w:space="0"/>
              <w:left w:val="nil"/>
              <w:bottom w:val="single" w:color="000000" w:sz="4" w:space="0"/>
              <w:right w:val="single" w:color="000000" w:sz="4" w:space="0"/>
            </w:tcBorders>
            <w:shd w:val="clear" w:color="auto" w:fill="D9D9D9"/>
            <w:vAlign w:val="center"/>
          </w:tcPr>
          <w:p>
            <w:pPr>
              <w:jc w:val="center"/>
              <w:textAlignment w:val="auto"/>
              <w:rPr>
                <w:rStyle w:val="13"/>
                <w:rFonts w:ascii="宋体" w:hAnsi="宋体" w:cs="宋体"/>
                <w:bCs/>
                <w:color w:val="000000"/>
                <w:kern w:val="0"/>
                <w:sz w:val="24"/>
              </w:rPr>
            </w:pPr>
            <w:r>
              <w:rPr>
                <w:rStyle w:val="13"/>
                <w:rFonts w:ascii="宋体" w:hAnsi="宋体" w:cs="宋体"/>
                <w:bCs/>
                <w:color w:val="000000"/>
                <w:kern w:val="0"/>
                <w:sz w:val="24"/>
              </w:rPr>
              <w:t>模块</w:t>
            </w:r>
          </w:p>
        </w:tc>
        <w:tc>
          <w:tcPr>
            <w:tcW w:w="1440" w:type="dxa"/>
            <w:tcBorders>
              <w:top w:val="single" w:color="000000" w:sz="4" w:space="0"/>
              <w:left w:val="nil"/>
              <w:bottom w:val="single" w:color="000000" w:sz="4" w:space="0"/>
              <w:right w:val="single" w:color="000000" w:sz="4" w:space="0"/>
            </w:tcBorders>
            <w:shd w:val="clear" w:color="auto" w:fill="D9D9D9"/>
            <w:vAlign w:val="center"/>
          </w:tcPr>
          <w:p>
            <w:pPr>
              <w:jc w:val="center"/>
              <w:textAlignment w:val="auto"/>
              <w:rPr>
                <w:rStyle w:val="13"/>
                <w:rFonts w:ascii="宋体" w:hAnsi="宋体" w:cs="宋体"/>
                <w:bCs/>
                <w:color w:val="000000"/>
                <w:kern w:val="0"/>
                <w:sz w:val="24"/>
              </w:rPr>
            </w:pPr>
            <w:r>
              <w:rPr>
                <w:rStyle w:val="13"/>
                <w:rFonts w:ascii="宋体" w:hAnsi="宋体" w:cs="宋体"/>
                <w:bCs/>
                <w:color w:val="000000"/>
                <w:kern w:val="0"/>
                <w:sz w:val="24"/>
              </w:rPr>
              <w:t>模块功能</w:t>
            </w:r>
          </w:p>
        </w:tc>
        <w:tc>
          <w:tcPr>
            <w:tcW w:w="5597" w:type="dxa"/>
            <w:tcBorders>
              <w:top w:val="single" w:color="000000" w:sz="4" w:space="0"/>
              <w:left w:val="nil"/>
              <w:bottom w:val="single" w:color="000000" w:sz="4" w:space="0"/>
              <w:right w:val="single" w:color="000000" w:sz="4" w:space="0"/>
            </w:tcBorders>
            <w:shd w:val="clear" w:color="auto" w:fill="D9D9D9"/>
            <w:vAlign w:val="center"/>
          </w:tcPr>
          <w:p>
            <w:pPr>
              <w:jc w:val="center"/>
              <w:textAlignment w:val="auto"/>
              <w:rPr>
                <w:rStyle w:val="13"/>
                <w:rFonts w:ascii="宋体" w:hAnsi="宋体" w:cs="宋体"/>
                <w:bCs/>
                <w:color w:val="000000"/>
                <w:kern w:val="0"/>
                <w:sz w:val="24"/>
              </w:rPr>
            </w:pPr>
            <w:r>
              <w:rPr>
                <w:rStyle w:val="13"/>
                <w:rFonts w:ascii="宋体" w:hAnsi="宋体" w:cs="宋体"/>
                <w:bCs/>
                <w:color w:val="000000"/>
                <w:kern w:val="0"/>
                <w:sz w:val="24"/>
              </w:rPr>
              <w:t>技术参数说明</w:t>
            </w:r>
          </w:p>
        </w:tc>
      </w:tr>
      <w:tr>
        <w:tblPrEx>
          <w:tblCellMar>
            <w:top w:w="0" w:type="dxa"/>
            <w:left w:w="0" w:type="dxa"/>
            <w:bottom w:w="0" w:type="dxa"/>
            <w:right w:w="0" w:type="dxa"/>
          </w:tblCellMar>
        </w:tblPrEx>
        <w:trPr>
          <w:trHeight w:val="675" w:hRule="atLeast"/>
          <w:jc w:val="center"/>
        </w:trPr>
        <w:tc>
          <w:tcPr>
            <w:tcW w:w="662"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1</w:t>
            </w:r>
          </w:p>
        </w:tc>
        <w:tc>
          <w:tcPr>
            <w:tcW w:w="796" w:type="dxa"/>
            <w:tcBorders>
              <w:top w:val="nil"/>
              <w:left w:val="nil"/>
              <w:bottom w:val="single" w:color="000000" w:sz="4" w:space="0"/>
              <w:right w:val="single" w:color="000000" w:sz="4" w:space="0"/>
            </w:tcBorders>
            <w:shd w:val="clear" w:color="auto" w:fill="FFFFFF"/>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系统登录</w:t>
            </w:r>
          </w:p>
        </w:tc>
        <w:tc>
          <w:tcPr>
            <w:tcW w:w="1440" w:type="dxa"/>
            <w:tcBorders>
              <w:top w:val="nil"/>
              <w:left w:val="nil"/>
              <w:bottom w:val="single" w:color="000000" w:sz="4" w:space="0"/>
              <w:right w:val="single" w:color="000000" w:sz="4" w:space="0"/>
            </w:tcBorders>
            <w:shd w:val="clear" w:color="auto" w:fill="FFFFFF"/>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系统登录</w:t>
            </w:r>
          </w:p>
        </w:tc>
        <w:tc>
          <w:tcPr>
            <w:tcW w:w="5597" w:type="dxa"/>
            <w:tcBorders>
              <w:top w:val="nil"/>
              <w:left w:val="nil"/>
              <w:bottom w:val="single" w:color="000000" w:sz="4" w:space="0"/>
              <w:right w:val="single" w:color="000000" w:sz="4" w:space="0"/>
            </w:tcBorders>
            <w:shd w:val="clear" w:color="auto" w:fill="FFFFFF"/>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1、客户端支持手机号+密码登录系统</w:t>
            </w:r>
            <w:r>
              <w:rPr>
                <w:rStyle w:val="13"/>
                <w:rFonts w:ascii="宋体" w:hAnsi="宋体"/>
                <w:color w:val="000000"/>
                <w:kern w:val="0"/>
                <w:sz w:val="24"/>
              </w:rPr>
              <w:br w:type="textWrapping" w:clear="all"/>
            </w:r>
            <w:r>
              <w:rPr>
                <w:rStyle w:val="13"/>
                <w:rFonts w:ascii="宋体" w:hAnsi="宋体"/>
                <w:color w:val="000000"/>
                <w:kern w:val="0"/>
                <w:sz w:val="24"/>
              </w:rPr>
              <w:t>2、客户端支持人脸声纹识别登录系统</w:t>
            </w:r>
            <w:r>
              <w:rPr>
                <w:rStyle w:val="13"/>
                <w:rFonts w:ascii="宋体" w:hAnsi="宋体"/>
                <w:color w:val="000000"/>
                <w:kern w:val="0"/>
                <w:sz w:val="24"/>
              </w:rPr>
              <w:br w:type="textWrapping" w:clear="all"/>
            </w:r>
            <w:r>
              <w:rPr>
                <w:rStyle w:val="13"/>
                <w:rFonts w:ascii="宋体" w:hAnsi="宋体"/>
                <w:color w:val="000000"/>
                <w:kern w:val="0"/>
                <w:sz w:val="24"/>
              </w:rPr>
              <w:t>3、客户端支持指纹识别登录系统</w:t>
            </w:r>
          </w:p>
        </w:tc>
      </w:tr>
      <w:tr>
        <w:tblPrEx>
          <w:tblCellMar>
            <w:top w:w="0" w:type="dxa"/>
            <w:left w:w="0" w:type="dxa"/>
            <w:bottom w:w="0" w:type="dxa"/>
            <w:right w:w="0" w:type="dxa"/>
          </w:tblCellMar>
        </w:tblPrEx>
        <w:trPr>
          <w:trHeight w:val="285" w:hRule="atLeast"/>
          <w:jc w:val="center"/>
        </w:trPr>
        <w:tc>
          <w:tcPr>
            <w:tcW w:w="662"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2</w:t>
            </w:r>
          </w:p>
        </w:tc>
        <w:tc>
          <w:tcPr>
            <w:tcW w:w="796" w:type="dxa"/>
            <w:vMerge w:val="restart"/>
            <w:tcBorders>
              <w:top w:val="nil"/>
              <w:left w:val="single" w:color="000000" w:sz="4" w:space="0"/>
              <w:bottom w:val="single" w:color="000000" w:sz="4" w:space="0"/>
              <w:right w:val="single" w:color="000000" w:sz="4" w:space="0"/>
            </w:tcBorders>
            <w:shd w:val="clear" w:color="auto" w:fill="FFFFFF"/>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设备管理</w:t>
            </w:r>
          </w:p>
        </w:tc>
        <w:tc>
          <w:tcPr>
            <w:tcW w:w="1440" w:type="dxa"/>
            <w:tcBorders>
              <w:top w:val="nil"/>
              <w:left w:val="nil"/>
              <w:bottom w:val="single" w:color="000000" w:sz="4" w:space="0"/>
              <w:right w:val="single" w:color="000000" w:sz="4" w:space="0"/>
            </w:tcBorders>
            <w:shd w:val="clear" w:color="auto" w:fill="FFFFFF"/>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设备激活</w:t>
            </w:r>
          </w:p>
        </w:tc>
        <w:tc>
          <w:tcPr>
            <w:tcW w:w="5597" w:type="dxa"/>
            <w:tcBorders>
              <w:top w:val="nil"/>
              <w:left w:val="nil"/>
              <w:bottom w:val="single" w:color="000000" w:sz="4" w:space="0"/>
              <w:right w:val="single" w:color="000000" w:sz="4" w:space="0"/>
            </w:tcBorders>
            <w:shd w:val="clear" w:color="auto" w:fill="FFFFFF"/>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支持输入工号、手机号、姓名进行设备激活</w:t>
            </w:r>
          </w:p>
        </w:tc>
      </w:tr>
      <w:tr>
        <w:tblPrEx>
          <w:tblCellMar>
            <w:top w:w="0" w:type="dxa"/>
            <w:left w:w="0" w:type="dxa"/>
            <w:bottom w:w="0" w:type="dxa"/>
            <w:right w:w="0" w:type="dxa"/>
          </w:tblCellMar>
        </w:tblPrEx>
        <w:trPr>
          <w:trHeight w:val="285" w:hRule="atLeast"/>
          <w:jc w:val="center"/>
        </w:trPr>
        <w:tc>
          <w:tcPr>
            <w:tcW w:w="662"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3</w:t>
            </w:r>
          </w:p>
        </w:tc>
        <w:tc>
          <w:tcPr>
            <w:tcW w:w="796" w:type="dxa"/>
            <w:vMerge w:val="continue"/>
            <w:tcBorders>
              <w:top w:val="nil"/>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1440" w:type="dxa"/>
            <w:tcBorders>
              <w:top w:val="nil"/>
              <w:left w:val="nil"/>
              <w:bottom w:val="single" w:color="000000" w:sz="4" w:space="0"/>
              <w:right w:val="single" w:color="000000" w:sz="4" w:space="0"/>
            </w:tcBorders>
            <w:shd w:val="clear" w:color="auto" w:fill="FFFFFF"/>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设备删除</w:t>
            </w:r>
          </w:p>
        </w:tc>
        <w:tc>
          <w:tcPr>
            <w:tcW w:w="5597" w:type="dxa"/>
            <w:tcBorders>
              <w:top w:val="nil"/>
              <w:left w:val="nil"/>
              <w:bottom w:val="single" w:color="000000" w:sz="4" w:space="0"/>
              <w:right w:val="single" w:color="000000" w:sz="4" w:space="0"/>
            </w:tcBorders>
            <w:shd w:val="clear" w:color="auto" w:fill="FFFFFF"/>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对于已经授权的设备可以进行设备删除，下次登录需要二次激活，保障安全性</w:t>
            </w:r>
          </w:p>
        </w:tc>
      </w:tr>
      <w:tr>
        <w:tblPrEx>
          <w:tblCellMar>
            <w:top w:w="0" w:type="dxa"/>
            <w:left w:w="0" w:type="dxa"/>
            <w:bottom w:w="0" w:type="dxa"/>
            <w:right w:w="0" w:type="dxa"/>
          </w:tblCellMar>
        </w:tblPrEx>
        <w:trPr>
          <w:trHeight w:val="285" w:hRule="atLeast"/>
          <w:jc w:val="center"/>
        </w:trPr>
        <w:tc>
          <w:tcPr>
            <w:tcW w:w="662"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4</w:t>
            </w:r>
          </w:p>
        </w:tc>
        <w:tc>
          <w:tcPr>
            <w:tcW w:w="796" w:type="dxa"/>
            <w:tcBorders>
              <w:top w:val="nil"/>
              <w:left w:val="nil"/>
              <w:bottom w:val="single" w:color="000000" w:sz="4" w:space="0"/>
              <w:right w:val="single" w:color="000000" w:sz="4" w:space="0"/>
            </w:tcBorders>
            <w:shd w:val="clear" w:color="auto" w:fill="FFFFFF"/>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首页宣传图</w:t>
            </w:r>
          </w:p>
        </w:tc>
        <w:tc>
          <w:tcPr>
            <w:tcW w:w="1440" w:type="dxa"/>
            <w:tcBorders>
              <w:top w:val="nil"/>
              <w:left w:val="nil"/>
              <w:bottom w:val="single" w:color="000000" w:sz="4" w:space="0"/>
              <w:right w:val="single" w:color="000000" w:sz="4" w:space="0"/>
            </w:tcBorders>
            <w:shd w:val="clear" w:color="auto" w:fill="FFFFFF"/>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轮播图配置</w:t>
            </w:r>
          </w:p>
        </w:tc>
        <w:tc>
          <w:tcPr>
            <w:tcW w:w="5597" w:type="dxa"/>
            <w:tcBorders>
              <w:top w:val="nil"/>
              <w:left w:val="nil"/>
              <w:bottom w:val="single" w:color="000000" w:sz="4" w:space="0"/>
              <w:right w:val="single" w:color="000000" w:sz="4" w:space="0"/>
            </w:tcBorders>
            <w:shd w:val="clear" w:color="auto" w:fill="FFFFFF"/>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支持首页宣传图的自定义配置，如图片、文字等，可以根据医院要求进行宣传图配置</w:t>
            </w:r>
          </w:p>
        </w:tc>
      </w:tr>
      <w:tr>
        <w:tblPrEx>
          <w:tblCellMar>
            <w:top w:w="0" w:type="dxa"/>
            <w:left w:w="0" w:type="dxa"/>
            <w:bottom w:w="0" w:type="dxa"/>
            <w:right w:w="0" w:type="dxa"/>
          </w:tblCellMar>
        </w:tblPrEx>
        <w:trPr>
          <w:trHeight w:val="285" w:hRule="atLeast"/>
          <w:jc w:val="center"/>
        </w:trPr>
        <w:tc>
          <w:tcPr>
            <w:tcW w:w="662"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5</w:t>
            </w:r>
          </w:p>
        </w:tc>
        <w:tc>
          <w:tcPr>
            <w:tcW w:w="796" w:type="dxa"/>
            <w:tcBorders>
              <w:top w:val="nil"/>
              <w:left w:val="nil"/>
              <w:bottom w:val="single" w:color="000000" w:sz="4" w:space="0"/>
              <w:right w:val="single" w:color="000000" w:sz="4" w:space="0"/>
            </w:tcBorders>
            <w:shd w:val="clear" w:color="auto" w:fill="FFFFFF"/>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切换科室</w:t>
            </w:r>
          </w:p>
        </w:tc>
        <w:tc>
          <w:tcPr>
            <w:tcW w:w="1440" w:type="dxa"/>
            <w:tcBorders>
              <w:top w:val="nil"/>
              <w:left w:val="nil"/>
              <w:bottom w:val="single" w:color="000000" w:sz="4" w:space="0"/>
              <w:right w:val="single" w:color="000000" w:sz="4" w:space="0"/>
            </w:tcBorders>
            <w:shd w:val="clear" w:color="auto" w:fill="FFFFFF"/>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科室切换</w:t>
            </w:r>
          </w:p>
        </w:tc>
        <w:tc>
          <w:tcPr>
            <w:tcW w:w="5597" w:type="dxa"/>
            <w:tcBorders>
              <w:top w:val="nil"/>
              <w:left w:val="nil"/>
              <w:bottom w:val="single" w:color="000000" w:sz="4" w:space="0"/>
              <w:right w:val="single" w:color="000000" w:sz="4" w:space="0"/>
            </w:tcBorders>
            <w:shd w:val="clear" w:color="auto" w:fill="FFFFFF"/>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支持在客户端顶部切换不同科室权限</w:t>
            </w:r>
          </w:p>
        </w:tc>
      </w:tr>
      <w:tr>
        <w:tblPrEx>
          <w:tblCellMar>
            <w:top w:w="0" w:type="dxa"/>
            <w:left w:w="0" w:type="dxa"/>
            <w:bottom w:w="0" w:type="dxa"/>
            <w:right w:w="0" w:type="dxa"/>
          </w:tblCellMar>
        </w:tblPrEx>
        <w:trPr>
          <w:trHeight w:val="285" w:hRule="atLeast"/>
          <w:jc w:val="center"/>
        </w:trPr>
        <w:tc>
          <w:tcPr>
            <w:tcW w:w="662"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6</w:t>
            </w:r>
          </w:p>
        </w:tc>
        <w:tc>
          <w:tcPr>
            <w:tcW w:w="796"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今日科室</w:t>
            </w:r>
          </w:p>
        </w:tc>
        <w:tc>
          <w:tcPr>
            <w:tcW w:w="1440"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文章配置</w:t>
            </w:r>
          </w:p>
        </w:tc>
        <w:tc>
          <w:tcPr>
            <w:tcW w:w="5597" w:type="dxa"/>
            <w:tcBorders>
              <w:top w:val="nil"/>
              <w:left w:val="nil"/>
              <w:bottom w:val="single" w:color="000000" w:sz="4" w:space="0"/>
              <w:right w:val="single" w:color="000000" w:sz="4" w:space="0"/>
            </w:tcBorders>
            <w:shd w:val="clear" w:color="auto" w:fill="FFFFFF"/>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可以在内容管理平台自定义配置医院宣传文章等等</w:t>
            </w:r>
          </w:p>
        </w:tc>
      </w:tr>
      <w:tr>
        <w:tblPrEx>
          <w:tblCellMar>
            <w:top w:w="0" w:type="dxa"/>
            <w:left w:w="0" w:type="dxa"/>
            <w:bottom w:w="0" w:type="dxa"/>
            <w:right w:w="0" w:type="dxa"/>
          </w:tblCellMar>
        </w:tblPrEx>
        <w:trPr>
          <w:trHeight w:val="1575" w:hRule="atLeast"/>
          <w:jc w:val="center"/>
        </w:trPr>
        <w:tc>
          <w:tcPr>
            <w:tcW w:w="662"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7</w:t>
            </w:r>
          </w:p>
        </w:tc>
        <w:tc>
          <w:tcPr>
            <w:tcW w:w="796" w:type="dxa"/>
            <w:vMerge w:val="restart"/>
            <w:tcBorders>
              <w:top w:val="nil"/>
              <w:left w:val="single" w:color="000000" w:sz="4" w:space="0"/>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患者全景诊疗数据展示</w:t>
            </w:r>
          </w:p>
        </w:tc>
        <w:tc>
          <w:tcPr>
            <w:tcW w:w="1440"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患者列表</w:t>
            </w:r>
          </w:p>
        </w:tc>
        <w:tc>
          <w:tcPr>
            <w:tcW w:w="5597" w:type="dxa"/>
            <w:tcBorders>
              <w:top w:val="nil"/>
              <w:left w:val="nil"/>
              <w:bottom w:val="single" w:color="000000" w:sz="4" w:space="0"/>
              <w:right w:val="single" w:color="000000" w:sz="4" w:space="0"/>
            </w:tcBorders>
            <w:shd w:val="clear" w:color="auto" w:fill="FFFFFF"/>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患者搜索分类：可按管床、病区、收藏不同范围查询，搜索患者</w:t>
            </w:r>
            <w:r>
              <w:rPr>
                <w:rStyle w:val="13"/>
                <w:rFonts w:ascii="宋体" w:hAnsi="宋体"/>
                <w:color w:val="000000"/>
                <w:kern w:val="0"/>
                <w:sz w:val="24"/>
              </w:rPr>
              <w:br w:type="textWrapping" w:clear="all"/>
            </w:r>
            <w:r>
              <w:rPr>
                <w:rStyle w:val="13"/>
                <w:rFonts w:ascii="宋体" w:hAnsi="宋体"/>
                <w:color w:val="000000"/>
                <w:kern w:val="0"/>
                <w:sz w:val="24"/>
              </w:rPr>
              <w:t>患者列表：以列表形式根据患者状态（待归档、新入院、会诊、转科）查询和显示患者</w:t>
            </w:r>
            <w:r>
              <w:rPr>
                <w:rStyle w:val="13"/>
                <w:rFonts w:ascii="宋体" w:hAnsi="宋体"/>
                <w:color w:val="000000"/>
                <w:kern w:val="0"/>
                <w:sz w:val="24"/>
              </w:rPr>
              <w:br w:type="textWrapping" w:clear="all"/>
            </w:r>
            <w:r>
              <w:rPr>
                <w:rStyle w:val="13"/>
                <w:rFonts w:ascii="宋体" w:hAnsi="宋体"/>
                <w:color w:val="000000"/>
                <w:kern w:val="0"/>
                <w:sz w:val="24"/>
              </w:rPr>
              <w:t>基础信息：展示患者身份证、家庭地址、联系电话（点击可以直接拨打）等</w:t>
            </w:r>
            <w:r>
              <w:rPr>
                <w:rStyle w:val="13"/>
                <w:rFonts w:ascii="宋体" w:hAnsi="宋体"/>
                <w:color w:val="000000"/>
                <w:kern w:val="0"/>
                <w:sz w:val="24"/>
              </w:rPr>
              <w:br w:type="textWrapping" w:clear="all"/>
            </w:r>
            <w:r>
              <w:rPr>
                <w:rStyle w:val="13"/>
                <w:rFonts w:ascii="宋体" w:hAnsi="宋体"/>
                <w:color w:val="000000"/>
                <w:kern w:val="0"/>
                <w:sz w:val="24"/>
              </w:rPr>
              <w:t>费用信息：展示在院期间患者费用比例、预交费用、费用明细</w:t>
            </w:r>
            <w:r>
              <w:rPr>
                <w:rStyle w:val="13"/>
                <w:rFonts w:ascii="宋体" w:hAnsi="宋体"/>
                <w:color w:val="000000"/>
                <w:kern w:val="0"/>
                <w:sz w:val="24"/>
              </w:rPr>
              <w:br w:type="textWrapping" w:clear="all"/>
            </w:r>
            <w:r>
              <w:rPr>
                <w:rStyle w:val="13"/>
                <w:rFonts w:ascii="宋体" w:hAnsi="宋体"/>
                <w:color w:val="000000"/>
                <w:kern w:val="0"/>
                <w:sz w:val="24"/>
              </w:rPr>
              <w:t>诊断列表：以列表形式展示住院期间所有诊断记录，并根据ICD编码连接到文献指南</w:t>
            </w:r>
            <w:r>
              <w:rPr>
                <w:rStyle w:val="13"/>
                <w:rFonts w:ascii="宋体" w:hAnsi="宋体"/>
                <w:color w:val="000000"/>
                <w:kern w:val="0"/>
                <w:sz w:val="24"/>
              </w:rPr>
              <w:br w:type="textWrapping" w:clear="all"/>
            </w:r>
            <w:r>
              <w:rPr>
                <w:rStyle w:val="13"/>
                <w:rFonts w:ascii="宋体" w:hAnsi="宋体"/>
                <w:color w:val="000000"/>
                <w:kern w:val="0"/>
                <w:sz w:val="24"/>
              </w:rPr>
              <w:t>患者切换：支持在患者首页左右滑动快速切换患者、支持在患者首页点击患者姓名进行跨床位快速切换、在患者详情页点击连续切换</w:t>
            </w:r>
          </w:p>
        </w:tc>
      </w:tr>
      <w:tr>
        <w:tblPrEx>
          <w:tblCellMar>
            <w:top w:w="0" w:type="dxa"/>
            <w:left w:w="0" w:type="dxa"/>
            <w:bottom w:w="0" w:type="dxa"/>
            <w:right w:w="0" w:type="dxa"/>
          </w:tblCellMar>
        </w:tblPrEx>
        <w:trPr>
          <w:trHeight w:val="285" w:hRule="atLeast"/>
          <w:jc w:val="center"/>
        </w:trPr>
        <w:tc>
          <w:tcPr>
            <w:tcW w:w="662"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8</w:t>
            </w:r>
          </w:p>
        </w:tc>
        <w:tc>
          <w:tcPr>
            <w:tcW w:w="796" w:type="dxa"/>
            <w:vMerge w:val="continue"/>
            <w:tcBorders>
              <w:top w:val="nil"/>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1440"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我的管床</w:t>
            </w:r>
          </w:p>
        </w:tc>
        <w:tc>
          <w:tcPr>
            <w:tcW w:w="5597" w:type="dxa"/>
            <w:tcBorders>
              <w:top w:val="nil"/>
              <w:left w:val="nil"/>
              <w:bottom w:val="single" w:color="000000" w:sz="4" w:space="0"/>
              <w:right w:val="single" w:color="000000" w:sz="4" w:space="0"/>
            </w:tcBorders>
            <w:shd w:val="clear" w:color="auto" w:fill="FFFFFF"/>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我的管床：设置固定管床床位，系统自动推送管床患者信息。</w:t>
            </w:r>
          </w:p>
        </w:tc>
      </w:tr>
      <w:tr>
        <w:tblPrEx>
          <w:tblCellMar>
            <w:top w:w="0" w:type="dxa"/>
            <w:left w:w="0" w:type="dxa"/>
            <w:bottom w:w="0" w:type="dxa"/>
            <w:right w:w="0" w:type="dxa"/>
          </w:tblCellMar>
        </w:tblPrEx>
        <w:trPr>
          <w:trHeight w:val="972" w:hRule="atLeast"/>
          <w:jc w:val="center"/>
        </w:trPr>
        <w:tc>
          <w:tcPr>
            <w:tcW w:w="662"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9</w:t>
            </w:r>
          </w:p>
        </w:tc>
        <w:tc>
          <w:tcPr>
            <w:tcW w:w="796" w:type="dxa"/>
            <w:vMerge w:val="continue"/>
            <w:tcBorders>
              <w:top w:val="nil"/>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1440"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查房概要</w:t>
            </w:r>
          </w:p>
        </w:tc>
        <w:tc>
          <w:tcPr>
            <w:tcW w:w="5597" w:type="dxa"/>
            <w:tcBorders>
              <w:top w:val="nil"/>
              <w:left w:val="nil"/>
              <w:bottom w:val="single" w:color="000000" w:sz="4" w:space="0"/>
              <w:right w:val="single" w:color="000000" w:sz="4" w:space="0"/>
            </w:tcBorders>
            <w:shd w:val="clear" w:color="auto" w:fill="FFFFFF"/>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1、汇总显示患者床头卡信息 -展示患者住院号、入院日期、术/产后天数、住院次数、护理等级</w:t>
            </w:r>
            <w:r>
              <w:rPr>
                <w:rStyle w:val="13"/>
                <w:rFonts w:ascii="宋体" w:hAnsi="宋体"/>
                <w:color w:val="000000"/>
                <w:kern w:val="0"/>
                <w:sz w:val="24"/>
              </w:rPr>
              <w:br w:type="textWrapping" w:clear="all"/>
            </w:r>
            <w:r>
              <w:rPr>
                <w:rStyle w:val="13"/>
                <w:rFonts w:ascii="宋体" w:hAnsi="宋体"/>
                <w:color w:val="000000"/>
                <w:kern w:val="0"/>
                <w:sz w:val="24"/>
              </w:rPr>
              <w:t>2、显示近一天内病情概况，生命体征信息，生命体征可进行自定义修改</w:t>
            </w:r>
            <w:r>
              <w:rPr>
                <w:rStyle w:val="13"/>
                <w:rFonts w:ascii="宋体" w:hAnsi="宋体"/>
                <w:color w:val="000000"/>
                <w:kern w:val="0"/>
                <w:sz w:val="24"/>
              </w:rPr>
              <w:br w:type="textWrapping" w:clear="all"/>
            </w:r>
            <w:r>
              <w:rPr>
                <w:rStyle w:val="13"/>
                <w:rFonts w:ascii="宋体" w:hAnsi="宋体"/>
                <w:color w:val="000000"/>
                <w:kern w:val="0"/>
                <w:sz w:val="24"/>
              </w:rPr>
              <w:t>3、显示近一天检查检验信息，医嘱信息；</w:t>
            </w:r>
          </w:p>
        </w:tc>
      </w:tr>
      <w:tr>
        <w:tblPrEx>
          <w:tblCellMar>
            <w:top w:w="0" w:type="dxa"/>
            <w:left w:w="0" w:type="dxa"/>
            <w:bottom w:w="0" w:type="dxa"/>
            <w:right w:w="0" w:type="dxa"/>
          </w:tblCellMar>
        </w:tblPrEx>
        <w:trPr>
          <w:trHeight w:val="1452" w:hRule="atLeast"/>
          <w:jc w:val="center"/>
        </w:trPr>
        <w:tc>
          <w:tcPr>
            <w:tcW w:w="662"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10</w:t>
            </w:r>
          </w:p>
        </w:tc>
        <w:tc>
          <w:tcPr>
            <w:tcW w:w="796" w:type="dxa"/>
            <w:vMerge w:val="continue"/>
            <w:tcBorders>
              <w:top w:val="nil"/>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1440"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医嘱管理</w:t>
            </w:r>
          </w:p>
        </w:tc>
        <w:tc>
          <w:tcPr>
            <w:tcW w:w="5597" w:type="dxa"/>
            <w:tcBorders>
              <w:top w:val="nil"/>
              <w:left w:val="nil"/>
              <w:bottom w:val="single" w:color="000000" w:sz="4" w:space="0"/>
              <w:right w:val="single" w:color="000000" w:sz="4" w:space="0"/>
            </w:tcBorders>
            <w:shd w:val="clear" w:color="auto" w:fill="FFFFFF"/>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医嘱管理</w:t>
            </w:r>
            <w:r>
              <w:rPr>
                <w:rStyle w:val="13"/>
                <w:rFonts w:ascii="宋体" w:hAnsi="宋体"/>
                <w:color w:val="000000"/>
                <w:kern w:val="0"/>
                <w:sz w:val="24"/>
              </w:rPr>
              <w:br w:type="textWrapping" w:clear="all"/>
            </w:r>
            <w:r>
              <w:rPr>
                <w:rStyle w:val="13"/>
                <w:rFonts w:ascii="宋体" w:hAnsi="宋体"/>
                <w:color w:val="000000"/>
                <w:kern w:val="0"/>
                <w:sz w:val="24"/>
              </w:rPr>
              <w:t>医嘱管理 支持医嘱查询、医嘱明细展示、医嘱筛选</w:t>
            </w:r>
            <w:r>
              <w:rPr>
                <w:rStyle w:val="13"/>
                <w:rFonts w:ascii="宋体" w:hAnsi="宋体"/>
                <w:color w:val="000000"/>
                <w:kern w:val="0"/>
                <w:sz w:val="24"/>
              </w:rPr>
              <w:br w:type="textWrapping" w:clear="all"/>
            </w:r>
            <w:r>
              <w:rPr>
                <w:rStyle w:val="13"/>
                <w:rFonts w:ascii="宋体" w:hAnsi="宋体"/>
                <w:color w:val="000000"/>
                <w:kern w:val="0"/>
                <w:sz w:val="24"/>
              </w:rPr>
              <w:t>医嘱查询：显示特定患者和特定时间的长期医嘱、临时医嘱信息</w:t>
            </w:r>
            <w:r>
              <w:rPr>
                <w:rStyle w:val="13"/>
                <w:rFonts w:ascii="宋体" w:hAnsi="宋体"/>
                <w:color w:val="000000"/>
                <w:kern w:val="0"/>
                <w:sz w:val="24"/>
              </w:rPr>
              <w:br w:type="textWrapping" w:clear="all"/>
            </w:r>
            <w:r>
              <w:rPr>
                <w:rStyle w:val="13"/>
                <w:rFonts w:ascii="宋体" w:hAnsi="宋体"/>
                <w:color w:val="000000"/>
                <w:kern w:val="0"/>
                <w:sz w:val="24"/>
              </w:rPr>
              <w:t>医嘱明细：显示医嘱的内容、执行状态、执行时间、执行人等信息</w:t>
            </w:r>
            <w:r>
              <w:rPr>
                <w:rStyle w:val="13"/>
                <w:rFonts w:ascii="宋体" w:hAnsi="宋体"/>
                <w:color w:val="000000"/>
                <w:kern w:val="0"/>
                <w:sz w:val="24"/>
              </w:rPr>
              <w:br w:type="textWrapping" w:clear="all"/>
            </w:r>
            <w:r>
              <w:rPr>
                <w:rStyle w:val="13"/>
                <w:rFonts w:ascii="宋体" w:hAnsi="宋体"/>
                <w:color w:val="000000"/>
                <w:kern w:val="0"/>
                <w:sz w:val="24"/>
              </w:rPr>
              <w:t>医嘱筛选：支持查看筛选不同类型、不同状态的长期临时医嘱</w:t>
            </w:r>
          </w:p>
        </w:tc>
      </w:tr>
      <w:tr>
        <w:tblPrEx>
          <w:tblCellMar>
            <w:top w:w="0" w:type="dxa"/>
            <w:left w:w="0" w:type="dxa"/>
            <w:bottom w:w="0" w:type="dxa"/>
            <w:right w:w="0" w:type="dxa"/>
          </w:tblCellMar>
        </w:tblPrEx>
        <w:trPr>
          <w:trHeight w:val="2025" w:hRule="atLeast"/>
          <w:jc w:val="center"/>
        </w:trPr>
        <w:tc>
          <w:tcPr>
            <w:tcW w:w="662"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11</w:t>
            </w:r>
          </w:p>
        </w:tc>
        <w:tc>
          <w:tcPr>
            <w:tcW w:w="796" w:type="dxa"/>
            <w:vMerge w:val="continue"/>
            <w:tcBorders>
              <w:top w:val="nil"/>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1440"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病历查询</w:t>
            </w:r>
          </w:p>
        </w:tc>
        <w:tc>
          <w:tcPr>
            <w:tcW w:w="5597" w:type="dxa"/>
            <w:tcBorders>
              <w:top w:val="nil"/>
              <w:left w:val="nil"/>
              <w:bottom w:val="single" w:color="000000" w:sz="4" w:space="0"/>
              <w:right w:val="single" w:color="000000" w:sz="4" w:space="0"/>
            </w:tcBorders>
            <w:shd w:val="clear" w:color="auto" w:fill="FFFFFF"/>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支持病程显示、手术记录、医患沟通、出院记录等</w:t>
            </w:r>
            <w:r>
              <w:rPr>
                <w:rStyle w:val="13"/>
                <w:rFonts w:ascii="宋体" w:hAnsi="宋体"/>
                <w:color w:val="000000"/>
                <w:kern w:val="0"/>
                <w:sz w:val="24"/>
              </w:rPr>
              <w:br w:type="textWrapping" w:clear="all"/>
            </w:r>
            <w:r>
              <w:rPr>
                <w:rStyle w:val="13"/>
                <w:rFonts w:ascii="宋体" w:hAnsi="宋体"/>
                <w:color w:val="000000"/>
                <w:kern w:val="0"/>
                <w:sz w:val="24"/>
              </w:rPr>
              <w:t>首次病程：显示首次病程的内容、建立时间、建立人、签名人和时间、病历状态</w:t>
            </w:r>
            <w:r>
              <w:rPr>
                <w:rStyle w:val="13"/>
                <w:rFonts w:ascii="宋体" w:hAnsi="宋体"/>
                <w:color w:val="000000"/>
                <w:kern w:val="0"/>
                <w:sz w:val="24"/>
              </w:rPr>
              <w:br w:type="textWrapping" w:clear="all"/>
            </w:r>
            <w:r>
              <w:rPr>
                <w:rStyle w:val="13"/>
                <w:rFonts w:ascii="宋体" w:hAnsi="宋体"/>
                <w:color w:val="000000"/>
                <w:kern w:val="0"/>
                <w:sz w:val="24"/>
              </w:rPr>
              <w:t>日常病程：显示每次日常病程的内容，日常病程的建立时间，病程建立人，病程签名人和时间</w:t>
            </w:r>
            <w:r>
              <w:rPr>
                <w:rStyle w:val="13"/>
                <w:rFonts w:ascii="宋体" w:hAnsi="宋体"/>
                <w:color w:val="000000"/>
                <w:kern w:val="0"/>
                <w:sz w:val="24"/>
              </w:rPr>
              <w:br w:type="textWrapping" w:clear="all"/>
            </w:r>
            <w:r>
              <w:rPr>
                <w:rStyle w:val="13"/>
                <w:rFonts w:ascii="宋体" w:hAnsi="宋体"/>
                <w:color w:val="000000"/>
                <w:kern w:val="0"/>
                <w:sz w:val="24"/>
              </w:rPr>
              <w:t>手术记录：显示手术记录的建立时间、建立人、签名人和时间、病历状态，及手术记录的详细内容：术前诊断、手术名称、术后诊断、麻醉方式、手术经过等</w:t>
            </w:r>
            <w:r>
              <w:rPr>
                <w:rStyle w:val="13"/>
                <w:rFonts w:ascii="宋体" w:hAnsi="宋体"/>
                <w:color w:val="000000"/>
                <w:kern w:val="0"/>
                <w:sz w:val="24"/>
              </w:rPr>
              <w:br w:type="textWrapping" w:clear="all"/>
            </w:r>
            <w:r>
              <w:rPr>
                <w:rStyle w:val="13"/>
                <w:rFonts w:ascii="宋体" w:hAnsi="宋体"/>
                <w:color w:val="000000"/>
                <w:kern w:val="0"/>
                <w:sz w:val="24"/>
              </w:rPr>
              <w:t>医患沟通：显示医患沟通记录内容、建立时间、建立人、签名人和时间、病历状态</w:t>
            </w:r>
            <w:r>
              <w:rPr>
                <w:rStyle w:val="13"/>
                <w:rFonts w:ascii="宋体" w:hAnsi="宋体"/>
                <w:color w:val="000000"/>
                <w:kern w:val="0"/>
                <w:sz w:val="24"/>
              </w:rPr>
              <w:br w:type="textWrapping" w:clear="all"/>
            </w:r>
            <w:r>
              <w:rPr>
                <w:rStyle w:val="13"/>
                <w:rFonts w:ascii="宋体" w:hAnsi="宋体"/>
                <w:color w:val="000000"/>
                <w:kern w:val="0"/>
                <w:sz w:val="24"/>
              </w:rPr>
              <w:t>出院记录：显示出院记录的建立时间、建立人、签名人和时间、病历状态，及出院记录的详细内容：入院时情况、住院经过、出院情况</w:t>
            </w:r>
          </w:p>
        </w:tc>
      </w:tr>
      <w:tr>
        <w:tblPrEx>
          <w:tblCellMar>
            <w:top w:w="0" w:type="dxa"/>
            <w:left w:w="0" w:type="dxa"/>
            <w:bottom w:w="0" w:type="dxa"/>
            <w:right w:w="0" w:type="dxa"/>
          </w:tblCellMar>
        </w:tblPrEx>
        <w:trPr>
          <w:trHeight w:val="1800" w:hRule="atLeast"/>
          <w:jc w:val="center"/>
        </w:trPr>
        <w:tc>
          <w:tcPr>
            <w:tcW w:w="662"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12</w:t>
            </w:r>
          </w:p>
        </w:tc>
        <w:tc>
          <w:tcPr>
            <w:tcW w:w="796" w:type="dxa"/>
            <w:vMerge w:val="continue"/>
            <w:tcBorders>
              <w:top w:val="nil"/>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1440"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医技报告调阅</w:t>
            </w:r>
          </w:p>
        </w:tc>
        <w:tc>
          <w:tcPr>
            <w:tcW w:w="5597" w:type="dxa"/>
            <w:tcBorders>
              <w:top w:val="nil"/>
              <w:left w:val="nil"/>
              <w:bottom w:val="single" w:color="000000" w:sz="4" w:space="0"/>
              <w:right w:val="single" w:color="000000" w:sz="4" w:space="0"/>
            </w:tcBorders>
            <w:shd w:val="clear" w:color="auto" w:fill="FFFFFF"/>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支持检查、心电、病理等项目的数据浏览查看；</w:t>
            </w:r>
            <w:r>
              <w:rPr>
                <w:rStyle w:val="13"/>
                <w:rFonts w:ascii="宋体" w:hAnsi="宋体"/>
                <w:color w:val="000000"/>
                <w:kern w:val="0"/>
                <w:sz w:val="24"/>
              </w:rPr>
              <w:br w:type="textWrapping" w:clear="all"/>
            </w:r>
            <w:r>
              <w:rPr>
                <w:rStyle w:val="13"/>
                <w:rFonts w:ascii="宋体" w:hAnsi="宋体"/>
                <w:color w:val="000000"/>
                <w:kern w:val="0"/>
                <w:sz w:val="24"/>
              </w:rPr>
              <w:t>检查项目查询：可以查看患者在院期间产生的所有检查项目，包括检查单号、检查所见、检查结论</w:t>
            </w:r>
            <w:r>
              <w:rPr>
                <w:rStyle w:val="13"/>
                <w:rFonts w:ascii="宋体" w:hAnsi="宋体"/>
                <w:color w:val="000000"/>
                <w:kern w:val="0"/>
                <w:sz w:val="24"/>
              </w:rPr>
              <w:br w:type="textWrapping" w:clear="all"/>
            </w:r>
            <w:r>
              <w:rPr>
                <w:rStyle w:val="13"/>
                <w:rFonts w:ascii="宋体" w:hAnsi="宋体"/>
                <w:color w:val="000000"/>
                <w:kern w:val="0"/>
                <w:sz w:val="24"/>
              </w:rPr>
              <w:t>影像查询：可以拖拽或者点击连续播放影像片子</w:t>
            </w:r>
            <w:r>
              <w:rPr>
                <w:rStyle w:val="13"/>
                <w:rFonts w:ascii="宋体" w:hAnsi="宋体"/>
                <w:color w:val="000000"/>
                <w:kern w:val="0"/>
                <w:sz w:val="24"/>
              </w:rPr>
              <w:br w:type="textWrapping" w:clear="all"/>
            </w:r>
            <w:r>
              <w:rPr>
                <w:rStyle w:val="13"/>
                <w:rFonts w:ascii="宋体" w:hAnsi="宋体"/>
                <w:color w:val="000000"/>
                <w:kern w:val="0"/>
                <w:sz w:val="24"/>
              </w:rPr>
              <w:t>检验项目查询：可以查看患者在院期间产生的所有检查项目</w:t>
            </w:r>
            <w:r>
              <w:rPr>
                <w:rStyle w:val="13"/>
                <w:rFonts w:ascii="宋体" w:hAnsi="宋体"/>
                <w:color w:val="000000"/>
                <w:kern w:val="0"/>
                <w:sz w:val="24"/>
              </w:rPr>
              <w:br w:type="textWrapping" w:clear="all"/>
            </w:r>
            <w:r>
              <w:rPr>
                <w:rStyle w:val="13"/>
                <w:rFonts w:ascii="宋体" w:hAnsi="宋体"/>
                <w:color w:val="000000"/>
                <w:kern w:val="0"/>
                <w:sz w:val="24"/>
              </w:rPr>
              <w:t>检验趋势图：按趋势图的方式展示检验指标变化情况</w:t>
            </w:r>
            <w:r>
              <w:rPr>
                <w:rStyle w:val="13"/>
                <w:rFonts w:ascii="宋体" w:hAnsi="宋体"/>
                <w:color w:val="000000"/>
                <w:kern w:val="0"/>
                <w:sz w:val="24"/>
              </w:rPr>
              <w:br w:type="textWrapping" w:clear="all"/>
            </w:r>
            <w:r>
              <w:rPr>
                <w:rStyle w:val="13"/>
                <w:rFonts w:ascii="宋体" w:hAnsi="宋体"/>
                <w:color w:val="000000"/>
                <w:kern w:val="0"/>
                <w:sz w:val="24"/>
              </w:rPr>
              <w:t>心电图查询：可查看患者时时心电报告和结论</w:t>
            </w:r>
            <w:r>
              <w:rPr>
                <w:rStyle w:val="13"/>
                <w:rFonts w:ascii="宋体" w:hAnsi="宋体"/>
                <w:color w:val="000000"/>
                <w:kern w:val="0"/>
                <w:sz w:val="24"/>
              </w:rPr>
              <w:br w:type="textWrapping" w:clear="all"/>
            </w:r>
            <w:r>
              <w:rPr>
                <w:rStyle w:val="13"/>
                <w:rFonts w:ascii="宋体" w:hAnsi="宋体"/>
                <w:color w:val="000000"/>
                <w:kern w:val="0"/>
                <w:sz w:val="24"/>
              </w:rPr>
              <w:t>病理结果查询：可查看患者临床诊断、病理诊断</w:t>
            </w:r>
          </w:p>
        </w:tc>
      </w:tr>
      <w:tr>
        <w:tblPrEx>
          <w:tblCellMar>
            <w:top w:w="0" w:type="dxa"/>
            <w:left w:w="0" w:type="dxa"/>
            <w:bottom w:w="0" w:type="dxa"/>
            <w:right w:w="0" w:type="dxa"/>
          </w:tblCellMar>
        </w:tblPrEx>
        <w:trPr>
          <w:trHeight w:val="900" w:hRule="atLeast"/>
          <w:jc w:val="center"/>
        </w:trPr>
        <w:tc>
          <w:tcPr>
            <w:tcW w:w="662"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13</w:t>
            </w:r>
          </w:p>
        </w:tc>
        <w:tc>
          <w:tcPr>
            <w:tcW w:w="796" w:type="dxa"/>
            <w:vMerge w:val="continue"/>
            <w:tcBorders>
              <w:top w:val="nil"/>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1440"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体征一览表/体温单查询</w:t>
            </w:r>
          </w:p>
        </w:tc>
        <w:tc>
          <w:tcPr>
            <w:tcW w:w="5597"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1、支持查看患者体征一览表查询，如：体温、脉搏、血压等体征项目，可对体征进行排序展示</w:t>
            </w:r>
            <w:r>
              <w:rPr>
                <w:rStyle w:val="13"/>
                <w:rFonts w:ascii="宋体" w:hAnsi="宋体"/>
                <w:color w:val="000000"/>
                <w:kern w:val="0"/>
                <w:sz w:val="24"/>
              </w:rPr>
              <w:br w:type="textWrapping" w:clear="all"/>
            </w:r>
            <w:r>
              <w:rPr>
                <w:rStyle w:val="13"/>
                <w:rFonts w:ascii="宋体" w:hAnsi="宋体"/>
                <w:color w:val="000000"/>
                <w:kern w:val="0"/>
                <w:sz w:val="24"/>
              </w:rPr>
              <w:t>2、支持查看患者体温单的趋势图：可按周查看患者体温单的趋势图</w:t>
            </w:r>
          </w:p>
        </w:tc>
      </w:tr>
      <w:tr>
        <w:tblPrEx>
          <w:tblCellMar>
            <w:top w:w="0" w:type="dxa"/>
            <w:left w:w="0" w:type="dxa"/>
            <w:bottom w:w="0" w:type="dxa"/>
            <w:right w:w="0" w:type="dxa"/>
          </w:tblCellMar>
        </w:tblPrEx>
        <w:trPr>
          <w:trHeight w:val="792" w:hRule="atLeast"/>
          <w:jc w:val="center"/>
        </w:trPr>
        <w:tc>
          <w:tcPr>
            <w:tcW w:w="662"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14</w:t>
            </w:r>
          </w:p>
        </w:tc>
        <w:tc>
          <w:tcPr>
            <w:tcW w:w="796" w:type="dxa"/>
            <w:vMerge w:val="continue"/>
            <w:tcBorders>
              <w:top w:val="nil"/>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1440"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历史病历</w:t>
            </w:r>
          </w:p>
        </w:tc>
        <w:tc>
          <w:tcPr>
            <w:tcW w:w="5597"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1、支持患者历史病历查询：支持根据住院号、姓名、诊断查询出院患者历史病历，二次以上住院患者系统自动显示上次历史病历（历史病历时间区间取决于历史库建立时间）</w:t>
            </w:r>
          </w:p>
        </w:tc>
      </w:tr>
      <w:tr>
        <w:tblPrEx>
          <w:tblCellMar>
            <w:top w:w="0" w:type="dxa"/>
            <w:left w:w="0" w:type="dxa"/>
            <w:bottom w:w="0" w:type="dxa"/>
            <w:right w:w="0" w:type="dxa"/>
          </w:tblCellMar>
        </w:tblPrEx>
        <w:trPr>
          <w:trHeight w:val="1380" w:hRule="atLeast"/>
          <w:jc w:val="center"/>
        </w:trPr>
        <w:tc>
          <w:tcPr>
            <w:tcW w:w="662"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15</w:t>
            </w:r>
          </w:p>
        </w:tc>
        <w:tc>
          <w:tcPr>
            <w:tcW w:w="796" w:type="dxa"/>
            <w:tcBorders>
              <w:top w:val="nil"/>
              <w:left w:val="nil"/>
              <w:bottom w:val="single" w:color="000000" w:sz="4" w:space="0"/>
              <w:right w:val="single" w:color="000000" w:sz="4" w:space="0"/>
            </w:tcBorders>
            <w:shd w:val="clear" w:color="auto" w:fill="FFFFFF"/>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智能查房</w:t>
            </w:r>
          </w:p>
        </w:tc>
        <w:tc>
          <w:tcPr>
            <w:tcW w:w="1440" w:type="dxa"/>
            <w:tcBorders>
              <w:top w:val="nil"/>
              <w:left w:val="nil"/>
              <w:bottom w:val="single" w:color="000000" w:sz="4" w:space="0"/>
              <w:right w:val="single" w:color="000000" w:sz="4" w:space="0"/>
            </w:tcBorders>
            <w:shd w:val="clear" w:color="auto" w:fill="FFFFFF"/>
            <w:vAlign w:val="center"/>
          </w:tcPr>
          <w:p>
            <w:pPr>
              <w:jc w:val="center"/>
              <w:textAlignment w:val="auto"/>
              <w:rPr>
                <w:rStyle w:val="13"/>
                <w:rFonts w:ascii="宋体" w:hAnsi="宋体"/>
                <w:color w:val="000000"/>
                <w:kern w:val="0"/>
                <w:sz w:val="24"/>
              </w:rPr>
            </w:pPr>
            <w:r>
              <w:rPr>
                <w:rStyle w:val="13"/>
                <w:rFonts w:ascii="宋体" w:hAnsi="宋体"/>
                <w:sz w:val="24"/>
              </w:rPr>
              <w:t>★</w:t>
            </w:r>
            <w:r>
              <w:rPr>
                <w:rStyle w:val="13"/>
                <w:rFonts w:ascii="宋体" w:hAnsi="宋体"/>
                <w:color w:val="000000"/>
                <w:kern w:val="0"/>
                <w:sz w:val="24"/>
              </w:rPr>
              <w:t>智能查房</w:t>
            </w:r>
          </w:p>
        </w:tc>
        <w:tc>
          <w:tcPr>
            <w:tcW w:w="5597" w:type="dxa"/>
            <w:tcBorders>
              <w:top w:val="nil"/>
              <w:left w:val="nil"/>
              <w:bottom w:val="single" w:color="000000" w:sz="4" w:space="0"/>
              <w:right w:val="single" w:color="000000" w:sz="4" w:space="0"/>
            </w:tcBorders>
            <w:shd w:val="clear" w:color="auto" w:fill="FFFFFF"/>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1、语音实时转写主任医师自然语言</w:t>
            </w:r>
            <w:r>
              <w:rPr>
                <w:rStyle w:val="13"/>
                <w:rFonts w:ascii="宋体" w:hAnsi="宋体"/>
                <w:color w:val="000000"/>
                <w:kern w:val="0"/>
                <w:sz w:val="24"/>
              </w:rPr>
              <w:br w:type="textWrapping" w:clear="all"/>
            </w:r>
            <w:r>
              <w:rPr>
                <w:rStyle w:val="13"/>
                <w:rFonts w:ascii="宋体" w:hAnsi="宋体"/>
                <w:color w:val="000000"/>
                <w:kern w:val="0"/>
                <w:sz w:val="24"/>
              </w:rPr>
              <w:t>2、支持查房记录录音音频字句双回听</w:t>
            </w:r>
            <w:r>
              <w:rPr>
                <w:rStyle w:val="13"/>
                <w:rFonts w:ascii="宋体" w:hAnsi="宋体"/>
                <w:color w:val="000000"/>
                <w:kern w:val="0"/>
                <w:sz w:val="24"/>
              </w:rPr>
              <w:br w:type="textWrapping" w:clear="all"/>
            </w:r>
            <w:r>
              <w:rPr>
                <w:rStyle w:val="13"/>
                <w:rFonts w:ascii="宋体" w:hAnsi="宋体"/>
                <w:color w:val="000000"/>
                <w:kern w:val="0"/>
                <w:sz w:val="24"/>
              </w:rPr>
              <w:t>3、支持查房记录分段编辑</w:t>
            </w:r>
            <w:r>
              <w:rPr>
                <w:rStyle w:val="13"/>
                <w:rFonts w:ascii="宋体" w:hAnsi="宋体"/>
                <w:color w:val="000000"/>
                <w:kern w:val="0"/>
                <w:sz w:val="24"/>
              </w:rPr>
              <w:br w:type="textWrapping" w:clear="all"/>
            </w:r>
            <w:r>
              <w:rPr>
                <w:rStyle w:val="13"/>
                <w:rFonts w:ascii="宋体" w:hAnsi="宋体"/>
                <w:color w:val="000000"/>
                <w:kern w:val="0"/>
                <w:sz w:val="24"/>
              </w:rPr>
              <w:t>4、支持查房记录一键引入病历</w:t>
            </w:r>
            <w:r>
              <w:rPr>
                <w:rStyle w:val="13"/>
                <w:rFonts w:ascii="宋体" w:hAnsi="宋体"/>
                <w:color w:val="000000"/>
                <w:kern w:val="0"/>
                <w:sz w:val="24"/>
              </w:rPr>
              <w:br w:type="textWrapping" w:clear="all"/>
            </w:r>
            <w:r>
              <w:rPr>
                <w:rStyle w:val="13"/>
                <w:rFonts w:ascii="宋体" w:hAnsi="宋体"/>
                <w:color w:val="000000"/>
                <w:kern w:val="0"/>
                <w:sz w:val="24"/>
              </w:rPr>
              <w:t>5、支持查房记录科室共享</w:t>
            </w:r>
          </w:p>
          <w:p>
            <w:pPr>
              <w:jc w:val="left"/>
              <w:textAlignment w:val="auto"/>
              <w:rPr>
                <w:rStyle w:val="13"/>
                <w:rFonts w:ascii="宋体" w:hAnsi="宋体"/>
                <w:color w:val="000000"/>
                <w:kern w:val="0"/>
                <w:sz w:val="24"/>
              </w:rPr>
            </w:pPr>
            <w:r>
              <w:rPr>
                <w:rStyle w:val="13"/>
                <w:rFonts w:ascii="宋体" w:hAnsi="宋体"/>
                <w:color w:val="000000"/>
                <w:kern w:val="0"/>
                <w:sz w:val="24"/>
              </w:rPr>
              <w:t>需要提供软件功能界面截图。</w:t>
            </w:r>
          </w:p>
        </w:tc>
      </w:tr>
      <w:tr>
        <w:tblPrEx>
          <w:tblCellMar>
            <w:top w:w="0" w:type="dxa"/>
            <w:left w:w="0" w:type="dxa"/>
            <w:bottom w:w="0" w:type="dxa"/>
            <w:right w:w="0" w:type="dxa"/>
          </w:tblCellMar>
        </w:tblPrEx>
        <w:trPr>
          <w:trHeight w:val="289" w:hRule="atLeast"/>
          <w:jc w:val="center"/>
        </w:trPr>
        <w:tc>
          <w:tcPr>
            <w:tcW w:w="662"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16</w:t>
            </w:r>
          </w:p>
        </w:tc>
        <w:tc>
          <w:tcPr>
            <w:tcW w:w="796" w:type="dxa"/>
            <w:vMerge w:val="restart"/>
            <w:tcBorders>
              <w:top w:val="nil"/>
              <w:left w:val="single" w:color="000000" w:sz="4" w:space="0"/>
              <w:bottom w:val="single" w:color="000000" w:sz="4" w:space="0"/>
              <w:right w:val="single" w:color="000000" w:sz="4" w:space="0"/>
            </w:tcBorders>
            <w:shd w:val="clear" w:color="auto" w:fill="FFFFFF"/>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语音病历</w:t>
            </w:r>
          </w:p>
        </w:tc>
        <w:tc>
          <w:tcPr>
            <w:tcW w:w="1440" w:type="dxa"/>
            <w:tcBorders>
              <w:top w:val="nil"/>
              <w:left w:val="nil"/>
              <w:bottom w:val="single" w:color="000000" w:sz="4" w:space="0"/>
              <w:right w:val="single" w:color="000000" w:sz="4" w:space="0"/>
            </w:tcBorders>
            <w:shd w:val="clear" w:color="auto" w:fill="FFFFFF"/>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语音识别</w:t>
            </w:r>
          </w:p>
        </w:tc>
        <w:tc>
          <w:tcPr>
            <w:tcW w:w="5597" w:type="dxa"/>
            <w:tcBorders>
              <w:top w:val="nil"/>
              <w:left w:val="nil"/>
              <w:bottom w:val="single" w:color="000000" w:sz="4" w:space="0"/>
              <w:right w:val="single" w:color="000000" w:sz="4" w:space="0"/>
            </w:tcBorders>
            <w:shd w:val="clear" w:color="auto" w:fill="FFFFFF"/>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1、支持语音书写日常查房病程记录，识别率97%以上</w:t>
            </w:r>
          </w:p>
        </w:tc>
      </w:tr>
      <w:tr>
        <w:tblPrEx>
          <w:tblCellMar>
            <w:top w:w="0" w:type="dxa"/>
            <w:left w:w="0" w:type="dxa"/>
            <w:bottom w:w="0" w:type="dxa"/>
            <w:right w:w="0" w:type="dxa"/>
          </w:tblCellMar>
        </w:tblPrEx>
        <w:trPr>
          <w:trHeight w:val="1032" w:hRule="atLeast"/>
          <w:jc w:val="center"/>
        </w:trPr>
        <w:tc>
          <w:tcPr>
            <w:tcW w:w="662"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17</w:t>
            </w:r>
          </w:p>
        </w:tc>
        <w:tc>
          <w:tcPr>
            <w:tcW w:w="796" w:type="dxa"/>
            <w:vMerge w:val="continue"/>
            <w:tcBorders>
              <w:top w:val="nil"/>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1440" w:type="dxa"/>
            <w:tcBorders>
              <w:top w:val="nil"/>
              <w:left w:val="nil"/>
              <w:bottom w:val="single" w:color="000000" w:sz="4" w:space="0"/>
              <w:right w:val="single" w:color="000000" w:sz="4" w:space="0"/>
            </w:tcBorders>
            <w:shd w:val="clear" w:color="auto" w:fill="FFFFFF"/>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模板引用</w:t>
            </w:r>
          </w:p>
        </w:tc>
        <w:tc>
          <w:tcPr>
            <w:tcW w:w="5597" w:type="dxa"/>
            <w:tcBorders>
              <w:top w:val="nil"/>
              <w:left w:val="nil"/>
              <w:bottom w:val="single" w:color="000000" w:sz="4" w:space="0"/>
              <w:right w:val="single" w:color="000000" w:sz="4" w:space="0"/>
            </w:tcBorders>
            <w:shd w:val="clear" w:color="auto" w:fill="FFFFFF"/>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2、支持病历引用：可以引用写回病历文本内容，通过长按拆分选词，引用其中部分内容</w:t>
            </w:r>
            <w:r>
              <w:rPr>
                <w:rStyle w:val="13"/>
                <w:rFonts w:ascii="宋体" w:hAnsi="宋体"/>
                <w:color w:val="000000"/>
                <w:kern w:val="0"/>
                <w:sz w:val="24"/>
              </w:rPr>
              <w:br w:type="textWrapping" w:clear="all"/>
            </w:r>
            <w:r>
              <w:rPr>
                <w:rStyle w:val="13"/>
                <w:rFonts w:ascii="宋体" w:hAnsi="宋体"/>
                <w:color w:val="000000"/>
                <w:kern w:val="0"/>
                <w:sz w:val="24"/>
              </w:rPr>
              <w:t xml:space="preserve">   检查检验引用：可以引用写回检查检验结果内容</w:t>
            </w:r>
            <w:r>
              <w:rPr>
                <w:rStyle w:val="13"/>
                <w:rFonts w:ascii="宋体" w:hAnsi="宋体"/>
                <w:color w:val="000000"/>
                <w:kern w:val="0"/>
                <w:sz w:val="24"/>
              </w:rPr>
              <w:br w:type="textWrapping" w:clear="all"/>
            </w:r>
            <w:r>
              <w:rPr>
                <w:rStyle w:val="13"/>
                <w:rFonts w:ascii="宋体" w:hAnsi="宋体"/>
                <w:color w:val="000000"/>
                <w:kern w:val="0"/>
                <w:sz w:val="24"/>
              </w:rPr>
              <w:t xml:space="preserve">   模板导入：可以导入自定义维护的模板</w:t>
            </w:r>
          </w:p>
        </w:tc>
      </w:tr>
      <w:tr>
        <w:tblPrEx>
          <w:tblCellMar>
            <w:top w:w="0" w:type="dxa"/>
            <w:left w:w="0" w:type="dxa"/>
            <w:bottom w:w="0" w:type="dxa"/>
            <w:right w:w="0" w:type="dxa"/>
          </w:tblCellMar>
        </w:tblPrEx>
        <w:trPr>
          <w:trHeight w:val="338" w:hRule="atLeast"/>
          <w:jc w:val="center"/>
        </w:trPr>
        <w:tc>
          <w:tcPr>
            <w:tcW w:w="662"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18</w:t>
            </w:r>
          </w:p>
        </w:tc>
        <w:tc>
          <w:tcPr>
            <w:tcW w:w="796" w:type="dxa"/>
            <w:vMerge w:val="continue"/>
            <w:tcBorders>
              <w:top w:val="nil"/>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1440" w:type="dxa"/>
            <w:tcBorders>
              <w:top w:val="nil"/>
              <w:left w:val="nil"/>
              <w:bottom w:val="single" w:color="000000" w:sz="4" w:space="0"/>
              <w:right w:val="single" w:color="000000" w:sz="4" w:space="0"/>
            </w:tcBorders>
            <w:shd w:val="clear" w:color="auto" w:fill="FFFFFF"/>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上下协同</w:t>
            </w:r>
          </w:p>
        </w:tc>
        <w:tc>
          <w:tcPr>
            <w:tcW w:w="5597" w:type="dxa"/>
            <w:tcBorders>
              <w:top w:val="nil"/>
              <w:left w:val="nil"/>
              <w:bottom w:val="single" w:color="000000" w:sz="4" w:space="0"/>
              <w:right w:val="single" w:color="000000" w:sz="4" w:space="0"/>
            </w:tcBorders>
            <w:shd w:val="clear" w:color="auto" w:fill="FFFFFF"/>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3、支持上下协同，上级医生可进行查看和修改</w:t>
            </w:r>
          </w:p>
        </w:tc>
      </w:tr>
      <w:tr>
        <w:tblPrEx>
          <w:tblCellMar>
            <w:top w:w="0" w:type="dxa"/>
            <w:left w:w="0" w:type="dxa"/>
            <w:bottom w:w="0" w:type="dxa"/>
            <w:right w:w="0" w:type="dxa"/>
          </w:tblCellMar>
        </w:tblPrEx>
        <w:trPr>
          <w:trHeight w:val="852" w:hRule="atLeast"/>
          <w:jc w:val="center"/>
        </w:trPr>
        <w:tc>
          <w:tcPr>
            <w:tcW w:w="662"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19</w:t>
            </w:r>
          </w:p>
        </w:tc>
        <w:tc>
          <w:tcPr>
            <w:tcW w:w="796" w:type="dxa"/>
            <w:tcBorders>
              <w:top w:val="nil"/>
              <w:left w:val="nil"/>
              <w:bottom w:val="single" w:color="000000" w:sz="4" w:space="0"/>
              <w:right w:val="single" w:color="000000" w:sz="4" w:space="0"/>
            </w:tcBorders>
            <w:shd w:val="clear" w:color="auto" w:fill="FFFFFF"/>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全能智能语音助手</w:t>
            </w:r>
          </w:p>
        </w:tc>
        <w:tc>
          <w:tcPr>
            <w:tcW w:w="1440" w:type="dxa"/>
            <w:tcBorders>
              <w:top w:val="nil"/>
              <w:left w:val="nil"/>
              <w:bottom w:val="single" w:color="000000" w:sz="4" w:space="0"/>
              <w:right w:val="single" w:color="000000" w:sz="4" w:space="0"/>
            </w:tcBorders>
            <w:shd w:val="clear" w:color="auto" w:fill="FFFFFF"/>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语音助手</w:t>
            </w:r>
          </w:p>
        </w:tc>
        <w:tc>
          <w:tcPr>
            <w:tcW w:w="5597" w:type="dxa"/>
            <w:tcBorders>
              <w:top w:val="nil"/>
              <w:left w:val="nil"/>
              <w:bottom w:val="single" w:color="000000" w:sz="4" w:space="0"/>
              <w:right w:val="single" w:color="000000" w:sz="4" w:space="0"/>
            </w:tcBorders>
            <w:shd w:val="clear" w:color="auto" w:fill="FFFFFF"/>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支持查询、统计、提醒、日常问答四类语音服务（可进行药品、疾病指南查询，语音导航、患者统计服务）；</w:t>
            </w:r>
            <w:r>
              <w:rPr>
                <w:rStyle w:val="13"/>
                <w:rFonts w:ascii="宋体" w:hAnsi="宋体"/>
                <w:color w:val="000000"/>
                <w:kern w:val="0"/>
                <w:sz w:val="24"/>
              </w:rPr>
              <w:br w:type="textWrapping" w:clear="all"/>
            </w:r>
            <w:r>
              <w:rPr>
                <w:rStyle w:val="13"/>
                <w:rFonts w:ascii="宋体" w:hAnsi="宋体"/>
                <w:color w:val="000000"/>
                <w:kern w:val="0"/>
                <w:sz w:val="24"/>
              </w:rPr>
              <w:t>支持语音备忘查看和新建</w:t>
            </w:r>
          </w:p>
        </w:tc>
      </w:tr>
      <w:tr>
        <w:tblPrEx>
          <w:tblCellMar>
            <w:top w:w="0" w:type="dxa"/>
            <w:left w:w="0" w:type="dxa"/>
            <w:bottom w:w="0" w:type="dxa"/>
            <w:right w:w="0" w:type="dxa"/>
          </w:tblCellMar>
        </w:tblPrEx>
        <w:trPr>
          <w:trHeight w:val="469" w:hRule="atLeast"/>
          <w:jc w:val="center"/>
        </w:trPr>
        <w:tc>
          <w:tcPr>
            <w:tcW w:w="662"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20</w:t>
            </w:r>
          </w:p>
        </w:tc>
        <w:tc>
          <w:tcPr>
            <w:tcW w:w="796" w:type="dxa"/>
            <w:tcBorders>
              <w:top w:val="nil"/>
              <w:left w:val="nil"/>
              <w:bottom w:val="single" w:color="000000" w:sz="4" w:space="0"/>
              <w:right w:val="single" w:color="000000" w:sz="4" w:space="0"/>
            </w:tcBorders>
            <w:shd w:val="clear" w:color="auto" w:fill="FFFFFF"/>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会诊单查询</w:t>
            </w:r>
          </w:p>
        </w:tc>
        <w:tc>
          <w:tcPr>
            <w:tcW w:w="1440" w:type="dxa"/>
            <w:tcBorders>
              <w:top w:val="nil"/>
              <w:left w:val="nil"/>
              <w:bottom w:val="single" w:color="000000" w:sz="4" w:space="0"/>
              <w:right w:val="single" w:color="000000" w:sz="4" w:space="0"/>
            </w:tcBorders>
            <w:shd w:val="clear" w:color="auto" w:fill="FFFFFF"/>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会诊单查询</w:t>
            </w:r>
          </w:p>
        </w:tc>
        <w:tc>
          <w:tcPr>
            <w:tcW w:w="5597" w:type="dxa"/>
            <w:tcBorders>
              <w:top w:val="nil"/>
              <w:left w:val="nil"/>
              <w:bottom w:val="single" w:color="000000" w:sz="4" w:space="0"/>
              <w:right w:val="single" w:color="000000" w:sz="4" w:space="0"/>
            </w:tcBorders>
            <w:shd w:val="clear" w:color="auto" w:fill="FFFFFF"/>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支持查看会诊患者病情、会诊目的会诊科室、会诊医生、患者公开资料</w:t>
            </w:r>
          </w:p>
        </w:tc>
      </w:tr>
      <w:tr>
        <w:tblPrEx>
          <w:tblCellMar>
            <w:top w:w="0" w:type="dxa"/>
            <w:left w:w="0" w:type="dxa"/>
            <w:bottom w:w="0" w:type="dxa"/>
            <w:right w:w="0" w:type="dxa"/>
          </w:tblCellMar>
        </w:tblPrEx>
        <w:trPr>
          <w:trHeight w:val="285" w:hRule="atLeast"/>
          <w:jc w:val="center"/>
        </w:trPr>
        <w:tc>
          <w:tcPr>
            <w:tcW w:w="662"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21</w:t>
            </w:r>
          </w:p>
        </w:tc>
        <w:tc>
          <w:tcPr>
            <w:tcW w:w="796" w:type="dxa"/>
            <w:tcBorders>
              <w:top w:val="nil"/>
              <w:left w:val="nil"/>
              <w:bottom w:val="single" w:color="000000" w:sz="4" w:space="0"/>
              <w:right w:val="single" w:color="000000" w:sz="4" w:space="0"/>
            </w:tcBorders>
            <w:shd w:val="clear" w:color="auto" w:fill="FFFFFF"/>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医学检索</w:t>
            </w:r>
          </w:p>
        </w:tc>
        <w:tc>
          <w:tcPr>
            <w:tcW w:w="1440" w:type="dxa"/>
            <w:tcBorders>
              <w:top w:val="nil"/>
              <w:left w:val="nil"/>
              <w:bottom w:val="single" w:color="000000" w:sz="4" w:space="0"/>
              <w:right w:val="single" w:color="000000" w:sz="4" w:space="0"/>
            </w:tcBorders>
            <w:shd w:val="clear" w:color="auto" w:fill="FFFFFF"/>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医学检索</w:t>
            </w:r>
          </w:p>
        </w:tc>
        <w:tc>
          <w:tcPr>
            <w:tcW w:w="5597" w:type="dxa"/>
            <w:tcBorders>
              <w:top w:val="nil"/>
              <w:left w:val="nil"/>
              <w:bottom w:val="single" w:color="000000" w:sz="4" w:space="0"/>
              <w:right w:val="single" w:color="000000" w:sz="4" w:space="0"/>
            </w:tcBorders>
            <w:shd w:val="clear" w:color="auto" w:fill="FFFFFF"/>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支持医学检索功能，可查询海量药品、疾病字典、教科书指南资源</w:t>
            </w:r>
          </w:p>
        </w:tc>
      </w:tr>
      <w:tr>
        <w:tblPrEx>
          <w:tblCellMar>
            <w:top w:w="0" w:type="dxa"/>
            <w:left w:w="0" w:type="dxa"/>
            <w:bottom w:w="0" w:type="dxa"/>
            <w:right w:w="0" w:type="dxa"/>
          </w:tblCellMar>
        </w:tblPrEx>
        <w:trPr>
          <w:trHeight w:val="450" w:hRule="atLeast"/>
          <w:jc w:val="center"/>
        </w:trPr>
        <w:tc>
          <w:tcPr>
            <w:tcW w:w="662"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22</w:t>
            </w:r>
          </w:p>
        </w:tc>
        <w:tc>
          <w:tcPr>
            <w:tcW w:w="796"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临床指南库</w:t>
            </w:r>
          </w:p>
        </w:tc>
        <w:tc>
          <w:tcPr>
            <w:tcW w:w="1440"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临床知识库</w:t>
            </w:r>
          </w:p>
        </w:tc>
        <w:tc>
          <w:tcPr>
            <w:tcW w:w="5597"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临床指南库：</w:t>
            </w:r>
            <w:r>
              <w:rPr>
                <w:rStyle w:val="13"/>
                <w:rFonts w:ascii="宋体" w:hAnsi="宋体"/>
                <w:color w:val="000000"/>
                <w:kern w:val="0"/>
                <w:sz w:val="24"/>
              </w:rPr>
              <w:br w:type="textWrapping" w:clear="all"/>
            </w:r>
            <w:r>
              <w:rPr>
                <w:rStyle w:val="13"/>
                <w:rFonts w:ascii="宋体" w:hAnsi="宋体"/>
                <w:color w:val="000000"/>
                <w:kern w:val="0"/>
                <w:sz w:val="24"/>
              </w:rPr>
              <w:t>支持临床指南、询证文献、病例文献搜索、浏览、查询收藏</w:t>
            </w:r>
          </w:p>
        </w:tc>
      </w:tr>
      <w:tr>
        <w:tblPrEx>
          <w:tblCellMar>
            <w:top w:w="0" w:type="dxa"/>
            <w:left w:w="0" w:type="dxa"/>
            <w:bottom w:w="0" w:type="dxa"/>
            <w:right w:w="0" w:type="dxa"/>
          </w:tblCellMar>
        </w:tblPrEx>
        <w:trPr>
          <w:trHeight w:val="285" w:hRule="atLeast"/>
          <w:jc w:val="center"/>
        </w:trPr>
        <w:tc>
          <w:tcPr>
            <w:tcW w:w="662"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23</w:t>
            </w:r>
          </w:p>
        </w:tc>
        <w:tc>
          <w:tcPr>
            <w:tcW w:w="796" w:type="dxa"/>
            <w:vMerge w:val="restart"/>
            <w:tcBorders>
              <w:top w:val="nil"/>
              <w:left w:val="single" w:color="000000" w:sz="4" w:space="0"/>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收藏</w:t>
            </w:r>
          </w:p>
        </w:tc>
        <w:tc>
          <w:tcPr>
            <w:tcW w:w="1440"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病历收藏</w:t>
            </w:r>
          </w:p>
        </w:tc>
        <w:tc>
          <w:tcPr>
            <w:tcW w:w="5597"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病历收藏：支持收藏有价值的患者病历，便于医生收集科研素材</w:t>
            </w:r>
          </w:p>
        </w:tc>
      </w:tr>
      <w:tr>
        <w:tblPrEx>
          <w:tblCellMar>
            <w:top w:w="0" w:type="dxa"/>
            <w:left w:w="0" w:type="dxa"/>
            <w:bottom w:w="0" w:type="dxa"/>
            <w:right w:w="0" w:type="dxa"/>
          </w:tblCellMar>
        </w:tblPrEx>
        <w:trPr>
          <w:trHeight w:val="285" w:hRule="atLeast"/>
          <w:jc w:val="center"/>
        </w:trPr>
        <w:tc>
          <w:tcPr>
            <w:tcW w:w="662"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24</w:t>
            </w:r>
          </w:p>
        </w:tc>
        <w:tc>
          <w:tcPr>
            <w:tcW w:w="796" w:type="dxa"/>
            <w:vMerge w:val="continue"/>
            <w:tcBorders>
              <w:top w:val="nil"/>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1440"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图片收藏</w:t>
            </w:r>
          </w:p>
        </w:tc>
        <w:tc>
          <w:tcPr>
            <w:tcW w:w="5597"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支持收藏典型患者影像等</w:t>
            </w:r>
          </w:p>
        </w:tc>
      </w:tr>
      <w:tr>
        <w:tblPrEx>
          <w:tblCellMar>
            <w:top w:w="0" w:type="dxa"/>
            <w:left w:w="0" w:type="dxa"/>
            <w:bottom w:w="0" w:type="dxa"/>
            <w:right w:w="0" w:type="dxa"/>
          </w:tblCellMar>
        </w:tblPrEx>
        <w:trPr>
          <w:trHeight w:val="285" w:hRule="atLeast"/>
          <w:jc w:val="center"/>
        </w:trPr>
        <w:tc>
          <w:tcPr>
            <w:tcW w:w="662"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25</w:t>
            </w:r>
          </w:p>
        </w:tc>
        <w:tc>
          <w:tcPr>
            <w:tcW w:w="796" w:type="dxa"/>
            <w:vMerge w:val="continue"/>
            <w:tcBorders>
              <w:top w:val="nil"/>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1440"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指南收藏</w:t>
            </w:r>
          </w:p>
        </w:tc>
        <w:tc>
          <w:tcPr>
            <w:tcW w:w="5597"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支持收藏医学指南里的文章</w:t>
            </w:r>
          </w:p>
        </w:tc>
      </w:tr>
      <w:tr>
        <w:tblPrEx>
          <w:tblCellMar>
            <w:top w:w="0" w:type="dxa"/>
            <w:left w:w="0" w:type="dxa"/>
            <w:bottom w:w="0" w:type="dxa"/>
            <w:right w:w="0" w:type="dxa"/>
          </w:tblCellMar>
        </w:tblPrEx>
        <w:trPr>
          <w:trHeight w:val="285" w:hRule="atLeast"/>
          <w:jc w:val="center"/>
        </w:trPr>
        <w:tc>
          <w:tcPr>
            <w:tcW w:w="662"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26</w:t>
            </w:r>
          </w:p>
        </w:tc>
        <w:tc>
          <w:tcPr>
            <w:tcW w:w="796" w:type="dxa"/>
            <w:vMerge w:val="restart"/>
            <w:tcBorders>
              <w:top w:val="nil"/>
              <w:left w:val="single" w:color="000000" w:sz="4" w:space="0"/>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手术排班</w:t>
            </w:r>
          </w:p>
        </w:tc>
        <w:tc>
          <w:tcPr>
            <w:tcW w:w="1440"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手术排班查询</w:t>
            </w:r>
          </w:p>
        </w:tc>
        <w:tc>
          <w:tcPr>
            <w:tcW w:w="5597"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支持查看与用户相关的和科室相关手术时间、主刀医生、麻醉医生、手术患者信息等</w:t>
            </w:r>
          </w:p>
        </w:tc>
      </w:tr>
      <w:tr>
        <w:tblPrEx>
          <w:tblCellMar>
            <w:top w:w="0" w:type="dxa"/>
            <w:left w:w="0" w:type="dxa"/>
            <w:bottom w:w="0" w:type="dxa"/>
            <w:right w:w="0" w:type="dxa"/>
          </w:tblCellMar>
        </w:tblPrEx>
        <w:trPr>
          <w:trHeight w:val="285" w:hRule="atLeast"/>
          <w:jc w:val="center"/>
        </w:trPr>
        <w:tc>
          <w:tcPr>
            <w:tcW w:w="662"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27</w:t>
            </w:r>
          </w:p>
        </w:tc>
        <w:tc>
          <w:tcPr>
            <w:tcW w:w="796" w:type="dxa"/>
            <w:vMerge w:val="continue"/>
            <w:tcBorders>
              <w:top w:val="nil"/>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1440"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手术患者资料查询</w:t>
            </w:r>
          </w:p>
        </w:tc>
        <w:tc>
          <w:tcPr>
            <w:tcW w:w="5597"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支持手术患者资料提前预知，临床资料移动共享</w:t>
            </w:r>
          </w:p>
        </w:tc>
      </w:tr>
      <w:tr>
        <w:tblPrEx>
          <w:tblCellMar>
            <w:top w:w="0" w:type="dxa"/>
            <w:left w:w="0" w:type="dxa"/>
            <w:bottom w:w="0" w:type="dxa"/>
            <w:right w:w="0" w:type="dxa"/>
          </w:tblCellMar>
        </w:tblPrEx>
        <w:trPr>
          <w:trHeight w:val="285" w:hRule="atLeast"/>
          <w:jc w:val="center"/>
        </w:trPr>
        <w:tc>
          <w:tcPr>
            <w:tcW w:w="662"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28</w:t>
            </w:r>
          </w:p>
        </w:tc>
        <w:tc>
          <w:tcPr>
            <w:tcW w:w="796"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模板管理</w:t>
            </w:r>
          </w:p>
        </w:tc>
        <w:tc>
          <w:tcPr>
            <w:tcW w:w="1440"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病历模板</w:t>
            </w:r>
          </w:p>
        </w:tc>
        <w:tc>
          <w:tcPr>
            <w:tcW w:w="5597"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支持自定义新建、删除、引用、查询病历模板</w:t>
            </w:r>
          </w:p>
        </w:tc>
      </w:tr>
      <w:tr>
        <w:tblPrEx>
          <w:tblCellMar>
            <w:top w:w="0" w:type="dxa"/>
            <w:left w:w="0" w:type="dxa"/>
            <w:bottom w:w="0" w:type="dxa"/>
            <w:right w:w="0" w:type="dxa"/>
          </w:tblCellMar>
        </w:tblPrEx>
        <w:trPr>
          <w:trHeight w:val="285" w:hRule="atLeast"/>
          <w:jc w:val="center"/>
        </w:trPr>
        <w:tc>
          <w:tcPr>
            <w:tcW w:w="662"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29</w:t>
            </w:r>
          </w:p>
        </w:tc>
        <w:tc>
          <w:tcPr>
            <w:tcW w:w="796"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通讯录</w:t>
            </w:r>
          </w:p>
        </w:tc>
        <w:tc>
          <w:tcPr>
            <w:tcW w:w="1440"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通讯录</w:t>
            </w:r>
          </w:p>
        </w:tc>
        <w:tc>
          <w:tcPr>
            <w:tcW w:w="5597"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支持院级通讯录，查询科室医生电话</w:t>
            </w:r>
          </w:p>
        </w:tc>
      </w:tr>
      <w:tr>
        <w:tblPrEx>
          <w:tblCellMar>
            <w:top w:w="0" w:type="dxa"/>
            <w:left w:w="0" w:type="dxa"/>
            <w:bottom w:w="0" w:type="dxa"/>
            <w:right w:w="0" w:type="dxa"/>
          </w:tblCellMar>
        </w:tblPrEx>
        <w:trPr>
          <w:trHeight w:val="450" w:hRule="atLeast"/>
          <w:jc w:val="center"/>
        </w:trPr>
        <w:tc>
          <w:tcPr>
            <w:tcW w:w="662"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30</w:t>
            </w:r>
          </w:p>
        </w:tc>
        <w:tc>
          <w:tcPr>
            <w:tcW w:w="796" w:type="dxa"/>
            <w:vMerge w:val="restart"/>
            <w:tcBorders>
              <w:top w:val="nil"/>
              <w:left w:val="single" w:color="000000" w:sz="4" w:space="0"/>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消息推送</w:t>
            </w:r>
          </w:p>
        </w:tc>
        <w:tc>
          <w:tcPr>
            <w:tcW w:w="1440"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手术消息</w:t>
            </w:r>
          </w:p>
        </w:tc>
        <w:tc>
          <w:tcPr>
            <w:tcW w:w="5597"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手术消息推送：接收手术消息通知、查看新手术信息结果</w:t>
            </w:r>
          </w:p>
        </w:tc>
      </w:tr>
      <w:tr>
        <w:tblPrEx>
          <w:tblCellMar>
            <w:top w:w="0" w:type="dxa"/>
            <w:left w:w="0" w:type="dxa"/>
            <w:bottom w:w="0" w:type="dxa"/>
            <w:right w:w="0" w:type="dxa"/>
          </w:tblCellMar>
        </w:tblPrEx>
        <w:trPr>
          <w:trHeight w:val="285" w:hRule="atLeast"/>
          <w:jc w:val="center"/>
        </w:trPr>
        <w:tc>
          <w:tcPr>
            <w:tcW w:w="662"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31</w:t>
            </w:r>
          </w:p>
        </w:tc>
        <w:tc>
          <w:tcPr>
            <w:tcW w:w="796" w:type="dxa"/>
            <w:vMerge w:val="continue"/>
            <w:tcBorders>
              <w:top w:val="nil"/>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1440"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危急值</w:t>
            </w:r>
          </w:p>
        </w:tc>
        <w:tc>
          <w:tcPr>
            <w:tcW w:w="5597"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接收患者危急值通知、查看患者危急值结果</w:t>
            </w:r>
          </w:p>
        </w:tc>
      </w:tr>
      <w:tr>
        <w:tblPrEx>
          <w:tblCellMar>
            <w:top w:w="0" w:type="dxa"/>
            <w:left w:w="0" w:type="dxa"/>
            <w:bottom w:w="0" w:type="dxa"/>
            <w:right w:w="0" w:type="dxa"/>
          </w:tblCellMar>
        </w:tblPrEx>
        <w:trPr>
          <w:trHeight w:val="285" w:hRule="atLeast"/>
          <w:jc w:val="center"/>
        </w:trPr>
        <w:tc>
          <w:tcPr>
            <w:tcW w:w="662"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32</w:t>
            </w:r>
          </w:p>
        </w:tc>
        <w:tc>
          <w:tcPr>
            <w:tcW w:w="796" w:type="dxa"/>
            <w:vMerge w:val="continue"/>
            <w:tcBorders>
              <w:top w:val="nil"/>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1440"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会诊消息</w:t>
            </w:r>
          </w:p>
        </w:tc>
        <w:tc>
          <w:tcPr>
            <w:tcW w:w="5597"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会诊消息推送：接收会诊通知、查看新会诊</w:t>
            </w:r>
          </w:p>
        </w:tc>
      </w:tr>
      <w:tr>
        <w:tblPrEx>
          <w:tblCellMar>
            <w:top w:w="0" w:type="dxa"/>
            <w:left w:w="0" w:type="dxa"/>
            <w:bottom w:w="0" w:type="dxa"/>
            <w:right w:w="0" w:type="dxa"/>
          </w:tblCellMar>
        </w:tblPrEx>
        <w:trPr>
          <w:trHeight w:val="285" w:hRule="atLeast"/>
          <w:jc w:val="center"/>
        </w:trPr>
        <w:tc>
          <w:tcPr>
            <w:tcW w:w="662"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33</w:t>
            </w:r>
          </w:p>
        </w:tc>
        <w:tc>
          <w:tcPr>
            <w:tcW w:w="796" w:type="dxa"/>
            <w:vMerge w:val="continue"/>
            <w:tcBorders>
              <w:top w:val="nil"/>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1440"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备忘通知</w:t>
            </w:r>
          </w:p>
        </w:tc>
        <w:tc>
          <w:tcPr>
            <w:tcW w:w="5597"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备忘通知：支持备忘提醒</w:t>
            </w:r>
          </w:p>
        </w:tc>
      </w:tr>
      <w:tr>
        <w:tblPrEx>
          <w:tblCellMar>
            <w:top w:w="0" w:type="dxa"/>
            <w:left w:w="0" w:type="dxa"/>
            <w:bottom w:w="0" w:type="dxa"/>
            <w:right w:w="0" w:type="dxa"/>
          </w:tblCellMar>
        </w:tblPrEx>
        <w:trPr>
          <w:trHeight w:val="349" w:hRule="atLeast"/>
          <w:jc w:val="center"/>
        </w:trPr>
        <w:tc>
          <w:tcPr>
            <w:tcW w:w="662"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34</w:t>
            </w:r>
          </w:p>
        </w:tc>
        <w:tc>
          <w:tcPr>
            <w:tcW w:w="796" w:type="dxa"/>
            <w:vMerge w:val="continue"/>
            <w:tcBorders>
              <w:top w:val="nil"/>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1440"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院内通知</w:t>
            </w:r>
          </w:p>
        </w:tc>
        <w:tc>
          <w:tcPr>
            <w:tcW w:w="5597"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br w:type="textWrapping" w:clear="all"/>
            </w:r>
            <w:r>
              <w:rPr>
                <w:rStyle w:val="13"/>
                <w:rFonts w:ascii="宋体" w:hAnsi="宋体"/>
                <w:color w:val="000000"/>
                <w:kern w:val="0"/>
                <w:sz w:val="24"/>
              </w:rPr>
              <w:t>院内通知：接收院内OA通知</w:t>
            </w:r>
          </w:p>
        </w:tc>
      </w:tr>
      <w:tr>
        <w:tblPrEx>
          <w:tblCellMar>
            <w:top w:w="0" w:type="dxa"/>
            <w:left w:w="0" w:type="dxa"/>
            <w:bottom w:w="0" w:type="dxa"/>
            <w:right w:w="0" w:type="dxa"/>
          </w:tblCellMar>
        </w:tblPrEx>
        <w:trPr>
          <w:trHeight w:val="349" w:hRule="atLeast"/>
          <w:jc w:val="center"/>
        </w:trPr>
        <w:tc>
          <w:tcPr>
            <w:tcW w:w="662"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35</w:t>
            </w:r>
          </w:p>
        </w:tc>
        <w:tc>
          <w:tcPr>
            <w:tcW w:w="796" w:type="dxa"/>
            <w:vMerge w:val="restart"/>
            <w:tcBorders>
              <w:top w:val="nil"/>
              <w:left w:val="single" w:color="000000" w:sz="4" w:space="0"/>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系统配置</w:t>
            </w:r>
          </w:p>
        </w:tc>
        <w:tc>
          <w:tcPr>
            <w:tcW w:w="1440"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权限配置</w:t>
            </w:r>
          </w:p>
        </w:tc>
        <w:tc>
          <w:tcPr>
            <w:tcW w:w="5597"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支持按照模块给用户设置不同权限和角色（只读，写入）</w:t>
            </w:r>
          </w:p>
        </w:tc>
      </w:tr>
      <w:tr>
        <w:tblPrEx>
          <w:tblCellMar>
            <w:top w:w="0" w:type="dxa"/>
            <w:left w:w="0" w:type="dxa"/>
            <w:bottom w:w="0" w:type="dxa"/>
            <w:right w:w="0" w:type="dxa"/>
          </w:tblCellMar>
        </w:tblPrEx>
        <w:trPr>
          <w:trHeight w:val="349" w:hRule="atLeast"/>
          <w:jc w:val="center"/>
        </w:trPr>
        <w:tc>
          <w:tcPr>
            <w:tcW w:w="662"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36</w:t>
            </w:r>
          </w:p>
        </w:tc>
        <w:tc>
          <w:tcPr>
            <w:tcW w:w="796" w:type="dxa"/>
            <w:vMerge w:val="continue"/>
            <w:tcBorders>
              <w:top w:val="nil"/>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1440"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模块配置</w:t>
            </w:r>
          </w:p>
        </w:tc>
        <w:tc>
          <w:tcPr>
            <w:tcW w:w="5597"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支持接入第三方应用模块，可以进行自定义配置</w:t>
            </w:r>
          </w:p>
        </w:tc>
      </w:tr>
      <w:tr>
        <w:tblPrEx>
          <w:tblCellMar>
            <w:top w:w="0" w:type="dxa"/>
            <w:left w:w="0" w:type="dxa"/>
            <w:bottom w:w="0" w:type="dxa"/>
            <w:right w:w="0" w:type="dxa"/>
          </w:tblCellMar>
        </w:tblPrEx>
        <w:trPr>
          <w:trHeight w:val="675" w:hRule="atLeast"/>
          <w:jc w:val="center"/>
        </w:trPr>
        <w:tc>
          <w:tcPr>
            <w:tcW w:w="662"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37</w:t>
            </w:r>
          </w:p>
        </w:tc>
        <w:tc>
          <w:tcPr>
            <w:tcW w:w="796"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统计分析平台</w:t>
            </w:r>
          </w:p>
        </w:tc>
        <w:tc>
          <w:tcPr>
            <w:tcW w:w="1440"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统计分析平台</w:t>
            </w:r>
          </w:p>
        </w:tc>
        <w:tc>
          <w:tcPr>
            <w:tcW w:w="5597"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统计分析平台支持对医院提供（苹果、安卓）两端用户使用数据查询。</w:t>
            </w:r>
            <w:r>
              <w:rPr>
                <w:rStyle w:val="13"/>
                <w:rFonts w:ascii="宋体" w:hAnsi="宋体"/>
                <w:color w:val="000000"/>
                <w:kern w:val="0"/>
                <w:sz w:val="24"/>
              </w:rPr>
              <w:br w:type="textWrapping" w:clear="all"/>
            </w:r>
            <w:r>
              <w:rPr>
                <w:rStyle w:val="13"/>
                <w:rFonts w:ascii="宋体" w:hAnsi="宋体"/>
                <w:color w:val="000000"/>
                <w:kern w:val="0"/>
                <w:sz w:val="24"/>
              </w:rPr>
              <w:t>实时统计当天APP启动人数、启动次数、启动时间分布、语音使用情况等，查看禁用人数等，方便医院对使用用户进行监管</w:t>
            </w:r>
          </w:p>
        </w:tc>
      </w:tr>
      <w:tr>
        <w:tblPrEx>
          <w:tblCellMar>
            <w:top w:w="0" w:type="dxa"/>
            <w:left w:w="0" w:type="dxa"/>
            <w:bottom w:w="0" w:type="dxa"/>
            <w:right w:w="0" w:type="dxa"/>
          </w:tblCellMar>
        </w:tblPrEx>
        <w:trPr>
          <w:trHeight w:val="660" w:hRule="atLeast"/>
          <w:jc w:val="center"/>
        </w:trPr>
        <w:tc>
          <w:tcPr>
            <w:tcW w:w="662"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38</w:t>
            </w:r>
          </w:p>
        </w:tc>
        <w:tc>
          <w:tcPr>
            <w:tcW w:w="796"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用户管理平台</w:t>
            </w:r>
          </w:p>
        </w:tc>
        <w:tc>
          <w:tcPr>
            <w:tcW w:w="1440"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用户管理平台</w:t>
            </w:r>
          </w:p>
        </w:tc>
        <w:tc>
          <w:tcPr>
            <w:tcW w:w="5597"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用户管理平台支持新增用户账号、修改用户账号、删除用户、配置用户登录科室、启用禁用使用权限等，方便医院对用户账号进行管理</w:t>
            </w:r>
          </w:p>
        </w:tc>
      </w:tr>
    </w:tbl>
    <w:p>
      <w:pPr>
        <w:pStyle w:val="21"/>
        <w:spacing w:line="360" w:lineRule="auto"/>
        <w:textAlignment w:val="auto"/>
        <w:rPr>
          <w:rStyle w:val="13"/>
          <w:rFonts w:cs="宋体"/>
          <w:b/>
          <w:sz w:val="24"/>
          <w:szCs w:val="24"/>
        </w:rPr>
      </w:pPr>
      <w:r>
        <w:rPr>
          <w:rStyle w:val="13"/>
          <w:rFonts w:cs="宋体"/>
          <w:b/>
          <w:sz w:val="24"/>
          <w:szCs w:val="24"/>
        </w:rPr>
        <w:t>AI移动护理工作站系统</w:t>
      </w:r>
    </w:p>
    <w:p>
      <w:pPr>
        <w:pStyle w:val="22"/>
        <w:numPr>
          <w:ilvl w:val="4"/>
          <w:numId w:val="0"/>
        </w:numPr>
        <w:spacing w:before="0" w:after="0" w:line="360" w:lineRule="auto"/>
        <w:ind w:left="1560"/>
        <w:textAlignment w:val="auto"/>
        <w:rPr>
          <w:rStyle w:val="13"/>
          <w:rFonts w:ascii="宋体" w:hAnsi="宋体" w:cs="宋体"/>
          <w:bCs/>
          <w:sz w:val="24"/>
          <w:szCs w:val="24"/>
        </w:rPr>
      </w:pPr>
      <w:r>
        <w:rPr>
          <w:rStyle w:val="13"/>
          <w:rFonts w:hint="eastAsia" w:ascii="宋体" w:hAnsi="宋体" w:cs="宋体"/>
          <w:bCs/>
          <w:sz w:val="24"/>
          <w:szCs w:val="24"/>
        </w:rPr>
        <w:t>1.</w:t>
      </w:r>
      <w:r>
        <w:rPr>
          <w:rStyle w:val="13"/>
          <w:rFonts w:ascii="宋体" w:hAnsi="宋体" w:cs="宋体"/>
          <w:bCs/>
          <w:sz w:val="24"/>
          <w:szCs w:val="24"/>
        </w:rPr>
        <w:t>产品要求</w:t>
      </w:r>
    </w:p>
    <w:p>
      <w:pPr>
        <w:spacing w:line="360" w:lineRule="auto"/>
        <w:ind w:firstLine="560"/>
        <w:textAlignment w:val="auto"/>
        <w:rPr>
          <w:rStyle w:val="13"/>
          <w:rFonts w:ascii="宋体" w:hAnsi="宋体"/>
          <w:sz w:val="24"/>
        </w:rPr>
      </w:pPr>
      <w:r>
        <w:rPr>
          <w:rStyle w:val="13"/>
          <w:rFonts w:ascii="宋体" w:hAnsi="宋体"/>
          <w:sz w:val="24"/>
        </w:rPr>
        <w:t>移动护理工作站是基于条码识别技术与智能语音识别技术的移动护理系统，实现临床护理工作实时化，移动化。依托物联网条码识别技术，实现患者身份自动识别、医嘱执行标本采集等场景下的自动核对，医嘱变更提醒，形成医嘱全闭环追踪管理；结合智能语音技术，实现生命体征的实时采集与录入，提高护士临床工作效率，优化医院护理工作流程，减少医院医疗差错和事故。</w:t>
      </w:r>
    </w:p>
    <w:p>
      <w:pPr>
        <w:pStyle w:val="22"/>
        <w:numPr>
          <w:ilvl w:val="4"/>
          <w:numId w:val="0"/>
        </w:numPr>
        <w:spacing w:before="0" w:after="0" w:line="360" w:lineRule="auto"/>
        <w:ind w:left="1560"/>
        <w:textAlignment w:val="auto"/>
        <w:rPr>
          <w:rStyle w:val="13"/>
          <w:rFonts w:ascii="宋体" w:hAnsi="宋体" w:cs="宋体"/>
          <w:bCs/>
          <w:sz w:val="24"/>
          <w:szCs w:val="24"/>
        </w:rPr>
      </w:pPr>
      <w:r>
        <w:rPr>
          <w:rStyle w:val="13"/>
          <w:rFonts w:hint="eastAsia" w:ascii="宋体" w:hAnsi="宋体" w:cs="宋体"/>
          <w:bCs/>
          <w:sz w:val="24"/>
          <w:szCs w:val="24"/>
        </w:rPr>
        <w:t>1.1</w:t>
      </w:r>
      <w:r>
        <w:rPr>
          <w:rStyle w:val="13"/>
          <w:rFonts w:ascii="宋体" w:hAnsi="宋体" w:cs="宋体"/>
          <w:bCs/>
          <w:sz w:val="24"/>
          <w:szCs w:val="24"/>
        </w:rPr>
        <w:t>技术参数</w:t>
      </w:r>
    </w:p>
    <w:p>
      <w:pPr>
        <w:pStyle w:val="3"/>
        <w:spacing w:line="360" w:lineRule="auto"/>
        <w:textAlignment w:val="auto"/>
        <w:rPr>
          <w:rStyle w:val="13"/>
          <w:rFonts w:ascii="宋体" w:hAnsi="宋体" w:eastAsia="宋体"/>
          <w:sz w:val="24"/>
          <w:szCs w:val="24"/>
        </w:rPr>
      </w:pPr>
      <w:r>
        <w:rPr>
          <w:rStyle w:val="13"/>
          <w:rFonts w:ascii="宋体" w:hAnsi="宋体" w:eastAsia="宋体"/>
          <w:sz w:val="24"/>
          <w:szCs w:val="24"/>
        </w:rPr>
        <w:t>表格 6 AI移动护理工作站系统技术参数一览表</w:t>
      </w:r>
    </w:p>
    <w:tbl>
      <w:tblPr>
        <w:tblStyle w:val="10"/>
        <w:tblW w:w="8495" w:type="dxa"/>
        <w:tblInd w:w="-108" w:type="dxa"/>
        <w:tblLayout w:type="autofit"/>
        <w:tblCellMar>
          <w:top w:w="0" w:type="dxa"/>
          <w:left w:w="0" w:type="dxa"/>
          <w:bottom w:w="0" w:type="dxa"/>
          <w:right w:w="0" w:type="dxa"/>
        </w:tblCellMar>
      </w:tblPr>
      <w:tblGrid>
        <w:gridCol w:w="866"/>
        <w:gridCol w:w="1374"/>
        <w:gridCol w:w="1886"/>
        <w:gridCol w:w="4369"/>
      </w:tblGrid>
      <w:tr>
        <w:tblPrEx>
          <w:tblCellMar>
            <w:top w:w="0" w:type="dxa"/>
            <w:left w:w="0" w:type="dxa"/>
            <w:bottom w:w="0" w:type="dxa"/>
            <w:right w:w="0" w:type="dxa"/>
          </w:tblCellMar>
        </w:tblPrEx>
        <w:trPr>
          <w:tblHeader/>
        </w:trPr>
        <w:tc>
          <w:tcPr>
            <w:tcW w:w="866"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textAlignment w:val="auto"/>
              <w:rPr>
                <w:rStyle w:val="13"/>
                <w:rFonts w:ascii="宋体" w:hAnsi="宋体" w:cs="宋体"/>
                <w:bCs/>
                <w:color w:val="000000"/>
                <w:kern w:val="0"/>
                <w:sz w:val="24"/>
              </w:rPr>
            </w:pPr>
            <w:r>
              <w:rPr>
                <w:rStyle w:val="13"/>
                <w:rFonts w:ascii="宋体" w:hAnsi="宋体" w:cs="宋体"/>
                <w:bCs/>
                <w:color w:val="000000"/>
                <w:kern w:val="0"/>
                <w:sz w:val="24"/>
              </w:rPr>
              <w:t>序号</w:t>
            </w:r>
          </w:p>
        </w:tc>
        <w:tc>
          <w:tcPr>
            <w:tcW w:w="1374" w:type="dxa"/>
            <w:tcBorders>
              <w:top w:val="single" w:color="000000" w:sz="4" w:space="0"/>
              <w:left w:val="nil"/>
              <w:bottom w:val="single" w:color="000000" w:sz="4" w:space="0"/>
              <w:right w:val="single" w:color="000000" w:sz="4" w:space="0"/>
            </w:tcBorders>
            <w:shd w:val="clear" w:color="auto" w:fill="D9D9D9"/>
            <w:vAlign w:val="center"/>
          </w:tcPr>
          <w:p>
            <w:pPr>
              <w:jc w:val="center"/>
              <w:textAlignment w:val="auto"/>
              <w:rPr>
                <w:rStyle w:val="13"/>
                <w:rFonts w:ascii="宋体" w:hAnsi="宋体" w:cs="宋体"/>
                <w:bCs/>
                <w:color w:val="000000"/>
                <w:kern w:val="0"/>
                <w:sz w:val="24"/>
              </w:rPr>
            </w:pPr>
            <w:r>
              <w:rPr>
                <w:rStyle w:val="13"/>
                <w:rFonts w:ascii="宋体" w:hAnsi="宋体" w:cs="宋体"/>
                <w:bCs/>
                <w:color w:val="000000"/>
                <w:kern w:val="0"/>
                <w:sz w:val="24"/>
              </w:rPr>
              <w:t>模块</w:t>
            </w:r>
          </w:p>
        </w:tc>
        <w:tc>
          <w:tcPr>
            <w:tcW w:w="1886" w:type="dxa"/>
            <w:tcBorders>
              <w:top w:val="single" w:color="000000" w:sz="4" w:space="0"/>
              <w:left w:val="nil"/>
              <w:bottom w:val="single" w:color="000000" w:sz="4" w:space="0"/>
              <w:right w:val="single" w:color="000000" w:sz="4" w:space="0"/>
            </w:tcBorders>
            <w:shd w:val="clear" w:color="auto" w:fill="D9D9D9"/>
            <w:vAlign w:val="center"/>
          </w:tcPr>
          <w:p>
            <w:pPr>
              <w:jc w:val="center"/>
              <w:textAlignment w:val="auto"/>
              <w:rPr>
                <w:rStyle w:val="13"/>
                <w:rFonts w:ascii="宋体" w:hAnsi="宋体" w:cs="宋体"/>
                <w:bCs/>
                <w:color w:val="000000"/>
                <w:kern w:val="0"/>
                <w:sz w:val="24"/>
              </w:rPr>
            </w:pPr>
            <w:r>
              <w:rPr>
                <w:rStyle w:val="13"/>
                <w:rFonts w:ascii="宋体" w:hAnsi="宋体" w:cs="宋体"/>
                <w:bCs/>
                <w:color w:val="000000"/>
                <w:kern w:val="0"/>
                <w:sz w:val="24"/>
              </w:rPr>
              <w:t>模块功能</w:t>
            </w:r>
          </w:p>
        </w:tc>
        <w:tc>
          <w:tcPr>
            <w:tcW w:w="4369" w:type="dxa"/>
            <w:tcBorders>
              <w:top w:val="single" w:color="000000" w:sz="4" w:space="0"/>
              <w:left w:val="nil"/>
              <w:bottom w:val="single" w:color="000000" w:sz="4" w:space="0"/>
              <w:right w:val="single" w:color="000000" w:sz="4" w:space="0"/>
            </w:tcBorders>
            <w:shd w:val="clear" w:color="auto" w:fill="D9D9D9"/>
            <w:vAlign w:val="center"/>
          </w:tcPr>
          <w:p>
            <w:pPr>
              <w:jc w:val="center"/>
              <w:textAlignment w:val="auto"/>
              <w:rPr>
                <w:rStyle w:val="13"/>
                <w:rFonts w:ascii="宋体" w:hAnsi="宋体" w:cs="宋体"/>
                <w:bCs/>
                <w:color w:val="000000"/>
                <w:kern w:val="0"/>
                <w:sz w:val="24"/>
              </w:rPr>
            </w:pPr>
            <w:r>
              <w:rPr>
                <w:rStyle w:val="13"/>
                <w:rFonts w:ascii="宋体" w:hAnsi="宋体" w:cs="宋体"/>
                <w:bCs/>
                <w:color w:val="000000"/>
                <w:kern w:val="0"/>
                <w:sz w:val="24"/>
              </w:rPr>
              <w:t>技术参数说明</w:t>
            </w:r>
          </w:p>
        </w:tc>
      </w:tr>
      <w:tr>
        <w:tblPrEx>
          <w:tblCellMar>
            <w:top w:w="0" w:type="dxa"/>
            <w:left w:w="0" w:type="dxa"/>
            <w:bottom w:w="0" w:type="dxa"/>
            <w:right w:w="0" w:type="dxa"/>
          </w:tblCellMar>
        </w:tblPrEx>
        <w:tc>
          <w:tcPr>
            <w:tcW w:w="866"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1</w:t>
            </w:r>
          </w:p>
        </w:tc>
        <w:tc>
          <w:tcPr>
            <w:tcW w:w="1374" w:type="dxa"/>
            <w:vMerge w:val="restart"/>
            <w:tcBorders>
              <w:top w:val="nil"/>
              <w:left w:val="single" w:color="000000" w:sz="4" w:space="0"/>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登录登出</w:t>
            </w:r>
          </w:p>
        </w:tc>
        <w:tc>
          <w:tcPr>
            <w:tcW w:w="1886"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系统登录</w:t>
            </w:r>
          </w:p>
        </w:tc>
        <w:tc>
          <w:tcPr>
            <w:tcW w:w="4369"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支持账号、密码登录系统</w:t>
            </w:r>
          </w:p>
        </w:tc>
      </w:tr>
      <w:tr>
        <w:tblPrEx>
          <w:tblCellMar>
            <w:top w:w="0" w:type="dxa"/>
            <w:left w:w="0" w:type="dxa"/>
            <w:bottom w:w="0" w:type="dxa"/>
            <w:right w:w="0" w:type="dxa"/>
          </w:tblCellMar>
        </w:tblPrEx>
        <w:tc>
          <w:tcPr>
            <w:tcW w:w="866"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2</w:t>
            </w:r>
          </w:p>
        </w:tc>
        <w:tc>
          <w:tcPr>
            <w:tcW w:w="1374" w:type="dxa"/>
            <w:vMerge w:val="continue"/>
            <w:tcBorders>
              <w:top w:val="nil"/>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1886"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退出系统</w:t>
            </w:r>
          </w:p>
        </w:tc>
        <w:tc>
          <w:tcPr>
            <w:tcW w:w="4369"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退出系统</w:t>
            </w:r>
          </w:p>
        </w:tc>
      </w:tr>
      <w:tr>
        <w:tblPrEx>
          <w:tblCellMar>
            <w:top w:w="0" w:type="dxa"/>
            <w:left w:w="0" w:type="dxa"/>
            <w:bottom w:w="0" w:type="dxa"/>
            <w:right w:w="0" w:type="dxa"/>
          </w:tblCellMar>
        </w:tblPrEx>
        <w:tc>
          <w:tcPr>
            <w:tcW w:w="866"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3</w:t>
            </w:r>
          </w:p>
        </w:tc>
        <w:tc>
          <w:tcPr>
            <w:tcW w:w="1374" w:type="dxa"/>
            <w:vMerge w:val="restart"/>
            <w:tcBorders>
              <w:top w:val="nil"/>
              <w:left w:val="single" w:color="000000" w:sz="4" w:space="0"/>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病区床位卡</w:t>
            </w:r>
          </w:p>
        </w:tc>
        <w:tc>
          <w:tcPr>
            <w:tcW w:w="1886"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床位图</w:t>
            </w:r>
          </w:p>
        </w:tc>
        <w:tc>
          <w:tcPr>
            <w:tcW w:w="4369"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1、显示当前护士负责病区的病人列表信息，包括床号、姓名、以及护理等级、危重级别等标志</w:t>
            </w:r>
          </w:p>
        </w:tc>
      </w:tr>
      <w:tr>
        <w:tblPrEx>
          <w:tblCellMar>
            <w:top w:w="0" w:type="dxa"/>
            <w:left w:w="0" w:type="dxa"/>
            <w:bottom w:w="0" w:type="dxa"/>
            <w:right w:w="0" w:type="dxa"/>
          </w:tblCellMar>
        </w:tblPrEx>
        <w:tc>
          <w:tcPr>
            <w:tcW w:w="866"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4</w:t>
            </w:r>
          </w:p>
        </w:tc>
        <w:tc>
          <w:tcPr>
            <w:tcW w:w="1374" w:type="dxa"/>
            <w:vMerge w:val="continue"/>
            <w:tcBorders>
              <w:top w:val="nil"/>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1886"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病区统计</w:t>
            </w:r>
          </w:p>
        </w:tc>
        <w:tc>
          <w:tcPr>
            <w:tcW w:w="4369"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2、显示病区病人总人数统计信息</w:t>
            </w:r>
          </w:p>
        </w:tc>
      </w:tr>
      <w:tr>
        <w:tblPrEx>
          <w:tblCellMar>
            <w:top w:w="0" w:type="dxa"/>
            <w:left w:w="0" w:type="dxa"/>
            <w:bottom w:w="0" w:type="dxa"/>
            <w:right w:w="0" w:type="dxa"/>
          </w:tblCellMar>
        </w:tblPrEx>
        <w:tc>
          <w:tcPr>
            <w:tcW w:w="866"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5</w:t>
            </w:r>
          </w:p>
        </w:tc>
        <w:tc>
          <w:tcPr>
            <w:tcW w:w="1374" w:type="dxa"/>
            <w:vMerge w:val="continue"/>
            <w:tcBorders>
              <w:top w:val="nil"/>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1886"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分类统计</w:t>
            </w:r>
          </w:p>
        </w:tc>
        <w:tc>
          <w:tcPr>
            <w:tcW w:w="4369"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3、根据护理等级、危重等级、过敏、手术病人等不同类别维度统计显示床位号</w:t>
            </w:r>
          </w:p>
        </w:tc>
      </w:tr>
      <w:tr>
        <w:tblPrEx>
          <w:tblCellMar>
            <w:top w:w="0" w:type="dxa"/>
            <w:left w:w="0" w:type="dxa"/>
            <w:bottom w:w="0" w:type="dxa"/>
            <w:right w:w="0" w:type="dxa"/>
          </w:tblCellMar>
        </w:tblPrEx>
        <w:tc>
          <w:tcPr>
            <w:tcW w:w="866"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6</w:t>
            </w:r>
          </w:p>
        </w:tc>
        <w:tc>
          <w:tcPr>
            <w:tcW w:w="1374" w:type="dxa"/>
            <w:vMerge w:val="continue"/>
            <w:tcBorders>
              <w:top w:val="nil"/>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1886"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病区切换</w:t>
            </w:r>
          </w:p>
        </w:tc>
        <w:tc>
          <w:tcPr>
            <w:tcW w:w="4369"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切换登录病区，病区首字母滑动可自动定位</w:t>
            </w:r>
          </w:p>
        </w:tc>
      </w:tr>
      <w:tr>
        <w:tblPrEx>
          <w:tblCellMar>
            <w:top w:w="0" w:type="dxa"/>
            <w:left w:w="0" w:type="dxa"/>
            <w:bottom w:w="0" w:type="dxa"/>
            <w:right w:w="0" w:type="dxa"/>
          </w:tblCellMar>
        </w:tblPrEx>
        <w:tc>
          <w:tcPr>
            <w:tcW w:w="866"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7</w:t>
            </w:r>
          </w:p>
        </w:tc>
        <w:tc>
          <w:tcPr>
            <w:tcW w:w="1374" w:type="dxa"/>
            <w:vMerge w:val="restart"/>
            <w:tcBorders>
              <w:top w:val="nil"/>
              <w:left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患者360全景数据</w:t>
            </w:r>
          </w:p>
        </w:tc>
        <w:tc>
          <w:tcPr>
            <w:tcW w:w="1886" w:type="dxa"/>
            <w:tcBorders>
              <w:top w:val="nil"/>
              <w:left w:val="nil"/>
              <w:bottom w:val="single" w:color="000000" w:sz="4" w:space="0"/>
              <w:right w:val="single" w:color="000000" w:sz="4" w:space="0"/>
            </w:tcBorders>
            <w:shd w:val="clear" w:color="auto" w:fill="FFFFFF"/>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病情概要</w:t>
            </w:r>
          </w:p>
        </w:tc>
        <w:tc>
          <w:tcPr>
            <w:tcW w:w="4369" w:type="dxa"/>
            <w:tcBorders>
              <w:top w:val="nil"/>
              <w:left w:val="nil"/>
              <w:bottom w:val="single" w:color="000000" w:sz="4" w:space="0"/>
              <w:right w:val="single" w:color="000000" w:sz="4" w:space="0"/>
            </w:tcBorders>
            <w:shd w:val="clear" w:color="auto" w:fill="FFFFFF"/>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1、显示患者住院号，入院时间，天数，诊断，手术，手术天数，过敏史，血型，费用，医保类型；</w:t>
            </w:r>
          </w:p>
        </w:tc>
      </w:tr>
      <w:tr>
        <w:tblPrEx>
          <w:tblCellMar>
            <w:top w:w="0" w:type="dxa"/>
            <w:left w:w="0" w:type="dxa"/>
            <w:bottom w:w="0" w:type="dxa"/>
            <w:right w:w="0" w:type="dxa"/>
          </w:tblCellMar>
        </w:tblPrEx>
        <w:tc>
          <w:tcPr>
            <w:tcW w:w="866"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8</w:t>
            </w:r>
          </w:p>
        </w:tc>
        <w:tc>
          <w:tcPr>
            <w:tcW w:w="1374" w:type="dxa"/>
            <w:vMerge w:val="continue"/>
            <w:tcBorders>
              <w:left w:val="single" w:color="000000" w:sz="4" w:space="0"/>
              <w:right w:val="single" w:color="000000" w:sz="4" w:space="0"/>
            </w:tcBorders>
            <w:vAlign w:val="center"/>
          </w:tcPr>
          <w:p>
            <w:pPr>
              <w:jc w:val="center"/>
              <w:textAlignment w:val="auto"/>
              <w:rPr>
                <w:rStyle w:val="13"/>
                <w:rFonts w:ascii="宋体" w:hAnsi="宋体"/>
                <w:color w:val="000000"/>
                <w:kern w:val="0"/>
                <w:sz w:val="24"/>
              </w:rPr>
            </w:pPr>
          </w:p>
        </w:tc>
        <w:tc>
          <w:tcPr>
            <w:tcW w:w="1886" w:type="dxa"/>
            <w:tcBorders>
              <w:top w:val="nil"/>
              <w:left w:val="nil"/>
              <w:bottom w:val="single" w:color="000000" w:sz="4" w:space="0"/>
              <w:right w:val="single" w:color="000000" w:sz="4" w:space="0"/>
            </w:tcBorders>
            <w:shd w:val="clear" w:color="auto" w:fill="FFFFFF"/>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生命体征曲线</w:t>
            </w:r>
          </w:p>
        </w:tc>
        <w:tc>
          <w:tcPr>
            <w:tcW w:w="4369" w:type="dxa"/>
            <w:tcBorders>
              <w:top w:val="nil"/>
              <w:left w:val="nil"/>
              <w:bottom w:val="single" w:color="000000" w:sz="4" w:space="0"/>
              <w:right w:val="single" w:color="000000" w:sz="4" w:space="0"/>
            </w:tcBorders>
            <w:shd w:val="clear" w:color="auto" w:fill="FFFFFF"/>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br w:type="textWrapping" w:clear="all"/>
            </w:r>
            <w:r>
              <w:rPr>
                <w:rStyle w:val="13"/>
                <w:rFonts w:ascii="宋体" w:hAnsi="宋体"/>
                <w:color w:val="000000"/>
                <w:kern w:val="0"/>
                <w:sz w:val="24"/>
              </w:rPr>
              <w:t>2、患者生命三天内体征曲线（体温、呼吸、脉搏、血压）血糖、血氧饱和度、出入量、体重</w:t>
            </w:r>
          </w:p>
        </w:tc>
      </w:tr>
      <w:tr>
        <w:tblPrEx>
          <w:tblCellMar>
            <w:top w:w="0" w:type="dxa"/>
            <w:left w:w="0" w:type="dxa"/>
            <w:bottom w:w="0" w:type="dxa"/>
            <w:right w:w="0" w:type="dxa"/>
          </w:tblCellMar>
        </w:tblPrEx>
        <w:tc>
          <w:tcPr>
            <w:tcW w:w="866"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9</w:t>
            </w:r>
          </w:p>
        </w:tc>
        <w:tc>
          <w:tcPr>
            <w:tcW w:w="1374" w:type="dxa"/>
            <w:vMerge w:val="continue"/>
            <w:tcBorders>
              <w:left w:val="single" w:color="000000" w:sz="4" w:space="0"/>
              <w:right w:val="single" w:color="000000" w:sz="4" w:space="0"/>
            </w:tcBorders>
            <w:vAlign w:val="center"/>
          </w:tcPr>
          <w:p>
            <w:pPr>
              <w:jc w:val="center"/>
              <w:textAlignment w:val="auto"/>
              <w:rPr>
                <w:rStyle w:val="13"/>
                <w:rFonts w:ascii="宋体" w:hAnsi="宋体"/>
                <w:color w:val="000000"/>
                <w:kern w:val="0"/>
                <w:sz w:val="24"/>
              </w:rPr>
            </w:pPr>
          </w:p>
        </w:tc>
        <w:tc>
          <w:tcPr>
            <w:tcW w:w="1886" w:type="dxa"/>
            <w:tcBorders>
              <w:top w:val="nil"/>
              <w:left w:val="nil"/>
              <w:bottom w:val="single" w:color="000000" w:sz="4" w:space="0"/>
              <w:right w:val="single" w:color="000000" w:sz="4" w:space="0"/>
            </w:tcBorders>
            <w:shd w:val="clear" w:color="auto" w:fill="FFFFFF"/>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评估评分全景视图</w:t>
            </w:r>
          </w:p>
        </w:tc>
        <w:tc>
          <w:tcPr>
            <w:tcW w:w="4369" w:type="dxa"/>
            <w:tcBorders>
              <w:top w:val="nil"/>
              <w:left w:val="nil"/>
              <w:bottom w:val="single" w:color="000000" w:sz="4" w:space="0"/>
              <w:right w:val="single" w:color="000000" w:sz="4" w:space="0"/>
            </w:tcBorders>
            <w:shd w:val="clear" w:color="auto" w:fill="FFFFFF"/>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3、动态评估实时查询，跌倒、压疮、深静脉血栓、营养评估、自杀等风险预警标识</w:t>
            </w:r>
          </w:p>
        </w:tc>
      </w:tr>
      <w:tr>
        <w:tblPrEx>
          <w:tblCellMar>
            <w:top w:w="0" w:type="dxa"/>
            <w:left w:w="0" w:type="dxa"/>
            <w:bottom w:w="0" w:type="dxa"/>
            <w:right w:w="0" w:type="dxa"/>
          </w:tblCellMar>
        </w:tblPrEx>
        <w:tc>
          <w:tcPr>
            <w:tcW w:w="866"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10</w:t>
            </w:r>
          </w:p>
        </w:tc>
        <w:tc>
          <w:tcPr>
            <w:tcW w:w="1374" w:type="dxa"/>
            <w:vMerge w:val="continue"/>
            <w:tcBorders>
              <w:left w:val="single" w:color="000000" w:sz="4" w:space="0"/>
              <w:right w:val="single" w:color="000000" w:sz="4" w:space="0"/>
            </w:tcBorders>
            <w:vAlign w:val="center"/>
          </w:tcPr>
          <w:p>
            <w:pPr>
              <w:jc w:val="center"/>
              <w:textAlignment w:val="auto"/>
              <w:rPr>
                <w:rStyle w:val="13"/>
                <w:rFonts w:ascii="宋体" w:hAnsi="宋体"/>
                <w:color w:val="000000"/>
                <w:kern w:val="0"/>
                <w:sz w:val="24"/>
              </w:rPr>
            </w:pPr>
          </w:p>
        </w:tc>
        <w:tc>
          <w:tcPr>
            <w:tcW w:w="1886"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患者基本信息</w:t>
            </w:r>
          </w:p>
        </w:tc>
        <w:tc>
          <w:tcPr>
            <w:tcW w:w="4369"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床头卡：展示患者住院号、入院日期、术/产后天数、住院次数、护理等级</w:t>
            </w:r>
            <w:r>
              <w:rPr>
                <w:rStyle w:val="13"/>
                <w:rFonts w:ascii="宋体" w:hAnsi="宋体"/>
                <w:color w:val="000000"/>
                <w:kern w:val="0"/>
                <w:sz w:val="24"/>
              </w:rPr>
              <w:br w:type="textWrapping" w:clear="all"/>
            </w:r>
            <w:r>
              <w:rPr>
                <w:rStyle w:val="13"/>
                <w:rFonts w:ascii="宋体" w:hAnsi="宋体"/>
                <w:color w:val="000000"/>
                <w:kern w:val="0"/>
                <w:sz w:val="24"/>
              </w:rPr>
              <w:t>基础信息：展示患者身份证、家庭地址、联系电话等</w:t>
            </w:r>
            <w:r>
              <w:rPr>
                <w:rStyle w:val="13"/>
                <w:rFonts w:ascii="宋体" w:hAnsi="宋体"/>
                <w:color w:val="000000"/>
                <w:kern w:val="0"/>
                <w:sz w:val="24"/>
              </w:rPr>
              <w:br w:type="textWrapping" w:clear="all"/>
            </w:r>
            <w:r>
              <w:rPr>
                <w:rStyle w:val="13"/>
                <w:rFonts w:ascii="宋体" w:hAnsi="宋体"/>
                <w:color w:val="000000"/>
                <w:kern w:val="0"/>
                <w:sz w:val="24"/>
              </w:rPr>
              <w:t>费用信息：展示在院期间患者费用比例、预交费用、费用明细</w:t>
            </w:r>
            <w:r>
              <w:rPr>
                <w:rStyle w:val="13"/>
                <w:rFonts w:ascii="宋体" w:hAnsi="宋体"/>
                <w:color w:val="000000"/>
                <w:kern w:val="0"/>
                <w:sz w:val="24"/>
              </w:rPr>
              <w:br w:type="textWrapping" w:clear="all"/>
            </w:r>
            <w:r>
              <w:rPr>
                <w:rStyle w:val="13"/>
                <w:rFonts w:ascii="宋体" w:hAnsi="宋体"/>
                <w:color w:val="000000"/>
                <w:kern w:val="0"/>
                <w:sz w:val="24"/>
              </w:rPr>
              <w:t>诊断列表：以列表形式展示住院期间所有诊断记录，</w:t>
            </w:r>
            <w:r>
              <w:rPr>
                <w:rStyle w:val="13"/>
                <w:rFonts w:ascii="宋体" w:hAnsi="宋体"/>
                <w:color w:val="000000"/>
                <w:kern w:val="0"/>
                <w:sz w:val="24"/>
              </w:rPr>
              <w:br w:type="textWrapping" w:clear="all"/>
            </w:r>
            <w:r>
              <w:rPr>
                <w:rStyle w:val="13"/>
                <w:rFonts w:ascii="宋体" w:hAnsi="宋体"/>
                <w:color w:val="000000"/>
                <w:kern w:val="0"/>
                <w:sz w:val="24"/>
              </w:rPr>
              <w:t>患者切换：支持在患者首页左右滑动快速切换患者</w:t>
            </w:r>
            <w:r>
              <w:rPr>
                <w:rStyle w:val="13"/>
                <w:rFonts w:ascii="宋体" w:hAnsi="宋体"/>
                <w:color w:val="000000"/>
                <w:kern w:val="0"/>
                <w:sz w:val="24"/>
              </w:rPr>
              <w:br w:type="textWrapping" w:clear="all"/>
            </w:r>
            <w:r>
              <w:rPr>
                <w:rStyle w:val="13"/>
                <w:rFonts w:ascii="宋体" w:hAnsi="宋体"/>
                <w:color w:val="000000"/>
                <w:kern w:val="0"/>
                <w:sz w:val="24"/>
              </w:rPr>
              <w:t>手术列表：支持查看患者全部的手术信息，并按照时间倒序排列</w:t>
            </w:r>
          </w:p>
        </w:tc>
      </w:tr>
      <w:tr>
        <w:tblPrEx>
          <w:tblCellMar>
            <w:top w:w="0" w:type="dxa"/>
            <w:left w:w="0" w:type="dxa"/>
            <w:bottom w:w="0" w:type="dxa"/>
            <w:right w:w="0" w:type="dxa"/>
          </w:tblCellMar>
        </w:tblPrEx>
        <w:tc>
          <w:tcPr>
            <w:tcW w:w="866"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11</w:t>
            </w:r>
          </w:p>
        </w:tc>
        <w:tc>
          <w:tcPr>
            <w:tcW w:w="1374" w:type="dxa"/>
            <w:vMerge w:val="continue"/>
            <w:tcBorders>
              <w:left w:val="single" w:color="000000" w:sz="4" w:space="0"/>
              <w:right w:val="single" w:color="000000" w:sz="4" w:space="0"/>
            </w:tcBorders>
            <w:vAlign w:val="center"/>
          </w:tcPr>
          <w:p>
            <w:pPr>
              <w:jc w:val="center"/>
              <w:textAlignment w:val="auto"/>
              <w:rPr>
                <w:rStyle w:val="13"/>
                <w:rFonts w:ascii="宋体" w:hAnsi="宋体"/>
                <w:color w:val="000000"/>
                <w:kern w:val="0"/>
                <w:sz w:val="24"/>
              </w:rPr>
            </w:pPr>
          </w:p>
        </w:tc>
        <w:tc>
          <w:tcPr>
            <w:tcW w:w="1886"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医嘱信息</w:t>
            </w:r>
          </w:p>
        </w:tc>
        <w:tc>
          <w:tcPr>
            <w:tcW w:w="4369"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1、显示病人长期、临时、有效长期、当日医嘱，可按天查询，</w:t>
            </w:r>
            <w:r>
              <w:rPr>
                <w:rStyle w:val="13"/>
                <w:rFonts w:ascii="宋体" w:hAnsi="宋体"/>
                <w:color w:val="000000"/>
                <w:kern w:val="0"/>
                <w:sz w:val="24"/>
              </w:rPr>
              <w:br w:type="textWrapping" w:clear="all"/>
            </w:r>
            <w:r>
              <w:rPr>
                <w:rStyle w:val="13"/>
                <w:rFonts w:ascii="宋体" w:hAnsi="宋体"/>
                <w:color w:val="000000"/>
                <w:kern w:val="0"/>
                <w:sz w:val="24"/>
              </w:rPr>
              <w:t>2、医嘱可按照医嘱类型（检验、护理、药品等）进行筛选</w:t>
            </w:r>
            <w:r>
              <w:rPr>
                <w:rStyle w:val="13"/>
                <w:rFonts w:ascii="宋体" w:hAnsi="宋体"/>
                <w:color w:val="000000"/>
                <w:kern w:val="0"/>
                <w:sz w:val="24"/>
              </w:rPr>
              <w:br w:type="textWrapping" w:clear="all"/>
            </w:r>
            <w:r>
              <w:rPr>
                <w:rStyle w:val="13"/>
                <w:rFonts w:ascii="宋体" w:hAnsi="宋体"/>
                <w:color w:val="000000"/>
                <w:kern w:val="0"/>
                <w:sz w:val="24"/>
              </w:rPr>
              <w:t>3、单条医嘱可以查询开嘱医生、校对护士、医生说明、停止医生、停止护士等</w:t>
            </w:r>
          </w:p>
        </w:tc>
      </w:tr>
      <w:tr>
        <w:tblPrEx>
          <w:tblCellMar>
            <w:top w:w="0" w:type="dxa"/>
            <w:left w:w="0" w:type="dxa"/>
            <w:bottom w:w="0" w:type="dxa"/>
            <w:right w:w="0" w:type="dxa"/>
          </w:tblCellMar>
        </w:tblPrEx>
        <w:tc>
          <w:tcPr>
            <w:tcW w:w="866"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12</w:t>
            </w:r>
          </w:p>
        </w:tc>
        <w:tc>
          <w:tcPr>
            <w:tcW w:w="1374" w:type="dxa"/>
            <w:vMerge w:val="continue"/>
            <w:tcBorders>
              <w:left w:val="single" w:color="000000" w:sz="4" w:space="0"/>
              <w:right w:val="single" w:color="000000" w:sz="4" w:space="0"/>
            </w:tcBorders>
            <w:vAlign w:val="center"/>
          </w:tcPr>
          <w:p>
            <w:pPr>
              <w:jc w:val="center"/>
              <w:textAlignment w:val="auto"/>
              <w:rPr>
                <w:rStyle w:val="13"/>
                <w:rFonts w:ascii="宋体" w:hAnsi="宋体"/>
                <w:color w:val="000000"/>
                <w:kern w:val="0"/>
                <w:sz w:val="24"/>
              </w:rPr>
            </w:pPr>
          </w:p>
        </w:tc>
        <w:tc>
          <w:tcPr>
            <w:tcW w:w="1886" w:type="dxa"/>
            <w:vMerge w:val="restart"/>
            <w:tcBorders>
              <w:top w:val="nil"/>
              <w:left w:val="single" w:color="000000" w:sz="4" w:space="0"/>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病程</w:t>
            </w:r>
          </w:p>
        </w:tc>
        <w:tc>
          <w:tcPr>
            <w:tcW w:w="4369"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1、显示病人病程</w:t>
            </w:r>
          </w:p>
        </w:tc>
      </w:tr>
      <w:tr>
        <w:tblPrEx>
          <w:tblCellMar>
            <w:top w:w="0" w:type="dxa"/>
            <w:left w:w="0" w:type="dxa"/>
            <w:bottom w:w="0" w:type="dxa"/>
            <w:right w:w="0" w:type="dxa"/>
          </w:tblCellMar>
        </w:tblPrEx>
        <w:tc>
          <w:tcPr>
            <w:tcW w:w="866"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13</w:t>
            </w:r>
          </w:p>
        </w:tc>
        <w:tc>
          <w:tcPr>
            <w:tcW w:w="1374" w:type="dxa"/>
            <w:vMerge w:val="continue"/>
            <w:tcBorders>
              <w:left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1886" w:type="dxa"/>
            <w:vMerge w:val="continue"/>
            <w:tcBorders>
              <w:top w:val="nil"/>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4369"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2、点击病程表头（病程名、时间）展开/收缩病程信息</w:t>
            </w:r>
          </w:p>
        </w:tc>
      </w:tr>
      <w:tr>
        <w:tblPrEx>
          <w:tblCellMar>
            <w:top w:w="0" w:type="dxa"/>
            <w:left w:w="0" w:type="dxa"/>
            <w:bottom w:w="0" w:type="dxa"/>
            <w:right w:w="0" w:type="dxa"/>
          </w:tblCellMar>
        </w:tblPrEx>
        <w:tc>
          <w:tcPr>
            <w:tcW w:w="866"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14</w:t>
            </w:r>
          </w:p>
        </w:tc>
        <w:tc>
          <w:tcPr>
            <w:tcW w:w="1374" w:type="dxa"/>
            <w:vMerge w:val="continue"/>
            <w:tcBorders>
              <w:left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1886" w:type="dxa"/>
            <w:tcBorders>
              <w:top w:val="nil"/>
              <w:left w:val="nil"/>
              <w:bottom w:val="nil"/>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报告</w:t>
            </w:r>
          </w:p>
        </w:tc>
        <w:tc>
          <w:tcPr>
            <w:tcW w:w="4369"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1、显示病人检查检验报告</w:t>
            </w:r>
            <w:r>
              <w:rPr>
                <w:rStyle w:val="13"/>
                <w:rFonts w:ascii="宋体" w:hAnsi="宋体"/>
                <w:color w:val="000000"/>
                <w:kern w:val="0"/>
                <w:sz w:val="24"/>
              </w:rPr>
              <w:br w:type="textWrapping" w:clear="all"/>
            </w:r>
            <w:r>
              <w:rPr>
                <w:rStyle w:val="13"/>
                <w:rFonts w:ascii="宋体" w:hAnsi="宋体"/>
                <w:color w:val="000000"/>
                <w:kern w:val="0"/>
                <w:sz w:val="24"/>
              </w:rPr>
              <w:t>2、支持检查、心电、病理等项目的数据浏览查看；</w:t>
            </w:r>
            <w:r>
              <w:rPr>
                <w:rStyle w:val="13"/>
                <w:rFonts w:ascii="宋体" w:hAnsi="宋体"/>
                <w:color w:val="000000"/>
                <w:kern w:val="0"/>
                <w:sz w:val="24"/>
              </w:rPr>
              <w:br w:type="textWrapping" w:clear="all"/>
            </w:r>
            <w:r>
              <w:rPr>
                <w:rStyle w:val="13"/>
                <w:rFonts w:ascii="宋体" w:hAnsi="宋体"/>
                <w:color w:val="000000"/>
                <w:kern w:val="0"/>
                <w:sz w:val="24"/>
              </w:rPr>
              <w:t>检查项目查询：可以查看患者在院期间产生的所有检查项目，包括检查单号、检查所见、检查结论</w:t>
            </w:r>
            <w:r>
              <w:rPr>
                <w:rStyle w:val="13"/>
                <w:rFonts w:ascii="宋体" w:hAnsi="宋体"/>
                <w:color w:val="000000"/>
                <w:kern w:val="0"/>
                <w:sz w:val="24"/>
              </w:rPr>
              <w:br w:type="textWrapping" w:clear="all"/>
            </w:r>
            <w:r>
              <w:rPr>
                <w:rStyle w:val="13"/>
                <w:rFonts w:ascii="宋体" w:hAnsi="宋体"/>
                <w:color w:val="000000"/>
                <w:kern w:val="0"/>
                <w:sz w:val="24"/>
              </w:rPr>
              <w:t>影像查询：可以拖拽或者点击连续播放影像片子</w:t>
            </w:r>
            <w:r>
              <w:rPr>
                <w:rStyle w:val="13"/>
                <w:rFonts w:ascii="宋体" w:hAnsi="宋体"/>
                <w:color w:val="000000"/>
                <w:kern w:val="0"/>
                <w:sz w:val="24"/>
              </w:rPr>
              <w:br w:type="textWrapping" w:clear="all"/>
            </w:r>
            <w:r>
              <w:rPr>
                <w:rStyle w:val="13"/>
                <w:rFonts w:ascii="宋体" w:hAnsi="宋体"/>
                <w:color w:val="000000"/>
                <w:kern w:val="0"/>
                <w:sz w:val="24"/>
              </w:rPr>
              <w:t>检验项目查询：可以查看患者在院期间产生的所有检查项目</w:t>
            </w:r>
            <w:r>
              <w:rPr>
                <w:rStyle w:val="13"/>
                <w:rFonts w:ascii="宋体" w:hAnsi="宋体"/>
                <w:color w:val="000000"/>
                <w:kern w:val="0"/>
                <w:sz w:val="24"/>
              </w:rPr>
              <w:br w:type="textWrapping" w:clear="all"/>
            </w:r>
            <w:r>
              <w:rPr>
                <w:rStyle w:val="13"/>
                <w:rFonts w:ascii="宋体" w:hAnsi="宋体"/>
                <w:color w:val="000000"/>
                <w:kern w:val="0"/>
                <w:sz w:val="24"/>
              </w:rPr>
              <w:t>检验趋势图：按趋势图的方式展示检验指标变化情况</w:t>
            </w:r>
            <w:r>
              <w:rPr>
                <w:rStyle w:val="13"/>
                <w:rFonts w:ascii="宋体" w:hAnsi="宋体"/>
                <w:color w:val="000000"/>
                <w:kern w:val="0"/>
                <w:sz w:val="24"/>
              </w:rPr>
              <w:br w:type="textWrapping" w:clear="all"/>
            </w:r>
            <w:r>
              <w:rPr>
                <w:rStyle w:val="13"/>
                <w:rFonts w:ascii="宋体" w:hAnsi="宋体"/>
                <w:color w:val="000000"/>
                <w:kern w:val="0"/>
                <w:sz w:val="24"/>
              </w:rPr>
              <w:t>心电图查询：可查看患者时时心电报告和结论</w:t>
            </w:r>
            <w:r>
              <w:rPr>
                <w:rStyle w:val="13"/>
                <w:rFonts w:ascii="宋体" w:hAnsi="宋体"/>
                <w:color w:val="000000"/>
                <w:kern w:val="0"/>
                <w:sz w:val="24"/>
              </w:rPr>
              <w:br w:type="textWrapping" w:clear="all"/>
            </w:r>
            <w:r>
              <w:rPr>
                <w:rStyle w:val="13"/>
                <w:rFonts w:ascii="宋体" w:hAnsi="宋体"/>
                <w:color w:val="000000"/>
                <w:kern w:val="0"/>
                <w:sz w:val="24"/>
              </w:rPr>
              <w:t>病理结果查询：可查看患者临床诊断、病历诊断</w:t>
            </w:r>
          </w:p>
        </w:tc>
      </w:tr>
      <w:tr>
        <w:tblPrEx>
          <w:tblCellMar>
            <w:top w:w="0" w:type="dxa"/>
            <w:left w:w="0" w:type="dxa"/>
            <w:bottom w:w="0" w:type="dxa"/>
            <w:right w:w="0" w:type="dxa"/>
          </w:tblCellMar>
        </w:tblPrEx>
        <w:tc>
          <w:tcPr>
            <w:tcW w:w="866"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15</w:t>
            </w:r>
          </w:p>
        </w:tc>
        <w:tc>
          <w:tcPr>
            <w:tcW w:w="1374" w:type="dxa"/>
            <w:vMerge w:val="continue"/>
            <w:tcBorders>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1886" w:type="dxa"/>
            <w:tcBorders>
              <w:top w:val="single" w:color="000000" w:sz="4" w:space="0"/>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体温单</w:t>
            </w:r>
          </w:p>
        </w:tc>
        <w:tc>
          <w:tcPr>
            <w:tcW w:w="4369"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生命体征自动形成曲线，体温、呼吸、脉搏、血压、疼痛评分、意识水平；体征自定义项目可以进行配置</w:t>
            </w:r>
          </w:p>
        </w:tc>
      </w:tr>
      <w:tr>
        <w:tblPrEx>
          <w:tblCellMar>
            <w:top w:w="0" w:type="dxa"/>
            <w:left w:w="0" w:type="dxa"/>
            <w:bottom w:w="0" w:type="dxa"/>
            <w:right w:w="0" w:type="dxa"/>
          </w:tblCellMar>
        </w:tblPrEx>
        <w:tc>
          <w:tcPr>
            <w:tcW w:w="866"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16</w:t>
            </w:r>
          </w:p>
        </w:tc>
        <w:tc>
          <w:tcPr>
            <w:tcW w:w="1374" w:type="dxa"/>
            <w:vMerge w:val="restart"/>
            <w:tcBorders>
              <w:top w:val="nil"/>
              <w:left w:val="single" w:color="000000" w:sz="4" w:space="0"/>
              <w:bottom w:val="nil"/>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护理文书</w:t>
            </w:r>
          </w:p>
        </w:tc>
        <w:tc>
          <w:tcPr>
            <w:tcW w:w="1886"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1、入院评估单</w:t>
            </w:r>
          </w:p>
        </w:tc>
        <w:tc>
          <w:tcPr>
            <w:tcW w:w="4369" w:type="dxa"/>
            <w:tcBorders>
              <w:top w:val="nil"/>
              <w:left w:val="nil"/>
              <w:bottom w:val="single" w:color="000000" w:sz="4" w:space="0"/>
              <w:right w:val="single" w:color="000000" w:sz="4" w:space="0"/>
            </w:tcBorders>
            <w:vAlign w:val="center"/>
          </w:tcPr>
          <w:p>
            <w:pPr>
              <w:textAlignment w:val="auto"/>
              <w:rPr>
                <w:rStyle w:val="13"/>
                <w:rFonts w:ascii="宋体" w:hAnsi="宋体"/>
                <w:color w:val="000000"/>
                <w:kern w:val="0"/>
                <w:sz w:val="24"/>
              </w:rPr>
            </w:pPr>
            <w:r>
              <w:rPr>
                <w:rStyle w:val="13"/>
                <w:rFonts w:ascii="宋体" w:hAnsi="宋体"/>
                <w:color w:val="000000"/>
                <w:kern w:val="0"/>
                <w:sz w:val="24"/>
              </w:rPr>
              <w:t>支持入院评估单的查看</w:t>
            </w:r>
          </w:p>
        </w:tc>
      </w:tr>
      <w:tr>
        <w:tblPrEx>
          <w:tblCellMar>
            <w:top w:w="0" w:type="dxa"/>
            <w:left w:w="0" w:type="dxa"/>
            <w:bottom w:w="0" w:type="dxa"/>
            <w:right w:w="0" w:type="dxa"/>
          </w:tblCellMar>
        </w:tblPrEx>
        <w:tc>
          <w:tcPr>
            <w:tcW w:w="866"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17</w:t>
            </w:r>
          </w:p>
        </w:tc>
        <w:tc>
          <w:tcPr>
            <w:tcW w:w="1374" w:type="dxa"/>
            <w:vMerge w:val="continue"/>
            <w:tcBorders>
              <w:top w:val="nil"/>
              <w:left w:val="single" w:color="000000" w:sz="4" w:space="0"/>
              <w:bottom w:val="nil"/>
              <w:right w:val="single" w:color="000000" w:sz="4" w:space="0"/>
            </w:tcBorders>
            <w:vAlign w:val="center"/>
          </w:tcPr>
          <w:p>
            <w:pPr>
              <w:jc w:val="left"/>
              <w:textAlignment w:val="auto"/>
              <w:rPr>
                <w:rStyle w:val="13"/>
                <w:rFonts w:ascii="宋体" w:hAnsi="宋体"/>
                <w:color w:val="000000"/>
                <w:kern w:val="0"/>
                <w:sz w:val="24"/>
              </w:rPr>
            </w:pPr>
          </w:p>
        </w:tc>
        <w:tc>
          <w:tcPr>
            <w:tcW w:w="1886"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2、外科护理记录单</w:t>
            </w:r>
          </w:p>
        </w:tc>
        <w:tc>
          <w:tcPr>
            <w:tcW w:w="4369" w:type="dxa"/>
            <w:tcBorders>
              <w:top w:val="nil"/>
              <w:left w:val="nil"/>
              <w:bottom w:val="single" w:color="000000" w:sz="4" w:space="0"/>
              <w:right w:val="single" w:color="000000" w:sz="4" w:space="0"/>
            </w:tcBorders>
            <w:vAlign w:val="center"/>
          </w:tcPr>
          <w:p>
            <w:pPr>
              <w:textAlignment w:val="auto"/>
              <w:rPr>
                <w:rStyle w:val="13"/>
                <w:rFonts w:ascii="宋体" w:hAnsi="宋体"/>
                <w:color w:val="000000"/>
                <w:kern w:val="0"/>
                <w:sz w:val="24"/>
              </w:rPr>
            </w:pPr>
            <w:r>
              <w:rPr>
                <w:rStyle w:val="13"/>
                <w:rFonts w:ascii="宋体" w:hAnsi="宋体"/>
                <w:color w:val="000000"/>
                <w:kern w:val="0"/>
                <w:sz w:val="24"/>
              </w:rPr>
              <w:t>支持外科护理记录单的查看</w:t>
            </w:r>
          </w:p>
        </w:tc>
      </w:tr>
      <w:tr>
        <w:tblPrEx>
          <w:tblCellMar>
            <w:top w:w="0" w:type="dxa"/>
            <w:left w:w="0" w:type="dxa"/>
            <w:bottom w:w="0" w:type="dxa"/>
            <w:right w:w="0" w:type="dxa"/>
          </w:tblCellMar>
        </w:tblPrEx>
        <w:tc>
          <w:tcPr>
            <w:tcW w:w="866"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18</w:t>
            </w:r>
          </w:p>
        </w:tc>
        <w:tc>
          <w:tcPr>
            <w:tcW w:w="1374" w:type="dxa"/>
            <w:vMerge w:val="continue"/>
            <w:tcBorders>
              <w:top w:val="nil"/>
              <w:left w:val="single" w:color="000000" w:sz="4" w:space="0"/>
              <w:bottom w:val="nil"/>
              <w:right w:val="single" w:color="000000" w:sz="4" w:space="0"/>
            </w:tcBorders>
            <w:vAlign w:val="center"/>
          </w:tcPr>
          <w:p>
            <w:pPr>
              <w:jc w:val="left"/>
              <w:textAlignment w:val="auto"/>
              <w:rPr>
                <w:rStyle w:val="13"/>
                <w:rFonts w:ascii="宋体" w:hAnsi="宋体"/>
                <w:color w:val="000000"/>
                <w:kern w:val="0"/>
                <w:sz w:val="24"/>
              </w:rPr>
            </w:pPr>
          </w:p>
        </w:tc>
        <w:tc>
          <w:tcPr>
            <w:tcW w:w="1886"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3、内科护理记录单</w:t>
            </w:r>
          </w:p>
        </w:tc>
        <w:tc>
          <w:tcPr>
            <w:tcW w:w="4369" w:type="dxa"/>
            <w:tcBorders>
              <w:top w:val="nil"/>
              <w:left w:val="nil"/>
              <w:bottom w:val="single" w:color="000000" w:sz="4" w:space="0"/>
              <w:right w:val="single" w:color="000000" w:sz="4" w:space="0"/>
            </w:tcBorders>
            <w:vAlign w:val="center"/>
          </w:tcPr>
          <w:p>
            <w:pPr>
              <w:textAlignment w:val="auto"/>
              <w:rPr>
                <w:rStyle w:val="13"/>
                <w:rFonts w:ascii="宋体" w:hAnsi="宋体"/>
                <w:color w:val="000000"/>
                <w:kern w:val="0"/>
                <w:sz w:val="24"/>
              </w:rPr>
            </w:pPr>
            <w:r>
              <w:rPr>
                <w:rStyle w:val="13"/>
                <w:rFonts w:ascii="宋体" w:hAnsi="宋体"/>
                <w:color w:val="000000"/>
                <w:kern w:val="0"/>
                <w:sz w:val="24"/>
              </w:rPr>
              <w:t>支持内科护理记录单的查看</w:t>
            </w:r>
          </w:p>
        </w:tc>
      </w:tr>
      <w:tr>
        <w:tblPrEx>
          <w:tblCellMar>
            <w:top w:w="0" w:type="dxa"/>
            <w:left w:w="0" w:type="dxa"/>
            <w:bottom w:w="0" w:type="dxa"/>
            <w:right w:w="0" w:type="dxa"/>
          </w:tblCellMar>
        </w:tblPrEx>
        <w:tc>
          <w:tcPr>
            <w:tcW w:w="866"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19</w:t>
            </w:r>
          </w:p>
        </w:tc>
        <w:tc>
          <w:tcPr>
            <w:tcW w:w="1374" w:type="dxa"/>
            <w:vMerge w:val="continue"/>
            <w:tcBorders>
              <w:top w:val="nil"/>
              <w:left w:val="single" w:color="000000" w:sz="4" w:space="0"/>
              <w:bottom w:val="nil"/>
              <w:right w:val="single" w:color="000000" w:sz="4" w:space="0"/>
            </w:tcBorders>
            <w:vAlign w:val="center"/>
          </w:tcPr>
          <w:p>
            <w:pPr>
              <w:jc w:val="left"/>
              <w:textAlignment w:val="auto"/>
              <w:rPr>
                <w:rStyle w:val="13"/>
                <w:rFonts w:ascii="宋体" w:hAnsi="宋体"/>
                <w:color w:val="000000"/>
                <w:kern w:val="0"/>
                <w:sz w:val="24"/>
              </w:rPr>
            </w:pPr>
          </w:p>
        </w:tc>
        <w:tc>
          <w:tcPr>
            <w:tcW w:w="1886"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3、专项护理评估单（压疮、跌倒-导管等评估）</w:t>
            </w:r>
          </w:p>
        </w:tc>
        <w:tc>
          <w:tcPr>
            <w:tcW w:w="4369" w:type="dxa"/>
            <w:tcBorders>
              <w:top w:val="nil"/>
              <w:left w:val="nil"/>
              <w:bottom w:val="single" w:color="000000" w:sz="4" w:space="0"/>
              <w:right w:val="single" w:color="000000" w:sz="4" w:space="0"/>
            </w:tcBorders>
            <w:vAlign w:val="center"/>
          </w:tcPr>
          <w:p>
            <w:pPr>
              <w:textAlignment w:val="auto"/>
              <w:rPr>
                <w:rStyle w:val="13"/>
                <w:rFonts w:ascii="宋体" w:hAnsi="宋体"/>
                <w:color w:val="000000"/>
                <w:kern w:val="0"/>
                <w:sz w:val="24"/>
              </w:rPr>
            </w:pPr>
            <w:r>
              <w:rPr>
                <w:rStyle w:val="13"/>
                <w:rFonts w:ascii="宋体" w:hAnsi="宋体"/>
                <w:color w:val="000000"/>
                <w:kern w:val="0"/>
                <w:sz w:val="24"/>
              </w:rPr>
              <w:t>支持专项护理评估单的查看</w:t>
            </w:r>
          </w:p>
        </w:tc>
      </w:tr>
      <w:tr>
        <w:tblPrEx>
          <w:tblCellMar>
            <w:top w:w="0" w:type="dxa"/>
            <w:left w:w="0" w:type="dxa"/>
            <w:bottom w:w="0" w:type="dxa"/>
            <w:right w:w="0" w:type="dxa"/>
          </w:tblCellMar>
        </w:tblPrEx>
        <w:tc>
          <w:tcPr>
            <w:tcW w:w="866"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20</w:t>
            </w:r>
          </w:p>
        </w:tc>
        <w:tc>
          <w:tcPr>
            <w:tcW w:w="1374" w:type="dxa"/>
            <w:vMerge w:val="continue"/>
            <w:tcBorders>
              <w:top w:val="nil"/>
              <w:left w:val="single" w:color="000000" w:sz="4" w:space="0"/>
              <w:bottom w:val="nil"/>
              <w:right w:val="single" w:color="000000" w:sz="4" w:space="0"/>
            </w:tcBorders>
            <w:vAlign w:val="center"/>
          </w:tcPr>
          <w:p>
            <w:pPr>
              <w:jc w:val="left"/>
              <w:textAlignment w:val="auto"/>
              <w:rPr>
                <w:rStyle w:val="13"/>
                <w:rFonts w:ascii="宋体" w:hAnsi="宋体"/>
                <w:color w:val="000000"/>
                <w:kern w:val="0"/>
                <w:sz w:val="24"/>
              </w:rPr>
            </w:pPr>
          </w:p>
        </w:tc>
        <w:tc>
          <w:tcPr>
            <w:tcW w:w="1886"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4、危急护理记录单</w:t>
            </w:r>
          </w:p>
        </w:tc>
        <w:tc>
          <w:tcPr>
            <w:tcW w:w="4369" w:type="dxa"/>
            <w:tcBorders>
              <w:top w:val="nil"/>
              <w:left w:val="nil"/>
              <w:bottom w:val="single" w:color="000000" w:sz="4" w:space="0"/>
              <w:right w:val="single" w:color="000000" w:sz="4" w:space="0"/>
            </w:tcBorders>
            <w:vAlign w:val="center"/>
          </w:tcPr>
          <w:p>
            <w:pPr>
              <w:textAlignment w:val="auto"/>
              <w:rPr>
                <w:rStyle w:val="13"/>
                <w:rFonts w:ascii="宋体" w:hAnsi="宋体"/>
                <w:color w:val="000000"/>
                <w:kern w:val="0"/>
                <w:sz w:val="24"/>
              </w:rPr>
            </w:pPr>
            <w:r>
              <w:rPr>
                <w:rStyle w:val="13"/>
                <w:rFonts w:ascii="宋体" w:hAnsi="宋体"/>
                <w:color w:val="000000"/>
                <w:kern w:val="0"/>
                <w:sz w:val="24"/>
              </w:rPr>
              <w:t>支持危机护理记录单的查看</w:t>
            </w:r>
          </w:p>
        </w:tc>
      </w:tr>
      <w:tr>
        <w:tblPrEx>
          <w:tblCellMar>
            <w:top w:w="0" w:type="dxa"/>
            <w:left w:w="0" w:type="dxa"/>
            <w:bottom w:w="0" w:type="dxa"/>
            <w:right w:w="0" w:type="dxa"/>
          </w:tblCellMar>
        </w:tblPrEx>
        <w:tc>
          <w:tcPr>
            <w:tcW w:w="866"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27</w:t>
            </w:r>
          </w:p>
        </w:tc>
        <w:tc>
          <w:tcPr>
            <w:tcW w:w="1374" w:type="dxa"/>
            <w:vMerge w:val="restart"/>
            <w:tcBorders>
              <w:top w:val="single" w:color="000000" w:sz="4" w:space="0"/>
              <w:left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医嘱执行</w:t>
            </w:r>
          </w:p>
          <w:p>
            <w:pPr>
              <w:jc w:val="center"/>
              <w:textAlignment w:val="auto"/>
              <w:rPr>
                <w:rStyle w:val="13"/>
                <w:rFonts w:ascii="宋体" w:hAnsi="宋体"/>
                <w:color w:val="000000"/>
                <w:kern w:val="0"/>
                <w:sz w:val="24"/>
              </w:rPr>
            </w:pPr>
          </w:p>
        </w:tc>
        <w:tc>
          <w:tcPr>
            <w:tcW w:w="1886" w:type="dxa"/>
            <w:vMerge w:val="restart"/>
            <w:tcBorders>
              <w:top w:val="nil"/>
              <w:left w:val="single" w:color="000000" w:sz="4" w:space="0"/>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医嘱执行列表</w:t>
            </w:r>
          </w:p>
        </w:tc>
        <w:tc>
          <w:tcPr>
            <w:tcW w:w="4369"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1、可以查询3天内的待执行、执行中、已执行的医嘱</w:t>
            </w:r>
            <w:r>
              <w:rPr>
                <w:rStyle w:val="13"/>
                <w:rFonts w:ascii="宋体" w:hAnsi="宋体"/>
                <w:color w:val="000000"/>
                <w:kern w:val="0"/>
                <w:sz w:val="24"/>
              </w:rPr>
              <w:br w:type="textWrapping" w:clear="all"/>
            </w:r>
            <w:r>
              <w:rPr>
                <w:rStyle w:val="13"/>
                <w:rFonts w:ascii="宋体" w:hAnsi="宋体"/>
                <w:color w:val="000000"/>
                <w:kern w:val="0"/>
                <w:sz w:val="24"/>
              </w:rPr>
              <w:t>2、单个医嘱显示医嘱类别、计划执行时间、医嘱名称、药品规格、剂量、用法、用量等</w:t>
            </w:r>
            <w:r>
              <w:rPr>
                <w:rStyle w:val="13"/>
                <w:rFonts w:ascii="宋体" w:hAnsi="宋体"/>
                <w:color w:val="000000"/>
                <w:kern w:val="0"/>
                <w:sz w:val="24"/>
              </w:rPr>
              <w:br w:type="textWrapping" w:clear="all"/>
            </w:r>
            <w:r>
              <w:rPr>
                <w:rStyle w:val="13"/>
                <w:rFonts w:ascii="宋体" w:hAnsi="宋体"/>
                <w:color w:val="000000"/>
                <w:kern w:val="0"/>
                <w:sz w:val="24"/>
              </w:rPr>
              <w:t>3、执行中医嘱显示执行人、执行时间；已执行的医嘱显示执行人，开始时间和结束时间</w:t>
            </w:r>
          </w:p>
        </w:tc>
      </w:tr>
      <w:tr>
        <w:tblPrEx>
          <w:tblCellMar>
            <w:top w:w="0" w:type="dxa"/>
            <w:left w:w="0" w:type="dxa"/>
            <w:bottom w:w="0" w:type="dxa"/>
            <w:right w:w="0" w:type="dxa"/>
          </w:tblCellMar>
        </w:tblPrEx>
        <w:tc>
          <w:tcPr>
            <w:tcW w:w="866"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28</w:t>
            </w:r>
          </w:p>
        </w:tc>
        <w:tc>
          <w:tcPr>
            <w:tcW w:w="1374" w:type="dxa"/>
            <w:vMerge w:val="continue"/>
            <w:tcBorders>
              <w:left w:val="single" w:color="000000" w:sz="4" w:space="0"/>
              <w:right w:val="single" w:color="000000" w:sz="4" w:space="0"/>
            </w:tcBorders>
            <w:vAlign w:val="center"/>
          </w:tcPr>
          <w:p>
            <w:pPr>
              <w:jc w:val="center"/>
              <w:textAlignment w:val="auto"/>
              <w:rPr>
                <w:rStyle w:val="13"/>
                <w:rFonts w:ascii="宋体" w:hAnsi="宋体"/>
                <w:color w:val="000000"/>
                <w:kern w:val="0"/>
                <w:sz w:val="24"/>
              </w:rPr>
            </w:pPr>
          </w:p>
        </w:tc>
        <w:tc>
          <w:tcPr>
            <w:tcW w:w="1886" w:type="dxa"/>
            <w:vMerge w:val="continue"/>
            <w:tcBorders>
              <w:top w:val="nil"/>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4369"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4、可按照日期、医嘱类型、执行状态、药品类别（口服、注射、输液、出院带药、雾化吸入、皮试、静推、泵入、鼻饲）查询、筛选医嘱执行</w:t>
            </w:r>
          </w:p>
        </w:tc>
      </w:tr>
      <w:tr>
        <w:tblPrEx>
          <w:tblCellMar>
            <w:top w:w="0" w:type="dxa"/>
            <w:left w:w="0" w:type="dxa"/>
            <w:bottom w:w="0" w:type="dxa"/>
            <w:right w:w="0" w:type="dxa"/>
          </w:tblCellMar>
        </w:tblPrEx>
        <w:tc>
          <w:tcPr>
            <w:tcW w:w="866"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29</w:t>
            </w:r>
          </w:p>
        </w:tc>
        <w:tc>
          <w:tcPr>
            <w:tcW w:w="1374" w:type="dxa"/>
            <w:vMerge w:val="continue"/>
            <w:tcBorders>
              <w:left w:val="single" w:color="000000" w:sz="4" w:space="0"/>
              <w:right w:val="single" w:color="000000" w:sz="4" w:space="0"/>
            </w:tcBorders>
            <w:vAlign w:val="center"/>
          </w:tcPr>
          <w:p>
            <w:pPr>
              <w:jc w:val="center"/>
              <w:textAlignment w:val="auto"/>
              <w:rPr>
                <w:rStyle w:val="13"/>
                <w:rFonts w:ascii="宋体" w:hAnsi="宋体"/>
                <w:color w:val="000000"/>
                <w:kern w:val="0"/>
                <w:sz w:val="24"/>
              </w:rPr>
            </w:pPr>
          </w:p>
        </w:tc>
        <w:tc>
          <w:tcPr>
            <w:tcW w:w="1886"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扫码医嘱执行</w:t>
            </w:r>
          </w:p>
        </w:tc>
        <w:tc>
          <w:tcPr>
            <w:tcW w:w="4369"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1、扫描核对执行医嘱（口服、注射、治疗、膳食、输血、护理、检查、检验、输液、其他、出院带药、雾化吸入、外用、皮试、文字医嘱、静推、泵入、鼻饲、手术）。</w:t>
            </w:r>
            <w:r>
              <w:rPr>
                <w:rStyle w:val="13"/>
                <w:rFonts w:ascii="宋体" w:hAnsi="宋体"/>
                <w:color w:val="000000"/>
                <w:kern w:val="0"/>
                <w:sz w:val="24"/>
              </w:rPr>
              <w:br w:type="textWrapping" w:clear="all"/>
            </w:r>
            <w:r>
              <w:rPr>
                <w:rStyle w:val="13"/>
                <w:rFonts w:ascii="宋体" w:hAnsi="宋体"/>
                <w:color w:val="000000"/>
                <w:kern w:val="0"/>
                <w:sz w:val="24"/>
              </w:rPr>
              <w:t>2、系统自动记录执行人、执行时间</w:t>
            </w:r>
          </w:p>
        </w:tc>
      </w:tr>
      <w:tr>
        <w:tblPrEx>
          <w:tblCellMar>
            <w:top w:w="0" w:type="dxa"/>
            <w:left w:w="0" w:type="dxa"/>
            <w:bottom w:w="0" w:type="dxa"/>
            <w:right w:w="0" w:type="dxa"/>
          </w:tblCellMar>
        </w:tblPrEx>
        <w:tc>
          <w:tcPr>
            <w:tcW w:w="866"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30</w:t>
            </w:r>
          </w:p>
        </w:tc>
        <w:tc>
          <w:tcPr>
            <w:tcW w:w="1374" w:type="dxa"/>
            <w:vMerge w:val="continue"/>
            <w:tcBorders>
              <w:left w:val="single" w:color="000000" w:sz="4" w:space="0"/>
              <w:right w:val="single" w:color="000000" w:sz="4" w:space="0"/>
            </w:tcBorders>
            <w:vAlign w:val="center"/>
          </w:tcPr>
          <w:p>
            <w:pPr>
              <w:jc w:val="center"/>
              <w:textAlignment w:val="auto"/>
              <w:rPr>
                <w:rStyle w:val="13"/>
                <w:rFonts w:ascii="宋体" w:hAnsi="宋体"/>
                <w:color w:val="000000"/>
                <w:kern w:val="0"/>
                <w:sz w:val="24"/>
              </w:rPr>
            </w:pPr>
          </w:p>
        </w:tc>
        <w:tc>
          <w:tcPr>
            <w:tcW w:w="1886"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输液巡视</w:t>
            </w:r>
          </w:p>
        </w:tc>
        <w:tc>
          <w:tcPr>
            <w:tcW w:w="4369"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再次扫码可以输入医嘱执行信息</w:t>
            </w:r>
            <w:r>
              <w:rPr>
                <w:rStyle w:val="13"/>
                <w:rFonts w:ascii="宋体" w:hAnsi="宋体"/>
                <w:color w:val="000000"/>
                <w:kern w:val="0"/>
                <w:sz w:val="24"/>
              </w:rPr>
              <w:br w:type="textWrapping" w:clear="all"/>
            </w:r>
            <w:r>
              <w:rPr>
                <w:rStyle w:val="13"/>
                <w:rFonts w:ascii="宋体" w:hAnsi="宋体"/>
                <w:color w:val="000000"/>
                <w:kern w:val="0"/>
                <w:sz w:val="24"/>
              </w:rPr>
              <w:t>1、输入输液部位</w:t>
            </w:r>
            <w:r>
              <w:rPr>
                <w:rStyle w:val="13"/>
                <w:rFonts w:ascii="宋体" w:hAnsi="宋体"/>
                <w:color w:val="000000"/>
                <w:kern w:val="0"/>
                <w:sz w:val="24"/>
              </w:rPr>
              <w:br w:type="textWrapping" w:clear="all"/>
            </w:r>
            <w:r>
              <w:rPr>
                <w:rStyle w:val="13"/>
                <w:rFonts w:ascii="宋体" w:hAnsi="宋体"/>
                <w:color w:val="000000"/>
                <w:kern w:val="0"/>
                <w:sz w:val="24"/>
              </w:rPr>
              <w:t>2、记录输液滴速</w:t>
            </w:r>
            <w:r>
              <w:rPr>
                <w:rStyle w:val="13"/>
                <w:rFonts w:ascii="宋体" w:hAnsi="宋体"/>
                <w:color w:val="000000"/>
                <w:kern w:val="0"/>
                <w:sz w:val="24"/>
              </w:rPr>
              <w:br w:type="textWrapping" w:clear="all"/>
            </w:r>
            <w:r>
              <w:rPr>
                <w:rStyle w:val="13"/>
                <w:rFonts w:ascii="宋体" w:hAnsi="宋体"/>
                <w:color w:val="000000"/>
                <w:kern w:val="0"/>
                <w:sz w:val="24"/>
              </w:rPr>
              <w:t>3、记录其他备注内容</w:t>
            </w:r>
          </w:p>
        </w:tc>
      </w:tr>
      <w:tr>
        <w:tblPrEx>
          <w:tblCellMar>
            <w:top w:w="0" w:type="dxa"/>
            <w:left w:w="0" w:type="dxa"/>
            <w:bottom w:w="0" w:type="dxa"/>
            <w:right w:w="0" w:type="dxa"/>
          </w:tblCellMar>
        </w:tblPrEx>
        <w:tc>
          <w:tcPr>
            <w:tcW w:w="866"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31</w:t>
            </w:r>
          </w:p>
        </w:tc>
        <w:tc>
          <w:tcPr>
            <w:tcW w:w="1374" w:type="dxa"/>
            <w:vMerge w:val="continue"/>
            <w:tcBorders>
              <w:left w:val="single" w:color="000000" w:sz="4" w:space="0"/>
              <w:right w:val="single" w:color="000000" w:sz="4" w:space="0"/>
            </w:tcBorders>
            <w:vAlign w:val="center"/>
          </w:tcPr>
          <w:p>
            <w:pPr>
              <w:jc w:val="center"/>
              <w:textAlignment w:val="auto"/>
              <w:rPr>
                <w:rStyle w:val="13"/>
                <w:rFonts w:ascii="宋体" w:hAnsi="宋体"/>
                <w:color w:val="000000"/>
                <w:kern w:val="0"/>
                <w:sz w:val="24"/>
              </w:rPr>
            </w:pPr>
          </w:p>
        </w:tc>
        <w:tc>
          <w:tcPr>
            <w:tcW w:w="1886"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输液中止</w:t>
            </w:r>
          </w:p>
        </w:tc>
        <w:tc>
          <w:tcPr>
            <w:tcW w:w="4369"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1、扫描药条，点击输液中止，中止原因记录：</w:t>
            </w:r>
            <w:r>
              <w:rPr>
                <w:rStyle w:val="13"/>
                <w:rFonts w:ascii="宋体" w:hAnsi="宋体"/>
                <w:color w:val="000000"/>
                <w:kern w:val="0"/>
                <w:sz w:val="24"/>
              </w:rPr>
              <w:br w:type="textWrapping" w:clear="all"/>
            </w:r>
            <w:r>
              <w:rPr>
                <w:rStyle w:val="13"/>
                <w:rFonts w:ascii="宋体" w:hAnsi="宋体"/>
                <w:color w:val="000000"/>
                <w:kern w:val="0"/>
                <w:sz w:val="24"/>
              </w:rPr>
              <w:t>1）患者出现不适症状；</w:t>
            </w:r>
            <w:r>
              <w:rPr>
                <w:rStyle w:val="13"/>
                <w:rFonts w:ascii="宋体" w:hAnsi="宋体"/>
                <w:color w:val="000000"/>
                <w:kern w:val="0"/>
                <w:sz w:val="24"/>
              </w:rPr>
              <w:br w:type="textWrapping" w:clear="all"/>
            </w:r>
            <w:r>
              <w:rPr>
                <w:rStyle w:val="13"/>
                <w:rFonts w:ascii="宋体" w:hAnsi="宋体"/>
                <w:color w:val="000000"/>
                <w:kern w:val="0"/>
                <w:sz w:val="24"/>
              </w:rPr>
              <w:t>2）遵医嘱停止输液；</w:t>
            </w:r>
            <w:r>
              <w:rPr>
                <w:rStyle w:val="13"/>
                <w:rFonts w:ascii="宋体" w:hAnsi="宋体"/>
                <w:color w:val="000000"/>
                <w:kern w:val="0"/>
                <w:sz w:val="24"/>
              </w:rPr>
              <w:br w:type="textWrapping" w:clear="all"/>
            </w:r>
            <w:r>
              <w:rPr>
                <w:rStyle w:val="13"/>
                <w:rFonts w:ascii="宋体" w:hAnsi="宋体"/>
                <w:color w:val="000000"/>
                <w:kern w:val="0"/>
                <w:sz w:val="24"/>
              </w:rPr>
              <w:t>3）患者要求停止</w:t>
            </w:r>
          </w:p>
        </w:tc>
      </w:tr>
      <w:tr>
        <w:tblPrEx>
          <w:tblCellMar>
            <w:top w:w="0" w:type="dxa"/>
            <w:left w:w="0" w:type="dxa"/>
            <w:bottom w:w="0" w:type="dxa"/>
            <w:right w:w="0" w:type="dxa"/>
          </w:tblCellMar>
        </w:tblPrEx>
        <w:tc>
          <w:tcPr>
            <w:tcW w:w="866"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32</w:t>
            </w:r>
          </w:p>
        </w:tc>
        <w:tc>
          <w:tcPr>
            <w:tcW w:w="1374" w:type="dxa"/>
            <w:vMerge w:val="continue"/>
            <w:tcBorders>
              <w:left w:val="single" w:color="000000" w:sz="4" w:space="0"/>
              <w:right w:val="single" w:color="000000" w:sz="4" w:space="0"/>
            </w:tcBorders>
            <w:vAlign w:val="center"/>
          </w:tcPr>
          <w:p>
            <w:pPr>
              <w:jc w:val="center"/>
              <w:textAlignment w:val="auto"/>
              <w:rPr>
                <w:rStyle w:val="13"/>
                <w:rFonts w:ascii="宋体" w:hAnsi="宋体"/>
                <w:color w:val="000000"/>
                <w:kern w:val="0"/>
                <w:sz w:val="24"/>
              </w:rPr>
            </w:pPr>
          </w:p>
        </w:tc>
        <w:tc>
          <w:tcPr>
            <w:tcW w:w="1886"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输液暂停</w:t>
            </w:r>
          </w:p>
        </w:tc>
        <w:tc>
          <w:tcPr>
            <w:tcW w:w="4369"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输液医嘱过程中的医嘱可以进行暂停、恢复</w:t>
            </w:r>
          </w:p>
        </w:tc>
      </w:tr>
      <w:tr>
        <w:tblPrEx>
          <w:tblCellMar>
            <w:top w:w="0" w:type="dxa"/>
            <w:left w:w="0" w:type="dxa"/>
            <w:bottom w:w="0" w:type="dxa"/>
            <w:right w:w="0" w:type="dxa"/>
          </w:tblCellMar>
        </w:tblPrEx>
        <w:tc>
          <w:tcPr>
            <w:tcW w:w="866"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33</w:t>
            </w:r>
          </w:p>
        </w:tc>
        <w:tc>
          <w:tcPr>
            <w:tcW w:w="1374" w:type="dxa"/>
            <w:vMerge w:val="continue"/>
            <w:tcBorders>
              <w:left w:val="single" w:color="000000" w:sz="4" w:space="0"/>
              <w:right w:val="single" w:color="000000" w:sz="4" w:space="0"/>
            </w:tcBorders>
            <w:vAlign w:val="center"/>
          </w:tcPr>
          <w:p>
            <w:pPr>
              <w:jc w:val="center"/>
              <w:textAlignment w:val="auto"/>
              <w:rPr>
                <w:rStyle w:val="13"/>
                <w:rFonts w:ascii="宋体" w:hAnsi="宋体"/>
                <w:color w:val="000000"/>
                <w:kern w:val="0"/>
                <w:sz w:val="24"/>
              </w:rPr>
            </w:pPr>
          </w:p>
        </w:tc>
        <w:tc>
          <w:tcPr>
            <w:tcW w:w="1886"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输液巡视单</w:t>
            </w:r>
          </w:p>
        </w:tc>
        <w:tc>
          <w:tcPr>
            <w:tcW w:w="4369"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以时间轴显示医嘱执行、巡视、暂停、结束巡视记录</w:t>
            </w:r>
          </w:p>
        </w:tc>
      </w:tr>
      <w:tr>
        <w:tblPrEx>
          <w:tblCellMar>
            <w:top w:w="0" w:type="dxa"/>
            <w:left w:w="0" w:type="dxa"/>
            <w:bottom w:w="0" w:type="dxa"/>
            <w:right w:w="0" w:type="dxa"/>
          </w:tblCellMar>
        </w:tblPrEx>
        <w:tc>
          <w:tcPr>
            <w:tcW w:w="866"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34</w:t>
            </w:r>
          </w:p>
        </w:tc>
        <w:tc>
          <w:tcPr>
            <w:tcW w:w="1374" w:type="dxa"/>
            <w:vMerge w:val="continue"/>
            <w:tcBorders>
              <w:left w:val="single" w:color="000000" w:sz="4" w:space="0"/>
              <w:right w:val="single" w:color="000000" w:sz="4" w:space="0"/>
            </w:tcBorders>
            <w:vAlign w:val="center"/>
          </w:tcPr>
          <w:p>
            <w:pPr>
              <w:jc w:val="center"/>
              <w:textAlignment w:val="auto"/>
              <w:rPr>
                <w:rStyle w:val="13"/>
                <w:rFonts w:ascii="宋体" w:hAnsi="宋体"/>
                <w:color w:val="000000"/>
                <w:kern w:val="0"/>
                <w:sz w:val="24"/>
              </w:rPr>
            </w:pPr>
          </w:p>
        </w:tc>
        <w:tc>
          <w:tcPr>
            <w:tcW w:w="1886" w:type="dxa"/>
            <w:vMerge w:val="restart"/>
            <w:tcBorders>
              <w:top w:val="nil"/>
              <w:left w:val="single" w:color="000000" w:sz="4" w:space="0"/>
              <w:bottom w:val="nil"/>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执行时间提醒</w:t>
            </w:r>
          </w:p>
        </w:tc>
        <w:tc>
          <w:tcPr>
            <w:tcW w:w="4369"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1、超出预执行时间提醒</w:t>
            </w:r>
          </w:p>
        </w:tc>
      </w:tr>
      <w:tr>
        <w:tblPrEx>
          <w:tblCellMar>
            <w:top w:w="0" w:type="dxa"/>
            <w:left w:w="0" w:type="dxa"/>
            <w:bottom w:w="0" w:type="dxa"/>
            <w:right w:w="0" w:type="dxa"/>
          </w:tblCellMar>
        </w:tblPrEx>
        <w:tc>
          <w:tcPr>
            <w:tcW w:w="866"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35</w:t>
            </w:r>
          </w:p>
        </w:tc>
        <w:tc>
          <w:tcPr>
            <w:tcW w:w="1374" w:type="dxa"/>
            <w:vMerge w:val="continue"/>
            <w:tcBorders>
              <w:left w:val="single" w:color="000000" w:sz="4" w:space="0"/>
              <w:right w:val="single" w:color="000000" w:sz="4" w:space="0"/>
            </w:tcBorders>
            <w:vAlign w:val="center"/>
          </w:tcPr>
          <w:p>
            <w:pPr>
              <w:jc w:val="center"/>
              <w:textAlignment w:val="auto"/>
              <w:rPr>
                <w:rStyle w:val="13"/>
                <w:rFonts w:ascii="宋体" w:hAnsi="宋体"/>
                <w:color w:val="000000"/>
                <w:kern w:val="0"/>
                <w:sz w:val="24"/>
              </w:rPr>
            </w:pPr>
          </w:p>
        </w:tc>
        <w:tc>
          <w:tcPr>
            <w:tcW w:w="1886" w:type="dxa"/>
            <w:vMerge w:val="continue"/>
            <w:tcBorders>
              <w:top w:val="nil"/>
              <w:left w:val="single" w:color="000000" w:sz="4" w:space="0"/>
              <w:bottom w:val="nil"/>
              <w:right w:val="single" w:color="000000" w:sz="4" w:space="0"/>
            </w:tcBorders>
            <w:vAlign w:val="center"/>
          </w:tcPr>
          <w:p>
            <w:pPr>
              <w:jc w:val="left"/>
              <w:textAlignment w:val="auto"/>
              <w:rPr>
                <w:rStyle w:val="13"/>
                <w:rFonts w:ascii="宋体" w:hAnsi="宋体"/>
                <w:color w:val="000000"/>
                <w:kern w:val="0"/>
                <w:sz w:val="24"/>
              </w:rPr>
            </w:pPr>
          </w:p>
        </w:tc>
        <w:tc>
          <w:tcPr>
            <w:tcW w:w="4369"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2、早于预执行时间提醒</w:t>
            </w:r>
          </w:p>
        </w:tc>
      </w:tr>
      <w:tr>
        <w:tblPrEx>
          <w:tblCellMar>
            <w:top w:w="0" w:type="dxa"/>
            <w:left w:w="0" w:type="dxa"/>
            <w:bottom w:w="0" w:type="dxa"/>
            <w:right w:w="0" w:type="dxa"/>
          </w:tblCellMar>
        </w:tblPrEx>
        <w:tc>
          <w:tcPr>
            <w:tcW w:w="866"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36</w:t>
            </w:r>
          </w:p>
        </w:tc>
        <w:tc>
          <w:tcPr>
            <w:tcW w:w="1374" w:type="dxa"/>
            <w:vMerge w:val="continue"/>
            <w:tcBorders>
              <w:left w:val="single" w:color="000000" w:sz="4" w:space="0"/>
              <w:right w:val="single" w:color="000000" w:sz="4" w:space="0"/>
            </w:tcBorders>
            <w:vAlign w:val="center"/>
          </w:tcPr>
          <w:p>
            <w:pPr>
              <w:jc w:val="center"/>
              <w:textAlignment w:val="auto"/>
              <w:rPr>
                <w:rStyle w:val="13"/>
                <w:rFonts w:ascii="宋体" w:hAnsi="宋体"/>
                <w:color w:val="000000"/>
                <w:kern w:val="0"/>
                <w:sz w:val="24"/>
              </w:rPr>
            </w:pPr>
          </w:p>
        </w:tc>
        <w:tc>
          <w:tcPr>
            <w:tcW w:w="1886" w:type="dxa"/>
            <w:tcBorders>
              <w:top w:val="single" w:color="000000" w:sz="4" w:space="0"/>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续滴</w:t>
            </w:r>
          </w:p>
        </w:tc>
        <w:tc>
          <w:tcPr>
            <w:tcW w:w="4369"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续滴场景的水，在同一通道可以自动结束</w:t>
            </w:r>
          </w:p>
        </w:tc>
      </w:tr>
      <w:tr>
        <w:tblPrEx>
          <w:tblCellMar>
            <w:top w:w="0" w:type="dxa"/>
            <w:left w:w="0" w:type="dxa"/>
            <w:bottom w:w="0" w:type="dxa"/>
            <w:right w:w="0" w:type="dxa"/>
          </w:tblCellMar>
        </w:tblPrEx>
        <w:tc>
          <w:tcPr>
            <w:tcW w:w="866"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37</w:t>
            </w:r>
          </w:p>
        </w:tc>
        <w:tc>
          <w:tcPr>
            <w:tcW w:w="1374" w:type="dxa"/>
            <w:vMerge w:val="continue"/>
            <w:tcBorders>
              <w:left w:val="single" w:color="000000" w:sz="4" w:space="0"/>
              <w:right w:val="single" w:color="000000" w:sz="4" w:space="0"/>
            </w:tcBorders>
            <w:vAlign w:val="center"/>
          </w:tcPr>
          <w:p>
            <w:pPr>
              <w:jc w:val="center"/>
              <w:textAlignment w:val="auto"/>
              <w:rPr>
                <w:rStyle w:val="13"/>
                <w:rFonts w:ascii="宋体" w:hAnsi="宋体"/>
                <w:color w:val="000000"/>
                <w:kern w:val="0"/>
                <w:sz w:val="24"/>
              </w:rPr>
            </w:pPr>
          </w:p>
        </w:tc>
        <w:tc>
          <w:tcPr>
            <w:tcW w:w="1886"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多通道输液</w:t>
            </w:r>
          </w:p>
        </w:tc>
        <w:tc>
          <w:tcPr>
            <w:tcW w:w="4369"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可以选择增加通道，对不同通道增加属性</w:t>
            </w:r>
          </w:p>
        </w:tc>
      </w:tr>
      <w:tr>
        <w:tblPrEx>
          <w:tblCellMar>
            <w:top w:w="0" w:type="dxa"/>
            <w:left w:w="0" w:type="dxa"/>
            <w:bottom w:w="0" w:type="dxa"/>
            <w:right w:w="0" w:type="dxa"/>
          </w:tblCellMar>
        </w:tblPrEx>
        <w:tc>
          <w:tcPr>
            <w:tcW w:w="866"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38</w:t>
            </w:r>
          </w:p>
        </w:tc>
        <w:tc>
          <w:tcPr>
            <w:tcW w:w="1374" w:type="dxa"/>
            <w:vMerge w:val="continue"/>
            <w:tcBorders>
              <w:left w:val="single" w:color="000000" w:sz="4" w:space="0"/>
              <w:right w:val="single" w:color="000000" w:sz="4" w:space="0"/>
            </w:tcBorders>
            <w:vAlign w:val="center"/>
          </w:tcPr>
          <w:p>
            <w:pPr>
              <w:jc w:val="center"/>
              <w:textAlignment w:val="auto"/>
              <w:rPr>
                <w:rStyle w:val="13"/>
                <w:rFonts w:ascii="宋体" w:hAnsi="宋体"/>
                <w:color w:val="000000"/>
                <w:kern w:val="0"/>
                <w:sz w:val="24"/>
              </w:rPr>
            </w:pPr>
          </w:p>
        </w:tc>
        <w:tc>
          <w:tcPr>
            <w:tcW w:w="1886"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领血核对</w:t>
            </w:r>
          </w:p>
        </w:tc>
        <w:tc>
          <w:tcPr>
            <w:tcW w:w="4369"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1、支持双人扫描发血单条码，血袋条码，进行领血核对，系统记录领血人和领血时间</w:t>
            </w:r>
          </w:p>
        </w:tc>
      </w:tr>
      <w:tr>
        <w:tblPrEx>
          <w:tblCellMar>
            <w:top w:w="0" w:type="dxa"/>
            <w:left w:w="0" w:type="dxa"/>
            <w:bottom w:w="0" w:type="dxa"/>
            <w:right w:w="0" w:type="dxa"/>
          </w:tblCellMar>
        </w:tblPrEx>
        <w:tc>
          <w:tcPr>
            <w:tcW w:w="866"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39</w:t>
            </w:r>
          </w:p>
        </w:tc>
        <w:tc>
          <w:tcPr>
            <w:tcW w:w="1374" w:type="dxa"/>
            <w:vMerge w:val="continue"/>
            <w:tcBorders>
              <w:left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1886"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输血核对</w:t>
            </w:r>
          </w:p>
        </w:tc>
        <w:tc>
          <w:tcPr>
            <w:tcW w:w="4369"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1、支持双人扫描血袋条码（成分码、献血码）显示输血信息，再扫描患者腕带进行信息核对</w:t>
            </w:r>
            <w:r>
              <w:rPr>
                <w:rStyle w:val="13"/>
                <w:rFonts w:ascii="宋体" w:hAnsi="宋体"/>
                <w:color w:val="000000"/>
                <w:kern w:val="0"/>
                <w:sz w:val="24"/>
              </w:rPr>
              <w:br w:type="textWrapping" w:clear="all"/>
            </w:r>
            <w:r>
              <w:rPr>
                <w:rStyle w:val="13"/>
                <w:rFonts w:ascii="宋体" w:hAnsi="宋体"/>
                <w:color w:val="000000"/>
                <w:kern w:val="0"/>
                <w:sz w:val="24"/>
              </w:rPr>
              <w:t>2、支持记录患者自述血型、当前滴速</w:t>
            </w:r>
          </w:p>
        </w:tc>
      </w:tr>
      <w:tr>
        <w:tblPrEx>
          <w:tblCellMar>
            <w:top w:w="0" w:type="dxa"/>
            <w:left w:w="0" w:type="dxa"/>
            <w:bottom w:w="0" w:type="dxa"/>
            <w:right w:w="0" w:type="dxa"/>
          </w:tblCellMar>
        </w:tblPrEx>
        <w:tc>
          <w:tcPr>
            <w:tcW w:w="866"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40</w:t>
            </w:r>
          </w:p>
        </w:tc>
        <w:tc>
          <w:tcPr>
            <w:tcW w:w="1374" w:type="dxa"/>
            <w:vMerge w:val="continue"/>
            <w:tcBorders>
              <w:left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1886"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输血巡视</w:t>
            </w:r>
          </w:p>
        </w:tc>
        <w:tc>
          <w:tcPr>
            <w:tcW w:w="4369"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1、输血过程中扫描血袋条码进行输血巡视，记录当前滴速，观察及护理操作。</w:t>
            </w:r>
            <w:r>
              <w:rPr>
                <w:rStyle w:val="13"/>
                <w:rFonts w:ascii="宋体" w:hAnsi="宋体"/>
                <w:color w:val="000000"/>
                <w:kern w:val="0"/>
                <w:sz w:val="24"/>
              </w:rPr>
              <w:br w:type="textWrapping" w:clear="all"/>
            </w:r>
            <w:r>
              <w:rPr>
                <w:rStyle w:val="13"/>
                <w:rFonts w:ascii="宋体" w:hAnsi="宋体"/>
                <w:color w:val="000000"/>
                <w:kern w:val="0"/>
                <w:sz w:val="24"/>
              </w:rPr>
              <w:t>2、支持暂停，结束，巡视等操作</w:t>
            </w:r>
          </w:p>
        </w:tc>
      </w:tr>
      <w:tr>
        <w:tblPrEx>
          <w:tblCellMar>
            <w:top w:w="0" w:type="dxa"/>
            <w:left w:w="0" w:type="dxa"/>
            <w:bottom w:w="0" w:type="dxa"/>
            <w:right w:w="0" w:type="dxa"/>
          </w:tblCellMar>
        </w:tblPrEx>
        <w:tc>
          <w:tcPr>
            <w:tcW w:w="866"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41</w:t>
            </w:r>
          </w:p>
        </w:tc>
        <w:tc>
          <w:tcPr>
            <w:tcW w:w="1374" w:type="dxa"/>
            <w:vMerge w:val="continue"/>
            <w:tcBorders>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1886"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血袋回收</w:t>
            </w:r>
          </w:p>
        </w:tc>
        <w:tc>
          <w:tcPr>
            <w:tcW w:w="4369"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1、支持扫描血袋进行血袋回收，完成输血的闭环操作</w:t>
            </w:r>
          </w:p>
        </w:tc>
      </w:tr>
      <w:tr>
        <w:tblPrEx>
          <w:tblCellMar>
            <w:top w:w="0" w:type="dxa"/>
            <w:left w:w="0" w:type="dxa"/>
            <w:bottom w:w="0" w:type="dxa"/>
            <w:right w:w="0" w:type="dxa"/>
          </w:tblCellMar>
        </w:tblPrEx>
        <w:tc>
          <w:tcPr>
            <w:tcW w:w="866"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42</w:t>
            </w:r>
          </w:p>
        </w:tc>
        <w:tc>
          <w:tcPr>
            <w:tcW w:w="1374" w:type="dxa"/>
            <w:vMerge w:val="restart"/>
            <w:tcBorders>
              <w:top w:val="nil"/>
              <w:left w:val="single" w:color="000000" w:sz="4" w:space="0"/>
              <w:bottom w:val="nil"/>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体征录入</w:t>
            </w:r>
          </w:p>
        </w:tc>
        <w:tc>
          <w:tcPr>
            <w:tcW w:w="1886" w:type="dxa"/>
            <w:tcBorders>
              <w:top w:val="nil"/>
              <w:left w:val="nil"/>
              <w:bottom w:val="single" w:color="000000" w:sz="4" w:space="0"/>
              <w:right w:val="single" w:color="000000" w:sz="4" w:space="0"/>
            </w:tcBorders>
            <w:shd w:val="clear" w:color="auto" w:fill="FFFFFF"/>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体征批量录入</w:t>
            </w:r>
          </w:p>
        </w:tc>
        <w:tc>
          <w:tcPr>
            <w:tcW w:w="4369" w:type="dxa"/>
            <w:tcBorders>
              <w:top w:val="nil"/>
              <w:left w:val="nil"/>
              <w:bottom w:val="single" w:color="000000" w:sz="4" w:space="0"/>
              <w:right w:val="single" w:color="000000" w:sz="4" w:space="0"/>
            </w:tcBorders>
            <w:shd w:val="clear" w:color="auto" w:fill="FFFFFF"/>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1、支持选择固定时间点手动输入录入生命体征（体征、脉搏、呼吸、大便）</w:t>
            </w:r>
          </w:p>
        </w:tc>
      </w:tr>
      <w:tr>
        <w:tblPrEx>
          <w:tblCellMar>
            <w:top w:w="0" w:type="dxa"/>
            <w:left w:w="0" w:type="dxa"/>
            <w:bottom w:w="0" w:type="dxa"/>
            <w:right w:w="0" w:type="dxa"/>
          </w:tblCellMar>
        </w:tblPrEx>
        <w:tc>
          <w:tcPr>
            <w:tcW w:w="866"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43</w:t>
            </w:r>
          </w:p>
        </w:tc>
        <w:tc>
          <w:tcPr>
            <w:tcW w:w="1374" w:type="dxa"/>
            <w:vMerge w:val="continue"/>
            <w:tcBorders>
              <w:top w:val="nil"/>
              <w:left w:val="single" w:color="000000" w:sz="4" w:space="0"/>
              <w:bottom w:val="nil"/>
              <w:right w:val="single" w:color="000000" w:sz="4" w:space="0"/>
            </w:tcBorders>
            <w:vAlign w:val="center"/>
          </w:tcPr>
          <w:p>
            <w:pPr>
              <w:jc w:val="left"/>
              <w:textAlignment w:val="auto"/>
              <w:rPr>
                <w:rStyle w:val="13"/>
                <w:rFonts w:ascii="宋体" w:hAnsi="宋体"/>
                <w:color w:val="000000"/>
                <w:kern w:val="0"/>
                <w:sz w:val="24"/>
              </w:rPr>
            </w:pPr>
          </w:p>
        </w:tc>
        <w:tc>
          <w:tcPr>
            <w:tcW w:w="1886" w:type="dxa"/>
            <w:tcBorders>
              <w:top w:val="nil"/>
              <w:left w:val="nil"/>
              <w:bottom w:val="single" w:color="000000" w:sz="4" w:space="0"/>
              <w:right w:val="single" w:color="000000" w:sz="4" w:space="0"/>
            </w:tcBorders>
            <w:shd w:val="clear" w:color="auto" w:fill="FFFFFF"/>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（体征项目）语音录入</w:t>
            </w:r>
          </w:p>
        </w:tc>
        <w:tc>
          <w:tcPr>
            <w:tcW w:w="4369" w:type="dxa"/>
            <w:tcBorders>
              <w:top w:val="nil"/>
              <w:left w:val="nil"/>
              <w:bottom w:val="single" w:color="000000" w:sz="4" w:space="0"/>
              <w:right w:val="single" w:color="000000" w:sz="4" w:space="0"/>
            </w:tcBorders>
            <w:shd w:val="clear" w:color="auto" w:fill="FFFFFF"/>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1、支持语音录入（体征、脉搏、呼吸、大便）等体征项目</w:t>
            </w:r>
          </w:p>
        </w:tc>
      </w:tr>
      <w:tr>
        <w:tblPrEx>
          <w:tblCellMar>
            <w:top w:w="0" w:type="dxa"/>
            <w:left w:w="0" w:type="dxa"/>
            <w:bottom w:w="0" w:type="dxa"/>
            <w:right w:w="0" w:type="dxa"/>
          </w:tblCellMar>
        </w:tblPrEx>
        <w:tc>
          <w:tcPr>
            <w:tcW w:w="866"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44</w:t>
            </w:r>
          </w:p>
        </w:tc>
        <w:tc>
          <w:tcPr>
            <w:tcW w:w="1374" w:type="dxa"/>
            <w:vMerge w:val="continue"/>
            <w:tcBorders>
              <w:top w:val="nil"/>
              <w:left w:val="single" w:color="000000" w:sz="4" w:space="0"/>
              <w:bottom w:val="nil"/>
              <w:right w:val="single" w:color="000000" w:sz="4" w:space="0"/>
            </w:tcBorders>
            <w:vAlign w:val="center"/>
          </w:tcPr>
          <w:p>
            <w:pPr>
              <w:jc w:val="left"/>
              <w:textAlignment w:val="auto"/>
              <w:rPr>
                <w:rStyle w:val="13"/>
                <w:rFonts w:ascii="宋体" w:hAnsi="宋体"/>
                <w:color w:val="000000"/>
                <w:kern w:val="0"/>
                <w:sz w:val="24"/>
              </w:rPr>
            </w:pPr>
          </w:p>
        </w:tc>
        <w:tc>
          <w:tcPr>
            <w:tcW w:w="1886" w:type="dxa"/>
            <w:tcBorders>
              <w:top w:val="nil"/>
              <w:left w:val="nil"/>
              <w:bottom w:val="single" w:color="000000" w:sz="4" w:space="0"/>
              <w:right w:val="single" w:color="000000" w:sz="4" w:space="0"/>
            </w:tcBorders>
            <w:shd w:val="clear" w:color="auto" w:fill="FFFFFF"/>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（体征项目）实时转写</w:t>
            </w:r>
          </w:p>
        </w:tc>
        <w:tc>
          <w:tcPr>
            <w:tcW w:w="4369" w:type="dxa"/>
            <w:tcBorders>
              <w:top w:val="nil"/>
              <w:left w:val="nil"/>
              <w:bottom w:val="single" w:color="000000" w:sz="4" w:space="0"/>
              <w:right w:val="single" w:color="000000" w:sz="4" w:space="0"/>
            </w:tcBorders>
            <w:shd w:val="clear" w:color="auto" w:fill="FFFFFF"/>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1、拒识（非关键词不上屏）</w:t>
            </w:r>
          </w:p>
        </w:tc>
      </w:tr>
      <w:tr>
        <w:tblPrEx>
          <w:tblCellMar>
            <w:top w:w="0" w:type="dxa"/>
            <w:left w:w="0" w:type="dxa"/>
            <w:bottom w:w="0" w:type="dxa"/>
            <w:right w:w="0" w:type="dxa"/>
          </w:tblCellMar>
        </w:tblPrEx>
        <w:tc>
          <w:tcPr>
            <w:tcW w:w="866"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45</w:t>
            </w:r>
          </w:p>
        </w:tc>
        <w:tc>
          <w:tcPr>
            <w:tcW w:w="1374" w:type="dxa"/>
            <w:vMerge w:val="continue"/>
            <w:tcBorders>
              <w:top w:val="nil"/>
              <w:left w:val="single" w:color="000000" w:sz="4" w:space="0"/>
              <w:bottom w:val="nil"/>
              <w:right w:val="single" w:color="000000" w:sz="4" w:space="0"/>
            </w:tcBorders>
            <w:vAlign w:val="center"/>
          </w:tcPr>
          <w:p>
            <w:pPr>
              <w:jc w:val="left"/>
              <w:textAlignment w:val="auto"/>
              <w:rPr>
                <w:rStyle w:val="13"/>
                <w:rFonts w:ascii="宋体" w:hAnsi="宋体"/>
                <w:color w:val="000000"/>
                <w:kern w:val="0"/>
                <w:sz w:val="24"/>
              </w:rPr>
            </w:pPr>
          </w:p>
        </w:tc>
        <w:tc>
          <w:tcPr>
            <w:tcW w:w="1886" w:type="dxa"/>
            <w:tcBorders>
              <w:top w:val="nil"/>
              <w:left w:val="nil"/>
              <w:bottom w:val="single" w:color="000000" w:sz="4" w:space="0"/>
              <w:right w:val="single" w:color="000000" w:sz="4" w:space="0"/>
            </w:tcBorders>
            <w:shd w:val="clear" w:color="auto" w:fill="FFFFFF"/>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（体征项目）语音录入</w:t>
            </w:r>
          </w:p>
        </w:tc>
        <w:tc>
          <w:tcPr>
            <w:tcW w:w="4369" w:type="dxa"/>
            <w:tcBorders>
              <w:top w:val="nil"/>
              <w:left w:val="nil"/>
              <w:bottom w:val="single" w:color="000000" w:sz="4" w:space="0"/>
              <w:right w:val="single" w:color="000000" w:sz="4" w:space="0"/>
            </w:tcBorders>
            <w:shd w:val="clear" w:color="auto" w:fill="FFFFFF"/>
            <w:vAlign w:val="bottom"/>
          </w:tcPr>
          <w:p>
            <w:pPr>
              <w:jc w:val="left"/>
              <w:textAlignment w:val="auto"/>
              <w:rPr>
                <w:rStyle w:val="13"/>
                <w:rFonts w:ascii="宋体" w:hAnsi="宋体"/>
                <w:color w:val="000000"/>
                <w:kern w:val="0"/>
                <w:sz w:val="24"/>
              </w:rPr>
            </w:pPr>
            <w:r>
              <w:rPr>
                <w:rStyle w:val="13"/>
                <w:rFonts w:ascii="宋体" w:hAnsi="宋体"/>
                <w:color w:val="000000"/>
                <w:kern w:val="0"/>
                <w:sz w:val="24"/>
              </w:rPr>
              <w:t>1、支持语音录入（病人事件、事件时间、体温、降温后、呼吸、心率、脉搏、血压、出量、入量、尿量、大便次数、体重）</w:t>
            </w:r>
            <w:r>
              <w:rPr>
                <w:rStyle w:val="13"/>
                <w:rFonts w:ascii="宋体" w:hAnsi="宋体"/>
                <w:color w:val="000000"/>
                <w:kern w:val="0"/>
                <w:sz w:val="24"/>
              </w:rPr>
              <w:br w:type="textWrapping" w:clear="all"/>
            </w:r>
            <w:r>
              <w:rPr>
                <w:rStyle w:val="13"/>
                <w:rFonts w:ascii="宋体" w:hAnsi="宋体"/>
                <w:color w:val="000000"/>
                <w:kern w:val="0"/>
                <w:sz w:val="24"/>
              </w:rPr>
              <w:t>2、体温支持腋温、肛温、耳温、口温度；</w:t>
            </w:r>
            <w:r>
              <w:rPr>
                <w:rStyle w:val="13"/>
                <w:rFonts w:ascii="宋体" w:hAnsi="宋体"/>
                <w:color w:val="000000"/>
                <w:kern w:val="0"/>
                <w:sz w:val="24"/>
              </w:rPr>
              <w:br w:type="textWrapping" w:clear="all"/>
            </w:r>
            <w:r>
              <w:rPr>
                <w:rStyle w:val="13"/>
                <w:rFonts w:ascii="宋体" w:hAnsi="宋体"/>
                <w:color w:val="000000"/>
                <w:kern w:val="0"/>
                <w:sz w:val="24"/>
              </w:rPr>
              <w:t>3、支持选择自由时间点录入</w:t>
            </w:r>
          </w:p>
        </w:tc>
      </w:tr>
      <w:tr>
        <w:tblPrEx>
          <w:tblCellMar>
            <w:top w:w="0" w:type="dxa"/>
            <w:left w:w="0" w:type="dxa"/>
            <w:bottom w:w="0" w:type="dxa"/>
            <w:right w:w="0" w:type="dxa"/>
          </w:tblCellMar>
        </w:tblPrEx>
        <w:tc>
          <w:tcPr>
            <w:tcW w:w="866"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46</w:t>
            </w:r>
          </w:p>
        </w:tc>
        <w:tc>
          <w:tcPr>
            <w:tcW w:w="1374" w:type="dxa"/>
            <w:vMerge w:val="continue"/>
            <w:tcBorders>
              <w:top w:val="nil"/>
              <w:left w:val="single" w:color="000000" w:sz="4" w:space="0"/>
              <w:bottom w:val="nil"/>
              <w:right w:val="single" w:color="000000" w:sz="4" w:space="0"/>
            </w:tcBorders>
            <w:vAlign w:val="center"/>
          </w:tcPr>
          <w:p>
            <w:pPr>
              <w:jc w:val="left"/>
              <w:textAlignment w:val="auto"/>
              <w:rPr>
                <w:rStyle w:val="13"/>
                <w:rFonts w:ascii="宋体" w:hAnsi="宋体"/>
                <w:color w:val="000000"/>
                <w:kern w:val="0"/>
                <w:sz w:val="24"/>
              </w:rPr>
            </w:pPr>
          </w:p>
        </w:tc>
        <w:tc>
          <w:tcPr>
            <w:tcW w:w="1886" w:type="dxa"/>
            <w:tcBorders>
              <w:top w:val="nil"/>
              <w:left w:val="nil"/>
              <w:bottom w:val="nil"/>
              <w:right w:val="single" w:color="000000" w:sz="4" w:space="0"/>
            </w:tcBorders>
            <w:shd w:val="clear" w:color="auto" w:fill="FFFFFF"/>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自动标记</w:t>
            </w:r>
          </w:p>
        </w:tc>
        <w:tc>
          <w:tcPr>
            <w:tcW w:w="4369" w:type="dxa"/>
            <w:tcBorders>
              <w:top w:val="nil"/>
              <w:left w:val="nil"/>
              <w:bottom w:val="single" w:color="000000" w:sz="4" w:space="0"/>
              <w:right w:val="single" w:color="000000" w:sz="4" w:space="0"/>
            </w:tcBorders>
            <w:shd w:val="clear" w:color="auto" w:fill="FFFFFF"/>
            <w:vAlign w:val="bottom"/>
          </w:tcPr>
          <w:p>
            <w:pPr>
              <w:jc w:val="left"/>
              <w:textAlignment w:val="auto"/>
              <w:rPr>
                <w:rStyle w:val="13"/>
                <w:rFonts w:ascii="宋体" w:hAnsi="宋体"/>
                <w:color w:val="000000"/>
                <w:kern w:val="0"/>
                <w:sz w:val="24"/>
              </w:rPr>
            </w:pPr>
            <w:r>
              <w:rPr>
                <w:rStyle w:val="13"/>
                <w:rFonts w:ascii="宋体" w:hAnsi="宋体"/>
                <w:color w:val="000000"/>
                <w:kern w:val="0"/>
                <w:sz w:val="24"/>
              </w:rPr>
              <w:t>1、语义理解，脉搏&lt;心率，自动标记脉搏短促</w:t>
            </w:r>
          </w:p>
        </w:tc>
      </w:tr>
      <w:tr>
        <w:tblPrEx>
          <w:tblCellMar>
            <w:top w:w="0" w:type="dxa"/>
            <w:left w:w="0" w:type="dxa"/>
            <w:bottom w:w="0" w:type="dxa"/>
            <w:right w:w="0" w:type="dxa"/>
          </w:tblCellMar>
        </w:tblPrEx>
        <w:tc>
          <w:tcPr>
            <w:tcW w:w="866"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47</w:t>
            </w:r>
          </w:p>
        </w:tc>
        <w:tc>
          <w:tcPr>
            <w:tcW w:w="1374"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AI语音助手</w:t>
            </w:r>
          </w:p>
        </w:tc>
        <w:tc>
          <w:tcPr>
            <w:tcW w:w="1886" w:type="dxa"/>
            <w:tcBorders>
              <w:top w:val="single" w:color="000000" w:sz="4" w:space="0"/>
              <w:left w:val="nil"/>
              <w:bottom w:val="single" w:color="000000" w:sz="4" w:space="0"/>
              <w:right w:val="single" w:color="000000" w:sz="4" w:space="0"/>
            </w:tcBorders>
            <w:shd w:val="clear" w:color="auto" w:fill="FFFFFF"/>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语音导航</w:t>
            </w:r>
          </w:p>
        </w:tc>
        <w:tc>
          <w:tcPr>
            <w:tcW w:w="4369" w:type="dxa"/>
            <w:tcBorders>
              <w:top w:val="nil"/>
              <w:left w:val="nil"/>
              <w:bottom w:val="single" w:color="000000" w:sz="4" w:space="0"/>
              <w:right w:val="single" w:color="000000" w:sz="4" w:space="0"/>
            </w:tcBorders>
            <w:shd w:val="clear" w:color="auto" w:fill="FFFFFF"/>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1、支持语音导航，快速定位跳转到病人相关信息</w:t>
            </w:r>
          </w:p>
        </w:tc>
      </w:tr>
      <w:tr>
        <w:tblPrEx>
          <w:tblCellMar>
            <w:top w:w="0" w:type="dxa"/>
            <w:left w:w="0" w:type="dxa"/>
            <w:bottom w:w="0" w:type="dxa"/>
            <w:right w:w="0" w:type="dxa"/>
          </w:tblCellMar>
        </w:tblPrEx>
        <w:tc>
          <w:tcPr>
            <w:tcW w:w="866"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48</w:t>
            </w:r>
          </w:p>
        </w:tc>
        <w:tc>
          <w:tcPr>
            <w:tcW w:w="1374"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1886" w:type="dxa"/>
            <w:tcBorders>
              <w:top w:val="nil"/>
              <w:left w:val="nil"/>
              <w:bottom w:val="single" w:color="000000" w:sz="4" w:space="0"/>
              <w:right w:val="single" w:color="000000" w:sz="4" w:space="0"/>
            </w:tcBorders>
            <w:shd w:val="clear" w:color="auto" w:fill="FFFFFF"/>
            <w:vAlign w:val="center"/>
          </w:tcPr>
          <w:p>
            <w:pPr>
              <w:jc w:val="center"/>
              <w:textAlignment w:val="auto"/>
              <w:rPr>
                <w:rStyle w:val="13"/>
                <w:rFonts w:ascii="宋体" w:hAnsi="宋体"/>
                <w:color w:val="000000"/>
                <w:kern w:val="0"/>
                <w:sz w:val="24"/>
              </w:rPr>
            </w:pPr>
            <w:r>
              <w:rPr>
                <w:rStyle w:val="13"/>
                <w:rFonts w:ascii="宋体" w:hAnsi="宋体"/>
                <w:sz w:val="24"/>
              </w:rPr>
              <w:t>★</w:t>
            </w:r>
            <w:r>
              <w:rPr>
                <w:rStyle w:val="13"/>
                <w:rFonts w:ascii="宋体" w:hAnsi="宋体"/>
                <w:color w:val="000000"/>
                <w:kern w:val="0"/>
                <w:sz w:val="24"/>
              </w:rPr>
              <w:t>语音搜索</w:t>
            </w:r>
          </w:p>
        </w:tc>
        <w:tc>
          <w:tcPr>
            <w:tcW w:w="4369" w:type="dxa"/>
            <w:tcBorders>
              <w:top w:val="nil"/>
              <w:left w:val="nil"/>
              <w:bottom w:val="single" w:color="000000" w:sz="4" w:space="0"/>
              <w:right w:val="single" w:color="000000" w:sz="4" w:space="0"/>
            </w:tcBorders>
            <w:shd w:val="clear" w:color="auto" w:fill="FFFFFF"/>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1、支持语音直接搜索患者对应检验项目，检查项目</w:t>
            </w:r>
            <w:r>
              <w:rPr>
                <w:rStyle w:val="13"/>
                <w:rFonts w:ascii="宋体" w:hAnsi="宋体"/>
                <w:color w:val="000000"/>
                <w:kern w:val="0"/>
                <w:sz w:val="24"/>
              </w:rPr>
              <w:br w:type="textWrapping" w:clear="all"/>
            </w:r>
            <w:r>
              <w:rPr>
                <w:rStyle w:val="13"/>
                <w:rFonts w:ascii="宋体" w:hAnsi="宋体"/>
                <w:color w:val="000000"/>
                <w:kern w:val="0"/>
                <w:sz w:val="24"/>
              </w:rPr>
              <w:t>2、支持语音直接搜索新入、手术、一级护理、特级护理等患者</w:t>
            </w:r>
            <w:r>
              <w:rPr>
                <w:rStyle w:val="13"/>
                <w:rFonts w:ascii="宋体" w:hAnsi="宋体"/>
                <w:color w:val="000000"/>
                <w:kern w:val="0"/>
                <w:sz w:val="24"/>
              </w:rPr>
              <w:br w:type="textWrapping" w:clear="all"/>
            </w:r>
            <w:r>
              <w:rPr>
                <w:rStyle w:val="13"/>
                <w:rFonts w:ascii="宋体" w:hAnsi="宋体"/>
                <w:color w:val="000000"/>
                <w:kern w:val="0"/>
                <w:sz w:val="24"/>
              </w:rPr>
              <w:t>3、支持语音搜索药品字典、疾病字典等临床知识库信息</w:t>
            </w:r>
          </w:p>
        </w:tc>
      </w:tr>
      <w:tr>
        <w:tblPrEx>
          <w:tblCellMar>
            <w:top w:w="0" w:type="dxa"/>
            <w:left w:w="0" w:type="dxa"/>
            <w:bottom w:w="0" w:type="dxa"/>
            <w:right w:w="0" w:type="dxa"/>
          </w:tblCellMar>
        </w:tblPrEx>
        <w:tc>
          <w:tcPr>
            <w:tcW w:w="866"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49</w:t>
            </w:r>
          </w:p>
        </w:tc>
        <w:tc>
          <w:tcPr>
            <w:tcW w:w="1374"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1886" w:type="dxa"/>
            <w:tcBorders>
              <w:top w:val="nil"/>
              <w:left w:val="nil"/>
              <w:bottom w:val="single" w:color="000000" w:sz="4" w:space="0"/>
              <w:right w:val="single" w:color="000000" w:sz="4" w:space="0"/>
            </w:tcBorders>
            <w:shd w:val="clear" w:color="auto" w:fill="FFFFFF"/>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语音统计</w:t>
            </w:r>
          </w:p>
        </w:tc>
        <w:tc>
          <w:tcPr>
            <w:tcW w:w="4369" w:type="dxa"/>
            <w:tcBorders>
              <w:top w:val="nil"/>
              <w:left w:val="nil"/>
              <w:bottom w:val="single" w:color="000000" w:sz="4" w:space="0"/>
              <w:right w:val="single" w:color="000000" w:sz="4" w:space="0"/>
            </w:tcBorders>
            <w:shd w:val="clear" w:color="auto" w:fill="FFFFFF"/>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1、支持语音统计新入、手术、危急、空床等患者人数</w:t>
            </w:r>
          </w:p>
        </w:tc>
      </w:tr>
      <w:tr>
        <w:tblPrEx>
          <w:tblCellMar>
            <w:top w:w="0" w:type="dxa"/>
            <w:left w:w="0" w:type="dxa"/>
            <w:bottom w:w="0" w:type="dxa"/>
            <w:right w:w="0" w:type="dxa"/>
          </w:tblCellMar>
        </w:tblPrEx>
        <w:tc>
          <w:tcPr>
            <w:tcW w:w="866"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50</w:t>
            </w:r>
          </w:p>
        </w:tc>
        <w:tc>
          <w:tcPr>
            <w:tcW w:w="1374"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1886" w:type="dxa"/>
            <w:tcBorders>
              <w:top w:val="nil"/>
              <w:left w:val="nil"/>
              <w:bottom w:val="single" w:color="000000" w:sz="4" w:space="0"/>
              <w:right w:val="single" w:color="000000" w:sz="4" w:space="0"/>
            </w:tcBorders>
            <w:shd w:val="clear" w:color="auto" w:fill="FFFFFF"/>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语音备忘</w:t>
            </w:r>
          </w:p>
        </w:tc>
        <w:tc>
          <w:tcPr>
            <w:tcW w:w="4369" w:type="dxa"/>
            <w:tcBorders>
              <w:top w:val="nil"/>
              <w:left w:val="nil"/>
              <w:bottom w:val="single" w:color="000000" w:sz="4" w:space="0"/>
              <w:right w:val="single" w:color="000000" w:sz="4" w:space="0"/>
            </w:tcBorders>
            <w:shd w:val="clear" w:color="auto" w:fill="FFFFFF"/>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1、支持语音建立提醒、备忘</w:t>
            </w:r>
          </w:p>
        </w:tc>
      </w:tr>
      <w:tr>
        <w:tblPrEx>
          <w:tblCellMar>
            <w:top w:w="0" w:type="dxa"/>
            <w:left w:w="0" w:type="dxa"/>
            <w:bottom w:w="0" w:type="dxa"/>
            <w:right w:w="0" w:type="dxa"/>
          </w:tblCellMar>
        </w:tblPrEx>
        <w:tc>
          <w:tcPr>
            <w:tcW w:w="866"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51</w:t>
            </w:r>
          </w:p>
        </w:tc>
        <w:tc>
          <w:tcPr>
            <w:tcW w:w="1374" w:type="dxa"/>
            <w:vMerge w:val="restart"/>
            <w:tcBorders>
              <w:top w:val="nil"/>
              <w:left w:val="single" w:color="000000" w:sz="4" w:space="0"/>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护理巡视</w:t>
            </w:r>
          </w:p>
        </w:tc>
        <w:tc>
          <w:tcPr>
            <w:tcW w:w="1886"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扫码巡视记录</w:t>
            </w:r>
          </w:p>
        </w:tc>
        <w:tc>
          <w:tcPr>
            <w:tcW w:w="4369"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扫码进行巡视签到，标记病人状态（正常、手术、检查、外出等）</w:t>
            </w:r>
          </w:p>
        </w:tc>
      </w:tr>
      <w:tr>
        <w:tblPrEx>
          <w:tblCellMar>
            <w:top w:w="0" w:type="dxa"/>
            <w:left w:w="0" w:type="dxa"/>
            <w:bottom w:w="0" w:type="dxa"/>
            <w:right w:w="0" w:type="dxa"/>
          </w:tblCellMar>
        </w:tblPrEx>
        <w:tc>
          <w:tcPr>
            <w:tcW w:w="866"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52</w:t>
            </w:r>
          </w:p>
        </w:tc>
        <w:tc>
          <w:tcPr>
            <w:tcW w:w="1374" w:type="dxa"/>
            <w:vMerge w:val="continue"/>
            <w:tcBorders>
              <w:top w:val="nil"/>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1886"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巡视记录查询</w:t>
            </w:r>
          </w:p>
        </w:tc>
        <w:tc>
          <w:tcPr>
            <w:tcW w:w="4369"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按照时间筛选查询患者巡视记录</w:t>
            </w:r>
          </w:p>
        </w:tc>
      </w:tr>
      <w:tr>
        <w:tblPrEx>
          <w:tblCellMar>
            <w:top w:w="0" w:type="dxa"/>
            <w:left w:w="0" w:type="dxa"/>
            <w:bottom w:w="0" w:type="dxa"/>
            <w:right w:w="0" w:type="dxa"/>
          </w:tblCellMar>
        </w:tblPrEx>
        <w:tc>
          <w:tcPr>
            <w:tcW w:w="866"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53</w:t>
            </w:r>
          </w:p>
        </w:tc>
        <w:tc>
          <w:tcPr>
            <w:tcW w:w="1374" w:type="dxa"/>
            <w:vMerge w:val="restart"/>
            <w:tcBorders>
              <w:top w:val="nil"/>
              <w:left w:val="single" w:color="000000" w:sz="4" w:space="0"/>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消息提醒</w:t>
            </w:r>
          </w:p>
        </w:tc>
        <w:tc>
          <w:tcPr>
            <w:tcW w:w="1886" w:type="dxa"/>
            <w:vMerge w:val="restart"/>
            <w:tcBorders>
              <w:top w:val="nil"/>
              <w:left w:val="single" w:color="000000" w:sz="4" w:space="0"/>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新医嘱提醒</w:t>
            </w:r>
          </w:p>
        </w:tc>
        <w:tc>
          <w:tcPr>
            <w:tcW w:w="4369" w:type="dxa"/>
            <w:vMerge w:val="restart"/>
            <w:tcBorders>
              <w:top w:val="nil"/>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1、支持新临时医嘱的推送，基于消息的任务式管理；</w:t>
            </w:r>
            <w:r>
              <w:rPr>
                <w:rStyle w:val="13"/>
                <w:rFonts w:ascii="宋体" w:hAnsi="宋体"/>
                <w:color w:val="000000"/>
                <w:kern w:val="0"/>
                <w:sz w:val="24"/>
              </w:rPr>
              <w:br w:type="textWrapping" w:clear="all"/>
            </w:r>
            <w:r>
              <w:rPr>
                <w:rStyle w:val="13"/>
                <w:rFonts w:ascii="宋体" w:hAnsi="宋体"/>
                <w:color w:val="000000"/>
                <w:kern w:val="0"/>
                <w:sz w:val="24"/>
              </w:rPr>
              <w:t>2、支持停止医嘱的推送</w:t>
            </w:r>
          </w:p>
        </w:tc>
      </w:tr>
      <w:tr>
        <w:tblPrEx>
          <w:tblCellMar>
            <w:top w:w="0" w:type="dxa"/>
            <w:left w:w="0" w:type="dxa"/>
            <w:bottom w:w="0" w:type="dxa"/>
            <w:right w:w="0" w:type="dxa"/>
          </w:tblCellMar>
        </w:tblPrEx>
        <w:tc>
          <w:tcPr>
            <w:tcW w:w="866"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54</w:t>
            </w:r>
          </w:p>
        </w:tc>
        <w:tc>
          <w:tcPr>
            <w:tcW w:w="1374" w:type="dxa"/>
            <w:vMerge w:val="continue"/>
            <w:tcBorders>
              <w:top w:val="nil"/>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1886" w:type="dxa"/>
            <w:vMerge w:val="continue"/>
            <w:tcBorders>
              <w:top w:val="nil"/>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4369" w:type="dxa"/>
            <w:vMerge w:val="continue"/>
            <w:tcBorders>
              <w:top w:val="nil"/>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r>
      <w:tr>
        <w:tblPrEx>
          <w:tblCellMar>
            <w:top w:w="0" w:type="dxa"/>
            <w:left w:w="0" w:type="dxa"/>
            <w:bottom w:w="0" w:type="dxa"/>
            <w:right w:w="0" w:type="dxa"/>
          </w:tblCellMar>
        </w:tblPrEx>
        <w:tc>
          <w:tcPr>
            <w:tcW w:w="866"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55</w:t>
            </w:r>
          </w:p>
        </w:tc>
        <w:tc>
          <w:tcPr>
            <w:tcW w:w="1374" w:type="dxa"/>
            <w:vMerge w:val="continue"/>
            <w:tcBorders>
              <w:top w:val="nil"/>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1886" w:type="dxa"/>
            <w:vMerge w:val="continue"/>
            <w:tcBorders>
              <w:top w:val="nil"/>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4369" w:type="dxa"/>
            <w:vMerge w:val="continue"/>
            <w:tcBorders>
              <w:top w:val="nil"/>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r>
      <w:tr>
        <w:tblPrEx>
          <w:tblCellMar>
            <w:top w:w="0" w:type="dxa"/>
            <w:left w:w="0" w:type="dxa"/>
            <w:bottom w:w="0" w:type="dxa"/>
            <w:right w:w="0" w:type="dxa"/>
          </w:tblCellMar>
        </w:tblPrEx>
        <w:tc>
          <w:tcPr>
            <w:tcW w:w="866"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56</w:t>
            </w:r>
          </w:p>
        </w:tc>
        <w:tc>
          <w:tcPr>
            <w:tcW w:w="1374" w:type="dxa"/>
            <w:vMerge w:val="continue"/>
            <w:tcBorders>
              <w:top w:val="nil"/>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1886" w:type="dxa"/>
            <w:vMerge w:val="continue"/>
            <w:tcBorders>
              <w:top w:val="nil"/>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4369" w:type="dxa"/>
            <w:vMerge w:val="continue"/>
            <w:tcBorders>
              <w:top w:val="nil"/>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r>
      <w:tr>
        <w:tblPrEx>
          <w:tblCellMar>
            <w:top w:w="0" w:type="dxa"/>
            <w:left w:w="0" w:type="dxa"/>
            <w:bottom w:w="0" w:type="dxa"/>
            <w:right w:w="0" w:type="dxa"/>
          </w:tblCellMar>
        </w:tblPrEx>
        <w:tc>
          <w:tcPr>
            <w:tcW w:w="866"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57</w:t>
            </w:r>
          </w:p>
        </w:tc>
        <w:tc>
          <w:tcPr>
            <w:tcW w:w="1374" w:type="dxa"/>
            <w:vMerge w:val="continue"/>
            <w:tcBorders>
              <w:top w:val="nil"/>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1886"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风险评估预警</w:t>
            </w:r>
          </w:p>
        </w:tc>
        <w:tc>
          <w:tcPr>
            <w:tcW w:w="4369" w:type="dxa"/>
            <w:tcBorders>
              <w:top w:val="nil"/>
              <w:left w:val="nil"/>
              <w:bottom w:val="single" w:color="000000" w:sz="4" w:space="0"/>
              <w:right w:val="single" w:color="000000" w:sz="4" w:space="0"/>
            </w:tcBorders>
          </w:tcPr>
          <w:p>
            <w:pPr>
              <w:jc w:val="left"/>
              <w:textAlignment w:val="auto"/>
              <w:rPr>
                <w:rStyle w:val="13"/>
                <w:rFonts w:ascii="宋体" w:hAnsi="宋体"/>
                <w:color w:val="000000"/>
                <w:kern w:val="0"/>
                <w:sz w:val="24"/>
              </w:rPr>
            </w:pPr>
            <w:r>
              <w:rPr>
                <w:rStyle w:val="13"/>
                <w:rFonts w:ascii="宋体" w:hAnsi="宋体"/>
                <w:color w:val="000000"/>
                <w:kern w:val="0"/>
                <w:sz w:val="24"/>
              </w:rPr>
              <w:t>1、支持护理四评单（跌倒、压疮、自杀等）风险评估预警，具体评估分数在患者概要中体现</w:t>
            </w:r>
          </w:p>
        </w:tc>
      </w:tr>
      <w:tr>
        <w:tblPrEx>
          <w:tblCellMar>
            <w:top w:w="0" w:type="dxa"/>
            <w:left w:w="0" w:type="dxa"/>
            <w:bottom w:w="0" w:type="dxa"/>
            <w:right w:w="0" w:type="dxa"/>
          </w:tblCellMar>
        </w:tblPrEx>
        <w:tc>
          <w:tcPr>
            <w:tcW w:w="866"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58</w:t>
            </w:r>
          </w:p>
        </w:tc>
        <w:tc>
          <w:tcPr>
            <w:tcW w:w="1374" w:type="dxa"/>
            <w:vMerge w:val="continue"/>
            <w:tcBorders>
              <w:top w:val="nil"/>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1886" w:type="dxa"/>
            <w:tcBorders>
              <w:top w:val="nil"/>
              <w:left w:val="nil"/>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危急值</w:t>
            </w:r>
          </w:p>
        </w:tc>
        <w:tc>
          <w:tcPr>
            <w:tcW w:w="4369" w:type="dxa"/>
            <w:tcBorders>
              <w:top w:val="nil"/>
              <w:left w:val="nil"/>
              <w:bottom w:val="single" w:color="000000" w:sz="4" w:space="0"/>
              <w:right w:val="single" w:color="000000" w:sz="4" w:space="0"/>
            </w:tcBorders>
          </w:tcPr>
          <w:p>
            <w:pPr>
              <w:jc w:val="left"/>
              <w:textAlignment w:val="auto"/>
              <w:rPr>
                <w:rStyle w:val="13"/>
                <w:rFonts w:ascii="宋体" w:hAnsi="宋体"/>
                <w:color w:val="000000"/>
                <w:kern w:val="0"/>
                <w:sz w:val="24"/>
              </w:rPr>
            </w:pPr>
            <w:r>
              <w:rPr>
                <w:rStyle w:val="13"/>
                <w:rFonts w:ascii="宋体" w:hAnsi="宋体"/>
                <w:color w:val="000000"/>
                <w:kern w:val="0"/>
                <w:sz w:val="24"/>
              </w:rPr>
              <w:t>1、根据患者检验结果，自动推送危急值信息</w:t>
            </w:r>
          </w:p>
        </w:tc>
      </w:tr>
    </w:tbl>
    <w:p>
      <w:pPr>
        <w:pStyle w:val="22"/>
        <w:numPr>
          <w:ilvl w:val="4"/>
          <w:numId w:val="0"/>
        </w:numPr>
        <w:spacing w:before="0" w:after="0" w:line="360" w:lineRule="auto"/>
        <w:ind w:left="1560"/>
        <w:textAlignment w:val="auto"/>
        <w:rPr>
          <w:rStyle w:val="13"/>
          <w:rFonts w:ascii="宋体" w:hAnsi="宋体" w:cs="宋体"/>
          <w:bCs/>
          <w:sz w:val="24"/>
          <w:szCs w:val="24"/>
        </w:rPr>
      </w:pPr>
      <w:r>
        <w:rPr>
          <w:rStyle w:val="13"/>
          <w:rFonts w:ascii="宋体" w:hAnsi="宋体" w:cs="宋体"/>
          <w:bCs/>
          <w:sz w:val="24"/>
          <w:szCs w:val="24"/>
        </w:rPr>
        <w:t>配套硬件要求</w:t>
      </w:r>
    </w:p>
    <w:p>
      <w:pPr>
        <w:spacing w:line="360" w:lineRule="auto"/>
        <w:ind w:firstLine="560"/>
        <w:textAlignment w:val="auto"/>
        <w:rPr>
          <w:rStyle w:val="13"/>
          <w:rFonts w:ascii="宋体" w:hAnsi="宋体"/>
          <w:sz w:val="24"/>
        </w:rPr>
      </w:pPr>
      <w:r>
        <w:rPr>
          <w:rStyle w:val="13"/>
          <w:rFonts w:ascii="宋体" w:hAnsi="宋体"/>
          <w:sz w:val="24"/>
        </w:rPr>
        <w:t>移动护理工作站需要支持手机端与PDA，其中PDA硬件参数要求：</w:t>
      </w:r>
    </w:p>
    <w:p>
      <w:pPr>
        <w:pStyle w:val="3"/>
        <w:spacing w:line="360" w:lineRule="auto"/>
        <w:textAlignment w:val="auto"/>
        <w:rPr>
          <w:rStyle w:val="13"/>
          <w:rFonts w:ascii="宋体" w:hAnsi="宋体" w:eastAsia="宋体"/>
          <w:sz w:val="24"/>
          <w:szCs w:val="24"/>
        </w:rPr>
      </w:pPr>
      <w:r>
        <w:rPr>
          <w:rStyle w:val="13"/>
          <w:rFonts w:ascii="宋体" w:hAnsi="宋体" w:eastAsia="宋体"/>
          <w:sz w:val="24"/>
          <w:szCs w:val="24"/>
        </w:rPr>
        <w:t>表格 7 PDA硬件技术参数一览表</w:t>
      </w:r>
    </w:p>
    <w:tbl>
      <w:tblPr>
        <w:tblStyle w:val="10"/>
        <w:tblW w:w="84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93"/>
        <w:gridCol w:w="1101"/>
        <w:gridCol w:w="2353"/>
        <w:gridCol w:w="4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textAlignment w:val="auto"/>
              <w:rPr>
                <w:rStyle w:val="13"/>
                <w:rFonts w:ascii="宋体" w:hAnsi="宋体" w:cs="宋体"/>
                <w:bCs/>
                <w:color w:val="000000"/>
                <w:kern w:val="0"/>
                <w:sz w:val="24"/>
              </w:rPr>
            </w:pPr>
            <w:r>
              <w:rPr>
                <w:rStyle w:val="13"/>
                <w:rFonts w:ascii="宋体" w:hAnsi="宋体" w:cs="宋体"/>
                <w:bCs/>
                <w:color w:val="000000"/>
                <w:kern w:val="0"/>
                <w:sz w:val="24"/>
              </w:rPr>
              <w:t>序号</w:t>
            </w:r>
          </w:p>
        </w:tc>
        <w:tc>
          <w:tcPr>
            <w:tcW w:w="1101"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textAlignment w:val="auto"/>
              <w:rPr>
                <w:rStyle w:val="13"/>
                <w:rFonts w:ascii="宋体" w:hAnsi="宋体" w:cs="宋体"/>
                <w:bCs/>
                <w:color w:val="000000"/>
                <w:kern w:val="0"/>
                <w:sz w:val="24"/>
              </w:rPr>
            </w:pPr>
            <w:r>
              <w:rPr>
                <w:rStyle w:val="13"/>
                <w:rFonts w:ascii="宋体" w:hAnsi="宋体" w:cs="宋体"/>
                <w:bCs/>
                <w:color w:val="000000"/>
                <w:kern w:val="0"/>
                <w:sz w:val="24"/>
              </w:rPr>
              <w:t>模块</w:t>
            </w:r>
          </w:p>
        </w:tc>
        <w:tc>
          <w:tcPr>
            <w:tcW w:w="2353"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textAlignment w:val="auto"/>
              <w:rPr>
                <w:rStyle w:val="13"/>
                <w:rFonts w:ascii="宋体" w:hAnsi="宋体" w:cs="宋体"/>
                <w:bCs/>
                <w:color w:val="000000"/>
                <w:kern w:val="0"/>
                <w:sz w:val="24"/>
              </w:rPr>
            </w:pPr>
            <w:r>
              <w:rPr>
                <w:rStyle w:val="13"/>
                <w:rFonts w:ascii="宋体" w:hAnsi="宋体" w:cs="宋体"/>
                <w:bCs/>
                <w:color w:val="000000"/>
                <w:kern w:val="0"/>
                <w:sz w:val="24"/>
              </w:rPr>
              <w:t>模块功能</w:t>
            </w:r>
          </w:p>
        </w:tc>
        <w:tc>
          <w:tcPr>
            <w:tcW w:w="42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textAlignment w:val="auto"/>
              <w:rPr>
                <w:rStyle w:val="13"/>
                <w:rFonts w:ascii="宋体" w:hAnsi="宋体" w:cs="宋体"/>
                <w:bCs/>
                <w:color w:val="000000"/>
                <w:kern w:val="0"/>
                <w:sz w:val="24"/>
              </w:rPr>
            </w:pPr>
            <w:r>
              <w:rPr>
                <w:rStyle w:val="13"/>
                <w:rFonts w:ascii="宋体" w:hAnsi="宋体" w:cs="宋体"/>
                <w:bCs/>
                <w:color w:val="000000"/>
                <w:kern w:val="0"/>
                <w:sz w:val="24"/>
              </w:rPr>
              <w:t>技术参数说明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sz w:val="24"/>
              </w:rPr>
              <w:t>1</w:t>
            </w:r>
          </w:p>
        </w:tc>
        <w:tc>
          <w:tcPr>
            <w:tcW w:w="1101" w:type="dxa"/>
            <w:vMerge w:val="restart"/>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基本参数</w:t>
            </w:r>
          </w:p>
        </w:tc>
        <w:tc>
          <w:tcPr>
            <w:tcW w:w="2353" w:type="dxa"/>
            <w:tcBorders>
              <w:top w:val="single" w:color="000000" w:sz="4" w:space="0"/>
              <w:left w:val="single" w:color="000000" w:sz="4" w:space="0"/>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显示屏</w:t>
            </w:r>
          </w:p>
        </w:tc>
        <w:tc>
          <w:tcPr>
            <w:tcW w:w="4248"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不低于5.0寸高分辨率LTPS液晶显示屏，分辨率1920*1080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sz w:val="24"/>
              </w:rPr>
            </w:pPr>
            <w:r>
              <w:rPr>
                <w:rStyle w:val="13"/>
                <w:rFonts w:ascii="宋体" w:hAnsi="宋体"/>
                <w:color w:val="000000"/>
                <w:sz w:val="24"/>
              </w:rPr>
              <w:t>2</w:t>
            </w:r>
          </w:p>
        </w:tc>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2353" w:type="dxa"/>
            <w:tcBorders>
              <w:top w:val="single" w:color="000000" w:sz="4" w:space="0"/>
              <w:left w:val="single" w:color="000000" w:sz="4" w:space="0"/>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触摸屏</w:t>
            </w:r>
          </w:p>
        </w:tc>
        <w:tc>
          <w:tcPr>
            <w:tcW w:w="4248"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电容屏，多点触控，支持湿手、手套操作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sz w:val="24"/>
              </w:rPr>
            </w:pPr>
            <w:r>
              <w:rPr>
                <w:rStyle w:val="13"/>
                <w:rFonts w:ascii="宋体" w:hAnsi="宋体"/>
                <w:color w:val="000000"/>
                <w:sz w:val="24"/>
              </w:rPr>
              <w:t>3</w:t>
            </w:r>
          </w:p>
        </w:tc>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2353"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电池容量</w:t>
            </w:r>
          </w:p>
        </w:tc>
        <w:tc>
          <w:tcPr>
            <w:tcW w:w="4248"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可充电锂聚合物电池&gt;3000mAh，不可拆卸；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sz w:val="24"/>
              </w:rPr>
            </w:pPr>
            <w:r>
              <w:rPr>
                <w:rStyle w:val="13"/>
                <w:rFonts w:ascii="宋体" w:hAnsi="宋体"/>
                <w:color w:val="000000"/>
                <w:sz w:val="24"/>
              </w:rPr>
              <w:t>4</w:t>
            </w:r>
          </w:p>
        </w:tc>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2353"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4248"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待机时间&gt;200小时；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sz w:val="24"/>
              </w:rPr>
            </w:pPr>
            <w:r>
              <w:rPr>
                <w:rStyle w:val="13"/>
                <w:rFonts w:ascii="宋体" w:hAnsi="宋体"/>
                <w:color w:val="000000"/>
                <w:sz w:val="24"/>
              </w:rPr>
              <w:t>5</w:t>
            </w:r>
          </w:p>
        </w:tc>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2353"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4248"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工作时间&gt;12小时（取决于使用情况和网络环境）；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sz w:val="24"/>
              </w:rPr>
            </w:pPr>
            <w:r>
              <w:rPr>
                <w:rStyle w:val="13"/>
                <w:rFonts w:ascii="宋体" w:hAnsi="宋体"/>
                <w:color w:val="000000"/>
                <w:sz w:val="24"/>
              </w:rPr>
              <w:t>6</w:t>
            </w:r>
          </w:p>
        </w:tc>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2353"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4248"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充电时间4-6小时（使用标配电源适配器和数据线）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sz w:val="24"/>
              </w:rPr>
            </w:pPr>
            <w:r>
              <w:rPr>
                <w:rStyle w:val="13"/>
                <w:rFonts w:ascii="宋体" w:hAnsi="宋体"/>
                <w:color w:val="000000"/>
                <w:sz w:val="24"/>
              </w:rPr>
              <w:t>7</w:t>
            </w:r>
          </w:p>
        </w:tc>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2353" w:type="dxa"/>
            <w:tcBorders>
              <w:top w:val="single" w:color="000000" w:sz="4" w:space="0"/>
              <w:left w:val="single" w:color="000000" w:sz="4" w:space="0"/>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扩展插槽</w:t>
            </w:r>
          </w:p>
        </w:tc>
        <w:tc>
          <w:tcPr>
            <w:tcW w:w="4248"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支持Micro SIM卡槽；支持TF卡槽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sz w:val="24"/>
              </w:rPr>
            </w:pPr>
            <w:r>
              <w:rPr>
                <w:rStyle w:val="13"/>
                <w:rFonts w:ascii="宋体" w:hAnsi="宋体"/>
                <w:color w:val="000000"/>
                <w:sz w:val="24"/>
              </w:rPr>
              <w:t>8</w:t>
            </w:r>
          </w:p>
        </w:tc>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2353" w:type="dxa"/>
            <w:tcBorders>
              <w:top w:val="single" w:color="000000" w:sz="4" w:space="0"/>
              <w:left w:val="single" w:color="000000" w:sz="4" w:space="0"/>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通讯接口</w:t>
            </w:r>
          </w:p>
        </w:tc>
        <w:tc>
          <w:tcPr>
            <w:tcW w:w="4248"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USB2.0 Type-C, OTG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sz w:val="24"/>
              </w:rPr>
            </w:pPr>
            <w:r>
              <w:rPr>
                <w:rStyle w:val="13"/>
                <w:rFonts w:ascii="宋体" w:hAnsi="宋体"/>
                <w:color w:val="000000"/>
                <w:sz w:val="24"/>
              </w:rPr>
              <w:t>9</w:t>
            </w:r>
          </w:p>
        </w:tc>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2353" w:type="dxa"/>
            <w:tcBorders>
              <w:top w:val="single" w:color="000000" w:sz="4" w:space="0"/>
              <w:left w:val="single" w:color="000000" w:sz="4" w:space="0"/>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音频</w:t>
            </w:r>
          </w:p>
        </w:tc>
        <w:tc>
          <w:tcPr>
            <w:tcW w:w="4248"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扬声器、麦克风、支持语音通话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sz w:val="24"/>
              </w:rPr>
            </w:pPr>
            <w:r>
              <w:rPr>
                <w:rStyle w:val="13"/>
                <w:rFonts w:ascii="宋体" w:hAnsi="宋体"/>
                <w:color w:val="000000"/>
                <w:sz w:val="24"/>
              </w:rPr>
              <w:t>10</w:t>
            </w:r>
          </w:p>
        </w:tc>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2353" w:type="dxa"/>
            <w:tcBorders>
              <w:top w:val="single" w:color="000000" w:sz="4" w:space="0"/>
              <w:left w:val="single" w:color="000000" w:sz="4" w:space="0"/>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键盘</w:t>
            </w:r>
          </w:p>
        </w:tc>
        <w:tc>
          <w:tcPr>
            <w:tcW w:w="4248"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需要包含电源键、扫描键、多功能键、HOME键、TP返回键和菜单键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sz w:val="24"/>
              </w:rPr>
            </w:pPr>
            <w:r>
              <w:rPr>
                <w:rStyle w:val="13"/>
                <w:rFonts w:ascii="宋体" w:hAnsi="宋体"/>
                <w:color w:val="000000"/>
                <w:sz w:val="24"/>
              </w:rPr>
              <w:t>11</w:t>
            </w:r>
          </w:p>
        </w:tc>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2353" w:type="dxa"/>
            <w:tcBorders>
              <w:top w:val="single" w:color="000000" w:sz="4" w:space="0"/>
              <w:left w:val="single" w:color="000000" w:sz="4" w:space="0"/>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瞳孔灯</w:t>
            </w:r>
          </w:p>
        </w:tc>
        <w:tc>
          <w:tcPr>
            <w:tcW w:w="4248"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黄光LED灯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sz w:val="24"/>
              </w:rPr>
            </w:pPr>
            <w:r>
              <w:rPr>
                <w:rStyle w:val="13"/>
                <w:rFonts w:ascii="宋体" w:hAnsi="宋体"/>
                <w:color w:val="000000"/>
                <w:sz w:val="24"/>
              </w:rPr>
              <w:t>12</w:t>
            </w:r>
          </w:p>
        </w:tc>
        <w:tc>
          <w:tcPr>
            <w:tcW w:w="1101"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性能参数</w:t>
            </w:r>
          </w:p>
        </w:tc>
        <w:tc>
          <w:tcPr>
            <w:tcW w:w="2353" w:type="dxa"/>
            <w:tcBorders>
              <w:top w:val="single" w:color="000000" w:sz="4" w:space="0"/>
              <w:left w:val="single" w:color="000000" w:sz="4" w:space="0"/>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CPU</w:t>
            </w:r>
          </w:p>
        </w:tc>
        <w:tc>
          <w:tcPr>
            <w:tcW w:w="4248"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不低于Cortex-A53 1.3GHz 四核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sz w:val="24"/>
              </w:rPr>
            </w:pPr>
            <w:r>
              <w:rPr>
                <w:rStyle w:val="13"/>
                <w:rFonts w:ascii="宋体" w:hAnsi="宋体"/>
                <w:color w:val="000000"/>
                <w:sz w:val="24"/>
              </w:rPr>
              <w:t>13</w:t>
            </w:r>
          </w:p>
        </w:tc>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2353" w:type="dxa"/>
            <w:tcBorders>
              <w:top w:val="single" w:color="000000" w:sz="4" w:space="0"/>
              <w:left w:val="single" w:color="000000" w:sz="4" w:space="0"/>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RAM+ROM</w:t>
            </w:r>
          </w:p>
        </w:tc>
        <w:tc>
          <w:tcPr>
            <w:tcW w:w="4248"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不低于3GB+32GB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sz w:val="24"/>
              </w:rPr>
            </w:pPr>
            <w:r>
              <w:rPr>
                <w:rStyle w:val="13"/>
                <w:rFonts w:ascii="宋体" w:hAnsi="宋体"/>
                <w:color w:val="000000"/>
                <w:sz w:val="24"/>
              </w:rPr>
              <w:t>14</w:t>
            </w:r>
          </w:p>
        </w:tc>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2353" w:type="dxa"/>
            <w:tcBorders>
              <w:top w:val="single" w:color="000000" w:sz="4" w:space="0"/>
              <w:left w:val="single" w:color="000000" w:sz="4" w:space="0"/>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扩展内存</w:t>
            </w:r>
          </w:p>
        </w:tc>
        <w:tc>
          <w:tcPr>
            <w:tcW w:w="4248"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MicroSD (TF)卡可扩展至128GB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sz w:val="24"/>
              </w:rPr>
            </w:pPr>
            <w:r>
              <w:rPr>
                <w:rStyle w:val="13"/>
                <w:rFonts w:ascii="宋体" w:hAnsi="宋体"/>
                <w:color w:val="000000"/>
                <w:sz w:val="24"/>
              </w:rPr>
              <w:t>15</w:t>
            </w:r>
          </w:p>
        </w:tc>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6601"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使用环境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sz w:val="24"/>
              </w:rPr>
            </w:pPr>
            <w:r>
              <w:rPr>
                <w:rStyle w:val="13"/>
                <w:rFonts w:ascii="宋体" w:hAnsi="宋体"/>
                <w:color w:val="000000"/>
                <w:sz w:val="24"/>
              </w:rPr>
              <w:t>16</w:t>
            </w:r>
          </w:p>
        </w:tc>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2353" w:type="dxa"/>
            <w:tcBorders>
              <w:top w:val="single" w:color="000000" w:sz="4" w:space="0"/>
              <w:left w:val="single" w:color="000000" w:sz="4" w:space="0"/>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跌落规格</w:t>
            </w:r>
          </w:p>
        </w:tc>
        <w:tc>
          <w:tcPr>
            <w:tcW w:w="4248"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在操作温度范围内，6面均能承受多次从1.5米高度跌落至混凝土地面的冲击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sz w:val="24"/>
              </w:rPr>
            </w:pPr>
            <w:r>
              <w:rPr>
                <w:rStyle w:val="13"/>
                <w:rFonts w:ascii="宋体" w:hAnsi="宋体"/>
                <w:color w:val="000000"/>
                <w:sz w:val="24"/>
              </w:rPr>
              <w:t>17</w:t>
            </w:r>
          </w:p>
        </w:tc>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2353" w:type="dxa"/>
            <w:tcBorders>
              <w:top w:val="single" w:color="000000" w:sz="4" w:space="0"/>
              <w:left w:val="single" w:color="000000" w:sz="4" w:space="0"/>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防护等级</w:t>
            </w:r>
          </w:p>
        </w:tc>
        <w:tc>
          <w:tcPr>
            <w:tcW w:w="4248"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IP65，达到 IEC 密封标准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sz w:val="24"/>
              </w:rPr>
            </w:pPr>
            <w:r>
              <w:rPr>
                <w:rStyle w:val="13"/>
                <w:rFonts w:ascii="宋体" w:hAnsi="宋体"/>
                <w:color w:val="000000"/>
                <w:sz w:val="24"/>
              </w:rPr>
              <w:t>18</w:t>
            </w:r>
          </w:p>
        </w:tc>
        <w:tc>
          <w:tcPr>
            <w:tcW w:w="1101"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通讯参数</w:t>
            </w:r>
          </w:p>
        </w:tc>
        <w:tc>
          <w:tcPr>
            <w:tcW w:w="2353"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WLAN</w:t>
            </w:r>
          </w:p>
        </w:tc>
        <w:tc>
          <w:tcPr>
            <w:tcW w:w="4248"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支持IEEE802.11 a/b/g/n协议, (2.4G/5G双频)；内置天线（普通版）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sz w:val="24"/>
              </w:rPr>
            </w:pPr>
            <w:r>
              <w:rPr>
                <w:rStyle w:val="13"/>
                <w:rFonts w:ascii="宋体" w:hAnsi="宋体"/>
                <w:color w:val="000000"/>
                <w:sz w:val="24"/>
              </w:rPr>
              <w:t>19</w:t>
            </w:r>
          </w:p>
        </w:tc>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2353"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4248"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2G: 900/1800MHz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sz w:val="24"/>
              </w:rPr>
            </w:pPr>
            <w:r>
              <w:rPr>
                <w:rStyle w:val="13"/>
                <w:rFonts w:ascii="宋体" w:hAnsi="宋体"/>
                <w:color w:val="000000"/>
                <w:sz w:val="24"/>
              </w:rPr>
              <w:t>20</w:t>
            </w:r>
          </w:p>
        </w:tc>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2353"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4248"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3G: 900/1900/2000/2100MHz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sz w:val="24"/>
              </w:rPr>
            </w:pPr>
            <w:r>
              <w:rPr>
                <w:rStyle w:val="13"/>
                <w:rFonts w:ascii="宋体" w:hAnsi="宋体"/>
                <w:color w:val="000000"/>
                <w:sz w:val="24"/>
              </w:rPr>
              <w:t>21</w:t>
            </w:r>
          </w:p>
        </w:tc>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2353"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4248"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 xml:space="preserve">4G: TDD-LTE: B38, B39, B40, B41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sz w:val="24"/>
              </w:rPr>
            </w:pPr>
            <w:r>
              <w:rPr>
                <w:rStyle w:val="13"/>
                <w:rFonts w:ascii="宋体" w:hAnsi="宋体"/>
                <w:color w:val="000000"/>
                <w:sz w:val="24"/>
              </w:rPr>
              <w:t>22</w:t>
            </w:r>
          </w:p>
        </w:tc>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2353"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4248"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FDD-LTE: B1, B3, B5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sz w:val="24"/>
              </w:rPr>
            </w:pPr>
            <w:r>
              <w:rPr>
                <w:rStyle w:val="13"/>
                <w:rFonts w:ascii="宋体" w:hAnsi="宋体"/>
                <w:color w:val="000000"/>
                <w:sz w:val="24"/>
              </w:rPr>
              <w:t>23</w:t>
            </w:r>
          </w:p>
        </w:tc>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2353" w:type="dxa"/>
            <w:tcBorders>
              <w:top w:val="single" w:color="000000" w:sz="4" w:space="0"/>
              <w:left w:val="single" w:color="000000" w:sz="4" w:space="0"/>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蓝牙</w:t>
            </w:r>
          </w:p>
        </w:tc>
        <w:tc>
          <w:tcPr>
            <w:tcW w:w="4248"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支持蓝牙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sz w:val="24"/>
              </w:rPr>
            </w:pPr>
            <w:r>
              <w:rPr>
                <w:rStyle w:val="13"/>
                <w:rFonts w:ascii="宋体" w:hAnsi="宋体"/>
                <w:color w:val="000000"/>
                <w:sz w:val="24"/>
              </w:rPr>
              <w:t>24</w:t>
            </w:r>
          </w:p>
        </w:tc>
        <w:tc>
          <w:tcPr>
            <w:tcW w:w="1101"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摄像头</w:t>
            </w:r>
          </w:p>
        </w:tc>
        <w:tc>
          <w:tcPr>
            <w:tcW w:w="2353" w:type="dxa"/>
            <w:tcBorders>
              <w:top w:val="single" w:color="000000" w:sz="4" w:space="0"/>
              <w:left w:val="single" w:color="000000" w:sz="4" w:space="0"/>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摄像头</w:t>
            </w:r>
          </w:p>
        </w:tc>
        <w:tc>
          <w:tcPr>
            <w:tcW w:w="4248"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不低于1200万像素摄像头，支持自动对焦、闪光灯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sz w:val="24"/>
              </w:rPr>
            </w:pPr>
            <w:r>
              <w:rPr>
                <w:rStyle w:val="13"/>
                <w:rFonts w:ascii="宋体" w:hAnsi="宋体"/>
                <w:color w:val="000000"/>
                <w:sz w:val="24"/>
              </w:rPr>
              <w:t>25</w:t>
            </w:r>
          </w:p>
        </w:tc>
        <w:tc>
          <w:tcPr>
            <w:tcW w:w="1101"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条码采集</w:t>
            </w:r>
          </w:p>
        </w:tc>
        <w:tc>
          <w:tcPr>
            <w:tcW w:w="2353" w:type="dxa"/>
            <w:tcBorders>
              <w:top w:val="single" w:color="000000" w:sz="4" w:space="0"/>
              <w:left w:val="single" w:color="000000" w:sz="4" w:space="0"/>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扫描引擎</w:t>
            </w:r>
          </w:p>
        </w:tc>
        <w:tc>
          <w:tcPr>
            <w:tcW w:w="4248"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 xml:space="preserve">Zebra SE4710 / Honeywell N3601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sz w:val="24"/>
              </w:rPr>
            </w:pPr>
            <w:r>
              <w:rPr>
                <w:rStyle w:val="13"/>
                <w:rFonts w:ascii="宋体" w:hAnsi="宋体"/>
                <w:color w:val="000000"/>
                <w:sz w:val="24"/>
              </w:rPr>
              <w:t>26</w:t>
            </w:r>
          </w:p>
        </w:tc>
        <w:tc>
          <w:tcPr>
            <w:tcW w:w="1101" w:type="dxa"/>
            <w:vMerge w:val="restart"/>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数据采集</w:t>
            </w:r>
          </w:p>
        </w:tc>
        <w:tc>
          <w:tcPr>
            <w:tcW w:w="2353" w:type="dxa"/>
            <w:tcBorders>
              <w:top w:val="single" w:color="000000" w:sz="4" w:space="0"/>
              <w:left w:val="single" w:color="000000" w:sz="4" w:space="0"/>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支持一维条码类型</w:t>
            </w:r>
          </w:p>
        </w:tc>
        <w:tc>
          <w:tcPr>
            <w:tcW w:w="4248"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支持不同类型一维条形码扫描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sz w:val="24"/>
              </w:rPr>
            </w:pPr>
            <w:r>
              <w:rPr>
                <w:rStyle w:val="13"/>
                <w:rFonts w:ascii="宋体" w:hAnsi="宋体"/>
                <w:color w:val="000000"/>
                <w:sz w:val="24"/>
              </w:rPr>
              <w:t>27</w:t>
            </w:r>
          </w:p>
        </w:tc>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2353" w:type="dxa"/>
            <w:tcBorders>
              <w:top w:val="single" w:color="000000" w:sz="4" w:space="0"/>
              <w:left w:val="single" w:color="000000" w:sz="4" w:space="0"/>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支持二维条码类型</w:t>
            </w:r>
          </w:p>
        </w:tc>
        <w:tc>
          <w:tcPr>
            <w:tcW w:w="4248"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支持不同类型二维条形码扫描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sz w:val="24"/>
              </w:rPr>
            </w:pPr>
            <w:r>
              <w:rPr>
                <w:rStyle w:val="13"/>
                <w:rFonts w:ascii="宋体" w:hAnsi="宋体"/>
                <w:color w:val="000000"/>
                <w:sz w:val="24"/>
              </w:rPr>
              <w:t>28</w:t>
            </w:r>
          </w:p>
        </w:tc>
        <w:tc>
          <w:tcPr>
            <w:tcW w:w="1101"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auto"/>
              <w:rPr>
                <w:rStyle w:val="13"/>
                <w:rFonts w:ascii="宋体" w:hAnsi="宋体"/>
                <w:b/>
                <w:color w:val="000000"/>
                <w:kern w:val="0"/>
                <w:sz w:val="24"/>
              </w:rPr>
            </w:pPr>
            <w:r>
              <w:rPr>
                <w:rStyle w:val="13"/>
                <w:rFonts w:ascii="宋体" w:hAnsi="宋体"/>
                <w:b/>
                <w:color w:val="000000"/>
                <w:kern w:val="0"/>
                <w:sz w:val="24"/>
              </w:rPr>
              <w:t>NFC</w:t>
            </w:r>
          </w:p>
        </w:tc>
        <w:tc>
          <w:tcPr>
            <w:tcW w:w="2353" w:type="dxa"/>
            <w:tcBorders>
              <w:top w:val="single" w:color="000000" w:sz="4" w:space="0"/>
              <w:left w:val="single" w:color="000000" w:sz="4" w:space="0"/>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工作频率</w:t>
            </w:r>
          </w:p>
        </w:tc>
        <w:tc>
          <w:tcPr>
            <w:tcW w:w="4248"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不低于13.56MHz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sz w:val="24"/>
              </w:rPr>
            </w:pPr>
            <w:r>
              <w:rPr>
                <w:rStyle w:val="13"/>
                <w:rFonts w:ascii="宋体" w:hAnsi="宋体"/>
                <w:color w:val="000000"/>
                <w:sz w:val="24"/>
              </w:rPr>
              <w:t>29</w:t>
            </w:r>
          </w:p>
        </w:tc>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2353" w:type="dxa"/>
            <w:tcBorders>
              <w:top w:val="single" w:color="000000" w:sz="4" w:space="0"/>
              <w:left w:val="single" w:color="000000" w:sz="4" w:space="0"/>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协议标准</w:t>
            </w:r>
          </w:p>
        </w:tc>
        <w:tc>
          <w:tcPr>
            <w:tcW w:w="4248"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ISO14443A/B, ISO15693, NFC-IP1, NFC-IP2等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sz w:val="24"/>
              </w:rPr>
            </w:pPr>
            <w:r>
              <w:rPr>
                <w:rStyle w:val="13"/>
                <w:rFonts w:ascii="宋体" w:hAnsi="宋体"/>
                <w:color w:val="000000"/>
                <w:sz w:val="24"/>
              </w:rPr>
              <w:t>30</w:t>
            </w:r>
          </w:p>
        </w:tc>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2353" w:type="dxa"/>
            <w:tcBorders>
              <w:top w:val="single" w:color="000000" w:sz="4" w:space="0"/>
              <w:left w:val="single" w:color="000000" w:sz="4" w:space="0"/>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标签标准</w:t>
            </w:r>
          </w:p>
        </w:tc>
        <w:tc>
          <w:tcPr>
            <w:tcW w:w="4248"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M1卡(S50, S70), CPU卡, NFC标签等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sz w:val="24"/>
              </w:rPr>
            </w:pPr>
            <w:r>
              <w:rPr>
                <w:rStyle w:val="13"/>
                <w:rFonts w:ascii="宋体" w:hAnsi="宋体"/>
                <w:color w:val="000000"/>
                <w:sz w:val="24"/>
              </w:rPr>
              <w:t>31</w:t>
            </w:r>
          </w:p>
        </w:tc>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2353" w:type="dxa"/>
            <w:tcBorders>
              <w:top w:val="single" w:color="000000" w:sz="4" w:space="0"/>
              <w:left w:val="single" w:color="000000" w:sz="4" w:space="0"/>
              <w:bottom w:val="single" w:color="000000" w:sz="4" w:space="0"/>
              <w:right w:val="single" w:color="000000" w:sz="4" w:space="0"/>
            </w:tcBorders>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读写距离</w:t>
            </w:r>
          </w:p>
        </w:tc>
        <w:tc>
          <w:tcPr>
            <w:tcW w:w="4248"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2-4cm</w:t>
            </w:r>
          </w:p>
        </w:tc>
      </w:tr>
    </w:tbl>
    <w:p>
      <w:pPr>
        <w:spacing w:line="360" w:lineRule="auto"/>
        <w:ind w:firstLine="560"/>
        <w:textAlignment w:val="auto"/>
        <w:rPr>
          <w:rStyle w:val="13"/>
          <w:rFonts w:ascii="宋体" w:hAnsi="宋体"/>
          <w:sz w:val="24"/>
        </w:rPr>
      </w:pPr>
    </w:p>
    <w:p>
      <w:pPr>
        <w:pStyle w:val="20"/>
        <w:spacing w:before="0" w:after="0" w:line="360" w:lineRule="auto"/>
        <w:textAlignment w:val="auto"/>
        <w:rPr>
          <w:rStyle w:val="13"/>
          <w:rFonts w:ascii="宋体" w:hAnsi="宋体"/>
          <w:b/>
          <w:bCs/>
          <w:sz w:val="24"/>
          <w:szCs w:val="24"/>
        </w:rPr>
      </w:pPr>
      <w:r>
        <w:rPr>
          <w:rStyle w:val="13"/>
          <w:rFonts w:ascii="宋体" w:hAnsi="宋体"/>
          <w:b/>
          <w:bCs/>
          <w:sz w:val="24"/>
          <w:szCs w:val="24"/>
        </w:rPr>
        <w:t>多语言智能窗口话务系统</w:t>
      </w:r>
    </w:p>
    <w:p>
      <w:pPr>
        <w:pStyle w:val="21"/>
        <w:spacing w:line="360" w:lineRule="auto"/>
        <w:textAlignment w:val="auto"/>
        <w:rPr>
          <w:rStyle w:val="13"/>
          <w:rFonts w:cs="宋体"/>
          <w:bCs/>
          <w:sz w:val="24"/>
          <w:szCs w:val="24"/>
        </w:rPr>
      </w:pPr>
      <w:r>
        <w:rPr>
          <w:rStyle w:val="13"/>
          <w:rFonts w:cs="宋体"/>
          <w:b/>
          <w:sz w:val="24"/>
          <w:szCs w:val="24"/>
        </w:rPr>
        <w:t>汉维翻译终端</w:t>
      </w:r>
    </w:p>
    <w:p>
      <w:pPr>
        <w:pStyle w:val="22"/>
        <w:numPr>
          <w:ilvl w:val="4"/>
          <w:numId w:val="0"/>
        </w:numPr>
        <w:spacing w:before="0" w:after="0" w:line="360" w:lineRule="auto"/>
        <w:ind w:left="1560"/>
        <w:textAlignment w:val="auto"/>
        <w:rPr>
          <w:rStyle w:val="13"/>
          <w:rFonts w:ascii="宋体" w:hAnsi="宋体" w:cs="宋体"/>
          <w:bCs/>
          <w:sz w:val="24"/>
          <w:szCs w:val="24"/>
        </w:rPr>
      </w:pPr>
      <w:r>
        <w:rPr>
          <w:rStyle w:val="13"/>
          <w:rFonts w:hint="eastAsia" w:ascii="宋体" w:hAnsi="宋体" w:cs="宋体"/>
          <w:bCs/>
          <w:sz w:val="24"/>
          <w:szCs w:val="24"/>
        </w:rPr>
        <w:t>1.</w:t>
      </w:r>
      <w:r>
        <w:rPr>
          <w:rStyle w:val="13"/>
          <w:rFonts w:ascii="宋体" w:hAnsi="宋体" w:cs="宋体"/>
          <w:bCs/>
          <w:sz w:val="24"/>
          <w:szCs w:val="24"/>
        </w:rPr>
        <w:t>产品要求</w:t>
      </w:r>
    </w:p>
    <w:p>
      <w:pPr>
        <w:spacing w:line="360" w:lineRule="auto"/>
        <w:ind w:firstLine="560"/>
        <w:textAlignment w:val="auto"/>
        <w:rPr>
          <w:rStyle w:val="13"/>
          <w:rFonts w:ascii="宋体" w:hAnsi="宋体"/>
          <w:sz w:val="24"/>
        </w:rPr>
      </w:pPr>
      <w:r>
        <w:rPr>
          <w:rStyle w:val="13"/>
          <w:rFonts w:ascii="宋体" w:hAnsi="宋体"/>
          <w:sz w:val="24"/>
        </w:rPr>
        <w:t>汉维翻译终端，目前业界最领先的汉维文本分析和自然语言理解技术，国内唯一能达到使用水平的实时翻译的手持终端设备。超过1000万对语句对，覆盖到日常生活语言中的99%以上的词条，为业界最大。能够将文本格式的会议精神、爱国普法教育、便民政策精准转译成维吾尔语、并以语音的形式播报出来。</w:t>
      </w:r>
    </w:p>
    <w:p>
      <w:pPr>
        <w:spacing w:line="360" w:lineRule="auto"/>
        <w:ind w:firstLine="560"/>
        <w:textAlignment w:val="auto"/>
        <w:rPr>
          <w:rStyle w:val="13"/>
          <w:rFonts w:ascii="宋体" w:hAnsi="宋体"/>
          <w:sz w:val="24"/>
        </w:rPr>
      </w:pPr>
      <w:r>
        <w:rPr>
          <w:rStyle w:val="13"/>
          <w:rFonts w:ascii="宋体" w:hAnsi="宋体"/>
          <w:sz w:val="24"/>
        </w:rPr>
        <w:t xml:space="preserve">汉维翻译系统包含语音合成引擎、语音识别引擎、口语翻译引擎等功能模块，相对于市场上其他便携翻译产品具有以下特点： </w:t>
      </w:r>
    </w:p>
    <w:p>
      <w:pPr>
        <w:spacing w:line="360" w:lineRule="auto"/>
        <w:ind w:firstLine="560"/>
        <w:textAlignment w:val="auto"/>
        <w:rPr>
          <w:rStyle w:val="13"/>
          <w:rFonts w:ascii="宋体" w:hAnsi="宋体"/>
          <w:sz w:val="24"/>
        </w:rPr>
      </w:pPr>
      <w:r>
        <w:rPr>
          <w:rStyle w:val="13"/>
          <w:rFonts w:ascii="宋体" w:hAnsi="宋体"/>
          <w:sz w:val="24"/>
        </w:rPr>
        <w:t>业界最领先的汉维文本分析和自然语言理解技术。超过24万的词典库，覆盖到日常生活语言中的99%以上的词条，为业界最大；基于语音的自然语言理解技术已打造出全球最高水平的汉语/维语转换系统。在分词、语义解析等核心技术方面历届国际国内评测均获第一名。</w:t>
      </w:r>
    </w:p>
    <w:p>
      <w:pPr>
        <w:spacing w:line="360" w:lineRule="auto"/>
        <w:ind w:firstLine="560"/>
        <w:textAlignment w:val="auto"/>
        <w:rPr>
          <w:rStyle w:val="13"/>
          <w:rFonts w:ascii="宋体" w:hAnsi="宋体"/>
          <w:sz w:val="24"/>
        </w:rPr>
      </w:pPr>
      <w:r>
        <w:rPr>
          <w:rStyle w:val="13"/>
          <w:rFonts w:ascii="宋体" w:hAnsi="宋体"/>
          <w:sz w:val="24"/>
        </w:rPr>
        <w:t>专业、准确行业知识库储备。在主流行业翻译领域持续多年的服务，且积累了大量的翻译知识资源。</w:t>
      </w:r>
    </w:p>
    <w:p>
      <w:pPr>
        <w:spacing w:line="360" w:lineRule="auto"/>
        <w:ind w:firstLine="560"/>
        <w:textAlignment w:val="auto"/>
        <w:rPr>
          <w:rStyle w:val="13"/>
          <w:rFonts w:ascii="宋体" w:hAnsi="宋体"/>
          <w:sz w:val="24"/>
        </w:rPr>
      </w:pPr>
      <w:r>
        <w:rPr>
          <w:rStyle w:val="13"/>
          <w:rFonts w:ascii="宋体" w:hAnsi="宋体"/>
          <w:sz w:val="24"/>
        </w:rPr>
        <w:t>高准确性和优秀的用户体验。独有的场景识别、热词更新等技术以及对汉维输入习惯的全面掌控保障了产品的高准确性和优秀的用户体验。</w:t>
      </w:r>
    </w:p>
    <w:p>
      <w:pPr>
        <w:spacing w:line="360" w:lineRule="auto"/>
        <w:ind w:firstLine="560"/>
        <w:textAlignment w:val="auto"/>
        <w:rPr>
          <w:rStyle w:val="13"/>
          <w:rFonts w:ascii="宋体" w:hAnsi="宋体"/>
          <w:sz w:val="24"/>
        </w:rPr>
      </w:pPr>
      <w:r>
        <w:rPr>
          <w:rStyle w:val="13"/>
          <w:rFonts w:ascii="宋体" w:hAnsi="宋体"/>
          <w:sz w:val="24"/>
        </w:rPr>
        <w:t>多渠道服务无缝对接，用户可以通过在线翻译、人工服务平台或者云平台的方式接入进行相应的翻译业务，提升翻译服务的可获得性，提升用户满意度。</w:t>
      </w:r>
    </w:p>
    <w:p>
      <w:pPr>
        <w:pStyle w:val="22"/>
        <w:numPr>
          <w:ilvl w:val="4"/>
          <w:numId w:val="0"/>
        </w:numPr>
        <w:spacing w:before="0" w:after="0" w:line="360" w:lineRule="auto"/>
        <w:ind w:left="1560"/>
        <w:textAlignment w:val="auto"/>
        <w:rPr>
          <w:rStyle w:val="13"/>
          <w:rFonts w:ascii="宋体" w:hAnsi="宋体" w:cs="宋体"/>
          <w:bCs/>
          <w:sz w:val="24"/>
          <w:szCs w:val="24"/>
        </w:rPr>
      </w:pPr>
      <w:r>
        <w:rPr>
          <w:rStyle w:val="13"/>
          <w:rFonts w:hint="eastAsia" w:ascii="宋体" w:hAnsi="宋体" w:cs="宋体"/>
          <w:bCs/>
          <w:sz w:val="24"/>
          <w:szCs w:val="24"/>
        </w:rPr>
        <w:t>1.1</w:t>
      </w:r>
      <w:r>
        <w:rPr>
          <w:rStyle w:val="13"/>
          <w:rFonts w:ascii="宋体" w:hAnsi="宋体" w:cs="宋体"/>
          <w:bCs/>
          <w:sz w:val="24"/>
          <w:szCs w:val="24"/>
        </w:rPr>
        <w:t>配套硬件要求</w:t>
      </w:r>
    </w:p>
    <w:p>
      <w:pPr>
        <w:spacing w:line="360" w:lineRule="auto"/>
        <w:ind w:firstLine="560"/>
        <w:textAlignment w:val="auto"/>
        <w:rPr>
          <w:rStyle w:val="13"/>
          <w:rFonts w:ascii="宋体" w:hAnsi="宋体"/>
          <w:sz w:val="24"/>
        </w:rPr>
      </w:pPr>
      <w:r>
        <w:rPr>
          <w:rStyle w:val="13"/>
          <w:rFonts w:ascii="宋体" w:hAnsi="宋体"/>
          <w:sz w:val="24"/>
        </w:rPr>
        <w:t>配套硬件产品的技术参数如下：</w:t>
      </w:r>
    </w:p>
    <w:p>
      <w:pPr>
        <w:pStyle w:val="3"/>
        <w:spacing w:line="360" w:lineRule="auto"/>
        <w:textAlignment w:val="auto"/>
        <w:rPr>
          <w:rStyle w:val="13"/>
          <w:rFonts w:ascii="宋体" w:hAnsi="宋体" w:eastAsia="宋体"/>
          <w:sz w:val="24"/>
          <w:szCs w:val="24"/>
        </w:rPr>
      </w:pPr>
      <w:r>
        <w:rPr>
          <w:rStyle w:val="13"/>
          <w:rFonts w:ascii="宋体" w:hAnsi="宋体" w:eastAsia="宋体"/>
          <w:sz w:val="24"/>
          <w:szCs w:val="24"/>
        </w:rPr>
        <w:t>表格 8 汉维翻译终端技术参数一览表</w:t>
      </w:r>
    </w:p>
    <w:tbl>
      <w:tblPr>
        <w:tblStyle w:val="10"/>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5"/>
        <w:gridCol w:w="2006"/>
        <w:gridCol w:w="3669"/>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555" w:type="dxa"/>
            <w:tcBorders>
              <w:top w:val="single" w:color="000000" w:sz="4" w:space="0"/>
              <w:left w:val="single" w:color="000000" w:sz="4" w:space="0"/>
              <w:bottom w:val="single" w:color="000000" w:sz="4" w:space="0"/>
              <w:right w:val="single" w:color="000000" w:sz="4" w:space="0"/>
            </w:tcBorders>
            <w:shd w:val="clear" w:color="auto" w:fill="BEBEBE"/>
            <w:vAlign w:val="center"/>
          </w:tcPr>
          <w:p>
            <w:pPr>
              <w:jc w:val="center"/>
              <w:textAlignment w:val="auto"/>
              <w:rPr>
                <w:rStyle w:val="13"/>
                <w:rFonts w:ascii="宋体" w:hAnsi="宋体" w:cs="宋体"/>
                <w:b/>
                <w:bCs/>
                <w:kern w:val="0"/>
                <w:sz w:val="24"/>
              </w:rPr>
            </w:pPr>
            <w:r>
              <w:rPr>
                <w:rStyle w:val="13"/>
                <w:rFonts w:ascii="宋体" w:hAnsi="宋体" w:cs="宋体"/>
                <w:b/>
                <w:bCs/>
                <w:kern w:val="0"/>
                <w:sz w:val="24"/>
              </w:rPr>
              <w:t>产品要点</w:t>
            </w:r>
          </w:p>
        </w:tc>
        <w:tc>
          <w:tcPr>
            <w:tcW w:w="2006" w:type="dxa"/>
            <w:tcBorders>
              <w:top w:val="single" w:color="000000" w:sz="4" w:space="0"/>
              <w:left w:val="single" w:color="000000" w:sz="4" w:space="0"/>
              <w:bottom w:val="single" w:color="000000" w:sz="4" w:space="0"/>
              <w:right w:val="single" w:color="000000" w:sz="4" w:space="0"/>
            </w:tcBorders>
            <w:shd w:val="clear" w:color="auto" w:fill="BEBEBE"/>
            <w:vAlign w:val="center"/>
          </w:tcPr>
          <w:p>
            <w:pPr>
              <w:jc w:val="center"/>
              <w:textAlignment w:val="auto"/>
              <w:rPr>
                <w:rStyle w:val="13"/>
                <w:rFonts w:ascii="宋体" w:hAnsi="宋体" w:cs="宋体"/>
                <w:b/>
                <w:bCs/>
                <w:kern w:val="0"/>
                <w:sz w:val="24"/>
              </w:rPr>
            </w:pPr>
            <w:r>
              <w:rPr>
                <w:rStyle w:val="13"/>
                <w:rFonts w:ascii="宋体" w:hAnsi="宋体" w:cs="宋体"/>
                <w:b/>
                <w:bCs/>
                <w:kern w:val="0"/>
                <w:sz w:val="24"/>
              </w:rPr>
              <w:t>类别</w:t>
            </w:r>
          </w:p>
        </w:tc>
        <w:tc>
          <w:tcPr>
            <w:tcW w:w="3669" w:type="dxa"/>
            <w:tcBorders>
              <w:top w:val="single" w:color="000000" w:sz="4" w:space="0"/>
              <w:left w:val="single" w:color="000000" w:sz="4" w:space="0"/>
              <w:bottom w:val="single" w:color="000000" w:sz="4" w:space="0"/>
              <w:right w:val="single" w:color="000000" w:sz="4" w:space="0"/>
            </w:tcBorders>
            <w:shd w:val="clear" w:color="auto" w:fill="BEBEBE"/>
            <w:vAlign w:val="center"/>
          </w:tcPr>
          <w:p>
            <w:pPr>
              <w:jc w:val="center"/>
              <w:textAlignment w:val="auto"/>
              <w:rPr>
                <w:rStyle w:val="13"/>
                <w:rFonts w:ascii="宋体" w:hAnsi="宋体" w:cs="宋体"/>
                <w:b/>
                <w:bCs/>
                <w:kern w:val="0"/>
                <w:sz w:val="24"/>
              </w:rPr>
            </w:pPr>
            <w:r>
              <w:rPr>
                <w:rStyle w:val="13"/>
                <w:rFonts w:ascii="宋体" w:hAnsi="宋体" w:cs="宋体"/>
                <w:b/>
                <w:bCs/>
                <w:kern w:val="0"/>
                <w:sz w:val="24"/>
              </w:rPr>
              <w:t>参数要求</w:t>
            </w:r>
          </w:p>
        </w:tc>
        <w:tc>
          <w:tcPr>
            <w:tcW w:w="1842" w:type="dxa"/>
            <w:tcBorders>
              <w:top w:val="single" w:color="000000" w:sz="4" w:space="0"/>
              <w:left w:val="single" w:color="000000" w:sz="4" w:space="0"/>
              <w:bottom w:val="single" w:color="000000" w:sz="4" w:space="0"/>
              <w:right w:val="single" w:color="000000" w:sz="4" w:space="0"/>
            </w:tcBorders>
            <w:shd w:val="clear" w:color="auto" w:fill="BEBEBE"/>
            <w:vAlign w:val="center"/>
          </w:tcPr>
          <w:p>
            <w:pPr>
              <w:jc w:val="center"/>
              <w:textAlignment w:val="auto"/>
              <w:rPr>
                <w:rStyle w:val="13"/>
                <w:rFonts w:ascii="宋体" w:hAnsi="宋体" w:cs="宋体"/>
                <w:b/>
                <w:bCs/>
                <w:kern w:val="0"/>
                <w:sz w:val="24"/>
              </w:rPr>
            </w:pPr>
            <w:r>
              <w:rPr>
                <w:rStyle w:val="13"/>
                <w:rFonts w:ascii="宋体" w:hAnsi="宋体" w:cs="宋体"/>
                <w:b/>
                <w:bCs/>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555"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auto"/>
              <w:rPr>
                <w:rStyle w:val="13"/>
                <w:rFonts w:ascii="宋体" w:hAnsi="宋体"/>
                <w:kern w:val="0"/>
                <w:sz w:val="24"/>
              </w:rPr>
            </w:pPr>
            <w:r>
              <w:rPr>
                <w:rStyle w:val="13"/>
                <w:rFonts w:ascii="宋体" w:hAnsi="宋体"/>
                <w:kern w:val="0"/>
                <w:sz w:val="24"/>
              </w:rPr>
              <w:t>产品要求</w:t>
            </w:r>
          </w:p>
        </w:tc>
        <w:tc>
          <w:tcPr>
            <w:tcW w:w="2006"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r>
              <w:rPr>
                <w:rStyle w:val="13"/>
                <w:rFonts w:ascii="宋体" w:hAnsi="宋体"/>
                <w:kern w:val="0"/>
                <w:sz w:val="24"/>
              </w:rPr>
              <w:t>运营商支持</w:t>
            </w:r>
          </w:p>
        </w:tc>
        <w:tc>
          <w:tcPr>
            <w:tcW w:w="3669"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国内运营商（移动/联通/电信）</w:t>
            </w:r>
          </w:p>
        </w:tc>
        <w:tc>
          <w:tcPr>
            <w:tcW w:w="1842" w:type="dxa"/>
            <w:vMerge w:val="restart"/>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555"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p>
        </w:tc>
        <w:tc>
          <w:tcPr>
            <w:tcW w:w="2006"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r>
              <w:rPr>
                <w:rStyle w:val="13"/>
                <w:rFonts w:ascii="宋体" w:hAnsi="宋体"/>
                <w:kern w:val="0"/>
                <w:sz w:val="24"/>
              </w:rPr>
              <w:t>操作系统</w:t>
            </w:r>
          </w:p>
        </w:tc>
        <w:tc>
          <w:tcPr>
            <w:tcW w:w="3669"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支持安卓操作系统</w:t>
            </w:r>
          </w:p>
        </w:tc>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555"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p>
        </w:tc>
        <w:tc>
          <w:tcPr>
            <w:tcW w:w="2006"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r>
              <w:rPr>
                <w:rStyle w:val="13"/>
                <w:rFonts w:ascii="宋体" w:hAnsi="宋体"/>
                <w:kern w:val="0"/>
                <w:sz w:val="24"/>
              </w:rPr>
              <w:t>质量标准</w:t>
            </w:r>
          </w:p>
        </w:tc>
        <w:tc>
          <w:tcPr>
            <w:tcW w:w="3669"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FF0000"/>
                <w:kern w:val="0"/>
                <w:sz w:val="24"/>
              </w:rPr>
            </w:pPr>
            <w:r>
              <w:rPr>
                <w:rStyle w:val="13"/>
                <w:rFonts w:ascii="宋体" w:hAnsi="宋体"/>
                <w:color w:val="333333"/>
                <w:sz w:val="24"/>
              </w:rPr>
              <w:t>《YD/T 1539-2006》</w:t>
            </w:r>
          </w:p>
        </w:tc>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555"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p>
        </w:tc>
        <w:tc>
          <w:tcPr>
            <w:tcW w:w="2006"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r>
              <w:rPr>
                <w:rStyle w:val="13"/>
                <w:rFonts w:ascii="宋体" w:hAnsi="宋体"/>
                <w:kern w:val="0"/>
                <w:sz w:val="24"/>
              </w:rPr>
              <w:t>整机认证</w:t>
            </w:r>
          </w:p>
        </w:tc>
        <w:tc>
          <w:tcPr>
            <w:tcW w:w="3669"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FF0000"/>
                <w:kern w:val="0"/>
                <w:sz w:val="24"/>
              </w:rPr>
            </w:pPr>
            <w:r>
              <w:rPr>
                <w:rStyle w:val="13"/>
                <w:rFonts w:ascii="宋体" w:hAnsi="宋体"/>
                <w:kern w:val="0"/>
                <w:sz w:val="24"/>
              </w:rPr>
              <w:t>通过FCC/CTA/CE</w:t>
            </w:r>
          </w:p>
        </w:tc>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555"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p>
        </w:tc>
        <w:tc>
          <w:tcPr>
            <w:tcW w:w="2006"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r>
              <w:rPr>
                <w:rStyle w:val="13"/>
                <w:rFonts w:ascii="宋体" w:hAnsi="宋体"/>
                <w:kern w:val="0"/>
                <w:sz w:val="24"/>
              </w:rPr>
              <w:t>环保规范</w:t>
            </w:r>
          </w:p>
        </w:tc>
        <w:tc>
          <w:tcPr>
            <w:tcW w:w="3669"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FF0000"/>
                <w:kern w:val="0"/>
                <w:sz w:val="24"/>
              </w:rPr>
            </w:pPr>
            <w:r>
              <w:rPr>
                <w:rStyle w:val="13"/>
                <w:rFonts w:ascii="宋体" w:hAnsi="宋体"/>
                <w:kern w:val="0"/>
                <w:sz w:val="24"/>
              </w:rPr>
              <w:t>通过ROHS</w:t>
            </w:r>
          </w:p>
        </w:tc>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555" w:type="dxa"/>
            <w:tcBorders>
              <w:top w:val="single" w:color="000000" w:sz="4" w:space="0"/>
              <w:left w:val="single" w:color="000000" w:sz="4" w:space="0"/>
              <w:bottom w:val="single" w:color="000000" w:sz="4" w:space="0"/>
              <w:right w:val="single" w:color="000000" w:sz="4" w:space="0"/>
            </w:tcBorders>
            <w:shd w:val="clear" w:color="auto" w:fill="BEBEBE"/>
            <w:vAlign w:val="center"/>
          </w:tcPr>
          <w:p>
            <w:pPr>
              <w:jc w:val="center"/>
              <w:textAlignment w:val="auto"/>
              <w:rPr>
                <w:rStyle w:val="13"/>
                <w:rFonts w:ascii="宋体" w:hAnsi="宋体" w:cs="宋体"/>
                <w:b/>
                <w:bCs/>
                <w:kern w:val="0"/>
                <w:sz w:val="24"/>
              </w:rPr>
            </w:pPr>
            <w:r>
              <w:rPr>
                <w:rStyle w:val="13"/>
                <w:rFonts w:ascii="宋体" w:hAnsi="宋体" w:cs="宋体"/>
                <w:b/>
                <w:bCs/>
                <w:kern w:val="0"/>
                <w:sz w:val="24"/>
              </w:rPr>
              <w:t>外观结构要求</w:t>
            </w:r>
          </w:p>
        </w:tc>
        <w:tc>
          <w:tcPr>
            <w:tcW w:w="2006" w:type="dxa"/>
            <w:tcBorders>
              <w:top w:val="single" w:color="000000" w:sz="4" w:space="0"/>
              <w:left w:val="single" w:color="000000" w:sz="4" w:space="0"/>
              <w:bottom w:val="single" w:color="000000" w:sz="4" w:space="0"/>
              <w:right w:val="single" w:color="000000" w:sz="4" w:space="0"/>
            </w:tcBorders>
            <w:shd w:val="clear" w:color="auto" w:fill="BEBEBE"/>
            <w:vAlign w:val="center"/>
          </w:tcPr>
          <w:p>
            <w:pPr>
              <w:jc w:val="center"/>
              <w:textAlignment w:val="auto"/>
              <w:rPr>
                <w:rStyle w:val="13"/>
                <w:rFonts w:ascii="宋体" w:hAnsi="宋体" w:cs="宋体"/>
                <w:b/>
                <w:bCs/>
                <w:kern w:val="0"/>
                <w:sz w:val="24"/>
              </w:rPr>
            </w:pPr>
            <w:r>
              <w:rPr>
                <w:rStyle w:val="13"/>
                <w:rFonts w:ascii="宋体" w:hAnsi="宋体" w:cs="宋体"/>
                <w:b/>
                <w:bCs/>
                <w:kern w:val="0"/>
                <w:sz w:val="24"/>
              </w:rPr>
              <w:t>类别</w:t>
            </w:r>
          </w:p>
        </w:tc>
        <w:tc>
          <w:tcPr>
            <w:tcW w:w="3669" w:type="dxa"/>
            <w:tcBorders>
              <w:top w:val="single" w:color="000000" w:sz="4" w:space="0"/>
              <w:left w:val="single" w:color="000000" w:sz="4" w:space="0"/>
              <w:bottom w:val="single" w:color="000000" w:sz="4" w:space="0"/>
              <w:right w:val="single" w:color="000000" w:sz="4" w:space="0"/>
            </w:tcBorders>
            <w:shd w:val="clear" w:color="auto" w:fill="BEBEBE"/>
            <w:vAlign w:val="center"/>
          </w:tcPr>
          <w:p>
            <w:pPr>
              <w:jc w:val="center"/>
              <w:textAlignment w:val="auto"/>
              <w:rPr>
                <w:rStyle w:val="13"/>
                <w:rFonts w:ascii="宋体" w:hAnsi="宋体" w:cs="宋体"/>
                <w:b/>
                <w:bCs/>
                <w:kern w:val="0"/>
                <w:sz w:val="24"/>
              </w:rPr>
            </w:pPr>
            <w:r>
              <w:rPr>
                <w:rStyle w:val="13"/>
                <w:rFonts w:ascii="宋体" w:hAnsi="宋体" w:cs="宋体"/>
                <w:b/>
                <w:bCs/>
                <w:kern w:val="0"/>
                <w:sz w:val="24"/>
              </w:rPr>
              <w:t>参数要求</w:t>
            </w:r>
          </w:p>
        </w:tc>
        <w:tc>
          <w:tcPr>
            <w:tcW w:w="1842" w:type="dxa"/>
            <w:tcBorders>
              <w:top w:val="single" w:color="000000" w:sz="4" w:space="0"/>
              <w:left w:val="single" w:color="000000" w:sz="4" w:space="0"/>
              <w:bottom w:val="single" w:color="000000" w:sz="4" w:space="0"/>
              <w:right w:val="single" w:color="000000" w:sz="4" w:space="0"/>
            </w:tcBorders>
            <w:shd w:val="clear" w:color="auto" w:fill="BEBEBE"/>
            <w:vAlign w:val="center"/>
          </w:tcPr>
          <w:p>
            <w:pPr>
              <w:jc w:val="center"/>
              <w:textAlignment w:val="auto"/>
              <w:rPr>
                <w:rStyle w:val="13"/>
                <w:rFonts w:ascii="宋体" w:hAnsi="宋体" w:cs="宋体"/>
                <w:b/>
                <w:bCs/>
                <w:kern w:val="0"/>
                <w:sz w:val="24"/>
              </w:rPr>
            </w:pPr>
            <w:r>
              <w:rPr>
                <w:rStyle w:val="13"/>
                <w:rFonts w:ascii="宋体" w:hAnsi="宋体" w:cs="宋体"/>
                <w:b/>
                <w:bCs/>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555" w:type="dxa"/>
            <w:tcBorders>
              <w:top w:val="single" w:color="000000" w:sz="4" w:space="0"/>
              <w:left w:val="single" w:color="000000" w:sz="4" w:space="0"/>
              <w:bottom w:val="single" w:color="000000" w:sz="4" w:space="0"/>
              <w:right w:val="single" w:color="000000" w:sz="4" w:space="0"/>
            </w:tcBorders>
            <w:vAlign w:val="center"/>
          </w:tcPr>
          <w:p>
            <w:pPr>
              <w:jc w:val="center"/>
              <w:textAlignment w:val="auto"/>
              <w:rPr>
                <w:rStyle w:val="13"/>
                <w:rFonts w:ascii="宋体" w:hAnsi="宋体"/>
                <w:kern w:val="0"/>
                <w:sz w:val="24"/>
              </w:rPr>
            </w:pPr>
            <w:r>
              <w:rPr>
                <w:rStyle w:val="13"/>
                <w:rFonts w:ascii="宋体" w:hAnsi="宋体"/>
                <w:kern w:val="0"/>
                <w:sz w:val="24"/>
              </w:rPr>
              <w:t>结构要求</w:t>
            </w:r>
          </w:p>
        </w:tc>
        <w:tc>
          <w:tcPr>
            <w:tcW w:w="2006"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r>
              <w:rPr>
                <w:rStyle w:val="13"/>
                <w:rFonts w:ascii="宋体" w:hAnsi="宋体"/>
                <w:kern w:val="0"/>
                <w:sz w:val="24"/>
              </w:rPr>
              <w:t>防水防尘</w:t>
            </w:r>
          </w:p>
        </w:tc>
        <w:tc>
          <w:tcPr>
            <w:tcW w:w="3669"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kern w:val="0"/>
                <w:sz w:val="24"/>
              </w:rPr>
              <w:t>普通生活防水</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555"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auto"/>
              <w:rPr>
                <w:rStyle w:val="13"/>
                <w:rFonts w:ascii="宋体" w:hAnsi="宋体"/>
                <w:kern w:val="0"/>
                <w:sz w:val="24"/>
              </w:rPr>
            </w:pPr>
            <w:r>
              <w:rPr>
                <w:rStyle w:val="13"/>
                <w:rFonts w:ascii="宋体" w:hAnsi="宋体"/>
                <w:kern w:val="0"/>
                <w:sz w:val="24"/>
              </w:rPr>
              <w:t>外围接口支持</w:t>
            </w:r>
          </w:p>
        </w:tc>
        <w:tc>
          <w:tcPr>
            <w:tcW w:w="2006"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USB支持</w:t>
            </w:r>
          </w:p>
        </w:tc>
        <w:tc>
          <w:tcPr>
            <w:tcW w:w="3669"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支持USB Type-C、USB 2.0</w:t>
            </w:r>
          </w:p>
        </w:tc>
        <w:tc>
          <w:tcPr>
            <w:tcW w:w="1842" w:type="dxa"/>
            <w:vMerge w:val="restart"/>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555"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p>
        </w:tc>
        <w:tc>
          <w:tcPr>
            <w:tcW w:w="2006"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耳机支持</w:t>
            </w:r>
          </w:p>
        </w:tc>
        <w:tc>
          <w:tcPr>
            <w:tcW w:w="3669"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支持USB Type-C及蓝牙耳机</w:t>
            </w:r>
          </w:p>
        </w:tc>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555" w:type="dxa"/>
            <w:tcBorders>
              <w:top w:val="single" w:color="000000" w:sz="4" w:space="0"/>
              <w:left w:val="single" w:color="000000" w:sz="4" w:space="0"/>
              <w:bottom w:val="single" w:color="000000" w:sz="4" w:space="0"/>
              <w:right w:val="single" w:color="000000" w:sz="4" w:space="0"/>
            </w:tcBorders>
            <w:shd w:val="clear" w:color="auto" w:fill="BEBEBE"/>
            <w:vAlign w:val="center"/>
          </w:tcPr>
          <w:p>
            <w:pPr>
              <w:jc w:val="center"/>
              <w:textAlignment w:val="auto"/>
              <w:rPr>
                <w:rStyle w:val="13"/>
                <w:rFonts w:ascii="宋体" w:hAnsi="宋体" w:cs="宋体"/>
                <w:b/>
                <w:bCs/>
                <w:kern w:val="0"/>
                <w:sz w:val="24"/>
              </w:rPr>
            </w:pPr>
            <w:r>
              <w:rPr>
                <w:rStyle w:val="13"/>
                <w:rFonts w:ascii="宋体" w:hAnsi="宋体" w:cs="宋体"/>
                <w:b/>
                <w:bCs/>
                <w:kern w:val="0"/>
                <w:sz w:val="24"/>
              </w:rPr>
              <w:t>部件要求</w:t>
            </w:r>
          </w:p>
        </w:tc>
        <w:tc>
          <w:tcPr>
            <w:tcW w:w="2006" w:type="dxa"/>
            <w:tcBorders>
              <w:top w:val="single" w:color="000000" w:sz="4" w:space="0"/>
              <w:left w:val="single" w:color="000000" w:sz="4" w:space="0"/>
              <w:bottom w:val="single" w:color="000000" w:sz="4" w:space="0"/>
              <w:right w:val="single" w:color="000000" w:sz="4" w:space="0"/>
            </w:tcBorders>
            <w:shd w:val="clear" w:color="auto" w:fill="BEBEBE"/>
            <w:vAlign w:val="center"/>
          </w:tcPr>
          <w:p>
            <w:pPr>
              <w:jc w:val="center"/>
              <w:textAlignment w:val="auto"/>
              <w:rPr>
                <w:rStyle w:val="13"/>
                <w:rFonts w:ascii="宋体" w:hAnsi="宋体" w:cs="宋体"/>
                <w:b/>
                <w:bCs/>
                <w:kern w:val="0"/>
                <w:sz w:val="24"/>
              </w:rPr>
            </w:pPr>
            <w:r>
              <w:rPr>
                <w:rStyle w:val="13"/>
                <w:rFonts w:ascii="宋体" w:hAnsi="宋体" w:cs="宋体"/>
                <w:b/>
                <w:bCs/>
                <w:kern w:val="0"/>
                <w:sz w:val="24"/>
              </w:rPr>
              <w:t>类别</w:t>
            </w:r>
          </w:p>
        </w:tc>
        <w:tc>
          <w:tcPr>
            <w:tcW w:w="3669" w:type="dxa"/>
            <w:tcBorders>
              <w:top w:val="single" w:color="000000" w:sz="4" w:space="0"/>
              <w:left w:val="single" w:color="000000" w:sz="4" w:space="0"/>
              <w:bottom w:val="single" w:color="000000" w:sz="4" w:space="0"/>
              <w:right w:val="single" w:color="000000" w:sz="4" w:space="0"/>
            </w:tcBorders>
            <w:shd w:val="clear" w:color="auto" w:fill="BEBEBE"/>
            <w:vAlign w:val="center"/>
          </w:tcPr>
          <w:p>
            <w:pPr>
              <w:jc w:val="center"/>
              <w:textAlignment w:val="auto"/>
              <w:rPr>
                <w:rStyle w:val="13"/>
                <w:rFonts w:ascii="宋体" w:hAnsi="宋体" w:cs="宋体"/>
                <w:b/>
                <w:bCs/>
                <w:kern w:val="0"/>
                <w:sz w:val="24"/>
              </w:rPr>
            </w:pPr>
            <w:r>
              <w:rPr>
                <w:rStyle w:val="13"/>
                <w:rFonts w:ascii="宋体" w:hAnsi="宋体" w:cs="宋体"/>
                <w:b/>
                <w:bCs/>
                <w:kern w:val="0"/>
                <w:sz w:val="24"/>
              </w:rPr>
              <w:t>参数要求</w:t>
            </w:r>
          </w:p>
        </w:tc>
        <w:tc>
          <w:tcPr>
            <w:tcW w:w="1842" w:type="dxa"/>
            <w:tcBorders>
              <w:top w:val="single" w:color="000000" w:sz="4" w:space="0"/>
              <w:left w:val="single" w:color="000000" w:sz="4" w:space="0"/>
              <w:bottom w:val="single" w:color="000000" w:sz="4" w:space="0"/>
              <w:right w:val="single" w:color="000000" w:sz="4" w:space="0"/>
            </w:tcBorders>
            <w:shd w:val="clear" w:color="auto" w:fill="BEBEBE"/>
            <w:vAlign w:val="center"/>
          </w:tcPr>
          <w:p>
            <w:pPr>
              <w:jc w:val="center"/>
              <w:textAlignment w:val="auto"/>
              <w:rPr>
                <w:rStyle w:val="13"/>
                <w:rFonts w:ascii="宋体" w:hAnsi="宋体" w:cs="宋体"/>
                <w:b/>
                <w:bCs/>
                <w:kern w:val="0"/>
                <w:sz w:val="24"/>
              </w:rPr>
            </w:pPr>
            <w:r>
              <w:rPr>
                <w:rStyle w:val="13"/>
                <w:rFonts w:ascii="宋体" w:hAnsi="宋体" w:cs="宋体"/>
                <w:b/>
                <w:bCs/>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555"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auto"/>
              <w:rPr>
                <w:rStyle w:val="13"/>
                <w:rFonts w:ascii="宋体" w:hAnsi="宋体"/>
                <w:kern w:val="0"/>
                <w:sz w:val="24"/>
              </w:rPr>
            </w:pPr>
            <w:r>
              <w:rPr>
                <w:rStyle w:val="13"/>
                <w:rFonts w:ascii="宋体" w:hAnsi="宋体"/>
                <w:kern w:val="0"/>
                <w:sz w:val="24"/>
              </w:rPr>
              <w:t>屏幕</w:t>
            </w:r>
          </w:p>
        </w:tc>
        <w:tc>
          <w:tcPr>
            <w:tcW w:w="2006"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r>
              <w:rPr>
                <w:rStyle w:val="13"/>
                <w:rFonts w:ascii="宋体" w:hAnsi="宋体"/>
                <w:kern w:val="0"/>
                <w:sz w:val="24"/>
              </w:rPr>
              <w:t>分辨率</w:t>
            </w:r>
          </w:p>
        </w:tc>
        <w:tc>
          <w:tcPr>
            <w:tcW w:w="3669"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支持480*800</w:t>
            </w:r>
          </w:p>
        </w:tc>
        <w:tc>
          <w:tcPr>
            <w:tcW w:w="1842" w:type="dxa"/>
            <w:vMerge w:val="restart"/>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555"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p>
        </w:tc>
        <w:tc>
          <w:tcPr>
            <w:tcW w:w="2006"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r>
              <w:rPr>
                <w:rStyle w:val="13"/>
                <w:rFonts w:ascii="宋体" w:hAnsi="宋体"/>
                <w:kern w:val="0"/>
                <w:sz w:val="24"/>
              </w:rPr>
              <w:t>亮度</w:t>
            </w:r>
          </w:p>
        </w:tc>
        <w:tc>
          <w:tcPr>
            <w:tcW w:w="3669"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kern w:val="0"/>
                <w:sz w:val="24"/>
              </w:rPr>
              <w:t>支持400(TYP)</w:t>
            </w:r>
          </w:p>
        </w:tc>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555"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auto"/>
              <w:rPr>
                <w:rStyle w:val="13"/>
                <w:rFonts w:ascii="宋体" w:hAnsi="宋体"/>
                <w:kern w:val="0"/>
                <w:sz w:val="24"/>
              </w:rPr>
            </w:pPr>
            <w:r>
              <w:rPr>
                <w:rStyle w:val="13"/>
                <w:rFonts w:ascii="宋体" w:hAnsi="宋体"/>
                <w:kern w:val="0"/>
                <w:sz w:val="24"/>
              </w:rPr>
              <w:t>摄像头</w:t>
            </w:r>
          </w:p>
        </w:tc>
        <w:tc>
          <w:tcPr>
            <w:tcW w:w="2006"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r>
              <w:rPr>
                <w:rStyle w:val="13"/>
                <w:rFonts w:ascii="宋体" w:hAnsi="宋体"/>
                <w:kern w:val="0"/>
                <w:sz w:val="24"/>
              </w:rPr>
              <w:t>后摄像头</w:t>
            </w:r>
          </w:p>
        </w:tc>
        <w:tc>
          <w:tcPr>
            <w:tcW w:w="3669"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支持5M AF</w:t>
            </w:r>
          </w:p>
        </w:tc>
        <w:tc>
          <w:tcPr>
            <w:tcW w:w="1842" w:type="dxa"/>
            <w:vMerge w:val="restart"/>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　</w:t>
            </w:r>
            <w:r>
              <w:rPr>
                <w:rStyle w:val="13"/>
                <w:rFonts w:ascii="宋体" w:hAnsi="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555"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p>
        </w:tc>
        <w:tc>
          <w:tcPr>
            <w:tcW w:w="2006"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r>
              <w:rPr>
                <w:rStyle w:val="13"/>
                <w:rFonts w:ascii="宋体" w:hAnsi="宋体"/>
                <w:kern w:val="0"/>
                <w:sz w:val="24"/>
              </w:rPr>
              <w:t>特殊功能支持</w:t>
            </w:r>
          </w:p>
        </w:tc>
        <w:tc>
          <w:tcPr>
            <w:tcW w:w="3669"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支持拍照翻译</w:t>
            </w:r>
          </w:p>
        </w:tc>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555"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auto"/>
              <w:rPr>
                <w:rStyle w:val="13"/>
                <w:rFonts w:ascii="宋体" w:hAnsi="宋体"/>
                <w:kern w:val="0"/>
                <w:sz w:val="24"/>
              </w:rPr>
            </w:pPr>
            <w:r>
              <w:rPr>
                <w:rStyle w:val="13"/>
                <w:rFonts w:ascii="宋体" w:hAnsi="宋体"/>
                <w:kern w:val="0"/>
                <w:sz w:val="24"/>
              </w:rPr>
              <w:t>电池</w:t>
            </w:r>
          </w:p>
        </w:tc>
        <w:tc>
          <w:tcPr>
            <w:tcW w:w="2006"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r>
              <w:rPr>
                <w:rStyle w:val="13"/>
                <w:rFonts w:ascii="宋体" w:hAnsi="宋体"/>
                <w:kern w:val="0"/>
                <w:sz w:val="24"/>
              </w:rPr>
              <w:t>电池类型</w:t>
            </w:r>
          </w:p>
        </w:tc>
        <w:tc>
          <w:tcPr>
            <w:tcW w:w="3669"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支持锂聚合物</w:t>
            </w:r>
          </w:p>
        </w:tc>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FF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555"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p>
        </w:tc>
        <w:tc>
          <w:tcPr>
            <w:tcW w:w="2006"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r>
              <w:rPr>
                <w:rStyle w:val="13"/>
                <w:rFonts w:ascii="宋体" w:hAnsi="宋体"/>
                <w:kern w:val="0"/>
                <w:sz w:val="24"/>
              </w:rPr>
              <w:t>电池容量</w:t>
            </w:r>
          </w:p>
        </w:tc>
        <w:tc>
          <w:tcPr>
            <w:tcW w:w="3669"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r>
              <w:rPr>
                <w:rStyle w:val="13"/>
                <w:rFonts w:ascii="宋体" w:hAnsi="宋体"/>
                <w:kern w:val="0"/>
                <w:sz w:val="24"/>
              </w:rPr>
              <w:t>支持2500mAh</w:t>
            </w:r>
          </w:p>
        </w:tc>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555"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p>
        </w:tc>
        <w:tc>
          <w:tcPr>
            <w:tcW w:w="2006"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r>
              <w:rPr>
                <w:rStyle w:val="13"/>
                <w:rFonts w:ascii="宋体" w:hAnsi="宋体"/>
                <w:kern w:val="0"/>
                <w:sz w:val="24"/>
              </w:rPr>
              <w:t>拆卸方式</w:t>
            </w:r>
          </w:p>
        </w:tc>
        <w:tc>
          <w:tcPr>
            <w:tcW w:w="3669"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电池需支持不可拆卸</w:t>
            </w:r>
          </w:p>
        </w:tc>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555" w:type="dxa"/>
            <w:tcBorders>
              <w:top w:val="single" w:color="000000" w:sz="4" w:space="0"/>
              <w:left w:val="single" w:color="000000" w:sz="4" w:space="0"/>
              <w:bottom w:val="single" w:color="000000" w:sz="4" w:space="0"/>
              <w:right w:val="single" w:color="000000" w:sz="4" w:space="0"/>
            </w:tcBorders>
            <w:vAlign w:val="center"/>
          </w:tcPr>
          <w:p>
            <w:pPr>
              <w:jc w:val="center"/>
              <w:textAlignment w:val="auto"/>
              <w:rPr>
                <w:rStyle w:val="13"/>
                <w:rFonts w:ascii="宋体" w:hAnsi="宋体"/>
                <w:kern w:val="0"/>
                <w:sz w:val="24"/>
              </w:rPr>
            </w:pPr>
            <w:r>
              <w:rPr>
                <w:rStyle w:val="13"/>
                <w:rFonts w:ascii="宋体" w:hAnsi="宋体"/>
                <w:kern w:val="0"/>
                <w:sz w:val="24"/>
              </w:rPr>
              <w:t>电声</w:t>
            </w:r>
          </w:p>
        </w:tc>
        <w:tc>
          <w:tcPr>
            <w:tcW w:w="2006"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r>
              <w:rPr>
                <w:rStyle w:val="13"/>
                <w:rFonts w:ascii="宋体" w:hAnsi="宋体"/>
                <w:kern w:val="0"/>
                <w:sz w:val="24"/>
              </w:rPr>
              <w:t>扬声器</w:t>
            </w:r>
          </w:p>
        </w:tc>
        <w:tc>
          <w:tcPr>
            <w:tcW w:w="3669"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需支持扬声器(双扬声器)</w:t>
            </w:r>
          </w:p>
        </w:tc>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555"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auto"/>
              <w:rPr>
                <w:rStyle w:val="13"/>
                <w:rFonts w:ascii="宋体" w:hAnsi="宋体"/>
                <w:kern w:val="0"/>
                <w:sz w:val="24"/>
              </w:rPr>
            </w:pPr>
            <w:r>
              <w:rPr>
                <w:rStyle w:val="13"/>
                <w:rFonts w:ascii="宋体" w:hAnsi="宋体"/>
                <w:kern w:val="0"/>
                <w:sz w:val="24"/>
              </w:rPr>
              <w:t>配件</w:t>
            </w:r>
          </w:p>
        </w:tc>
        <w:tc>
          <w:tcPr>
            <w:tcW w:w="2006"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r>
              <w:rPr>
                <w:rStyle w:val="13"/>
                <w:rFonts w:ascii="宋体" w:hAnsi="宋体"/>
                <w:kern w:val="0"/>
                <w:sz w:val="24"/>
              </w:rPr>
              <w:t>充电器</w:t>
            </w:r>
          </w:p>
        </w:tc>
        <w:tc>
          <w:tcPr>
            <w:tcW w:w="3669"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5V/2A，支持充电时间2H</w:t>
            </w:r>
          </w:p>
        </w:tc>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555"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p>
        </w:tc>
        <w:tc>
          <w:tcPr>
            <w:tcW w:w="2006"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r>
              <w:rPr>
                <w:rStyle w:val="13"/>
                <w:rFonts w:ascii="宋体" w:hAnsi="宋体"/>
                <w:kern w:val="0"/>
                <w:sz w:val="24"/>
              </w:rPr>
              <w:t>数据线</w:t>
            </w:r>
          </w:p>
        </w:tc>
        <w:tc>
          <w:tcPr>
            <w:tcW w:w="3669"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FF0000"/>
                <w:kern w:val="0"/>
                <w:sz w:val="24"/>
              </w:rPr>
            </w:pPr>
            <w:r>
              <w:rPr>
                <w:rStyle w:val="13"/>
                <w:rFonts w:ascii="宋体" w:hAnsi="宋体"/>
                <w:kern w:val="0"/>
                <w:sz w:val="24"/>
              </w:rPr>
              <w:t>TYPE-C- 1m</w:t>
            </w:r>
          </w:p>
        </w:tc>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555" w:type="dxa"/>
            <w:tcBorders>
              <w:top w:val="single" w:color="000000" w:sz="4" w:space="0"/>
              <w:left w:val="single" w:color="000000" w:sz="4" w:space="0"/>
              <w:bottom w:val="single" w:color="000000" w:sz="4" w:space="0"/>
              <w:right w:val="single" w:color="000000" w:sz="4" w:space="0"/>
            </w:tcBorders>
            <w:shd w:val="clear" w:color="auto" w:fill="BEBEBE"/>
            <w:vAlign w:val="center"/>
          </w:tcPr>
          <w:p>
            <w:pPr>
              <w:jc w:val="center"/>
              <w:textAlignment w:val="auto"/>
              <w:rPr>
                <w:rStyle w:val="13"/>
                <w:rFonts w:ascii="宋体" w:hAnsi="宋体" w:cs="宋体"/>
                <w:b/>
                <w:bCs/>
                <w:kern w:val="0"/>
                <w:sz w:val="24"/>
              </w:rPr>
            </w:pPr>
            <w:r>
              <w:rPr>
                <w:rStyle w:val="13"/>
                <w:rFonts w:ascii="宋体" w:hAnsi="宋体" w:cs="宋体"/>
                <w:b/>
                <w:bCs/>
                <w:kern w:val="0"/>
                <w:sz w:val="24"/>
              </w:rPr>
              <w:t>硬件要求</w:t>
            </w:r>
          </w:p>
        </w:tc>
        <w:tc>
          <w:tcPr>
            <w:tcW w:w="2006" w:type="dxa"/>
            <w:tcBorders>
              <w:top w:val="single" w:color="000000" w:sz="4" w:space="0"/>
              <w:left w:val="single" w:color="000000" w:sz="4" w:space="0"/>
              <w:bottom w:val="single" w:color="000000" w:sz="4" w:space="0"/>
              <w:right w:val="single" w:color="000000" w:sz="4" w:space="0"/>
            </w:tcBorders>
            <w:shd w:val="clear" w:color="auto" w:fill="BEBEBE"/>
            <w:vAlign w:val="center"/>
          </w:tcPr>
          <w:p>
            <w:pPr>
              <w:jc w:val="center"/>
              <w:textAlignment w:val="auto"/>
              <w:rPr>
                <w:rStyle w:val="13"/>
                <w:rFonts w:ascii="宋体" w:hAnsi="宋体" w:cs="宋体"/>
                <w:b/>
                <w:bCs/>
                <w:kern w:val="0"/>
                <w:sz w:val="24"/>
              </w:rPr>
            </w:pPr>
            <w:r>
              <w:rPr>
                <w:rStyle w:val="13"/>
                <w:rFonts w:ascii="宋体" w:hAnsi="宋体" w:cs="宋体"/>
                <w:b/>
                <w:bCs/>
                <w:kern w:val="0"/>
                <w:sz w:val="24"/>
              </w:rPr>
              <w:t>类别</w:t>
            </w:r>
          </w:p>
        </w:tc>
        <w:tc>
          <w:tcPr>
            <w:tcW w:w="3669" w:type="dxa"/>
            <w:tcBorders>
              <w:top w:val="single" w:color="000000" w:sz="4" w:space="0"/>
              <w:left w:val="single" w:color="000000" w:sz="4" w:space="0"/>
              <w:bottom w:val="single" w:color="000000" w:sz="4" w:space="0"/>
              <w:right w:val="single" w:color="000000" w:sz="4" w:space="0"/>
            </w:tcBorders>
            <w:shd w:val="clear" w:color="auto" w:fill="BEBEBE"/>
            <w:vAlign w:val="center"/>
          </w:tcPr>
          <w:p>
            <w:pPr>
              <w:jc w:val="center"/>
              <w:textAlignment w:val="auto"/>
              <w:rPr>
                <w:rStyle w:val="13"/>
                <w:rFonts w:ascii="宋体" w:hAnsi="宋体" w:cs="宋体"/>
                <w:b/>
                <w:bCs/>
                <w:kern w:val="0"/>
                <w:sz w:val="24"/>
              </w:rPr>
            </w:pPr>
            <w:r>
              <w:rPr>
                <w:rStyle w:val="13"/>
                <w:rFonts w:ascii="宋体" w:hAnsi="宋体" w:cs="宋体"/>
                <w:b/>
                <w:bCs/>
                <w:kern w:val="0"/>
                <w:sz w:val="24"/>
              </w:rPr>
              <w:t>参数要求</w:t>
            </w:r>
          </w:p>
        </w:tc>
        <w:tc>
          <w:tcPr>
            <w:tcW w:w="1842" w:type="dxa"/>
            <w:tcBorders>
              <w:top w:val="single" w:color="000000" w:sz="4" w:space="0"/>
              <w:left w:val="single" w:color="000000" w:sz="4" w:space="0"/>
              <w:bottom w:val="single" w:color="000000" w:sz="4" w:space="0"/>
              <w:right w:val="single" w:color="000000" w:sz="4" w:space="0"/>
            </w:tcBorders>
            <w:shd w:val="clear" w:color="auto" w:fill="BEBEBE"/>
            <w:vAlign w:val="center"/>
          </w:tcPr>
          <w:p>
            <w:pPr>
              <w:jc w:val="center"/>
              <w:textAlignment w:val="auto"/>
              <w:rPr>
                <w:rStyle w:val="13"/>
                <w:rFonts w:ascii="宋体" w:hAnsi="宋体" w:cs="宋体"/>
                <w:b/>
                <w:bCs/>
                <w:kern w:val="0"/>
                <w:sz w:val="24"/>
              </w:rPr>
            </w:pPr>
            <w:r>
              <w:rPr>
                <w:rStyle w:val="13"/>
                <w:rFonts w:ascii="宋体" w:hAnsi="宋体" w:cs="宋体"/>
                <w:b/>
                <w:bCs/>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555"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auto"/>
              <w:rPr>
                <w:rStyle w:val="13"/>
                <w:rFonts w:ascii="宋体" w:hAnsi="宋体"/>
                <w:kern w:val="0"/>
                <w:sz w:val="24"/>
              </w:rPr>
            </w:pPr>
            <w:r>
              <w:rPr>
                <w:rStyle w:val="13"/>
                <w:rFonts w:ascii="宋体" w:hAnsi="宋体"/>
                <w:kern w:val="0"/>
                <w:sz w:val="24"/>
              </w:rPr>
              <w:t>平台支持</w:t>
            </w:r>
          </w:p>
        </w:tc>
        <w:tc>
          <w:tcPr>
            <w:tcW w:w="2006"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r>
              <w:rPr>
                <w:rStyle w:val="13"/>
                <w:rFonts w:ascii="宋体" w:hAnsi="宋体"/>
                <w:kern w:val="0"/>
                <w:sz w:val="24"/>
              </w:rPr>
              <w:t>基带芯片</w:t>
            </w:r>
          </w:p>
        </w:tc>
        <w:tc>
          <w:tcPr>
            <w:tcW w:w="3669"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s="宋体"/>
                <w:bCs/>
                <w:kern w:val="0"/>
                <w:sz w:val="24"/>
              </w:rPr>
            </w:pPr>
            <w:r>
              <w:rPr>
                <w:rStyle w:val="13"/>
                <w:rFonts w:ascii="宋体" w:hAnsi="宋体" w:cs="宋体"/>
                <w:bCs/>
                <w:kern w:val="0"/>
                <w:sz w:val="24"/>
              </w:rPr>
              <w:t>支持SDM450</w:t>
            </w:r>
          </w:p>
        </w:tc>
        <w:tc>
          <w:tcPr>
            <w:tcW w:w="1842" w:type="dxa"/>
            <w:vMerge w:val="restart"/>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r>
              <w:rPr>
                <w:rStyle w:val="13"/>
                <w:rFonts w:ascii="宋体" w:hAnsi="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555"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p>
        </w:tc>
        <w:tc>
          <w:tcPr>
            <w:tcW w:w="2006"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r>
              <w:rPr>
                <w:rStyle w:val="13"/>
                <w:rFonts w:ascii="宋体" w:hAnsi="宋体"/>
                <w:kern w:val="0"/>
                <w:sz w:val="24"/>
              </w:rPr>
              <w:t>射频收发</w:t>
            </w:r>
          </w:p>
        </w:tc>
        <w:tc>
          <w:tcPr>
            <w:tcW w:w="3669"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r>
              <w:rPr>
                <w:rStyle w:val="13"/>
                <w:rFonts w:ascii="宋体" w:hAnsi="宋体" w:cs="宋体"/>
                <w:bCs/>
                <w:kern w:val="0"/>
                <w:sz w:val="24"/>
              </w:rPr>
              <w:t>支持</w:t>
            </w:r>
            <w:r>
              <w:rPr>
                <w:rStyle w:val="13"/>
                <w:rFonts w:ascii="宋体" w:hAnsi="宋体"/>
                <w:kern w:val="0"/>
                <w:sz w:val="24"/>
              </w:rPr>
              <w:t>WTR2965</w:t>
            </w:r>
          </w:p>
        </w:tc>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555"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p>
        </w:tc>
        <w:tc>
          <w:tcPr>
            <w:tcW w:w="2006"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r>
              <w:rPr>
                <w:rStyle w:val="13"/>
                <w:rFonts w:ascii="宋体" w:hAnsi="宋体"/>
                <w:kern w:val="0"/>
                <w:sz w:val="24"/>
              </w:rPr>
              <w:t>电源芯片</w:t>
            </w:r>
          </w:p>
        </w:tc>
        <w:tc>
          <w:tcPr>
            <w:tcW w:w="3669"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r>
              <w:rPr>
                <w:rStyle w:val="13"/>
                <w:rFonts w:ascii="宋体" w:hAnsi="宋体" w:cs="宋体"/>
                <w:bCs/>
                <w:kern w:val="0"/>
                <w:sz w:val="24"/>
              </w:rPr>
              <w:t>支持PMI-8952</w:t>
            </w:r>
          </w:p>
        </w:tc>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555"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p>
        </w:tc>
        <w:tc>
          <w:tcPr>
            <w:tcW w:w="2006"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r>
              <w:rPr>
                <w:rStyle w:val="13"/>
                <w:rFonts w:ascii="宋体" w:hAnsi="宋体"/>
                <w:kern w:val="0"/>
                <w:sz w:val="24"/>
              </w:rPr>
              <w:t>GPS/WIFI/BT/FM</w:t>
            </w:r>
          </w:p>
        </w:tc>
        <w:tc>
          <w:tcPr>
            <w:tcW w:w="3669"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FF0000"/>
                <w:kern w:val="0"/>
                <w:sz w:val="24"/>
              </w:rPr>
            </w:pPr>
            <w:r>
              <w:rPr>
                <w:rStyle w:val="13"/>
                <w:rFonts w:ascii="宋体" w:hAnsi="宋体" w:cs="宋体"/>
                <w:bCs/>
                <w:kern w:val="0"/>
                <w:sz w:val="24"/>
              </w:rPr>
              <w:t>支持</w:t>
            </w:r>
            <w:r>
              <w:rPr>
                <w:rStyle w:val="13"/>
                <w:rFonts w:ascii="宋体" w:hAnsi="宋体"/>
                <w:kern w:val="0"/>
                <w:sz w:val="24"/>
              </w:rPr>
              <w:t>WCN3660B</w:t>
            </w:r>
          </w:p>
        </w:tc>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555"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auto"/>
              <w:rPr>
                <w:rStyle w:val="13"/>
                <w:rFonts w:ascii="宋体" w:hAnsi="宋体"/>
                <w:kern w:val="0"/>
                <w:sz w:val="24"/>
              </w:rPr>
            </w:pPr>
            <w:r>
              <w:rPr>
                <w:rStyle w:val="13"/>
                <w:rFonts w:ascii="宋体" w:hAnsi="宋体"/>
                <w:kern w:val="0"/>
                <w:sz w:val="24"/>
              </w:rPr>
              <w:t>射频</w:t>
            </w:r>
            <w:r>
              <w:rPr>
                <w:rStyle w:val="13"/>
                <w:rFonts w:ascii="宋体" w:hAnsi="宋体" w:cs="宋体"/>
                <w:bCs/>
                <w:kern w:val="0"/>
                <w:sz w:val="24"/>
              </w:rPr>
              <w:t>支持</w:t>
            </w:r>
          </w:p>
        </w:tc>
        <w:tc>
          <w:tcPr>
            <w:tcW w:w="2006"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r>
              <w:rPr>
                <w:rStyle w:val="13"/>
                <w:rFonts w:ascii="宋体" w:hAnsi="宋体"/>
                <w:kern w:val="0"/>
                <w:sz w:val="24"/>
              </w:rPr>
              <w:t>GSM频段</w:t>
            </w:r>
          </w:p>
        </w:tc>
        <w:tc>
          <w:tcPr>
            <w:tcW w:w="3669"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r>
              <w:rPr>
                <w:rStyle w:val="13"/>
                <w:rFonts w:ascii="宋体" w:hAnsi="宋体" w:cs="宋体"/>
                <w:bCs/>
                <w:kern w:val="0"/>
                <w:sz w:val="24"/>
              </w:rPr>
              <w:t>支持</w:t>
            </w:r>
            <w:r>
              <w:rPr>
                <w:rStyle w:val="13"/>
                <w:rFonts w:ascii="宋体" w:hAnsi="宋体"/>
                <w:kern w:val="0"/>
                <w:sz w:val="24"/>
              </w:rPr>
              <w:t>2/3/5/8</w:t>
            </w:r>
          </w:p>
        </w:tc>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555"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p>
        </w:tc>
        <w:tc>
          <w:tcPr>
            <w:tcW w:w="2006"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r>
              <w:rPr>
                <w:rStyle w:val="13"/>
                <w:rFonts w:ascii="宋体" w:hAnsi="宋体"/>
                <w:kern w:val="0"/>
                <w:sz w:val="24"/>
              </w:rPr>
              <w:t>CDMA</w:t>
            </w:r>
          </w:p>
        </w:tc>
        <w:tc>
          <w:tcPr>
            <w:tcW w:w="3669"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r>
              <w:rPr>
                <w:rStyle w:val="13"/>
                <w:rFonts w:ascii="宋体" w:hAnsi="宋体" w:cs="宋体"/>
                <w:bCs/>
                <w:kern w:val="0"/>
                <w:sz w:val="24"/>
              </w:rPr>
              <w:t>支持</w:t>
            </w:r>
            <w:r>
              <w:rPr>
                <w:rStyle w:val="13"/>
                <w:rFonts w:ascii="宋体" w:hAnsi="宋体"/>
                <w:kern w:val="0"/>
                <w:sz w:val="24"/>
              </w:rPr>
              <w:t>BC0/BC1</w:t>
            </w:r>
          </w:p>
        </w:tc>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555"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p>
        </w:tc>
        <w:tc>
          <w:tcPr>
            <w:tcW w:w="2006"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r>
              <w:rPr>
                <w:rStyle w:val="13"/>
                <w:rFonts w:ascii="宋体" w:hAnsi="宋体"/>
                <w:kern w:val="0"/>
                <w:sz w:val="24"/>
              </w:rPr>
              <w:t>WCDMA频段</w:t>
            </w:r>
          </w:p>
        </w:tc>
        <w:tc>
          <w:tcPr>
            <w:tcW w:w="3669"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r>
              <w:rPr>
                <w:rStyle w:val="13"/>
                <w:rFonts w:ascii="宋体" w:hAnsi="宋体" w:cs="宋体"/>
                <w:bCs/>
                <w:kern w:val="0"/>
                <w:sz w:val="24"/>
              </w:rPr>
              <w:t>支持</w:t>
            </w:r>
            <w:r>
              <w:rPr>
                <w:rStyle w:val="13"/>
                <w:rFonts w:ascii="宋体" w:hAnsi="宋体"/>
                <w:kern w:val="0"/>
                <w:sz w:val="24"/>
              </w:rPr>
              <w:t>1/2/4/5/8</w:t>
            </w:r>
          </w:p>
        </w:tc>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555"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p>
        </w:tc>
        <w:tc>
          <w:tcPr>
            <w:tcW w:w="2006"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r>
              <w:rPr>
                <w:rStyle w:val="13"/>
                <w:rFonts w:ascii="宋体" w:hAnsi="宋体"/>
                <w:kern w:val="0"/>
                <w:sz w:val="24"/>
              </w:rPr>
              <w:t>TDS频段</w:t>
            </w:r>
          </w:p>
        </w:tc>
        <w:tc>
          <w:tcPr>
            <w:tcW w:w="3669"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r>
              <w:rPr>
                <w:rStyle w:val="13"/>
                <w:rFonts w:ascii="宋体" w:hAnsi="宋体" w:cs="宋体"/>
                <w:bCs/>
                <w:kern w:val="0"/>
                <w:sz w:val="24"/>
              </w:rPr>
              <w:t>支持</w:t>
            </w:r>
            <w:r>
              <w:rPr>
                <w:rStyle w:val="13"/>
                <w:rFonts w:ascii="宋体" w:hAnsi="宋体"/>
                <w:kern w:val="0"/>
                <w:sz w:val="24"/>
              </w:rPr>
              <w:t>34/39</w:t>
            </w:r>
          </w:p>
        </w:tc>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555"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p>
        </w:tc>
        <w:tc>
          <w:tcPr>
            <w:tcW w:w="2006"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r>
              <w:rPr>
                <w:rStyle w:val="13"/>
                <w:rFonts w:ascii="宋体" w:hAnsi="宋体"/>
                <w:kern w:val="0"/>
                <w:sz w:val="24"/>
              </w:rPr>
              <w:t>TD-LTE频段</w:t>
            </w:r>
          </w:p>
        </w:tc>
        <w:tc>
          <w:tcPr>
            <w:tcW w:w="3669"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r>
              <w:rPr>
                <w:rStyle w:val="13"/>
                <w:rFonts w:ascii="宋体" w:hAnsi="宋体" w:cs="宋体"/>
                <w:bCs/>
                <w:kern w:val="0"/>
                <w:sz w:val="24"/>
              </w:rPr>
              <w:t>支持</w:t>
            </w:r>
            <w:r>
              <w:rPr>
                <w:rStyle w:val="13"/>
                <w:rFonts w:ascii="宋体" w:hAnsi="宋体"/>
                <w:kern w:val="0"/>
                <w:sz w:val="24"/>
              </w:rPr>
              <w:t>34/38/39/40/41</w:t>
            </w:r>
          </w:p>
        </w:tc>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555"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p>
        </w:tc>
        <w:tc>
          <w:tcPr>
            <w:tcW w:w="2006"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r>
              <w:rPr>
                <w:rStyle w:val="13"/>
                <w:rFonts w:ascii="宋体" w:hAnsi="宋体"/>
                <w:kern w:val="0"/>
                <w:sz w:val="24"/>
              </w:rPr>
              <w:t>FDD-LTE频段</w:t>
            </w:r>
          </w:p>
        </w:tc>
        <w:tc>
          <w:tcPr>
            <w:tcW w:w="3669"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r>
              <w:rPr>
                <w:rStyle w:val="13"/>
                <w:rFonts w:ascii="宋体" w:hAnsi="宋体" w:cs="宋体"/>
                <w:bCs/>
                <w:kern w:val="0"/>
                <w:sz w:val="24"/>
              </w:rPr>
              <w:t>支持</w:t>
            </w:r>
            <w:r>
              <w:rPr>
                <w:rStyle w:val="13"/>
                <w:rFonts w:ascii="宋体" w:hAnsi="宋体"/>
                <w:kern w:val="0"/>
                <w:sz w:val="24"/>
              </w:rPr>
              <w:t>1/2/3/4/5/7/8/12/13/17/18/19/20/25/26/66</w:t>
            </w:r>
          </w:p>
        </w:tc>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555"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p>
        </w:tc>
        <w:tc>
          <w:tcPr>
            <w:tcW w:w="2006"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r>
              <w:rPr>
                <w:rStyle w:val="13"/>
                <w:rFonts w:ascii="宋体" w:hAnsi="宋体"/>
                <w:kern w:val="0"/>
                <w:sz w:val="24"/>
              </w:rPr>
              <w:t>LTE category</w:t>
            </w:r>
          </w:p>
        </w:tc>
        <w:tc>
          <w:tcPr>
            <w:tcW w:w="3669"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r>
              <w:rPr>
                <w:rStyle w:val="13"/>
                <w:rFonts w:ascii="宋体" w:hAnsi="宋体" w:cs="宋体"/>
                <w:bCs/>
                <w:kern w:val="0"/>
                <w:sz w:val="24"/>
              </w:rPr>
              <w:t>支持</w:t>
            </w:r>
            <w:r>
              <w:rPr>
                <w:rStyle w:val="13"/>
                <w:rFonts w:ascii="宋体" w:hAnsi="宋体"/>
                <w:kern w:val="0"/>
                <w:sz w:val="24"/>
              </w:rPr>
              <w:t>CAT4</w:t>
            </w:r>
          </w:p>
        </w:tc>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555"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p>
        </w:tc>
        <w:tc>
          <w:tcPr>
            <w:tcW w:w="2006"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r>
              <w:rPr>
                <w:rStyle w:val="13"/>
                <w:rFonts w:ascii="宋体" w:hAnsi="宋体"/>
                <w:kern w:val="0"/>
                <w:sz w:val="24"/>
              </w:rPr>
              <w:t>通信天线数量</w:t>
            </w:r>
          </w:p>
        </w:tc>
        <w:tc>
          <w:tcPr>
            <w:tcW w:w="3669"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r>
              <w:rPr>
                <w:rStyle w:val="13"/>
                <w:rFonts w:ascii="宋体" w:hAnsi="宋体"/>
                <w:kern w:val="0"/>
                <w:sz w:val="24"/>
              </w:rPr>
              <w:t>支持主天线+分集天线+三合一天线</w:t>
            </w:r>
          </w:p>
        </w:tc>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555"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auto"/>
              <w:rPr>
                <w:rStyle w:val="13"/>
                <w:rFonts w:ascii="宋体" w:hAnsi="宋体"/>
                <w:kern w:val="0"/>
                <w:sz w:val="24"/>
              </w:rPr>
            </w:pPr>
            <w:r>
              <w:rPr>
                <w:rStyle w:val="13"/>
                <w:rFonts w:ascii="宋体" w:hAnsi="宋体"/>
                <w:kern w:val="0"/>
                <w:sz w:val="24"/>
              </w:rPr>
              <w:t>连接性</w:t>
            </w:r>
          </w:p>
        </w:tc>
        <w:tc>
          <w:tcPr>
            <w:tcW w:w="2006"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r>
              <w:rPr>
                <w:rStyle w:val="13"/>
                <w:rFonts w:ascii="宋体" w:hAnsi="宋体"/>
                <w:kern w:val="0"/>
                <w:sz w:val="24"/>
              </w:rPr>
              <w:t>GPS</w:t>
            </w:r>
          </w:p>
        </w:tc>
        <w:tc>
          <w:tcPr>
            <w:tcW w:w="3669"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r>
              <w:rPr>
                <w:rStyle w:val="13"/>
                <w:rFonts w:ascii="宋体" w:hAnsi="宋体" w:cs="宋体"/>
                <w:bCs/>
                <w:kern w:val="0"/>
                <w:sz w:val="24"/>
              </w:rPr>
              <w:t>支持</w:t>
            </w:r>
            <w:r>
              <w:rPr>
                <w:rStyle w:val="13"/>
                <w:rFonts w:ascii="宋体" w:hAnsi="宋体"/>
                <w:kern w:val="0"/>
                <w:sz w:val="24"/>
              </w:rPr>
              <w:t>GPS</w:t>
            </w:r>
          </w:p>
        </w:tc>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555"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p>
        </w:tc>
        <w:tc>
          <w:tcPr>
            <w:tcW w:w="2006"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r>
              <w:rPr>
                <w:rStyle w:val="13"/>
                <w:rFonts w:ascii="宋体" w:hAnsi="宋体"/>
                <w:kern w:val="0"/>
                <w:sz w:val="24"/>
              </w:rPr>
              <w:t>BEIDOU</w:t>
            </w:r>
          </w:p>
        </w:tc>
        <w:tc>
          <w:tcPr>
            <w:tcW w:w="3669"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r>
              <w:rPr>
                <w:rStyle w:val="13"/>
                <w:rFonts w:ascii="宋体" w:hAnsi="宋体" w:cs="宋体"/>
                <w:bCs/>
                <w:kern w:val="0"/>
                <w:sz w:val="24"/>
              </w:rPr>
              <w:t>支持</w:t>
            </w:r>
            <w:r>
              <w:rPr>
                <w:rStyle w:val="13"/>
                <w:rFonts w:ascii="宋体" w:hAnsi="宋体"/>
                <w:kern w:val="0"/>
                <w:sz w:val="24"/>
              </w:rPr>
              <w:t>BEIDOU</w:t>
            </w:r>
          </w:p>
        </w:tc>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555"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p>
        </w:tc>
        <w:tc>
          <w:tcPr>
            <w:tcW w:w="2006"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r>
              <w:rPr>
                <w:rStyle w:val="13"/>
                <w:rFonts w:ascii="宋体" w:hAnsi="宋体"/>
                <w:kern w:val="0"/>
                <w:sz w:val="24"/>
              </w:rPr>
              <w:t>WiFi</w:t>
            </w:r>
          </w:p>
        </w:tc>
        <w:tc>
          <w:tcPr>
            <w:tcW w:w="3669"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r>
              <w:rPr>
                <w:rStyle w:val="13"/>
                <w:rFonts w:ascii="宋体" w:hAnsi="宋体" w:cs="宋体"/>
                <w:bCs/>
                <w:kern w:val="0"/>
                <w:sz w:val="24"/>
              </w:rPr>
              <w:t>Y/802.11 a. b/g/n、WIFI DISPLAY/DIRECT</w:t>
            </w:r>
          </w:p>
        </w:tc>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555"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p>
        </w:tc>
        <w:tc>
          <w:tcPr>
            <w:tcW w:w="2006"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r>
              <w:rPr>
                <w:rStyle w:val="13"/>
                <w:rFonts w:ascii="宋体" w:hAnsi="宋体"/>
                <w:kern w:val="0"/>
                <w:sz w:val="24"/>
              </w:rPr>
              <w:t>BLUETOOTH</w:t>
            </w:r>
          </w:p>
        </w:tc>
        <w:tc>
          <w:tcPr>
            <w:tcW w:w="3669"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r>
              <w:rPr>
                <w:rStyle w:val="13"/>
                <w:rFonts w:ascii="宋体" w:hAnsi="宋体" w:cs="宋体"/>
                <w:bCs/>
                <w:kern w:val="0"/>
                <w:sz w:val="24"/>
              </w:rPr>
              <w:t>支持</w:t>
            </w:r>
            <w:r>
              <w:rPr>
                <w:rStyle w:val="13"/>
                <w:rFonts w:ascii="宋体" w:hAnsi="宋体"/>
                <w:kern w:val="0"/>
                <w:sz w:val="24"/>
              </w:rPr>
              <w:t>BLUETOOTH4.1</w:t>
            </w:r>
          </w:p>
        </w:tc>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p>
        </w:tc>
      </w:tr>
    </w:tbl>
    <w:p>
      <w:pPr>
        <w:spacing w:line="360" w:lineRule="auto"/>
        <w:textAlignment w:val="auto"/>
        <w:rPr>
          <w:rStyle w:val="13"/>
          <w:rFonts w:ascii="宋体" w:hAnsi="宋体"/>
          <w:sz w:val="24"/>
        </w:rPr>
      </w:pPr>
    </w:p>
    <w:p>
      <w:pPr>
        <w:pStyle w:val="21"/>
        <w:spacing w:line="360" w:lineRule="auto"/>
        <w:textAlignment w:val="auto"/>
        <w:rPr>
          <w:rStyle w:val="13"/>
          <w:rFonts w:cs="宋体"/>
          <w:b/>
          <w:sz w:val="24"/>
          <w:szCs w:val="24"/>
        </w:rPr>
      </w:pPr>
      <w:r>
        <w:rPr>
          <w:rStyle w:val="13"/>
          <w:rFonts w:cs="宋体"/>
          <w:b/>
          <w:sz w:val="24"/>
          <w:szCs w:val="24"/>
        </w:rPr>
        <w:t>多语言智能窗口话务系统</w:t>
      </w:r>
    </w:p>
    <w:p>
      <w:pPr>
        <w:pStyle w:val="22"/>
        <w:numPr>
          <w:ilvl w:val="4"/>
          <w:numId w:val="0"/>
        </w:numPr>
        <w:spacing w:before="0" w:after="0" w:line="360" w:lineRule="auto"/>
        <w:ind w:left="1560"/>
        <w:textAlignment w:val="auto"/>
        <w:rPr>
          <w:rStyle w:val="13"/>
          <w:rFonts w:ascii="宋体" w:hAnsi="宋体" w:cs="宋体"/>
          <w:bCs/>
          <w:sz w:val="24"/>
          <w:szCs w:val="24"/>
        </w:rPr>
      </w:pPr>
      <w:r>
        <w:rPr>
          <w:rStyle w:val="13"/>
          <w:rFonts w:hint="eastAsia" w:ascii="宋体" w:hAnsi="宋体" w:cs="宋体"/>
          <w:bCs/>
          <w:sz w:val="24"/>
          <w:szCs w:val="24"/>
        </w:rPr>
        <w:t>1.</w:t>
      </w:r>
      <w:r>
        <w:rPr>
          <w:rStyle w:val="13"/>
          <w:rFonts w:ascii="宋体" w:hAnsi="宋体" w:cs="宋体"/>
          <w:bCs/>
          <w:sz w:val="24"/>
          <w:szCs w:val="24"/>
        </w:rPr>
        <w:t>产品要求</w:t>
      </w:r>
    </w:p>
    <w:p>
      <w:pPr>
        <w:spacing w:line="360" w:lineRule="auto"/>
        <w:ind w:firstLine="560"/>
        <w:textAlignment w:val="auto"/>
        <w:rPr>
          <w:rStyle w:val="13"/>
          <w:rFonts w:ascii="宋体" w:hAnsi="宋体"/>
          <w:sz w:val="24"/>
        </w:rPr>
      </w:pPr>
      <w:r>
        <w:rPr>
          <w:rStyle w:val="13"/>
          <w:rFonts w:ascii="宋体" w:hAnsi="宋体"/>
          <w:sz w:val="24"/>
        </w:rPr>
        <w:t>多语言智能窗口话务系统是一款具备汉语和维吾尔语/中文到国内外33种语言的实时翻译功能的软硬一体化高端窗口翻译系统，主要针对目前少数民族地区工作环境下窗口对讲系统缺少多语言翻译功能的情况研发，可将医院窗口业务工作中的语音对话内容实时转换成文字，并对识别结果进行多语言的精准翻译和播报。</w:t>
      </w:r>
    </w:p>
    <w:p>
      <w:pPr>
        <w:pStyle w:val="3"/>
        <w:spacing w:line="360" w:lineRule="auto"/>
        <w:textAlignment w:val="auto"/>
        <w:rPr>
          <w:rStyle w:val="13"/>
          <w:rFonts w:ascii="宋体" w:hAnsi="宋体" w:eastAsia="宋体"/>
          <w:sz w:val="24"/>
          <w:szCs w:val="24"/>
        </w:rPr>
      </w:pPr>
      <w:r>
        <w:rPr>
          <w:rStyle w:val="13"/>
          <w:rFonts w:ascii="宋体" w:hAnsi="宋体" w:eastAsia="宋体"/>
          <w:sz w:val="24"/>
          <w:szCs w:val="24"/>
        </w:rPr>
        <w:t>表格 9多语言智能窗口话务系统技术参数一览表</w:t>
      </w:r>
    </w:p>
    <w:tbl>
      <w:tblPr>
        <w:tblStyle w:val="10"/>
        <w:tblW w:w="849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20"/>
        <w:gridCol w:w="2032"/>
        <w:gridCol w:w="5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20" w:type="dxa"/>
            <w:tcBorders>
              <w:top w:val="single" w:color="000000" w:sz="4" w:space="0"/>
              <w:left w:val="single" w:color="000000" w:sz="4" w:space="0"/>
              <w:bottom w:val="single" w:color="000000" w:sz="4" w:space="0"/>
              <w:right w:val="single" w:color="000000" w:sz="4" w:space="0"/>
            </w:tcBorders>
            <w:shd w:val="clear" w:color="auto" w:fill="D8D8D8"/>
            <w:vAlign w:val="center"/>
          </w:tcPr>
          <w:p>
            <w:pPr>
              <w:spacing w:line="360" w:lineRule="auto"/>
              <w:jc w:val="center"/>
              <w:textAlignment w:val="auto"/>
              <w:rPr>
                <w:rStyle w:val="13"/>
                <w:rFonts w:ascii="宋体" w:hAnsi="宋体"/>
                <w:b/>
                <w:sz w:val="24"/>
              </w:rPr>
            </w:pPr>
            <w:r>
              <w:rPr>
                <w:rStyle w:val="13"/>
                <w:rFonts w:ascii="宋体" w:hAnsi="宋体"/>
                <w:b/>
                <w:sz w:val="24"/>
              </w:rPr>
              <w:t>序号</w:t>
            </w:r>
          </w:p>
        </w:tc>
        <w:tc>
          <w:tcPr>
            <w:tcW w:w="2032" w:type="dxa"/>
            <w:tcBorders>
              <w:top w:val="single" w:color="000000" w:sz="4" w:space="0"/>
              <w:left w:val="single" w:color="000000" w:sz="4" w:space="0"/>
              <w:bottom w:val="single" w:color="000000" w:sz="4" w:space="0"/>
              <w:right w:val="single" w:color="000000" w:sz="4" w:space="0"/>
            </w:tcBorders>
            <w:shd w:val="clear" w:color="auto" w:fill="D8D8D8"/>
            <w:vAlign w:val="center"/>
          </w:tcPr>
          <w:p>
            <w:pPr>
              <w:spacing w:line="360" w:lineRule="auto"/>
              <w:jc w:val="center"/>
              <w:textAlignment w:val="auto"/>
              <w:rPr>
                <w:rStyle w:val="13"/>
                <w:rFonts w:ascii="宋体" w:hAnsi="宋体"/>
                <w:b/>
                <w:sz w:val="24"/>
              </w:rPr>
            </w:pPr>
            <w:r>
              <w:rPr>
                <w:rStyle w:val="13"/>
                <w:rFonts w:ascii="宋体" w:hAnsi="宋体"/>
                <w:b/>
                <w:sz w:val="24"/>
              </w:rPr>
              <w:t>性能/功能</w:t>
            </w:r>
          </w:p>
        </w:tc>
        <w:tc>
          <w:tcPr>
            <w:tcW w:w="5743" w:type="dxa"/>
            <w:tcBorders>
              <w:top w:val="single" w:color="000000" w:sz="4" w:space="0"/>
              <w:left w:val="single" w:color="000000" w:sz="4" w:space="0"/>
              <w:bottom w:val="single" w:color="000000" w:sz="4" w:space="0"/>
              <w:right w:val="single" w:color="000000" w:sz="4" w:space="0"/>
            </w:tcBorders>
            <w:shd w:val="clear" w:color="auto" w:fill="D8D8D8"/>
            <w:vAlign w:val="center"/>
          </w:tcPr>
          <w:p>
            <w:pPr>
              <w:spacing w:line="360" w:lineRule="auto"/>
              <w:jc w:val="center"/>
              <w:textAlignment w:val="auto"/>
              <w:rPr>
                <w:rStyle w:val="13"/>
                <w:rFonts w:ascii="宋体" w:hAnsi="宋体"/>
                <w:b/>
                <w:sz w:val="24"/>
              </w:rPr>
            </w:pPr>
            <w:r>
              <w:rPr>
                <w:rStyle w:val="13"/>
                <w:rFonts w:ascii="宋体" w:hAnsi="宋体"/>
                <w:b/>
                <w:sz w:val="24"/>
              </w:rPr>
              <w:t>需求及技术参数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71"/>
              <w:numPr>
                <w:ilvl w:val="0"/>
                <w:numId w:val="10"/>
              </w:numPr>
              <w:spacing w:line="360" w:lineRule="auto"/>
              <w:ind w:firstLineChars="0"/>
              <w:jc w:val="center"/>
              <w:textAlignment w:val="auto"/>
              <w:rPr>
                <w:rStyle w:val="13"/>
                <w:rFonts w:ascii="宋体" w:hAnsi="宋体"/>
                <w:sz w:val="24"/>
              </w:rPr>
            </w:pPr>
          </w:p>
        </w:tc>
        <w:tc>
          <w:tcPr>
            <w:tcW w:w="2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textAlignment w:val="auto"/>
              <w:rPr>
                <w:rStyle w:val="13"/>
                <w:rFonts w:ascii="宋体" w:hAnsi="宋体"/>
                <w:sz w:val="24"/>
              </w:rPr>
            </w:pPr>
            <w:r>
              <w:rPr>
                <w:rStyle w:val="13"/>
                <w:rFonts w:ascii="宋体" w:hAnsi="宋体"/>
                <w:sz w:val="24"/>
              </w:rPr>
              <w:t>在线实时互译</w:t>
            </w:r>
          </w:p>
        </w:tc>
        <w:tc>
          <w:tcPr>
            <w:tcW w:w="5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textAlignment w:val="auto"/>
              <w:rPr>
                <w:rStyle w:val="13"/>
                <w:rFonts w:ascii="宋体" w:hAnsi="宋体"/>
                <w:sz w:val="24"/>
              </w:rPr>
            </w:pPr>
            <w:r>
              <w:rPr>
                <w:rStyle w:val="13"/>
                <w:rFonts w:ascii="宋体" w:hAnsi="宋体"/>
                <w:sz w:val="24"/>
              </w:rPr>
              <w:t>对话可被实时翻译为对方语言进行播报。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71"/>
              <w:numPr>
                <w:ilvl w:val="0"/>
                <w:numId w:val="10"/>
              </w:numPr>
              <w:spacing w:line="360" w:lineRule="auto"/>
              <w:ind w:firstLineChars="0"/>
              <w:jc w:val="center"/>
              <w:textAlignment w:val="auto"/>
              <w:rPr>
                <w:rStyle w:val="13"/>
                <w:rFonts w:ascii="宋体" w:hAnsi="宋体"/>
                <w:sz w:val="24"/>
              </w:rPr>
            </w:pPr>
          </w:p>
        </w:tc>
        <w:tc>
          <w:tcPr>
            <w:tcW w:w="2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textAlignment w:val="auto"/>
              <w:rPr>
                <w:rStyle w:val="13"/>
                <w:rFonts w:ascii="宋体" w:hAnsi="宋体"/>
                <w:sz w:val="24"/>
              </w:rPr>
            </w:pPr>
            <w:r>
              <w:rPr>
                <w:rStyle w:val="13"/>
                <w:rFonts w:ascii="宋体" w:hAnsi="宋体"/>
                <w:sz w:val="24"/>
              </w:rPr>
              <w:t>多种语言</w:t>
            </w:r>
          </w:p>
        </w:tc>
        <w:tc>
          <w:tcPr>
            <w:tcW w:w="5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textAlignment w:val="auto"/>
              <w:rPr>
                <w:rStyle w:val="13"/>
                <w:rFonts w:ascii="宋体" w:hAnsi="宋体"/>
                <w:sz w:val="24"/>
              </w:rPr>
            </w:pPr>
            <w:r>
              <w:rPr>
                <w:rStyle w:val="13"/>
                <w:rFonts w:ascii="宋体" w:hAnsi="宋体"/>
                <w:sz w:val="24"/>
              </w:rPr>
              <w:t>系统支持汉语和维吾尔语/中文到国内外33种语言的口语互译功能。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71"/>
              <w:numPr>
                <w:ilvl w:val="0"/>
                <w:numId w:val="10"/>
              </w:numPr>
              <w:spacing w:line="360" w:lineRule="auto"/>
              <w:ind w:firstLineChars="0"/>
              <w:jc w:val="center"/>
              <w:textAlignment w:val="auto"/>
              <w:rPr>
                <w:rStyle w:val="13"/>
                <w:rFonts w:ascii="宋体" w:hAnsi="宋体"/>
                <w:sz w:val="24"/>
              </w:rPr>
            </w:pPr>
          </w:p>
        </w:tc>
        <w:tc>
          <w:tcPr>
            <w:tcW w:w="2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textAlignment w:val="auto"/>
              <w:rPr>
                <w:rStyle w:val="13"/>
                <w:rFonts w:ascii="宋体" w:hAnsi="宋体"/>
                <w:sz w:val="24"/>
              </w:rPr>
            </w:pPr>
            <w:r>
              <w:rPr>
                <w:rStyle w:val="13"/>
                <w:rFonts w:ascii="宋体" w:hAnsi="宋体"/>
                <w:sz w:val="24"/>
              </w:rPr>
              <w:t>实时显示</w:t>
            </w:r>
          </w:p>
        </w:tc>
        <w:tc>
          <w:tcPr>
            <w:tcW w:w="5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textAlignment w:val="auto"/>
              <w:rPr>
                <w:rStyle w:val="13"/>
                <w:rFonts w:ascii="宋体" w:hAnsi="宋体"/>
                <w:sz w:val="24"/>
              </w:rPr>
            </w:pPr>
            <w:r>
              <w:rPr>
                <w:rStyle w:val="13"/>
                <w:rFonts w:ascii="宋体" w:hAnsi="宋体"/>
                <w:sz w:val="24"/>
              </w:rPr>
              <w:t>对讲内容可实时转写为文字，显示于主机显示屏。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71"/>
              <w:numPr>
                <w:ilvl w:val="0"/>
                <w:numId w:val="10"/>
              </w:numPr>
              <w:spacing w:line="360" w:lineRule="auto"/>
              <w:ind w:firstLineChars="0"/>
              <w:jc w:val="center"/>
              <w:textAlignment w:val="auto"/>
              <w:rPr>
                <w:rStyle w:val="13"/>
                <w:rFonts w:ascii="宋体" w:hAnsi="宋体"/>
                <w:sz w:val="24"/>
              </w:rPr>
            </w:pPr>
          </w:p>
        </w:tc>
        <w:tc>
          <w:tcPr>
            <w:tcW w:w="2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textAlignment w:val="auto"/>
              <w:rPr>
                <w:rStyle w:val="13"/>
                <w:rFonts w:ascii="宋体" w:hAnsi="宋体"/>
                <w:sz w:val="24"/>
              </w:rPr>
            </w:pPr>
            <w:r>
              <w:rPr>
                <w:rStyle w:val="13"/>
                <w:rFonts w:ascii="宋体" w:hAnsi="宋体"/>
                <w:sz w:val="24"/>
              </w:rPr>
              <w:t>角色分离</w:t>
            </w:r>
          </w:p>
        </w:tc>
        <w:tc>
          <w:tcPr>
            <w:tcW w:w="5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textAlignment w:val="auto"/>
              <w:rPr>
                <w:rStyle w:val="13"/>
                <w:rFonts w:ascii="宋体" w:hAnsi="宋体"/>
                <w:sz w:val="24"/>
              </w:rPr>
            </w:pPr>
            <w:r>
              <w:rPr>
                <w:rStyle w:val="13"/>
                <w:rFonts w:ascii="宋体" w:hAnsi="宋体"/>
                <w:sz w:val="24"/>
              </w:rPr>
              <w:t>对话中各自所表述内容能够分别标注显示。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71"/>
              <w:numPr>
                <w:ilvl w:val="0"/>
                <w:numId w:val="10"/>
              </w:numPr>
              <w:spacing w:line="360" w:lineRule="auto"/>
              <w:ind w:firstLineChars="0"/>
              <w:jc w:val="center"/>
              <w:textAlignment w:val="auto"/>
              <w:rPr>
                <w:rStyle w:val="13"/>
                <w:rFonts w:ascii="宋体" w:hAnsi="宋体"/>
                <w:sz w:val="24"/>
              </w:rPr>
            </w:pPr>
          </w:p>
        </w:tc>
        <w:tc>
          <w:tcPr>
            <w:tcW w:w="2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textAlignment w:val="auto"/>
              <w:rPr>
                <w:rStyle w:val="13"/>
                <w:rFonts w:ascii="宋体" w:hAnsi="宋体"/>
                <w:sz w:val="24"/>
              </w:rPr>
            </w:pPr>
            <w:r>
              <w:rPr>
                <w:rStyle w:val="13"/>
                <w:rFonts w:ascii="宋体" w:hAnsi="宋体"/>
                <w:sz w:val="24"/>
              </w:rPr>
              <w:t>历史记录</w:t>
            </w:r>
          </w:p>
        </w:tc>
        <w:tc>
          <w:tcPr>
            <w:tcW w:w="5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textAlignment w:val="auto"/>
              <w:rPr>
                <w:rStyle w:val="13"/>
                <w:rFonts w:ascii="宋体" w:hAnsi="宋体"/>
                <w:sz w:val="24"/>
              </w:rPr>
            </w:pPr>
            <w:r>
              <w:rPr>
                <w:rStyle w:val="13"/>
                <w:rFonts w:ascii="宋体" w:hAnsi="宋体"/>
                <w:sz w:val="24"/>
              </w:rPr>
              <w:t>对话内容历史记录保存在主机本地，可以通过时间戳进行回溯查看。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71"/>
              <w:numPr>
                <w:ilvl w:val="0"/>
                <w:numId w:val="10"/>
              </w:numPr>
              <w:spacing w:line="360" w:lineRule="auto"/>
              <w:ind w:firstLineChars="0"/>
              <w:jc w:val="center"/>
              <w:textAlignment w:val="auto"/>
              <w:rPr>
                <w:rStyle w:val="13"/>
                <w:rFonts w:ascii="宋体" w:hAnsi="宋体"/>
                <w:sz w:val="24"/>
              </w:rPr>
            </w:pPr>
          </w:p>
        </w:tc>
        <w:tc>
          <w:tcPr>
            <w:tcW w:w="2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textAlignment w:val="auto"/>
              <w:rPr>
                <w:rStyle w:val="13"/>
                <w:rFonts w:ascii="宋体" w:hAnsi="宋体"/>
                <w:sz w:val="24"/>
              </w:rPr>
            </w:pPr>
            <w:r>
              <w:rPr>
                <w:rStyle w:val="13"/>
                <w:rFonts w:ascii="宋体" w:hAnsi="宋体"/>
                <w:sz w:val="24"/>
              </w:rPr>
              <w:t>网络接入</w:t>
            </w:r>
          </w:p>
        </w:tc>
        <w:tc>
          <w:tcPr>
            <w:tcW w:w="5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textAlignment w:val="auto"/>
              <w:rPr>
                <w:rStyle w:val="13"/>
                <w:rFonts w:ascii="宋体" w:hAnsi="宋体"/>
                <w:sz w:val="24"/>
              </w:rPr>
            </w:pPr>
            <w:r>
              <w:rPr>
                <w:rStyle w:val="13"/>
                <w:rFonts w:ascii="宋体" w:hAnsi="宋体"/>
                <w:sz w:val="24"/>
              </w:rPr>
              <w:t>支持WIFI（2.4G、5G），BT4.2等多种网络接入方式。</w:t>
            </w:r>
          </w:p>
        </w:tc>
      </w:tr>
    </w:tbl>
    <w:p>
      <w:pPr>
        <w:spacing w:line="360" w:lineRule="auto"/>
        <w:textAlignment w:val="auto"/>
        <w:rPr>
          <w:rStyle w:val="13"/>
          <w:rFonts w:ascii="宋体" w:hAnsi="宋体"/>
          <w:sz w:val="24"/>
        </w:rPr>
      </w:pPr>
    </w:p>
    <w:p>
      <w:pPr>
        <w:pStyle w:val="22"/>
        <w:numPr>
          <w:ilvl w:val="4"/>
          <w:numId w:val="0"/>
        </w:numPr>
        <w:spacing w:before="0" w:after="0" w:line="360" w:lineRule="auto"/>
        <w:ind w:left="1560"/>
        <w:textAlignment w:val="auto"/>
        <w:rPr>
          <w:rStyle w:val="13"/>
          <w:rFonts w:ascii="宋体" w:hAnsi="宋体" w:cs="宋体"/>
          <w:bCs/>
          <w:sz w:val="24"/>
          <w:szCs w:val="24"/>
        </w:rPr>
      </w:pPr>
      <w:r>
        <w:rPr>
          <w:rStyle w:val="13"/>
          <w:rFonts w:hint="eastAsia" w:ascii="宋体" w:hAnsi="宋体" w:cs="宋体"/>
          <w:bCs/>
          <w:sz w:val="24"/>
          <w:szCs w:val="24"/>
        </w:rPr>
        <w:t>1.1</w:t>
      </w:r>
      <w:r>
        <w:rPr>
          <w:rStyle w:val="13"/>
          <w:rFonts w:ascii="宋体" w:hAnsi="宋体" w:cs="宋体"/>
          <w:bCs/>
          <w:sz w:val="24"/>
          <w:szCs w:val="24"/>
        </w:rPr>
        <w:t>配套硬件要求</w:t>
      </w:r>
    </w:p>
    <w:p>
      <w:pPr>
        <w:pStyle w:val="3"/>
        <w:spacing w:line="360" w:lineRule="auto"/>
        <w:textAlignment w:val="auto"/>
        <w:rPr>
          <w:rStyle w:val="13"/>
          <w:rFonts w:ascii="宋体" w:hAnsi="宋体" w:eastAsia="宋体"/>
          <w:sz w:val="24"/>
          <w:szCs w:val="24"/>
        </w:rPr>
      </w:pPr>
      <w:r>
        <w:rPr>
          <w:rStyle w:val="13"/>
          <w:rFonts w:ascii="宋体" w:hAnsi="宋体" w:eastAsia="宋体"/>
          <w:sz w:val="24"/>
          <w:szCs w:val="24"/>
        </w:rPr>
        <w:t>表格 10 窗口话务系统配套硬件要求</w:t>
      </w:r>
    </w:p>
    <w:tbl>
      <w:tblPr>
        <w:tblStyle w:val="10"/>
        <w:tblW w:w="83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3"/>
        <w:gridCol w:w="2410"/>
        <w:gridCol w:w="44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blHeader/>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spacing w:line="360" w:lineRule="auto"/>
              <w:jc w:val="center"/>
              <w:textAlignment w:val="auto"/>
              <w:rPr>
                <w:rStyle w:val="13"/>
                <w:rFonts w:ascii="宋体" w:hAnsi="宋体"/>
                <w:b/>
                <w:sz w:val="24"/>
              </w:rPr>
            </w:pPr>
            <w:r>
              <w:rPr>
                <w:rStyle w:val="13"/>
                <w:rFonts w:ascii="宋体" w:hAnsi="宋体"/>
                <w:b/>
                <w:sz w:val="24"/>
              </w:rPr>
              <w:t>类别</w:t>
            </w:r>
          </w:p>
        </w:tc>
        <w:tc>
          <w:tcPr>
            <w:tcW w:w="24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spacing w:line="360" w:lineRule="auto"/>
              <w:jc w:val="center"/>
              <w:textAlignment w:val="auto"/>
              <w:rPr>
                <w:rStyle w:val="13"/>
                <w:rFonts w:ascii="宋体" w:hAnsi="宋体"/>
                <w:b/>
                <w:sz w:val="24"/>
              </w:rPr>
            </w:pPr>
            <w:r>
              <w:rPr>
                <w:rStyle w:val="13"/>
                <w:rFonts w:ascii="宋体" w:hAnsi="宋体"/>
                <w:b/>
                <w:sz w:val="24"/>
              </w:rPr>
              <w:t>项目</w:t>
            </w:r>
          </w:p>
        </w:tc>
        <w:tc>
          <w:tcPr>
            <w:tcW w:w="4479"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spacing w:line="360" w:lineRule="auto"/>
              <w:jc w:val="center"/>
              <w:textAlignment w:val="auto"/>
              <w:rPr>
                <w:rStyle w:val="13"/>
                <w:rFonts w:ascii="宋体" w:hAnsi="宋体"/>
                <w:b/>
                <w:sz w:val="24"/>
              </w:rPr>
            </w:pPr>
            <w:r>
              <w:rPr>
                <w:rStyle w:val="13"/>
                <w:rFonts w:ascii="宋体" w:hAnsi="宋体"/>
                <w:b/>
                <w:sz w:val="24"/>
              </w:rPr>
              <w:t>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1413"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sz w:val="24"/>
              </w:rPr>
            </w:pPr>
            <w:r>
              <w:rPr>
                <w:rStyle w:val="13"/>
                <w:rFonts w:ascii="宋体" w:hAnsi="宋体"/>
                <w:sz w:val="24"/>
              </w:rPr>
              <w:t>多语种窗口智能终端一体机</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textAlignment w:val="auto"/>
              <w:rPr>
                <w:rStyle w:val="13"/>
                <w:rFonts w:ascii="宋体" w:hAnsi="宋体"/>
                <w:sz w:val="24"/>
              </w:rPr>
            </w:pPr>
            <w:r>
              <w:rPr>
                <w:rStyle w:val="13"/>
                <w:rFonts w:ascii="宋体" w:hAnsi="宋体"/>
                <w:sz w:val="24"/>
              </w:rPr>
              <w:t>麦克风</w:t>
            </w:r>
          </w:p>
        </w:tc>
        <w:tc>
          <w:tcPr>
            <w:tcW w:w="447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textAlignment w:val="auto"/>
              <w:rPr>
                <w:rStyle w:val="13"/>
                <w:rFonts w:ascii="宋体" w:hAnsi="宋体"/>
                <w:sz w:val="24"/>
              </w:rPr>
            </w:pPr>
            <w:r>
              <w:rPr>
                <w:rStyle w:val="13"/>
                <w:rFonts w:ascii="宋体" w:hAnsi="宋体"/>
                <w:sz w:val="24"/>
              </w:rPr>
              <w:t>4MIC鹅颈麦克风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sz w:val="24"/>
              </w:rPr>
            </w:pPr>
          </w:p>
        </w:tc>
        <w:tc>
          <w:tcPr>
            <w:tcW w:w="241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textAlignment w:val="auto"/>
              <w:rPr>
                <w:rStyle w:val="13"/>
                <w:rFonts w:ascii="宋体" w:hAnsi="宋体"/>
                <w:sz w:val="24"/>
              </w:rPr>
            </w:pPr>
            <w:r>
              <w:rPr>
                <w:rStyle w:val="13"/>
                <w:rFonts w:ascii="宋体" w:hAnsi="宋体"/>
                <w:sz w:val="24"/>
              </w:rPr>
              <w:t>屏幕</w:t>
            </w:r>
          </w:p>
        </w:tc>
        <w:tc>
          <w:tcPr>
            <w:tcW w:w="447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textAlignment w:val="auto"/>
              <w:rPr>
                <w:rStyle w:val="13"/>
                <w:rFonts w:ascii="宋体" w:hAnsi="宋体"/>
                <w:sz w:val="24"/>
              </w:rPr>
            </w:pPr>
            <w:r>
              <w:rPr>
                <w:rStyle w:val="13"/>
                <w:rFonts w:ascii="宋体" w:hAnsi="宋体"/>
                <w:sz w:val="24"/>
              </w:rPr>
              <w:t>10.1”FHD，触摸屏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sz w:val="24"/>
              </w:rPr>
            </w:pPr>
          </w:p>
        </w:tc>
        <w:tc>
          <w:tcPr>
            <w:tcW w:w="241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textAlignment w:val="auto"/>
              <w:rPr>
                <w:rStyle w:val="13"/>
                <w:rFonts w:ascii="宋体" w:hAnsi="宋体"/>
                <w:sz w:val="24"/>
              </w:rPr>
            </w:pPr>
            <w:r>
              <w:rPr>
                <w:rStyle w:val="13"/>
                <w:rFonts w:ascii="宋体" w:hAnsi="宋体"/>
                <w:sz w:val="24"/>
              </w:rPr>
              <w:t>喇叭</w:t>
            </w:r>
          </w:p>
        </w:tc>
        <w:tc>
          <w:tcPr>
            <w:tcW w:w="447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textAlignment w:val="auto"/>
              <w:rPr>
                <w:rStyle w:val="13"/>
                <w:rFonts w:ascii="宋体" w:hAnsi="宋体"/>
                <w:sz w:val="24"/>
              </w:rPr>
            </w:pPr>
            <w:r>
              <w:rPr>
                <w:rStyle w:val="13"/>
                <w:rFonts w:ascii="宋体" w:hAnsi="宋体"/>
                <w:sz w:val="24"/>
              </w:rPr>
              <w:t>2Wx2高保真扬声器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sz w:val="24"/>
              </w:rPr>
            </w:pPr>
          </w:p>
        </w:tc>
        <w:tc>
          <w:tcPr>
            <w:tcW w:w="241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textAlignment w:val="auto"/>
              <w:rPr>
                <w:rStyle w:val="13"/>
                <w:rFonts w:ascii="宋体" w:hAnsi="宋体"/>
                <w:sz w:val="24"/>
              </w:rPr>
            </w:pPr>
            <w:r>
              <w:rPr>
                <w:rStyle w:val="13"/>
                <w:rFonts w:ascii="宋体" w:hAnsi="宋体"/>
                <w:sz w:val="24"/>
              </w:rPr>
              <w:t>摄像头</w:t>
            </w:r>
          </w:p>
        </w:tc>
        <w:tc>
          <w:tcPr>
            <w:tcW w:w="447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textAlignment w:val="auto"/>
              <w:rPr>
                <w:rStyle w:val="13"/>
                <w:rFonts w:ascii="宋体" w:hAnsi="宋体"/>
                <w:sz w:val="24"/>
              </w:rPr>
            </w:pPr>
            <w:r>
              <w:rPr>
                <w:rStyle w:val="13"/>
                <w:rFonts w:ascii="宋体" w:hAnsi="宋体"/>
                <w:sz w:val="24"/>
              </w:rPr>
              <w:t>像素13M AF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sz w:val="24"/>
              </w:rPr>
            </w:pPr>
          </w:p>
        </w:tc>
        <w:tc>
          <w:tcPr>
            <w:tcW w:w="241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textAlignment w:val="auto"/>
              <w:rPr>
                <w:rStyle w:val="13"/>
                <w:rFonts w:ascii="宋体" w:hAnsi="宋体"/>
                <w:sz w:val="24"/>
              </w:rPr>
            </w:pPr>
            <w:r>
              <w:rPr>
                <w:rStyle w:val="13"/>
                <w:rFonts w:ascii="宋体" w:hAnsi="宋体"/>
                <w:sz w:val="24"/>
              </w:rPr>
              <w:t>存储</w:t>
            </w:r>
          </w:p>
        </w:tc>
        <w:tc>
          <w:tcPr>
            <w:tcW w:w="447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textAlignment w:val="auto"/>
              <w:rPr>
                <w:rStyle w:val="13"/>
                <w:rFonts w:ascii="宋体" w:hAnsi="宋体"/>
                <w:sz w:val="24"/>
              </w:rPr>
            </w:pPr>
            <w:r>
              <w:rPr>
                <w:rStyle w:val="13"/>
                <w:rFonts w:ascii="宋体" w:hAnsi="宋体"/>
                <w:sz w:val="24"/>
              </w:rPr>
              <w:t>3及以上+32G及以上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sz w:val="24"/>
              </w:rPr>
            </w:pPr>
          </w:p>
        </w:tc>
        <w:tc>
          <w:tcPr>
            <w:tcW w:w="241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textAlignment w:val="auto"/>
              <w:rPr>
                <w:rStyle w:val="13"/>
                <w:rFonts w:ascii="宋体" w:hAnsi="宋体"/>
                <w:sz w:val="24"/>
              </w:rPr>
            </w:pPr>
            <w:r>
              <w:rPr>
                <w:rStyle w:val="13"/>
                <w:rFonts w:ascii="宋体" w:hAnsi="宋体"/>
                <w:sz w:val="24"/>
              </w:rPr>
              <w:t>网络</w:t>
            </w:r>
          </w:p>
        </w:tc>
        <w:tc>
          <w:tcPr>
            <w:tcW w:w="447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textAlignment w:val="auto"/>
              <w:rPr>
                <w:rStyle w:val="13"/>
                <w:rFonts w:ascii="宋体" w:hAnsi="宋体"/>
                <w:sz w:val="24"/>
              </w:rPr>
            </w:pPr>
            <w:r>
              <w:rPr>
                <w:rStyle w:val="13"/>
                <w:rFonts w:ascii="宋体" w:hAnsi="宋体"/>
                <w:sz w:val="24"/>
              </w:rPr>
              <w:t>支持WIFI（2.4G、5G），4G，网线，BT4.2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sz w:val="24"/>
              </w:rPr>
            </w:pPr>
          </w:p>
        </w:tc>
        <w:tc>
          <w:tcPr>
            <w:tcW w:w="241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textAlignment w:val="auto"/>
              <w:rPr>
                <w:rStyle w:val="13"/>
                <w:rFonts w:ascii="宋体" w:hAnsi="宋体"/>
                <w:sz w:val="24"/>
              </w:rPr>
            </w:pPr>
            <w:r>
              <w:rPr>
                <w:rStyle w:val="13"/>
                <w:rFonts w:ascii="宋体" w:hAnsi="宋体"/>
                <w:sz w:val="24"/>
              </w:rPr>
              <w:t>丰富接口</w:t>
            </w:r>
          </w:p>
        </w:tc>
        <w:tc>
          <w:tcPr>
            <w:tcW w:w="447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textAlignment w:val="auto"/>
              <w:rPr>
                <w:rStyle w:val="13"/>
                <w:rFonts w:ascii="宋体" w:hAnsi="宋体"/>
                <w:sz w:val="24"/>
              </w:rPr>
            </w:pPr>
            <w:r>
              <w:rPr>
                <w:rStyle w:val="13"/>
                <w:rFonts w:ascii="宋体" w:hAnsi="宋体"/>
                <w:sz w:val="24"/>
              </w:rPr>
              <w:t>支持HDMI、耳机孔、Type-C口、RJ45、SIM卡槽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sz w:val="24"/>
              </w:rPr>
            </w:pPr>
          </w:p>
        </w:tc>
        <w:tc>
          <w:tcPr>
            <w:tcW w:w="241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textAlignment w:val="auto"/>
              <w:rPr>
                <w:rStyle w:val="13"/>
                <w:rFonts w:ascii="宋体" w:hAnsi="宋体"/>
                <w:sz w:val="24"/>
              </w:rPr>
            </w:pPr>
            <w:r>
              <w:rPr>
                <w:rStyle w:val="13"/>
                <w:rFonts w:ascii="宋体" w:hAnsi="宋体"/>
                <w:sz w:val="24"/>
              </w:rPr>
              <w:t>槽电池</w:t>
            </w:r>
          </w:p>
        </w:tc>
        <w:tc>
          <w:tcPr>
            <w:tcW w:w="447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textAlignment w:val="auto"/>
              <w:rPr>
                <w:rStyle w:val="13"/>
                <w:rFonts w:ascii="宋体" w:hAnsi="宋体"/>
                <w:sz w:val="24"/>
              </w:rPr>
            </w:pPr>
            <w:r>
              <w:rPr>
                <w:rStyle w:val="13"/>
                <w:rFonts w:ascii="宋体" w:hAnsi="宋体"/>
                <w:sz w:val="24"/>
              </w:rPr>
              <w:t>5950mAh及以上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1413"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sz w:val="24"/>
              </w:rPr>
            </w:pPr>
            <w:r>
              <w:rPr>
                <w:rStyle w:val="13"/>
                <w:rFonts w:ascii="宋体" w:hAnsi="宋体"/>
                <w:sz w:val="24"/>
              </w:rPr>
              <w:t>麦克风</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textAlignment w:val="auto"/>
              <w:rPr>
                <w:rStyle w:val="13"/>
                <w:rFonts w:ascii="宋体" w:hAnsi="宋体"/>
                <w:sz w:val="24"/>
              </w:rPr>
            </w:pPr>
            <w:r>
              <w:rPr>
                <w:rStyle w:val="13"/>
                <w:rFonts w:ascii="宋体" w:hAnsi="宋体"/>
                <w:sz w:val="24"/>
              </w:rPr>
              <w:t>网络</w:t>
            </w:r>
          </w:p>
        </w:tc>
        <w:tc>
          <w:tcPr>
            <w:tcW w:w="447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textAlignment w:val="auto"/>
              <w:rPr>
                <w:rStyle w:val="13"/>
                <w:rFonts w:ascii="宋体" w:hAnsi="宋体"/>
                <w:sz w:val="24"/>
              </w:rPr>
            </w:pPr>
            <w:r>
              <w:rPr>
                <w:rStyle w:val="13"/>
                <w:rFonts w:ascii="宋体" w:hAnsi="宋体"/>
                <w:sz w:val="24"/>
              </w:rPr>
              <w:t>支持WIFI、BT连接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sz w:val="24"/>
              </w:rPr>
            </w:pPr>
          </w:p>
        </w:tc>
        <w:tc>
          <w:tcPr>
            <w:tcW w:w="241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textAlignment w:val="auto"/>
              <w:rPr>
                <w:rStyle w:val="13"/>
                <w:rFonts w:ascii="宋体" w:hAnsi="宋体"/>
                <w:sz w:val="24"/>
              </w:rPr>
            </w:pPr>
            <w:r>
              <w:rPr>
                <w:rStyle w:val="13"/>
                <w:rFonts w:ascii="宋体" w:hAnsi="宋体"/>
                <w:sz w:val="24"/>
              </w:rPr>
              <w:t>麦克风</w:t>
            </w:r>
          </w:p>
        </w:tc>
        <w:tc>
          <w:tcPr>
            <w:tcW w:w="447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textAlignment w:val="auto"/>
              <w:rPr>
                <w:rStyle w:val="13"/>
                <w:rFonts w:ascii="宋体" w:hAnsi="宋体"/>
                <w:sz w:val="24"/>
              </w:rPr>
            </w:pPr>
            <w:r>
              <w:rPr>
                <w:rStyle w:val="13"/>
                <w:rFonts w:ascii="宋体" w:hAnsi="宋体"/>
                <w:sz w:val="24"/>
              </w:rPr>
              <w:t>四阵列数字麦克风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sz w:val="24"/>
              </w:rPr>
            </w:pPr>
          </w:p>
        </w:tc>
        <w:tc>
          <w:tcPr>
            <w:tcW w:w="241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textAlignment w:val="auto"/>
              <w:rPr>
                <w:rStyle w:val="13"/>
                <w:rFonts w:ascii="宋体" w:hAnsi="宋体"/>
                <w:sz w:val="24"/>
              </w:rPr>
            </w:pPr>
            <w:r>
              <w:rPr>
                <w:rStyle w:val="13"/>
                <w:rFonts w:ascii="宋体" w:hAnsi="宋体"/>
                <w:sz w:val="24"/>
              </w:rPr>
              <w:t>喇叭</w:t>
            </w:r>
          </w:p>
        </w:tc>
        <w:tc>
          <w:tcPr>
            <w:tcW w:w="447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textAlignment w:val="auto"/>
              <w:rPr>
                <w:rStyle w:val="13"/>
                <w:rFonts w:ascii="宋体" w:hAnsi="宋体"/>
                <w:sz w:val="24"/>
              </w:rPr>
            </w:pPr>
            <w:r>
              <w:rPr>
                <w:rStyle w:val="13"/>
                <w:rFonts w:ascii="宋体" w:hAnsi="宋体"/>
                <w:sz w:val="24"/>
              </w:rPr>
              <w:t>0.8W及以上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sz w:val="24"/>
              </w:rPr>
            </w:pPr>
          </w:p>
        </w:tc>
        <w:tc>
          <w:tcPr>
            <w:tcW w:w="241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textAlignment w:val="auto"/>
              <w:rPr>
                <w:rStyle w:val="13"/>
                <w:rFonts w:ascii="宋体" w:hAnsi="宋体"/>
                <w:sz w:val="24"/>
              </w:rPr>
            </w:pPr>
            <w:r>
              <w:rPr>
                <w:rStyle w:val="13"/>
                <w:rFonts w:ascii="宋体" w:hAnsi="宋体"/>
                <w:sz w:val="24"/>
              </w:rPr>
              <w:t>电池</w:t>
            </w:r>
          </w:p>
        </w:tc>
        <w:tc>
          <w:tcPr>
            <w:tcW w:w="447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textAlignment w:val="auto"/>
              <w:rPr>
                <w:rStyle w:val="13"/>
                <w:rFonts w:ascii="宋体" w:hAnsi="宋体"/>
                <w:sz w:val="24"/>
              </w:rPr>
            </w:pPr>
            <w:r>
              <w:rPr>
                <w:rStyle w:val="13"/>
                <w:rFonts w:ascii="宋体" w:hAnsi="宋体"/>
                <w:sz w:val="24"/>
              </w:rPr>
              <w:t>1200mAh及以上</w:t>
            </w:r>
          </w:p>
        </w:tc>
      </w:tr>
    </w:tbl>
    <w:p>
      <w:pPr>
        <w:pStyle w:val="20"/>
        <w:spacing w:before="0" w:after="0" w:line="360" w:lineRule="auto"/>
        <w:jc w:val="center"/>
        <w:textAlignment w:val="auto"/>
        <w:rPr>
          <w:rStyle w:val="13"/>
          <w:rFonts w:ascii="宋体" w:hAnsi="宋体"/>
          <w:sz w:val="24"/>
          <w:szCs w:val="24"/>
        </w:rPr>
      </w:pPr>
      <w:r>
        <w:rPr>
          <w:rStyle w:val="13"/>
          <w:rFonts w:ascii="宋体" w:hAnsi="宋体"/>
          <w:b/>
          <w:bCs/>
          <w:sz w:val="24"/>
          <w:szCs w:val="24"/>
        </w:rPr>
        <w:t>基层服务平台</w:t>
      </w:r>
    </w:p>
    <w:p>
      <w:pPr>
        <w:spacing w:line="360" w:lineRule="auto"/>
        <w:ind w:firstLine="560"/>
        <w:textAlignment w:val="auto"/>
        <w:rPr>
          <w:rStyle w:val="13"/>
          <w:rFonts w:ascii="宋体" w:hAnsi="宋体"/>
          <w:sz w:val="24"/>
        </w:rPr>
      </w:pPr>
      <w:r>
        <w:rPr>
          <w:rStyle w:val="13"/>
          <w:rFonts w:ascii="宋体" w:hAnsi="宋体"/>
          <w:sz w:val="24"/>
        </w:rPr>
        <w:t>基层服务平台采用公有云方式部署，在卫生行政管理部门部署前置服务，在基层医疗卫生机构部署基层全科辅助诊疗系统应用端。服务器操作系统由中标方提供，必须是正版授权，如需数据库由中标方提供正版授权软件。基层全科辅助诊疗系统应以标准接口方式与基层HIS/LIS等系统进行对接，采购方负责协调第三方厂商做好接口联调和网络互通等工作。</w:t>
      </w:r>
    </w:p>
    <w:p>
      <w:pPr>
        <w:pStyle w:val="21"/>
        <w:spacing w:line="360" w:lineRule="auto"/>
        <w:textAlignment w:val="auto"/>
        <w:rPr>
          <w:rStyle w:val="13"/>
          <w:rFonts w:cs="宋体"/>
          <w:b/>
          <w:sz w:val="24"/>
          <w:szCs w:val="24"/>
        </w:rPr>
      </w:pPr>
      <w:r>
        <w:rPr>
          <w:rStyle w:val="13"/>
          <w:rFonts w:cs="宋体"/>
          <w:b/>
          <w:sz w:val="24"/>
          <w:szCs w:val="24"/>
        </w:rPr>
        <w:t>基层全科医生辅助诊疗</w:t>
      </w:r>
    </w:p>
    <w:p>
      <w:pPr>
        <w:pStyle w:val="22"/>
        <w:numPr>
          <w:ilvl w:val="4"/>
          <w:numId w:val="0"/>
        </w:numPr>
        <w:spacing w:before="0" w:after="0" w:line="360" w:lineRule="auto"/>
        <w:ind w:left="1560"/>
        <w:textAlignment w:val="auto"/>
        <w:rPr>
          <w:rStyle w:val="13"/>
          <w:rFonts w:ascii="宋体" w:hAnsi="宋体" w:cs="宋体"/>
          <w:bCs/>
          <w:sz w:val="24"/>
          <w:szCs w:val="24"/>
        </w:rPr>
      </w:pPr>
      <w:r>
        <w:rPr>
          <w:rStyle w:val="13"/>
          <w:rFonts w:hint="eastAsia" w:ascii="宋体" w:hAnsi="宋体" w:cs="宋体"/>
          <w:bCs/>
          <w:sz w:val="24"/>
          <w:szCs w:val="24"/>
        </w:rPr>
        <w:t>1.</w:t>
      </w:r>
      <w:r>
        <w:rPr>
          <w:rStyle w:val="13"/>
          <w:rFonts w:ascii="宋体" w:hAnsi="宋体" w:cs="宋体"/>
          <w:bCs/>
          <w:sz w:val="24"/>
          <w:szCs w:val="24"/>
        </w:rPr>
        <w:t>产品要求</w:t>
      </w:r>
    </w:p>
    <w:p>
      <w:pPr>
        <w:spacing w:line="360" w:lineRule="auto"/>
        <w:ind w:firstLine="560"/>
        <w:textAlignment w:val="auto"/>
        <w:rPr>
          <w:rStyle w:val="13"/>
          <w:rFonts w:ascii="宋体" w:hAnsi="宋体"/>
          <w:sz w:val="24"/>
        </w:rPr>
      </w:pPr>
      <w:r>
        <w:rPr>
          <w:rStyle w:val="13"/>
          <w:rFonts w:ascii="宋体" w:hAnsi="宋体"/>
          <w:sz w:val="24"/>
        </w:rPr>
        <w:t>基层全科辅助诊疗系统与现有基层HIS/LIS系统进行数据对接，针对基层门诊场景，具备完整的诊断能力，可根据主诉、现病史等必要条件，直接反馈诊断列表，根据查分排序模块提供相应的可信度，并提供相应的诊断依据供医生参考；同时，根据当前的患者情况及诊断情况，自动推荐优选治疗和用药方案、历史优质相似病例供医生参考。</w:t>
      </w:r>
    </w:p>
    <w:p>
      <w:pPr>
        <w:pStyle w:val="22"/>
        <w:numPr>
          <w:ilvl w:val="4"/>
          <w:numId w:val="0"/>
        </w:numPr>
        <w:spacing w:before="0" w:after="0" w:line="360" w:lineRule="auto"/>
        <w:ind w:left="1560"/>
        <w:textAlignment w:val="auto"/>
        <w:rPr>
          <w:rStyle w:val="13"/>
          <w:rFonts w:ascii="宋体" w:hAnsi="宋体" w:cs="宋体"/>
          <w:bCs/>
          <w:sz w:val="24"/>
          <w:szCs w:val="24"/>
        </w:rPr>
      </w:pPr>
      <w:r>
        <w:rPr>
          <w:rStyle w:val="13"/>
          <w:rFonts w:hint="eastAsia" w:ascii="宋体" w:hAnsi="宋体" w:cs="宋体"/>
          <w:bCs/>
          <w:sz w:val="24"/>
          <w:szCs w:val="24"/>
        </w:rPr>
        <w:t>1.1</w:t>
      </w:r>
      <w:r>
        <w:rPr>
          <w:rStyle w:val="13"/>
          <w:rFonts w:ascii="宋体" w:hAnsi="宋体" w:cs="宋体"/>
          <w:bCs/>
          <w:sz w:val="24"/>
          <w:szCs w:val="24"/>
        </w:rPr>
        <w:t>技术参数</w:t>
      </w:r>
    </w:p>
    <w:p>
      <w:pPr>
        <w:spacing w:line="360" w:lineRule="auto"/>
        <w:ind w:firstLine="560"/>
        <w:textAlignment w:val="auto"/>
        <w:rPr>
          <w:rStyle w:val="13"/>
          <w:rFonts w:ascii="宋体" w:hAnsi="宋体"/>
          <w:sz w:val="24"/>
        </w:rPr>
      </w:pPr>
      <w:r>
        <w:rPr>
          <w:rStyle w:val="13"/>
          <w:rFonts w:ascii="宋体" w:hAnsi="宋体"/>
          <w:sz w:val="24"/>
        </w:rPr>
        <w:t>产品的技术参数如下：</w:t>
      </w:r>
    </w:p>
    <w:p>
      <w:pPr>
        <w:pStyle w:val="3"/>
        <w:spacing w:line="360" w:lineRule="auto"/>
        <w:textAlignment w:val="auto"/>
        <w:rPr>
          <w:rStyle w:val="13"/>
          <w:rFonts w:ascii="宋体" w:hAnsi="宋体" w:eastAsia="宋体"/>
          <w:sz w:val="24"/>
          <w:szCs w:val="24"/>
        </w:rPr>
      </w:pPr>
      <w:r>
        <w:rPr>
          <w:rStyle w:val="13"/>
          <w:rFonts w:ascii="宋体" w:hAnsi="宋体" w:eastAsia="宋体"/>
          <w:sz w:val="24"/>
          <w:szCs w:val="24"/>
        </w:rPr>
        <w:t>表格 11基层全科辅助诊疗系统技术参数一览表</w:t>
      </w:r>
    </w:p>
    <w:tbl>
      <w:tblPr>
        <w:tblStyle w:val="10"/>
        <w:tblW w:w="849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20"/>
        <w:gridCol w:w="2032"/>
        <w:gridCol w:w="5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20" w:type="dxa"/>
            <w:tcBorders>
              <w:top w:val="single" w:color="000000" w:sz="4" w:space="0"/>
              <w:left w:val="single" w:color="000000" w:sz="4" w:space="0"/>
              <w:bottom w:val="single" w:color="000000" w:sz="4" w:space="0"/>
              <w:right w:val="single" w:color="000000" w:sz="4" w:space="0"/>
            </w:tcBorders>
            <w:shd w:val="clear" w:color="auto" w:fill="D8D8D8"/>
            <w:vAlign w:val="center"/>
          </w:tcPr>
          <w:p>
            <w:pPr>
              <w:spacing w:line="360" w:lineRule="auto"/>
              <w:jc w:val="center"/>
              <w:textAlignment w:val="auto"/>
              <w:rPr>
                <w:rStyle w:val="13"/>
                <w:rFonts w:ascii="宋体" w:hAnsi="宋体"/>
                <w:b/>
                <w:sz w:val="24"/>
              </w:rPr>
            </w:pPr>
            <w:r>
              <w:rPr>
                <w:rStyle w:val="13"/>
                <w:rFonts w:ascii="宋体" w:hAnsi="宋体"/>
                <w:b/>
                <w:sz w:val="24"/>
              </w:rPr>
              <w:t>序号</w:t>
            </w:r>
          </w:p>
        </w:tc>
        <w:tc>
          <w:tcPr>
            <w:tcW w:w="2032" w:type="dxa"/>
            <w:tcBorders>
              <w:top w:val="single" w:color="000000" w:sz="4" w:space="0"/>
              <w:left w:val="single" w:color="000000" w:sz="4" w:space="0"/>
              <w:bottom w:val="single" w:color="000000" w:sz="4" w:space="0"/>
              <w:right w:val="single" w:color="000000" w:sz="4" w:space="0"/>
            </w:tcBorders>
            <w:shd w:val="clear" w:color="auto" w:fill="D8D8D8"/>
            <w:vAlign w:val="center"/>
          </w:tcPr>
          <w:p>
            <w:pPr>
              <w:spacing w:line="360" w:lineRule="auto"/>
              <w:jc w:val="center"/>
              <w:textAlignment w:val="auto"/>
              <w:rPr>
                <w:rStyle w:val="13"/>
                <w:rFonts w:ascii="宋体" w:hAnsi="宋体"/>
                <w:b/>
                <w:sz w:val="24"/>
              </w:rPr>
            </w:pPr>
            <w:r>
              <w:rPr>
                <w:rStyle w:val="13"/>
                <w:rFonts w:ascii="宋体" w:hAnsi="宋体"/>
                <w:b/>
                <w:sz w:val="24"/>
              </w:rPr>
              <w:t>性能/功能</w:t>
            </w:r>
          </w:p>
        </w:tc>
        <w:tc>
          <w:tcPr>
            <w:tcW w:w="5743" w:type="dxa"/>
            <w:tcBorders>
              <w:top w:val="single" w:color="000000" w:sz="4" w:space="0"/>
              <w:left w:val="single" w:color="000000" w:sz="4" w:space="0"/>
              <w:bottom w:val="single" w:color="000000" w:sz="4" w:space="0"/>
              <w:right w:val="single" w:color="000000" w:sz="4" w:space="0"/>
            </w:tcBorders>
            <w:shd w:val="clear" w:color="auto" w:fill="D8D8D8"/>
            <w:vAlign w:val="center"/>
          </w:tcPr>
          <w:p>
            <w:pPr>
              <w:spacing w:line="360" w:lineRule="auto"/>
              <w:jc w:val="center"/>
              <w:textAlignment w:val="auto"/>
              <w:rPr>
                <w:rStyle w:val="13"/>
                <w:rFonts w:ascii="宋体" w:hAnsi="宋体"/>
                <w:b/>
                <w:sz w:val="24"/>
              </w:rPr>
            </w:pPr>
            <w:r>
              <w:rPr>
                <w:rStyle w:val="13"/>
                <w:rFonts w:ascii="宋体" w:hAnsi="宋体"/>
                <w:b/>
                <w:sz w:val="24"/>
              </w:rPr>
              <w:t>需求及技术参数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71"/>
              <w:numPr>
                <w:ilvl w:val="0"/>
                <w:numId w:val="11"/>
              </w:numPr>
              <w:spacing w:line="360" w:lineRule="auto"/>
              <w:ind w:firstLineChars="0"/>
              <w:jc w:val="center"/>
              <w:textAlignment w:val="auto"/>
              <w:rPr>
                <w:rStyle w:val="13"/>
                <w:rFonts w:ascii="宋体" w:hAnsi="宋体"/>
                <w:sz w:val="24"/>
              </w:rPr>
            </w:pPr>
          </w:p>
        </w:tc>
        <w:tc>
          <w:tcPr>
            <w:tcW w:w="2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textAlignment w:val="auto"/>
              <w:rPr>
                <w:rStyle w:val="13"/>
                <w:rFonts w:ascii="宋体" w:hAnsi="宋体"/>
                <w:sz w:val="24"/>
              </w:rPr>
            </w:pPr>
            <w:r>
              <w:rPr>
                <w:rStyle w:val="13"/>
                <w:rFonts w:ascii="宋体" w:hAnsi="宋体"/>
                <w:sz w:val="24"/>
              </w:rPr>
              <w:t>辅助问诊</w:t>
            </w:r>
          </w:p>
        </w:tc>
        <w:tc>
          <w:tcPr>
            <w:tcW w:w="5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textAlignment w:val="auto"/>
              <w:rPr>
                <w:rStyle w:val="13"/>
                <w:rFonts w:ascii="宋体" w:hAnsi="宋体"/>
                <w:sz w:val="24"/>
              </w:rPr>
            </w:pPr>
            <w:r>
              <w:rPr>
                <w:rStyle w:val="13"/>
                <w:rFonts w:ascii="宋体" w:hAnsi="宋体"/>
                <w:sz w:val="24"/>
              </w:rPr>
              <w:t>★根据循证医学逻辑，通过问诊路径的提示，引导医生完成问诊，辅助医生完成病历书写（投标文件中提供“辅助问诊”软件界面截图）。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20" w:type="dxa"/>
            <w:tcBorders>
              <w:top w:val="single" w:color="000000" w:sz="4" w:space="0"/>
              <w:left w:val="single" w:color="000000" w:sz="4" w:space="0"/>
              <w:bottom w:val="single" w:color="000000" w:sz="4" w:space="0"/>
              <w:right w:val="single" w:color="000000" w:sz="4" w:space="0"/>
            </w:tcBorders>
            <w:vAlign w:val="center"/>
          </w:tcPr>
          <w:p>
            <w:pPr>
              <w:pStyle w:val="71"/>
              <w:numPr>
                <w:ilvl w:val="0"/>
                <w:numId w:val="11"/>
              </w:numPr>
              <w:spacing w:line="360" w:lineRule="auto"/>
              <w:ind w:firstLineChars="0"/>
              <w:jc w:val="center"/>
              <w:textAlignment w:val="auto"/>
              <w:rPr>
                <w:rStyle w:val="13"/>
                <w:rFonts w:ascii="宋体" w:hAnsi="宋体"/>
                <w:sz w:val="24"/>
              </w:rPr>
            </w:pPr>
          </w:p>
        </w:tc>
        <w:tc>
          <w:tcPr>
            <w:tcW w:w="2032"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r>
              <w:rPr>
                <w:rStyle w:val="13"/>
                <w:rFonts w:ascii="宋体" w:hAnsi="宋体"/>
                <w:sz w:val="24"/>
              </w:rPr>
              <w:t>医学检索</w:t>
            </w:r>
          </w:p>
        </w:tc>
        <w:tc>
          <w:tcPr>
            <w:tcW w:w="5743"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r>
              <w:rPr>
                <w:rStyle w:val="13"/>
                <w:rFonts w:ascii="宋体" w:hAnsi="宋体"/>
                <w:sz w:val="24"/>
              </w:rPr>
              <w:t>提供疾病、药品、诊断等专业临床信息的智能检索，包括但不限于国内权威的临床知识库、教科书等。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20" w:type="dxa"/>
            <w:tcBorders>
              <w:top w:val="single" w:color="000000" w:sz="4" w:space="0"/>
              <w:left w:val="single" w:color="000000" w:sz="4" w:space="0"/>
              <w:bottom w:val="single" w:color="000000" w:sz="4" w:space="0"/>
              <w:right w:val="single" w:color="000000" w:sz="4" w:space="0"/>
            </w:tcBorders>
            <w:vAlign w:val="center"/>
          </w:tcPr>
          <w:p>
            <w:pPr>
              <w:pStyle w:val="71"/>
              <w:numPr>
                <w:ilvl w:val="0"/>
                <w:numId w:val="11"/>
              </w:numPr>
              <w:spacing w:line="360" w:lineRule="auto"/>
              <w:ind w:firstLineChars="0"/>
              <w:jc w:val="center"/>
              <w:textAlignment w:val="auto"/>
              <w:rPr>
                <w:rStyle w:val="13"/>
                <w:rFonts w:ascii="宋体" w:hAnsi="宋体"/>
                <w:sz w:val="24"/>
              </w:rPr>
            </w:pPr>
          </w:p>
        </w:tc>
        <w:tc>
          <w:tcPr>
            <w:tcW w:w="2032"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r>
              <w:rPr>
                <w:rStyle w:val="13"/>
                <w:rFonts w:ascii="宋体" w:hAnsi="宋体"/>
                <w:sz w:val="24"/>
              </w:rPr>
              <w:t>病历模板</w:t>
            </w:r>
          </w:p>
        </w:tc>
        <w:tc>
          <w:tcPr>
            <w:tcW w:w="5743"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r>
              <w:rPr>
                <w:rStyle w:val="13"/>
                <w:rFonts w:ascii="宋体" w:hAnsi="宋体"/>
                <w:sz w:val="24"/>
              </w:rPr>
              <w:t>★提供常见的电子病历模板，提高医生病历书写效率（投标文件中提供“病历模板”软件界面截图）。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20" w:type="dxa"/>
            <w:tcBorders>
              <w:top w:val="single" w:color="000000" w:sz="4" w:space="0"/>
              <w:left w:val="single" w:color="000000" w:sz="4" w:space="0"/>
              <w:bottom w:val="single" w:color="000000" w:sz="4" w:space="0"/>
              <w:right w:val="single" w:color="000000" w:sz="4" w:space="0"/>
            </w:tcBorders>
            <w:vAlign w:val="center"/>
          </w:tcPr>
          <w:p>
            <w:pPr>
              <w:pStyle w:val="71"/>
              <w:numPr>
                <w:ilvl w:val="0"/>
                <w:numId w:val="11"/>
              </w:numPr>
              <w:spacing w:line="360" w:lineRule="auto"/>
              <w:ind w:firstLineChars="0"/>
              <w:jc w:val="center"/>
              <w:textAlignment w:val="auto"/>
              <w:rPr>
                <w:rStyle w:val="13"/>
                <w:rFonts w:ascii="宋体" w:hAnsi="宋体"/>
                <w:sz w:val="24"/>
              </w:rPr>
            </w:pPr>
          </w:p>
        </w:tc>
        <w:tc>
          <w:tcPr>
            <w:tcW w:w="2032"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r>
              <w:rPr>
                <w:rStyle w:val="13"/>
                <w:rFonts w:ascii="宋体" w:hAnsi="宋体"/>
                <w:sz w:val="24"/>
              </w:rPr>
              <w:t>历史病历</w:t>
            </w:r>
          </w:p>
        </w:tc>
        <w:tc>
          <w:tcPr>
            <w:tcW w:w="5743"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r>
              <w:rPr>
                <w:rStyle w:val="13"/>
                <w:rFonts w:ascii="宋体" w:hAnsi="宋体"/>
                <w:sz w:val="24"/>
              </w:rPr>
              <w:t>支持医生查看、引用患者历史病历。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20" w:type="dxa"/>
            <w:tcBorders>
              <w:top w:val="single" w:color="000000" w:sz="4" w:space="0"/>
              <w:left w:val="single" w:color="000000" w:sz="4" w:space="0"/>
              <w:bottom w:val="single" w:color="000000" w:sz="4" w:space="0"/>
              <w:right w:val="single" w:color="000000" w:sz="4" w:space="0"/>
            </w:tcBorders>
            <w:vAlign w:val="center"/>
          </w:tcPr>
          <w:p>
            <w:pPr>
              <w:pStyle w:val="71"/>
              <w:numPr>
                <w:ilvl w:val="0"/>
                <w:numId w:val="11"/>
              </w:numPr>
              <w:spacing w:line="360" w:lineRule="auto"/>
              <w:ind w:firstLineChars="0"/>
              <w:jc w:val="center"/>
              <w:textAlignment w:val="auto"/>
              <w:rPr>
                <w:rStyle w:val="13"/>
                <w:rFonts w:ascii="宋体" w:hAnsi="宋体"/>
                <w:sz w:val="24"/>
              </w:rPr>
            </w:pPr>
          </w:p>
        </w:tc>
        <w:tc>
          <w:tcPr>
            <w:tcW w:w="2032"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r>
              <w:rPr>
                <w:rStyle w:val="13"/>
                <w:rFonts w:ascii="宋体" w:hAnsi="宋体"/>
                <w:sz w:val="24"/>
              </w:rPr>
              <w:t>病历质检</w:t>
            </w:r>
          </w:p>
        </w:tc>
        <w:tc>
          <w:tcPr>
            <w:tcW w:w="5743"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r>
              <w:rPr>
                <w:rStyle w:val="13"/>
                <w:rFonts w:ascii="宋体" w:hAnsi="宋体"/>
                <w:sz w:val="24"/>
              </w:rPr>
              <w:t>★针对病历中主观错误、病历术语不准确、诊断与主诉不符等问题，给出详细的质检提醒信息以及改进建议。（投标文件中提供“病历质检”软件界面截图）。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20" w:type="dxa"/>
            <w:tcBorders>
              <w:top w:val="single" w:color="000000" w:sz="4" w:space="0"/>
              <w:left w:val="single" w:color="000000" w:sz="4" w:space="0"/>
              <w:bottom w:val="single" w:color="000000" w:sz="4" w:space="0"/>
              <w:right w:val="single" w:color="000000" w:sz="4" w:space="0"/>
            </w:tcBorders>
            <w:vAlign w:val="center"/>
          </w:tcPr>
          <w:p>
            <w:pPr>
              <w:pStyle w:val="71"/>
              <w:numPr>
                <w:ilvl w:val="0"/>
                <w:numId w:val="11"/>
              </w:numPr>
              <w:spacing w:line="360" w:lineRule="auto"/>
              <w:ind w:firstLineChars="0"/>
              <w:jc w:val="center"/>
              <w:textAlignment w:val="auto"/>
              <w:rPr>
                <w:rStyle w:val="13"/>
                <w:rFonts w:ascii="宋体" w:hAnsi="宋体"/>
                <w:sz w:val="24"/>
              </w:rPr>
            </w:pPr>
          </w:p>
        </w:tc>
        <w:tc>
          <w:tcPr>
            <w:tcW w:w="2032"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r>
              <w:rPr>
                <w:rStyle w:val="13"/>
                <w:rFonts w:ascii="宋体" w:hAnsi="宋体"/>
                <w:sz w:val="24"/>
              </w:rPr>
              <w:t>疑似诊断提示</w:t>
            </w:r>
          </w:p>
        </w:tc>
        <w:tc>
          <w:tcPr>
            <w:tcW w:w="5743"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r>
              <w:rPr>
                <w:rStyle w:val="13"/>
                <w:rFonts w:ascii="宋体" w:hAnsi="宋体"/>
                <w:sz w:val="24"/>
              </w:rPr>
              <w:t>★针对患者的临床表现（主诉、现病史等病历信息以及检验值信息），智能推送疑似疾病诊断信息（投标文件中提供“疑似诊断提示”软件界面截图）。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20" w:type="dxa"/>
            <w:tcBorders>
              <w:top w:val="single" w:color="000000" w:sz="4" w:space="0"/>
              <w:left w:val="single" w:color="000000" w:sz="4" w:space="0"/>
              <w:bottom w:val="single" w:color="000000" w:sz="4" w:space="0"/>
              <w:right w:val="single" w:color="000000" w:sz="4" w:space="0"/>
            </w:tcBorders>
            <w:vAlign w:val="center"/>
          </w:tcPr>
          <w:p>
            <w:pPr>
              <w:pStyle w:val="71"/>
              <w:numPr>
                <w:ilvl w:val="0"/>
                <w:numId w:val="11"/>
              </w:numPr>
              <w:spacing w:line="360" w:lineRule="auto"/>
              <w:ind w:firstLineChars="0"/>
              <w:jc w:val="center"/>
              <w:textAlignment w:val="auto"/>
              <w:rPr>
                <w:rStyle w:val="13"/>
                <w:rFonts w:ascii="宋体" w:hAnsi="宋体"/>
                <w:sz w:val="24"/>
              </w:rPr>
            </w:pPr>
          </w:p>
        </w:tc>
        <w:tc>
          <w:tcPr>
            <w:tcW w:w="2032"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r>
              <w:rPr>
                <w:rStyle w:val="13"/>
                <w:rFonts w:ascii="宋体" w:hAnsi="宋体"/>
                <w:sz w:val="24"/>
              </w:rPr>
              <w:t>诊断不一致提示</w:t>
            </w:r>
          </w:p>
        </w:tc>
        <w:tc>
          <w:tcPr>
            <w:tcW w:w="5743"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r>
              <w:rPr>
                <w:rStyle w:val="13"/>
                <w:rFonts w:ascii="宋体" w:hAnsi="宋体"/>
                <w:sz w:val="24"/>
              </w:rPr>
              <w:t>★当医生诊断与系统建议不一致时，提供进一步问询建议（投标文件中提供“诊断不一致提示”软件界面截图）。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20" w:type="dxa"/>
            <w:tcBorders>
              <w:top w:val="single" w:color="000000" w:sz="4" w:space="0"/>
              <w:left w:val="single" w:color="000000" w:sz="4" w:space="0"/>
              <w:bottom w:val="single" w:color="000000" w:sz="4" w:space="0"/>
              <w:right w:val="single" w:color="000000" w:sz="4" w:space="0"/>
            </w:tcBorders>
            <w:vAlign w:val="center"/>
          </w:tcPr>
          <w:p>
            <w:pPr>
              <w:pStyle w:val="71"/>
              <w:numPr>
                <w:ilvl w:val="0"/>
                <w:numId w:val="11"/>
              </w:numPr>
              <w:spacing w:line="360" w:lineRule="auto"/>
              <w:ind w:firstLineChars="0"/>
              <w:jc w:val="center"/>
              <w:textAlignment w:val="auto"/>
              <w:rPr>
                <w:rStyle w:val="13"/>
                <w:rFonts w:ascii="宋体" w:hAnsi="宋体"/>
                <w:sz w:val="24"/>
              </w:rPr>
            </w:pPr>
          </w:p>
        </w:tc>
        <w:tc>
          <w:tcPr>
            <w:tcW w:w="2032"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r>
              <w:rPr>
                <w:rStyle w:val="13"/>
                <w:rFonts w:ascii="宋体" w:hAnsi="宋体"/>
                <w:sz w:val="24"/>
              </w:rPr>
              <w:t>疾病图谱</w:t>
            </w:r>
          </w:p>
        </w:tc>
        <w:tc>
          <w:tcPr>
            <w:tcW w:w="5743"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r>
              <w:rPr>
                <w:rStyle w:val="13"/>
                <w:rFonts w:ascii="宋体" w:hAnsi="宋体"/>
                <w:sz w:val="24"/>
              </w:rPr>
              <w:t>根据疾病的知识关联关系，提供图谱形式的可视化展示。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20" w:type="dxa"/>
            <w:tcBorders>
              <w:top w:val="single" w:color="000000" w:sz="4" w:space="0"/>
              <w:left w:val="single" w:color="000000" w:sz="4" w:space="0"/>
              <w:bottom w:val="single" w:color="000000" w:sz="4" w:space="0"/>
              <w:right w:val="single" w:color="000000" w:sz="4" w:space="0"/>
            </w:tcBorders>
            <w:vAlign w:val="center"/>
          </w:tcPr>
          <w:p>
            <w:pPr>
              <w:pStyle w:val="71"/>
              <w:numPr>
                <w:ilvl w:val="0"/>
                <w:numId w:val="11"/>
              </w:numPr>
              <w:spacing w:line="360" w:lineRule="auto"/>
              <w:ind w:firstLineChars="0"/>
              <w:jc w:val="center"/>
              <w:textAlignment w:val="auto"/>
              <w:rPr>
                <w:rStyle w:val="13"/>
                <w:rFonts w:ascii="宋体" w:hAnsi="宋体"/>
                <w:sz w:val="24"/>
              </w:rPr>
            </w:pPr>
          </w:p>
        </w:tc>
        <w:tc>
          <w:tcPr>
            <w:tcW w:w="2032"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r>
              <w:rPr>
                <w:rStyle w:val="13"/>
                <w:rFonts w:ascii="宋体" w:hAnsi="宋体"/>
                <w:sz w:val="24"/>
              </w:rPr>
              <w:t>进一步问诊</w:t>
            </w:r>
          </w:p>
        </w:tc>
        <w:tc>
          <w:tcPr>
            <w:tcW w:w="5743"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r>
              <w:rPr>
                <w:rStyle w:val="13"/>
                <w:rFonts w:ascii="宋体" w:hAnsi="宋体"/>
                <w:sz w:val="24"/>
              </w:rPr>
              <w:t>★对病历信息自动推送进一步问诊信息（投标文件中提供“进一步问诊”软件界面截图）。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20" w:type="dxa"/>
            <w:tcBorders>
              <w:top w:val="single" w:color="000000" w:sz="4" w:space="0"/>
              <w:left w:val="single" w:color="000000" w:sz="4" w:space="0"/>
              <w:bottom w:val="single" w:color="000000" w:sz="4" w:space="0"/>
              <w:right w:val="single" w:color="000000" w:sz="4" w:space="0"/>
            </w:tcBorders>
            <w:vAlign w:val="center"/>
          </w:tcPr>
          <w:p>
            <w:pPr>
              <w:pStyle w:val="71"/>
              <w:numPr>
                <w:ilvl w:val="0"/>
                <w:numId w:val="11"/>
              </w:numPr>
              <w:spacing w:line="360" w:lineRule="auto"/>
              <w:ind w:firstLineChars="0"/>
              <w:jc w:val="center"/>
              <w:textAlignment w:val="auto"/>
              <w:rPr>
                <w:rStyle w:val="13"/>
                <w:rFonts w:ascii="宋体" w:hAnsi="宋体"/>
                <w:sz w:val="24"/>
              </w:rPr>
            </w:pPr>
          </w:p>
        </w:tc>
        <w:tc>
          <w:tcPr>
            <w:tcW w:w="2032"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r>
              <w:rPr>
                <w:rStyle w:val="13"/>
                <w:rFonts w:ascii="宋体" w:hAnsi="宋体"/>
                <w:sz w:val="24"/>
              </w:rPr>
              <w:t>常见检查</w:t>
            </w:r>
          </w:p>
        </w:tc>
        <w:tc>
          <w:tcPr>
            <w:tcW w:w="5743"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r>
              <w:rPr>
                <w:rStyle w:val="13"/>
                <w:rFonts w:ascii="宋体" w:hAnsi="宋体"/>
                <w:sz w:val="24"/>
              </w:rPr>
              <w:t>★根据辅助诊断结果提供常见检查建议（投标文件中提供“常见检查”软件界面截图）。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20" w:type="dxa"/>
            <w:tcBorders>
              <w:top w:val="single" w:color="000000" w:sz="4" w:space="0"/>
              <w:left w:val="single" w:color="000000" w:sz="4" w:space="0"/>
              <w:bottom w:val="single" w:color="000000" w:sz="4" w:space="0"/>
              <w:right w:val="single" w:color="000000" w:sz="4" w:space="0"/>
            </w:tcBorders>
            <w:vAlign w:val="center"/>
          </w:tcPr>
          <w:p>
            <w:pPr>
              <w:pStyle w:val="71"/>
              <w:numPr>
                <w:ilvl w:val="0"/>
                <w:numId w:val="11"/>
              </w:numPr>
              <w:spacing w:line="360" w:lineRule="auto"/>
              <w:ind w:firstLineChars="0"/>
              <w:jc w:val="center"/>
              <w:textAlignment w:val="auto"/>
              <w:rPr>
                <w:rStyle w:val="13"/>
                <w:rFonts w:ascii="宋体" w:hAnsi="宋体"/>
                <w:sz w:val="24"/>
              </w:rPr>
            </w:pPr>
          </w:p>
        </w:tc>
        <w:tc>
          <w:tcPr>
            <w:tcW w:w="2032"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r>
              <w:rPr>
                <w:rStyle w:val="13"/>
                <w:rFonts w:ascii="宋体" w:hAnsi="宋体"/>
                <w:sz w:val="24"/>
              </w:rPr>
              <w:t>常见用药</w:t>
            </w:r>
          </w:p>
        </w:tc>
        <w:tc>
          <w:tcPr>
            <w:tcW w:w="5743"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r>
              <w:rPr>
                <w:rStyle w:val="13"/>
                <w:rFonts w:ascii="宋体" w:hAnsi="宋体"/>
                <w:sz w:val="24"/>
              </w:rPr>
              <w:t>★实现基于患者电子病历、检验检查信息等内容提供常见用药建议（投标文件中提供“常见用药”软件界面截图）。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20" w:type="dxa"/>
            <w:tcBorders>
              <w:top w:val="single" w:color="000000" w:sz="4" w:space="0"/>
              <w:left w:val="single" w:color="000000" w:sz="4" w:space="0"/>
              <w:bottom w:val="single" w:color="000000" w:sz="4" w:space="0"/>
              <w:right w:val="single" w:color="000000" w:sz="4" w:space="0"/>
            </w:tcBorders>
            <w:vAlign w:val="center"/>
          </w:tcPr>
          <w:p>
            <w:pPr>
              <w:pStyle w:val="71"/>
              <w:numPr>
                <w:ilvl w:val="0"/>
                <w:numId w:val="11"/>
              </w:numPr>
              <w:spacing w:line="360" w:lineRule="auto"/>
              <w:ind w:firstLineChars="0"/>
              <w:jc w:val="center"/>
              <w:textAlignment w:val="auto"/>
              <w:rPr>
                <w:rStyle w:val="13"/>
                <w:rFonts w:ascii="宋体" w:hAnsi="宋体"/>
                <w:sz w:val="24"/>
              </w:rPr>
            </w:pPr>
          </w:p>
        </w:tc>
        <w:tc>
          <w:tcPr>
            <w:tcW w:w="2032"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r>
              <w:rPr>
                <w:rStyle w:val="13"/>
                <w:rFonts w:ascii="宋体" w:hAnsi="宋体"/>
                <w:sz w:val="24"/>
              </w:rPr>
              <w:t>相似病历</w:t>
            </w:r>
          </w:p>
        </w:tc>
        <w:tc>
          <w:tcPr>
            <w:tcW w:w="5743"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r>
              <w:rPr>
                <w:rStyle w:val="13"/>
                <w:rFonts w:ascii="宋体" w:hAnsi="宋体"/>
                <w:sz w:val="24"/>
              </w:rPr>
              <w:t>根据当前的病历信息，推荐相似病历。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20" w:type="dxa"/>
            <w:tcBorders>
              <w:top w:val="single" w:color="000000" w:sz="4" w:space="0"/>
              <w:left w:val="single" w:color="000000" w:sz="4" w:space="0"/>
              <w:bottom w:val="single" w:color="000000" w:sz="4" w:space="0"/>
              <w:right w:val="single" w:color="000000" w:sz="4" w:space="0"/>
            </w:tcBorders>
            <w:vAlign w:val="center"/>
          </w:tcPr>
          <w:p>
            <w:pPr>
              <w:pStyle w:val="71"/>
              <w:numPr>
                <w:ilvl w:val="0"/>
                <w:numId w:val="11"/>
              </w:numPr>
              <w:spacing w:line="360" w:lineRule="auto"/>
              <w:ind w:firstLineChars="0"/>
              <w:jc w:val="center"/>
              <w:textAlignment w:val="auto"/>
              <w:rPr>
                <w:rStyle w:val="13"/>
                <w:rFonts w:ascii="宋体" w:hAnsi="宋体"/>
                <w:sz w:val="24"/>
              </w:rPr>
            </w:pPr>
          </w:p>
        </w:tc>
        <w:tc>
          <w:tcPr>
            <w:tcW w:w="2032"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r>
              <w:rPr>
                <w:rStyle w:val="13"/>
                <w:rFonts w:ascii="宋体" w:hAnsi="宋体"/>
                <w:sz w:val="24"/>
              </w:rPr>
              <w:t>数据对接</w:t>
            </w:r>
          </w:p>
        </w:tc>
        <w:tc>
          <w:tcPr>
            <w:tcW w:w="5743"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r>
              <w:rPr>
                <w:rStyle w:val="13"/>
                <w:rFonts w:ascii="宋体" w:hAnsi="宋体"/>
                <w:sz w:val="24"/>
              </w:rPr>
              <w:t>系统应以标准接口方式对接基层医疗机构HIS系统，对接信息包括医疗机构信息查询、医疗用户信息查询、门诊科室信息查询、患者就诊信息推送、患者病历信息推送等；并能够与基层医疗机构HIS系统实现互联互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20" w:type="dxa"/>
            <w:tcBorders>
              <w:top w:val="single" w:color="000000" w:sz="4" w:space="0"/>
              <w:left w:val="single" w:color="000000" w:sz="4" w:space="0"/>
              <w:bottom w:val="single" w:color="000000" w:sz="4" w:space="0"/>
              <w:right w:val="single" w:color="000000" w:sz="4" w:space="0"/>
            </w:tcBorders>
            <w:vAlign w:val="center"/>
          </w:tcPr>
          <w:p>
            <w:pPr>
              <w:pStyle w:val="71"/>
              <w:numPr>
                <w:ilvl w:val="0"/>
                <w:numId w:val="11"/>
              </w:numPr>
              <w:spacing w:line="360" w:lineRule="auto"/>
              <w:ind w:firstLineChars="0"/>
              <w:jc w:val="center"/>
              <w:textAlignment w:val="auto"/>
              <w:rPr>
                <w:rStyle w:val="13"/>
                <w:rFonts w:ascii="宋体" w:hAnsi="宋体"/>
                <w:sz w:val="24"/>
              </w:rPr>
            </w:pPr>
          </w:p>
        </w:tc>
        <w:tc>
          <w:tcPr>
            <w:tcW w:w="2032"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r>
              <w:rPr>
                <w:rStyle w:val="13"/>
                <w:rFonts w:ascii="宋体" w:hAnsi="宋体"/>
                <w:sz w:val="24"/>
              </w:rPr>
              <w:t>运行环境</w:t>
            </w:r>
          </w:p>
        </w:tc>
        <w:tc>
          <w:tcPr>
            <w:tcW w:w="5743"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r>
              <w:rPr>
                <w:rStyle w:val="13"/>
                <w:rFonts w:ascii="宋体" w:hAnsi="宋体"/>
                <w:sz w:val="24"/>
              </w:rPr>
              <w:t>系统应用端需兼容Windows xp及以上操作系统。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20" w:type="dxa"/>
            <w:tcBorders>
              <w:top w:val="single" w:color="000000" w:sz="4" w:space="0"/>
              <w:left w:val="single" w:color="000000" w:sz="4" w:space="0"/>
              <w:bottom w:val="single" w:color="000000" w:sz="4" w:space="0"/>
              <w:right w:val="single" w:color="000000" w:sz="4" w:space="0"/>
            </w:tcBorders>
            <w:vAlign w:val="center"/>
          </w:tcPr>
          <w:p>
            <w:pPr>
              <w:pStyle w:val="71"/>
              <w:numPr>
                <w:ilvl w:val="0"/>
                <w:numId w:val="11"/>
              </w:numPr>
              <w:spacing w:line="360" w:lineRule="auto"/>
              <w:ind w:firstLineChars="0"/>
              <w:jc w:val="center"/>
              <w:textAlignment w:val="auto"/>
              <w:rPr>
                <w:rStyle w:val="13"/>
                <w:rFonts w:ascii="宋体" w:hAnsi="宋体"/>
                <w:sz w:val="24"/>
              </w:rPr>
            </w:pPr>
          </w:p>
        </w:tc>
        <w:tc>
          <w:tcPr>
            <w:tcW w:w="2032"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r>
              <w:rPr>
                <w:rStyle w:val="13"/>
                <w:rFonts w:ascii="宋体" w:hAnsi="宋体"/>
                <w:sz w:val="24"/>
              </w:rPr>
              <w:t>系统性能</w:t>
            </w:r>
          </w:p>
        </w:tc>
        <w:tc>
          <w:tcPr>
            <w:tcW w:w="5743"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r>
              <w:rPr>
                <w:rStyle w:val="13"/>
                <w:rFonts w:ascii="宋体" w:hAnsi="宋体"/>
                <w:sz w:val="24"/>
              </w:rPr>
              <w:t>系统需能够同时支持至少300个客户端稳定使用（投标文件中提供同类产品相关案例佐证材料）</w:t>
            </w:r>
          </w:p>
        </w:tc>
      </w:tr>
    </w:tbl>
    <w:p>
      <w:pPr>
        <w:spacing w:line="360" w:lineRule="auto"/>
        <w:textAlignment w:val="auto"/>
        <w:rPr>
          <w:rStyle w:val="13"/>
          <w:rFonts w:ascii="宋体" w:hAnsi="宋体"/>
          <w:sz w:val="24"/>
        </w:rPr>
      </w:pPr>
    </w:p>
    <w:p>
      <w:pPr>
        <w:pStyle w:val="21"/>
        <w:spacing w:line="360" w:lineRule="auto"/>
        <w:textAlignment w:val="auto"/>
        <w:rPr>
          <w:rStyle w:val="13"/>
          <w:rFonts w:cs="宋体"/>
          <w:bCs/>
          <w:sz w:val="24"/>
          <w:szCs w:val="24"/>
        </w:rPr>
      </w:pPr>
      <w:r>
        <w:rPr>
          <w:rStyle w:val="13"/>
          <w:rFonts w:cs="宋体"/>
          <w:b/>
          <w:sz w:val="24"/>
          <w:szCs w:val="24"/>
        </w:rPr>
        <w:t>慢病智能管理系统</w:t>
      </w:r>
    </w:p>
    <w:p>
      <w:pPr>
        <w:pStyle w:val="22"/>
        <w:numPr>
          <w:ilvl w:val="4"/>
          <w:numId w:val="0"/>
        </w:numPr>
        <w:spacing w:before="0" w:after="0" w:line="360" w:lineRule="auto"/>
        <w:ind w:left="1560"/>
        <w:textAlignment w:val="auto"/>
        <w:rPr>
          <w:rStyle w:val="13"/>
          <w:rFonts w:ascii="宋体" w:hAnsi="宋体" w:cs="宋体"/>
          <w:bCs/>
          <w:sz w:val="24"/>
          <w:szCs w:val="24"/>
        </w:rPr>
      </w:pPr>
      <w:r>
        <w:rPr>
          <w:rStyle w:val="13"/>
          <w:rFonts w:hint="eastAsia" w:ascii="宋体" w:hAnsi="宋体" w:cs="宋体"/>
          <w:bCs/>
          <w:sz w:val="24"/>
          <w:szCs w:val="24"/>
        </w:rPr>
        <w:t>1.</w:t>
      </w:r>
      <w:r>
        <w:rPr>
          <w:rStyle w:val="13"/>
          <w:rFonts w:ascii="宋体" w:hAnsi="宋体" w:cs="宋体"/>
          <w:bCs/>
          <w:sz w:val="24"/>
          <w:szCs w:val="24"/>
        </w:rPr>
        <w:t>产品要求</w:t>
      </w:r>
    </w:p>
    <w:p>
      <w:pPr>
        <w:spacing w:line="360" w:lineRule="auto"/>
        <w:ind w:firstLine="560"/>
        <w:textAlignment w:val="auto"/>
        <w:rPr>
          <w:rStyle w:val="13"/>
          <w:rFonts w:ascii="宋体" w:hAnsi="宋体"/>
          <w:sz w:val="24"/>
        </w:rPr>
      </w:pPr>
      <w:r>
        <w:rPr>
          <w:rStyle w:val="13"/>
          <w:rFonts w:ascii="宋体" w:hAnsi="宋体"/>
          <w:sz w:val="24"/>
        </w:rPr>
        <w:t>慢病智能管理系统根据人工智能医学知识图谱、健康服务规则与相应健康医疗知识库，通过自动化计算与分析用户血压值数据，结合居民电子健康档案、基本医疗的常见健康信息，为每个用户的健康状态提供有针对性的健康干预方案，随着血压值数据的完善与更新，自动判断并实时调整健康服务内容，辅助医生完成健康管理服务。</w:t>
      </w:r>
    </w:p>
    <w:p>
      <w:pPr>
        <w:pStyle w:val="22"/>
        <w:numPr>
          <w:ilvl w:val="4"/>
          <w:numId w:val="0"/>
        </w:numPr>
        <w:spacing w:before="0" w:after="0" w:line="360" w:lineRule="auto"/>
        <w:ind w:left="1560"/>
        <w:textAlignment w:val="auto"/>
        <w:rPr>
          <w:rStyle w:val="13"/>
          <w:rFonts w:ascii="宋体" w:hAnsi="宋体" w:cs="宋体"/>
          <w:bCs/>
          <w:sz w:val="24"/>
          <w:szCs w:val="24"/>
        </w:rPr>
      </w:pPr>
      <w:r>
        <w:rPr>
          <w:rStyle w:val="13"/>
          <w:rFonts w:hint="eastAsia" w:ascii="宋体" w:hAnsi="宋体" w:cs="宋体"/>
          <w:bCs/>
          <w:sz w:val="24"/>
          <w:szCs w:val="24"/>
        </w:rPr>
        <w:t>1.1</w:t>
      </w:r>
      <w:r>
        <w:rPr>
          <w:rStyle w:val="13"/>
          <w:rFonts w:ascii="宋体" w:hAnsi="宋体" w:cs="宋体"/>
          <w:bCs/>
          <w:sz w:val="24"/>
          <w:szCs w:val="24"/>
        </w:rPr>
        <w:t>技术参数</w:t>
      </w:r>
    </w:p>
    <w:p>
      <w:pPr>
        <w:spacing w:line="360" w:lineRule="auto"/>
        <w:ind w:firstLine="560"/>
        <w:textAlignment w:val="auto"/>
        <w:rPr>
          <w:rStyle w:val="13"/>
          <w:rFonts w:ascii="宋体" w:hAnsi="宋体"/>
          <w:sz w:val="24"/>
        </w:rPr>
      </w:pPr>
      <w:r>
        <w:rPr>
          <w:rStyle w:val="13"/>
          <w:rFonts w:ascii="宋体" w:hAnsi="宋体"/>
          <w:sz w:val="24"/>
        </w:rPr>
        <w:t>产品的技术参数如下：</w:t>
      </w:r>
    </w:p>
    <w:tbl>
      <w:tblPr>
        <w:tblStyle w:val="10"/>
        <w:tblW w:w="849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20"/>
        <w:gridCol w:w="2032"/>
        <w:gridCol w:w="5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20" w:type="dxa"/>
            <w:tcBorders>
              <w:top w:val="single" w:color="000000" w:sz="4" w:space="0"/>
              <w:left w:val="single" w:color="000000" w:sz="4" w:space="0"/>
              <w:bottom w:val="single" w:color="000000" w:sz="4" w:space="0"/>
              <w:right w:val="single" w:color="000000" w:sz="4" w:space="0"/>
            </w:tcBorders>
            <w:shd w:val="clear" w:color="auto" w:fill="D8D8D8"/>
            <w:vAlign w:val="center"/>
          </w:tcPr>
          <w:p>
            <w:pPr>
              <w:spacing w:line="360" w:lineRule="auto"/>
              <w:jc w:val="center"/>
              <w:textAlignment w:val="auto"/>
              <w:rPr>
                <w:rStyle w:val="13"/>
                <w:rFonts w:ascii="宋体" w:hAnsi="宋体"/>
                <w:b/>
                <w:sz w:val="24"/>
              </w:rPr>
            </w:pPr>
            <w:r>
              <w:rPr>
                <w:rStyle w:val="13"/>
                <w:rFonts w:ascii="宋体" w:hAnsi="宋体"/>
                <w:b/>
                <w:sz w:val="24"/>
              </w:rPr>
              <w:t>序号</w:t>
            </w:r>
          </w:p>
        </w:tc>
        <w:tc>
          <w:tcPr>
            <w:tcW w:w="2032" w:type="dxa"/>
            <w:tcBorders>
              <w:top w:val="single" w:color="000000" w:sz="4" w:space="0"/>
              <w:left w:val="single" w:color="000000" w:sz="4" w:space="0"/>
              <w:bottom w:val="single" w:color="000000" w:sz="4" w:space="0"/>
              <w:right w:val="single" w:color="000000" w:sz="4" w:space="0"/>
            </w:tcBorders>
            <w:shd w:val="clear" w:color="auto" w:fill="D8D8D8"/>
            <w:vAlign w:val="center"/>
          </w:tcPr>
          <w:p>
            <w:pPr>
              <w:spacing w:line="360" w:lineRule="auto"/>
              <w:jc w:val="center"/>
              <w:textAlignment w:val="auto"/>
              <w:rPr>
                <w:rStyle w:val="13"/>
                <w:rFonts w:ascii="宋体" w:hAnsi="宋体"/>
                <w:b/>
                <w:sz w:val="24"/>
              </w:rPr>
            </w:pPr>
            <w:r>
              <w:rPr>
                <w:rStyle w:val="13"/>
                <w:rFonts w:ascii="宋体" w:hAnsi="宋体"/>
                <w:b/>
                <w:sz w:val="24"/>
              </w:rPr>
              <w:t>性能/功能</w:t>
            </w:r>
          </w:p>
        </w:tc>
        <w:tc>
          <w:tcPr>
            <w:tcW w:w="5743" w:type="dxa"/>
            <w:tcBorders>
              <w:top w:val="single" w:color="000000" w:sz="4" w:space="0"/>
              <w:left w:val="single" w:color="000000" w:sz="4" w:space="0"/>
              <w:bottom w:val="single" w:color="000000" w:sz="4" w:space="0"/>
              <w:right w:val="single" w:color="000000" w:sz="4" w:space="0"/>
            </w:tcBorders>
            <w:shd w:val="clear" w:color="auto" w:fill="D8D8D8"/>
            <w:vAlign w:val="center"/>
          </w:tcPr>
          <w:p>
            <w:pPr>
              <w:spacing w:line="360" w:lineRule="auto"/>
              <w:jc w:val="center"/>
              <w:textAlignment w:val="auto"/>
              <w:rPr>
                <w:rStyle w:val="13"/>
                <w:rFonts w:ascii="宋体" w:hAnsi="宋体"/>
                <w:b/>
                <w:sz w:val="24"/>
              </w:rPr>
            </w:pPr>
            <w:r>
              <w:rPr>
                <w:rStyle w:val="13"/>
                <w:rFonts w:ascii="宋体" w:hAnsi="宋体"/>
                <w:b/>
                <w:sz w:val="24"/>
              </w:rPr>
              <w:t>需求及技术参数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71"/>
              <w:numPr>
                <w:ilvl w:val="0"/>
                <w:numId w:val="12"/>
              </w:numPr>
              <w:spacing w:line="360" w:lineRule="auto"/>
              <w:ind w:left="0" w:firstLineChars="0"/>
              <w:jc w:val="center"/>
              <w:textAlignment w:val="auto"/>
              <w:rPr>
                <w:rStyle w:val="13"/>
                <w:rFonts w:ascii="宋体" w:hAnsi="宋体"/>
                <w:sz w:val="24"/>
              </w:rPr>
            </w:pPr>
          </w:p>
        </w:tc>
        <w:tc>
          <w:tcPr>
            <w:tcW w:w="2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textAlignment w:val="auto"/>
              <w:rPr>
                <w:rStyle w:val="13"/>
                <w:rFonts w:ascii="宋体" w:hAnsi="宋体"/>
                <w:sz w:val="24"/>
              </w:rPr>
            </w:pPr>
            <w:r>
              <w:rPr>
                <w:rStyle w:val="13"/>
                <w:rFonts w:ascii="宋体" w:hAnsi="宋体"/>
                <w:sz w:val="24"/>
              </w:rPr>
              <w:t>居民信息管理</w:t>
            </w:r>
          </w:p>
        </w:tc>
        <w:tc>
          <w:tcPr>
            <w:tcW w:w="5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textAlignment w:val="auto"/>
              <w:rPr>
                <w:rStyle w:val="13"/>
                <w:rFonts w:ascii="宋体" w:hAnsi="宋体"/>
                <w:sz w:val="24"/>
              </w:rPr>
            </w:pPr>
            <w:r>
              <w:rPr>
                <w:rStyle w:val="13"/>
                <w:rFonts w:ascii="宋体" w:hAnsi="宋体"/>
                <w:sz w:val="24"/>
              </w:rPr>
              <w:t>系统支持家庭医生新增居民健康档案信息，对居民进行分组管理和快捷检索。家庭医生帮助居民完成绑定血压计后，居民使用人工智能血压计进行血压测量，测量结果实时同步至健康管理平台。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20" w:type="dxa"/>
            <w:tcBorders>
              <w:top w:val="single" w:color="000000" w:sz="4" w:space="0"/>
              <w:left w:val="single" w:color="000000" w:sz="4" w:space="0"/>
              <w:bottom w:val="single" w:color="000000" w:sz="4" w:space="0"/>
              <w:right w:val="single" w:color="000000" w:sz="4" w:space="0"/>
            </w:tcBorders>
            <w:vAlign w:val="center"/>
          </w:tcPr>
          <w:p>
            <w:pPr>
              <w:pStyle w:val="71"/>
              <w:numPr>
                <w:ilvl w:val="0"/>
                <w:numId w:val="12"/>
              </w:numPr>
              <w:spacing w:line="360" w:lineRule="auto"/>
              <w:ind w:left="0" w:firstLineChars="0"/>
              <w:jc w:val="center"/>
              <w:textAlignment w:val="auto"/>
              <w:rPr>
                <w:rStyle w:val="13"/>
                <w:rFonts w:ascii="宋体" w:hAnsi="宋体"/>
                <w:sz w:val="24"/>
              </w:rPr>
            </w:pPr>
          </w:p>
        </w:tc>
        <w:tc>
          <w:tcPr>
            <w:tcW w:w="2032"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r>
              <w:rPr>
                <w:rStyle w:val="13"/>
                <w:rFonts w:ascii="宋体" w:hAnsi="宋体"/>
                <w:sz w:val="24"/>
              </w:rPr>
              <w:t>分级管理</w:t>
            </w:r>
          </w:p>
        </w:tc>
        <w:tc>
          <w:tcPr>
            <w:tcW w:w="5743"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r>
              <w:rPr>
                <w:rStyle w:val="13"/>
                <w:rFonts w:ascii="宋体" w:hAnsi="宋体"/>
                <w:sz w:val="24"/>
              </w:rPr>
              <w:t>依据管辖区域居民测量上传的血压值以及AI智能评估模型，系统能够自动筛选出医生和专家管辖区域内的连续高危患者，辅助医生和专家进行及时重点干预，医生可以制定宣教、干预方案、随访方案、预约门诊、调药、上转专家等，专家可以预约门诊、治疗，下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20" w:type="dxa"/>
            <w:tcBorders>
              <w:top w:val="single" w:color="000000" w:sz="4" w:space="0"/>
              <w:left w:val="single" w:color="000000" w:sz="4" w:space="0"/>
              <w:bottom w:val="single" w:color="000000" w:sz="4" w:space="0"/>
              <w:right w:val="single" w:color="000000" w:sz="4" w:space="0"/>
            </w:tcBorders>
            <w:vAlign w:val="center"/>
          </w:tcPr>
          <w:p>
            <w:pPr>
              <w:pStyle w:val="71"/>
              <w:numPr>
                <w:ilvl w:val="0"/>
                <w:numId w:val="12"/>
              </w:numPr>
              <w:spacing w:line="360" w:lineRule="auto"/>
              <w:ind w:left="0" w:firstLineChars="0"/>
              <w:jc w:val="center"/>
              <w:textAlignment w:val="auto"/>
              <w:rPr>
                <w:rStyle w:val="13"/>
                <w:rFonts w:ascii="宋体" w:hAnsi="宋体"/>
                <w:sz w:val="24"/>
              </w:rPr>
            </w:pPr>
          </w:p>
        </w:tc>
        <w:tc>
          <w:tcPr>
            <w:tcW w:w="2032"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r>
              <w:rPr>
                <w:rStyle w:val="13"/>
                <w:rFonts w:ascii="宋体" w:hAnsi="宋体"/>
                <w:sz w:val="24"/>
              </w:rPr>
              <w:t>当日统计信息一览</w:t>
            </w:r>
          </w:p>
        </w:tc>
        <w:tc>
          <w:tcPr>
            <w:tcW w:w="5743"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r>
              <w:rPr>
                <w:rStyle w:val="13"/>
                <w:rFonts w:ascii="宋体" w:hAnsi="宋体"/>
                <w:sz w:val="24"/>
              </w:rPr>
              <w:t>★家庭医生可在慢病管理平台首页查看居民当日的血压测量统计信息，包括今日测量、三天未测量、高值居民、高危居民以及未达标居民等信息（提供“当日统计信息一览”软件界面截图）。方便家庭医生实时掌握居民高血压管理动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4" w:hRule="atLeast"/>
        </w:trPr>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pStyle w:val="71"/>
              <w:numPr>
                <w:ilvl w:val="0"/>
                <w:numId w:val="12"/>
              </w:numPr>
              <w:spacing w:line="360" w:lineRule="auto"/>
              <w:ind w:left="0" w:firstLineChars="0"/>
              <w:jc w:val="center"/>
              <w:textAlignment w:val="auto"/>
              <w:rPr>
                <w:rStyle w:val="13"/>
                <w:rFonts w:ascii="宋体" w:hAnsi="宋体"/>
                <w:sz w:val="24"/>
              </w:rPr>
            </w:pPr>
          </w:p>
        </w:tc>
        <w:tc>
          <w:tcPr>
            <w:tcW w:w="2032"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r>
              <w:rPr>
                <w:rStyle w:val="13"/>
                <w:rFonts w:ascii="宋体" w:hAnsi="宋体"/>
                <w:sz w:val="24"/>
              </w:rPr>
              <w:t>慢病（高血压）管理</w:t>
            </w:r>
          </w:p>
        </w:tc>
        <w:tc>
          <w:tcPr>
            <w:tcW w:w="5743"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r>
              <w:rPr>
                <w:rStyle w:val="13"/>
                <w:rFonts w:ascii="宋体" w:hAnsi="宋体"/>
                <w:sz w:val="24"/>
              </w:rPr>
              <w:t>★家庭医生可以针对单个居民进行高血压管理（居民高血压数值通过智能血压计精准采集自动上传），通过高血压管理初始界面查看居民当日、近一周以及近一月的高血压管理动态，包括高危、高值、正常、达标、未达标以及未测量的详细信息，以及居民近一周、近一月以及近一年血压趋势（提供“患者血压值趋势”软件界面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3" w:hRule="atLeast"/>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pStyle w:val="71"/>
              <w:numPr>
                <w:ilvl w:val="0"/>
                <w:numId w:val="12"/>
              </w:numPr>
              <w:spacing w:line="360" w:lineRule="auto"/>
              <w:ind w:left="0" w:firstLineChars="0"/>
              <w:jc w:val="center"/>
              <w:textAlignment w:val="auto"/>
              <w:rPr>
                <w:rStyle w:val="13"/>
                <w:rFonts w:ascii="宋体" w:hAnsi="宋体"/>
                <w:sz w:val="24"/>
              </w:rPr>
            </w:pPr>
          </w:p>
        </w:tc>
        <w:tc>
          <w:tcPr>
            <w:tcW w:w="2032"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p>
        </w:tc>
        <w:tc>
          <w:tcPr>
            <w:tcW w:w="5743"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r>
              <w:rPr>
                <w:rStyle w:val="13"/>
                <w:rFonts w:ascii="宋体" w:hAnsi="宋体"/>
                <w:sz w:val="24"/>
              </w:rPr>
              <w:t>★家庭医生慢病管理平台通过对居民血压值进行监测和管理，可以按周或者按月生成居民的高血压管理报告（提供“高血压管理报告”软件界面截图）。打印后提供给居民能够直观了解到各自的高血压管理动态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20" w:type="dxa"/>
            <w:tcBorders>
              <w:top w:val="single" w:color="000000" w:sz="4" w:space="0"/>
              <w:left w:val="single" w:color="000000" w:sz="4" w:space="0"/>
              <w:bottom w:val="single" w:color="000000" w:sz="4" w:space="0"/>
              <w:right w:val="single" w:color="000000" w:sz="4" w:space="0"/>
            </w:tcBorders>
            <w:vAlign w:val="center"/>
          </w:tcPr>
          <w:p>
            <w:pPr>
              <w:pStyle w:val="71"/>
              <w:numPr>
                <w:ilvl w:val="0"/>
                <w:numId w:val="12"/>
              </w:numPr>
              <w:spacing w:line="360" w:lineRule="auto"/>
              <w:ind w:left="0" w:firstLineChars="0"/>
              <w:jc w:val="center"/>
              <w:textAlignment w:val="auto"/>
              <w:rPr>
                <w:rStyle w:val="13"/>
                <w:rFonts w:ascii="宋体" w:hAnsi="宋体"/>
                <w:sz w:val="24"/>
              </w:rPr>
            </w:pPr>
          </w:p>
        </w:tc>
        <w:tc>
          <w:tcPr>
            <w:tcW w:w="2032"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r>
              <w:rPr>
                <w:rStyle w:val="13"/>
                <w:rFonts w:ascii="宋体" w:hAnsi="宋体"/>
                <w:sz w:val="24"/>
              </w:rPr>
              <w:t>智能血压计管理</w:t>
            </w:r>
          </w:p>
        </w:tc>
        <w:tc>
          <w:tcPr>
            <w:tcW w:w="5743"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r>
              <w:rPr>
                <w:rStyle w:val="13"/>
                <w:rFonts w:ascii="宋体" w:hAnsi="宋体"/>
                <w:sz w:val="24"/>
              </w:rPr>
              <w:t>家庭医生可通过健康管理平台对血压计进行管理，包括查看血压计绑定居民信息、解绑血压计等。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20" w:type="dxa"/>
            <w:tcBorders>
              <w:top w:val="single" w:color="000000" w:sz="4" w:space="0"/>
              <w:left w:val="single" w:color="000000" w:sz="4" w:space="0"/>
              <w:bottom w:val="single" w:color="000000" w:sz="4" w:space="0"/>
              <w:right w:val="single" w:color="000000" w:sz="4" w:space="0"/>
            </w:tcBorders>
            <w:vAlign w:val="center"/>
          </w:tcPr>
          <w:p>
            <w:pPr>
              <w:pStyle w:val="71"/>
              <w:numPr>
                <w:ilvl w:val="0"/>
                <w:numId w:val="12"/>
              </w:numPr>
              <w:spacing w:line="360" w:lineRule="auto"/>
              <w:ind w:left="0" w:firstLineChars="0"/>
              <w:jc w:val="center"/>
              <w:textAlignment w:val="auto"/>
              <w:rPr>
                <w:rStyle w:val="13"/>
                <w:rFonts w:ascii="宋体" w:hAnsi="宋体"/>
                <w:sz w:val="24"/>
              </w:rPr>
            </w:pPr>
          </w:p>
        </w:tc>
        <w:tc>
          <w:tcPr>
            <w:tcW w:w="2032"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r>
              <w:rPr>
                <w:rStyle w:val="13"/>
                <w:rFonts w:ascii="宋体" w:hAnsi="宋体"/>
                <w:sz w:val="24"/>
              </w:rPr>
              <w:t>系统分析</w:t>
            </w:r>
          </w:p>
        </w:tc>
        <w:tc>
          <w:tcPr>
            <w:tcW w:w="5743"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r>
              <w:rPr>
                <w:rStyle w:val="13"/>
                <w:rFonts w:ascii="宋体" w:hAnsi="宋体"/>
                <w:sz w:val="24"/>
              </w:rPr>
              <w:t>★慢病智能管理平台自动统计分析周期内居民的血压值，并生成血压控制率和居民活跃率统计表（提供“血压控制率和居民活跃率统计”软件界面截图）</w:t>
            </w:r>
          </w:p>
        </w:tc>
      </w:tr>
    </w:tbl>
    <w:p>
      <w:pPr>
        <w:spacing w:line="360" w:lineRule="auto"/>
        <w:textAlignment w:val="auto"/>
        <w:rPr>
          <w:rStyle w:val="13"/>
          <w:rFonts w:ascii="宋体" w:hAnsi="宋体"/>
          <w:sz w:val="24"/>
        </w:rPr>
      </w:pPr>
    </w:p>
    <w:p>
      <w:pPr>
        <w:pStyle w:val="22"/>
        <w:numPr>
          <w:ilvl w:val="4"/>
          <w:numId w:val="0"/>
        </w:numPr>
        <w:spacing w:before="0" w:after="0" w:line="360" w:lineRule="auto"/>
        <w:ind w:left="1560"/>
        <w:textAlignment w:val="auto"/>
        <w:rPr>
          <w:rStyle w:val="13"/>
          <w:rFonts w:ascii="宋体" w:hAnsi="宋体" w:cs="宋体"/>
          <w:bCs/>
          <w:sz w:val="24"/>
          <w:szCs w:val="24"/>
        </w:rPr>
      </w:pPr>
      <w:r>
        <w:rPr>
          <w:rStyle w:val="13"/>
          <w:rFonts w:hint="eastAsia" w:ascii="宋体" w:hAnsi="宋体" w:cs="宋体"/>
          <w:bCs/>
          <w:sz w:val="24"/>
          <w:szCs w:val="24"/>
        </w:rPr>
        <w:t>1.2</w:t>
      </w:r>
      <w:r>
        <w:rPr>
          <w:rStyle w:val="13"/>
          <w:rFonts w:ascii="宋体" w:hAnsi="宋体" w:cs="宋体"/>
          <w:bCs/>
          <w:sz w:val="24"/>
          <w:szCs w:val="24"/>
        </w:rPr>
        <w:t>配套硬件参数要求</w:t>
      </w:r>
    </w:p>
    <w:p>
      <w:pPr>
        <w:spacing w:line="360" w:lineRule="auto"/>
        <w:ind w:firstLine="560"/>
        <w:textAlignment w:val="auto"/>
        <w:rPr>
          <w:rStyle w:val="13"/>
          <w:rFonts w:ascii="宋体" w:hAnsi="宋体"/>
          <w:sz w:val="24"/>
        </w:rPr>
      </w:pPr>
      <w:r>
        <w:rPr>
          <w:rStyle w:val="13"/>
          <w:rFonts w:ascii="宋体" w:hAnsi="宋体"/>
          <w:sz w:val="24"/>
        </w:rPr>
        <w:t>智能血压计内置数据传输模块，能够将测量数据实时同步至健康管理平台（含流量卡以及一年流量卡的费用，后期每年每台需另行流量费和通讯费）。</w:t>
      </w:r>
    </w:p>
    <w:p>
      <w:pPr>
        <w:spacing w:line="360" w:lineRule="auto"/>
        <w:ind w:firstLine="560"/>
        <w:textAlignment w:val="auto"/>
        <w:rPr>
          <w:rStyle w:val="13"/>
          <w:rFonts w:ascii="宋体" w:hAnsi="宋体"/>
          <w:sz w:val="24"/>
        </w:rPr>
      </w:pPr>
      <w:r>
        <w:rPr>
          <w:rStyle w:val="13"/>
          <w:rFonts w:ascii="宋体" w:hAnsi="宋体"/>
          <w:sz w:val="24"/>
        </w:rPr>
        <w:t>产品的技术参数如下：</w:t>
      </w:r>
    </w:p>
    <w:p>
      <w:pPr>
        <w:pStyle w:val="3"/>
        <w:spacing w:line="360" w:lineRule="auto"/>
        <w:textAlignment w:val="auto"/>
        <w:rPr>
          <w:rStyle w:val="13"/>
          <w:rFonts w:ascii="宋体" w:hAnsi="宋体" w:eastAsia="宋体"/>
          <w:sz w:val="24"/>
          <w:szCs w:val="24"/>
        </w:rPr>
      </w:pPr>
      <w:r>
        <w:rPr>
          <w:rStyle w:val="13"/>
          <w:rFonts w:ascii="宋体" w:hAnsi="宋体" w:eastAsia="宋体"/>
          <w:sz w:val="24"/>
          <w:szCs w:val="24"/>
        </w:rPr>
        <w:t>表格 12智能臂式电子血压计技术参数一览表</w:t>
      </w:r>
    </w:p>
    <w:tbl>
      <w:tblPr>
        <w:tblStyle w:val="10"/>
        <w:tblW w:w="849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20"/>
        <w:gridCol w:w="2032"/>
        <w:gridCol w:w="5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20" w:type="dxa"/>
            <w:tcBorders>
              <w:top w:val="single" w:color="000000" w:sz="4" w:space="0"/>
              <w:left w:val="single" w:color="000000" w:sz="4" w:space="0"/>
              <w:bottom w:val="single" w:color="000000" w:sz="4" w:space="0"/>
              <w:right w:val="single" w:color="000000" w:sz="4" w:space="0"/>
            </w:tcBorders>
            <w:shd w:val="clear" w:color="auto" w:fill="D8D8D8"/>
            <w:vAlign w:val="center"/>
          </w:tcPr>
          <w:p>
            <w:pPr>
              <w:spacing w:line="360" w:lineRule="auto"/>
              <w:jc w:val="center"/>
              <w:textAlignment w:val="auto"/>
              <w:rPr>
                <w:rStyle w:val="13"/>
                <w:rFonts w:ascii="宋体" w:hAnsi="宋体"/>
                <w:b/>
                <w:sz w:val="24"/>
              </w:rPr>
            </w:pPr>
            <w:r>
              <w:rPr>
                <w:rStyle w:val="13"/>
                <w:rFonts w:ascii="宋体" w:hAnsi="宋体"/>
                <w:b/>
                <w:sz w:val="24"/>
              </w:rPr>
              <w:t>序号</w:t>
            </w:r>
          </w:p>
        </w:tc>
        <w:tc>
          <w:tcPr>
            <w:tcW w:w="2032" w:type="dxa"/>
            <w:tcBorders>
              <w:top w:val="single" w:color="000000" w:sz="4" w:space="0"/>
              <w:left w:val="single" w:color="000000" w:sz="4" w:space="0"/>
              <w:bottom w:val="single" w:color="000000" w:sz="4" w:space="0"/>
              <w:right w:val="single" w:color="000000" w:sz="4" w:space="0"/>
            </w:tcBorders>
            <w:shd w:val="clear" w:color="auto" w:fill="D8D8D8"/>
            <w:vAlign w:val="center"/>
          </w:tcPr>
          <w:p>
            <w:pPr>
              <w:spacing w:line="360" w:lineRule="auto"/>
              <w:jc w:val="center"/>
              <w:textAlignment w:val="auto"/>
              <w:rPr>
                <w:rStyle w:val="13"/>
                <w:rFonts w:ascii="宋体" w:hAnsi="宋体"/>
                <w:b/>
                <w:sz w:val="24"/>
              </w:rPr>
            </w:pPr>
            <w:r>
              <w:rPr>
                <w:rStyle w:val="13"/>
                <w:rFonts w:ascii="宋体" w:hAnsi="宋体"/>
                <w:b/>
                <w:sz w:val="24"/>
              </w:rPr>
              <w:t>性能/功能</w:t>
            </w:r>
          </w:p>
        </w:tc>
        <w:tc>
          <w:tcPr>
            <w:tcW w:w="5743" w:type="dxa"/>
            <w:tcBorders>
              <w:top w:val="single" w:color="000000" w:sz="4" w:space="0"/>
              <w:left w:val="single" w:color="000000" w:sz="4" w:space="0"/>
              <w:bottom w:val="single" w:color="000000" w:sz="4" w:space="0"/>
              <w:right w:val="single" w:color="000000" w:sz="4" w:space="0"/>
            </w:tcBorders>
            <w:shd w:val="clear" w:color="auto" w:fill="D8D8D8"/>
            <w:vAlign w:val="center"/>
          </w:tcPr>
          <w:p>
            <w:pPr>
              <w:spacing w:line="360" w:lineRule="auto"/>
              <w:jc w:val="center"/>
              <w:textAlignment w:val="auto"/>
              <w:rPr>
                <w:rStyle w:val="13"/>
                <w:rFonts w:ascii="宋体" w:hAnsi="宋体"/>
                <w:b/>
                <w:sz w:val="24"/>
              </w:rPr>
            </w:pPr>
            <w:r>
              <w:rPr>
                <w:rStyle w:val="13"/>
                <w:rFonts w:ascii="宋体" w:hAnsi="宋体"/>
                <w:b/>
                <w:sz w:val="24"/>
              </w:rPr>
              <w:t>需求及技术参数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71"/>
              <w:numPr>
                <w:ilvl w:val="0"/>
                <w:numId w:val="13"/>
              </w:numPr>
              <w:spacing w:line="360" w:lineRule="auto"/>
              <w:ind w:left="0" w:firstLineChars="0"/>
              <w:jc w:val="center"/>
              <w:textAlignment w:val="auto"/>
              <w:rPr>
                <w:rStyle w:val="13"/>
                <w:rFonts w:ascii="宋体" w:hAnsi="宋体"/>
                <w:sz w:val="24"/>
              </w:rPr>
            </w:pPr>
          </w:p>
        </w:tc>
        <w:tc>
          <w:tcPr>
            <w:tcW w:w="20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textAlignment w:val="auto"/>
              <w:rPr>
                <w:rStyle w:val="13"/>
                <w:rFonts w:ascii="宋体" w:hAnsi="宋体"/>
                <w:sz w:val="24"/>
              </w:rPr>
            </w:pPr>
            <w:r>
              <w:rPr>
                <w:rStyle w:val="13"/>
                <w:rFonts w:ascii="宋体" w:hAnsi="宋体"/>
                <w:sz w:val="24"/>
              </w:rPr>
              <w:t>血压测量</w:t>
            </w:r>
          </w:p>
        </w:tc>
        <w:tc>
          <w:tcPr>
            <w:tcW w:w="5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textAlignment w:val="auto"/>
              <w:rPr>
                <w:rStyle w:val="13"/>
                <w:rFonts w:ascii="宋体" w:hAnsi="宋体"/>
                <w:sz w:val="24"/>
              </w:rPr>
            </w:pPr>
            <w:r>
              <w:rPr>
                <w:rStyle w:val="13"/>
                <w:rFonts w:ascii="宋体" w:hAnsi="宋体"/>
                <w:sz w:val="24"/>
              </w:rPr>
              <w:t>（1）血压计通过CFDA认证；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71"/>
              <w:numPr>
                <w:ilvl w:val="0"/>
                <w:numId w:val="13"/>
              </w:numPr>
              <w:spacing w:line="360" w:lineRule="auto"/>
              <w:ind w:left="0" w:firstLineChars="0"/>
              <w:jc w:val="center"/>
              <w:textAlignment w:val="auto"/>
              <w:rPr>
                <w:rStyle w:val="13"/>
                <w:rFonts w:ascii="宋体" w:hAnsi="宋体"/>
                <w:sz w:val="24"/>
              </w:rPr>
            </w:pPr>
          </w:p>
        </w:tc>
        <w:tc>
          <w:tcPr>
            <w:tcW w:w="20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textAlignment w:val="auto"/>
              <w:rPr>
                <w:rStyle w:val="13"/>
                <w:rFonts w:ascii="宋体" w:hAnsi="宋体"/>
                <w:sz w:val="24"/>
              </w:rPr>
            </w:pPr>
          </w:p>
        </w:tc>
        <w:tc>
          <w:tcPr>
            <w:tcW w:w="5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textAlignment w:val="auto"/>
              <w:rPr>
                <w:rStyle w:val="13"/>
                <w:rFonts w:ascii="宋体" w:hAnsi="宋体"/>
                <w:sz w:val="24"/>
              </w:rPr>
            </w:pPr>
            <w:r>
              <w:rPr>
                <w:rStyle w:val="13"/>
                <w:rFonts w:ascii="宋体" w:hAnsi="宋体"/>
                <w:sz w:val="24"/>
              </w:rPr>
              <w:t>（2）血压计采用多点测量以及逼近和拟合的计算方法，利用收缩压和舒张压点附近各点之间的内在联系和变化规律，使测量准确率、异常血压用户适用性方面性能达到或超过水银血压计类产品；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pStyle w:val="71"/>
              <w:numPr>
                <w:ilvl w:val="0"/>
                <w:numId w:val="13"/>
              </w:numPr>
              <w:spacing w:line="360" w:lineRule="auto"/>
              <w:ind w:left="0" w:firstLineChars="0"/>
              <w:jc w:val="center"/>
              <w:textAlignment w:val="auto"/>
              <w:rPr>
                <w:rStyle w:val="13"/>
                <w:rFonts w:ascii="宋体" w:hAnsi="宋体"/>
                <w:sz w:val="24"/>
              </w:rPr>
            </w:pPr>
          </w:p>
        </w:tc>
        <w:tc>
          <w:tcPr>
            <w:tcW w:w="2032"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r>
              <w:rPr>
                <w:rStyle w:val="13"/>
                <w:rFonts w:ascii="宋体" w:hAnsi="宋体"/>
                <w:sz w:val="24"/>
              </w:rPr>
              <w:t>GPRS传输</w:t>
            </w:r>
          </w:p>
        </w:tc>
        <w:tc>
          <w:tcPr>
            <w:tcW w:w="5743"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r>
              <w:rPr>
                <w:rStyle w:val="13"/>
                <w:rFonts w:ascii="宋体" w:hAnsi="宋体"/>
                <w:sz w:val="24"/>
              </w:rPr>
              <w:t>（1）血压计内置数据传输模块，通过运营商移动数据网络，能够将测量数据实时同步至健康管理平台；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pStyle w:val="71"/>
              <w:numPr>
                <w:ilvl w:val="0"/>
                <w:numId w:val="13"/>
              </w:numPr>
              <w:spacing w:line="360" w:lineRule="auto"/>
              <w:ind w:left="0" w:firstLineChars="0"/>
              <w:jc w:val="center"/>
              <w:textAlignment w:val="auto"/>
              <w:rPr>
                <w:rStyle w:val="13"/>
                <w:rFonts w:ascii="宋体" w:hAnsi="宋体"/>
                <w:sz w:val="24"/>
              </w:rPr>
            </w:pPr>
          </w:p>
        </w:tc>
        <w:tc>
          <w:tcPr>
            <w:tcW w:w="2032"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p>
        </w:tc>
        <w:tc>
          <w:tcPr>
            <w:tcW w:w="5743"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r>
              <w:rPr>
                <w:rStyle w:val="13"/>
                <w:rFonts w:ascii="宋体" w:hAnsi="宋体"/>
                <w:sz w:val="24"/>
              </w:rPr>
              <w:t>（2）通过数据网络将健康管理平台智能分析给出健康干预建议、家庭医生复诊提醒等内容传回血压计，用户无需进行多余设置，可直接使用；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pStyle w:val="71"/>
              <w:numPr>
                <w:ilvl w:val="0"/>
                <w:numId w:val="13"/>
              </w:numPr>
              <w:spacing w:line="360" w:lineRule="auto"/>
              <w:ind w:left="0" w:firstLineChars="0"/>
              <w:jc w:val="center"/>
              <w:textAlignment w:val="auto"/>
              <w:rPr>
                <w:rStyle w:val="13"/>
                <w:rFonts w:ascii="宋体" w:hAnsi="宋体"/>
                <w:sz w:val="24"/>
              </w:rPr>
            </w:pPr>
          </w:p>
        </w:tc>
        <w:tc>
          <w:tcPr>
            <w:tcW w:w="2032"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r>
              <w:rPr>
                <w:rStyle w:val="13"/>
                <w:rFonts w:ascii="宋体" w:hAnsi="宋体"/>
                <w:sz w:val="24"/>
              </w:rPr>
              <w:t>信息播报</w:t>
            </w:r>
          </w:p>
        </w:tc>
        <w:tc>
          <w:tcPr>
            <w:tcW w:w="5743"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r>
              <w:rPr>
                <w:rStyle w:val="13"/>
                <w:rFonts w:ascii="宋体" w:hAnsi="宋体"/>
                <w:sz w:val="24"/>
              </w:rPr>
              <w:t>（1）利用智能语音合成技术，可实现实时测量结果的语音播报；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pStyle w:val="71"/>
              <w:numPr>
                <w:ilvl w:val="0"/>
                <w:numId w:val="13"/>
              </w:numPr>
              <w:spacing w:line="360" w:lineRule="auto"/>
              <w:ind w:left="0" w:firstLineChars="0"/>
              <w:jc w:val="center"/>
              <w:textAlignment w:val="auto"/>
              <w:rPr>
                <w:rStyle w:val="13"/>
                <w:rFonts w:ascii="宋体" w:hAnsi="宋体"/>
                <w:sz w:val="24"/>
              </w:rPr>
            </w:pPr>
          </w:p>
        </w:tc>
        <w:tc>
          <w:tcPr>
            <w:tcW w:w="2032"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p>
        </w:tc>
        <w:tc>
          <w:tcPr>
            <w:tcW w:w="5743"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r>
              <w:rPr>
                <w:rStyle w:val="13"/>
                <w:rFonts w:ascii="宋体" w:hAnsi="宋体"/>
                <w:sz w:val="24"/>
              </w:rPr>
              <w:t>（2）根据患者的血压数据和健康信息，健康管理平台智能分析自动给出健康干预建议并进行语音播报；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pStyle w:val="71"/>
              <w:numPr>
                <w:ilvl w:val="0"/>
                <w:numId w:val="13"/>
              </w:numPr>
              <w:spacing w:line="360" w:lineRule="auto"/>
              <w:ind w:left="0" w:firstLineChars="0"/>
              <w:jc w:val="center"/>
              <w:textAlignment w:val="auto"/>
              <w:rPr>
                <w:rStyle w:val="13"/>
                <w:rFonts w:ascii="宋体" w:hAnsi="宋体"/>
                <w:sz w:val="24"/>
              </w:rPr>
            </w:pPr>
          </w:p>
        </w:tc>
        <w:tc>
          <w:tcPr>
            <w:tcW w:w="2032"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r>
              <w:rPr>
                <w:rStyle w:val="13"/>
                <w:rFonts w:ascii="宋体" w:hAnsi="宋体"/>
                <w:sz w:val="24"/>
              </w:rPr>
              <w:t>高危报警</w:t>
            </w:r>
          </w:p>
        </w:tc>
        <w:tc>
          <w:tcPr>
            <w:tcW w:w="5743"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r>
              <w:rPr>
                <w:rStyle w:val="13"/>
                <w:rFonts w:ascii="宋体" w:hAnsi="宋体"/>
                <w:sz w:val="24"/>
              </w:rPr>
              <w:t>（1）健康管理平台可对血压计上传的数据进行分析，自动判断高值、高危情况，并通过血压计进行血压解读的语音播报；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pStyle w:val="71"/>
              <w:numPr>
                <w:ilvl w:val="0"/>
                <w:numId w:val="13"/>
              </w:numPr>
              <w:spacing w:line="360" w:lineRule="auto"/>
              <w:ind w:left="0" w:firstLineChars="0"/>
              <w:jc w:val="center"/>
              <w:textAlignment w:val="auto"/>
              <w:rPr>
                <w:rStyle w:val="13"/>
                <w:rFonts w:ascii="宋体" w:hAnsi="宋体"/>
                <w:sz w:val="24"/>
              </w:rPr>
            </w:pPr>
          </w:p>
        </w:tc>
        <w:tc>
          <w:tcPr>
            <w:tcW w:w="2032"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p>
        </w:tc>
        <w:tc>
          <w:tcPr>
            <w:tcW w:w="5743"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sz w:val="24"/>
              </w:rPr>
            </w:pPr>
            <w:r>
              <w:rPr>
                <w:rStyle w:val="13"/>
                <w:rFonts w:ascii="宋体" w:hAnsi="宋体"/>
                <w:sz w:val="24"/>
              </w:rPr>
              <w:t>（2）血压计上传数据出现高值高危情况时，健康管理平台将以自动短信等方式告知用户。</w:t>
            </w:r>
          </w:p>
        </w:tc>
      </w:tr>
    </w:tbl>
    <w:p>
      <w:pPr>
        <w:pStyle w:val="3"/>
        <w:spacing w:line="360" w:lineRule="auto"/>
        <w:textAlignment w:val="auto"/>
        <w:rPr>
          <w:rStyle w:val="13"/>
          <w:rFonts w:ascii="宋体" w:hAnsi="宋体" w:eastAsia="宋体"/>
          <w:sz w:val="24"/>
          <w:szCs w:val="24"/>
        </w:rPr>
      </w:pPr>
    </w:p>
    <w:p>
      <w:pPr>
        <w:pStyle w:val="3"/>
        <w:spacing w:line="360" w:lineRule="auto"/>
        <w:textAlignment w:val="auto"/>
        <w:rPr>
          <w:rStyle w:val="13"/>
          <w:rFonts w:ascii="宋体" w:hAnsi="宋体" w:eastAsia="宋体"/>
          <w:sz w:val="24"/>
          <w:szCs w:val="24"/>
        </w:rPr>
      </w:pPr>
      <w:r>
        <w:rPr>
          <w:rStyle w:val="13"/>
          <w:rFonts w:ascii="宋体" w:hAnsi="宋体" w:eastAsia="宋体"/>
          <w:sz w:val="24"/>
          <w:szCs w:val="24"/>
        </w:rPr>
        <w:t>表格 13智能臂式电子血压计硬件参数</w:t>
      </w:r>
    </w:p>
    <w:tbl>
      <w:tblPr>
        <w:tblStyle w:val="10"/>
        <w:tblW w:w="83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3"/>
        <w:gridCol w:w="2410"/>
        <w:gridCol w:w="44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blHeader/>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spacing w:line="360" w:lineRule="auto"/>
              <w:jc w:val="center"/>
              <w:textAlignment w:val="auto"/>
              <w:rPr>
                <w:rStyle w:val="13"/>
                <w:rFonts w:ascii="宋体" w:hAnsi="宋体"/>
                <w:b/>
                <w:sz w:val="24"/>
              </w:rPr>
            </w:pPr>
            <w:r>
              <w:rPr>
                <w:rStyle w:val="13"/>
                <w:rFonts w:ascii="宋体" w:hAnsi="宋体"/>
                <w:b/>
                <w:sz w:val="24"/>
              </w:rPr>
              <w:t>类别</w:t>
            </w:r>
          </w:p>
        </w:tc>
        <w:tc>
          <w:tcPr>
            <w:tcW w:w="24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spacing w:line="360" w:lineRule="auto"/>
              <w:jc w:val="center"/>
              <w:textAlignment w:val="auto"/>
              <w:rPr>
                <w:rStyle w:val="13"/>
                <w:rFonts w:ascii="宋体" w:hAnsi="宋体"/>
                <w:b/>
                <w:sz w:val="24"/>
              </w:rPr>
            </w:pPr>
            <w:r>
              <w:rPr>
                <w:rStyle w:val="13"/>
                <w:rFonts w:ascii="宋体" w:hAnsi="宋体"/>
                <w:b/>
                <w:sz w:val="24"/>
              </w:rPr>
              <w:t>项目</w:t>
            </w:r>
          </w:p>
        </w:tc>
        <w:tc>
          <w:tcPr>
            <w:tcW w:w="4479"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spacing w:line="360" w:lineRule="auto"/>
              <w:jc w:val="center"/>
              <w:textAlignment w:val="auto"/>
              <w:rPr>
                <w:rStyle w:val="13"/>
                <w:rFonts w:ascii="宋体" w:hAnsi="宋体"/>
                <w:b/>
                <w:sz w:val="24"/>
              </w:rPr>
            </w:pPr>
            <w:r>
              <w:rPr>
                <w:rStyle w:val="13"/>
                <w:rFonts w:ascii="宋体" w:hAnsi="宋体"/>
                <w:b/>
                <w:sz w:val="24"/>
              </w:rPr>
              <w:t>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1413"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sz w:val="24"/>
              </w:rPr>
            </w:pPr>
            <w:r>
              <w:rPr>
                <w:rStyle w:val="13"/>
                <w:rFonts w:ascii="宋体" w:hAnsi="宋体"/>
                <w:sz w:val="24"/>
              </w:rPr>
              <w:t>功能</w:t>
            </w:r>
          </w:p>
        </w:tc>
        <w:tc>
          <w:tcPr>
            <w:tcW w:w="241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textAlignment w:val="auto"/>
              <w:rPr>
                <w:rStyle w:val="13"/>
                <w:rFonts w:ascii="宋体" w:hAnsi="宋体"/>
                <w:sz w:val="24"/>
              </w:rPr>
            </w:pPr>
            <w:r>
              <w:rPr>
                <w:rStyle w:val="13"/>
                <w:rFonts w:ascii="宋体" w:hAnsi="宋体"/>
                <w:sz w:val="24"/>
              </w:rPr>
              <w:t>测量范围</w:t>
            </w:r>
          </w:p>
        </w:tc>
        <w:tc>
          <w:tcPr>
            <w:tcW w:w="447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textAlignment w:val="auto"/>
              <w:rPr>
                <w:rStyle w:val="13"/>
                <w:rFonts w:ascii="宋体" w:hAnsi="宋体"/>
                <w:sz w:val="24"/>
              </w:rPr>
            </w:pPr>
            <w:r>
              <w:rPr>
                <w:rStyle w:val="13"/>
                <w:rFonts w:ascii="宋体" w:hAnsi="宋体"/>
                <w:sz w:val="24"/>
              </w:rPr>
              <w:t>血压：0～280mmHg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sz w:val="24"/>
              </w:rPr>
            </w:pPr>
          </w:p>
        </w:tc>
        <w:tc>
          <w:tcPr>
            <w:tcW w:w="241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textAlignment w:val="auto"/>
              <w:rPr>
                <w:rStyle w:val="13"/>
                <w:rFonts w:ascii="宋体" w:hAnsi="宋体"/>
                <w:sz w:val="24"/>
              </w:rPr>
            </w:pPr>
          </w:p>
        </w:tc>
        <w:tc>
          <w:tcPr>
            <w:tcW w:w="447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textAlignment w:val="auto"/>
              <w:rPr>
                <w:rStyle w:val="13"/>
                <w:rFonts w:ascii="宋体" w:hAnsi="宋体"/>
                <w:sz w:val="24"/>
              </w:rPr>
            </w:pPr>
            <w:r>
              <w:rPr>
                <w:rStyle w:val="13"/>
                <w:rFonts w:ascii="宋体" w:hAnsi="宋体"/>
                <w:sz w:val="24"/>
              </w:rPr>
              <w:t>脉率：40～195次/分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sz w:val="24"/>
              </w:rPr>
            </w:pPr>
          </w:p>
        </w:tc>
        <w:tc>
          <w:tcPr>
            <w:tcW w:w="241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textAlignment w:val="auto"/>
              <w:rPr>
                <w:rStyle w:val="13"/>
                <w:rFonts w:ascii="宋体" w:hAnsi="宋体"/>
                <w:sz w:val="24"/>
              </w:rPr>
            </w:pPr>
            <w:r>
              <w:rPr>
                <w:rStyle w:val="13"/>
                <w:rFonts w:ascii="宋体" w:hAnsi="宋体"/>
                <w:sz w:val="24"/>
              </w:rPr>
              <w:t>测量精确度</w:t>
            </w:r>
          </w:p>
        </w:tc>
        <w:tc>
          <w:tcPr>
            <w:tcW w:w="447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textAlignment w:val="auto"/>
              <w:rPr>
                <w:rStyle w:val="13"/>
                <w:rFonts w:ascii="宋体" w:hAnsi="宋体"/>
                <w:sz w:val="24"/>
              </w:rPr>
            </w:pPr>
            <w:r>
              <w:rPr>
                <w:rStyle w:val="13"/>
                <w:rFonts w:ascii="宋体" w:hAnsi="宋体"/>
                <w:sz w:val="24"/>
              </w:rPr>
              <w:t>血压：+/-3mmHg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sz w:val="24"/>
              </w:rPr>
            </w:pPr>
          </w:p>
        </w:tc>
        <w:tc>
          <w:tcPr>
            <w:tcW w:w="241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textAlignment w:val="auto"/>
              <w:rPr>
                <w:rStyle w:val="13"/>
                <w:rFonts w:ascii="宋体" w:hAnsi="宋体"/>
                <w:sz w:val="24"/>
              </w:rPr>
            </w:pPr>
          </w:p>
        </w:tc>
        <w:tc>
          <w:tcPr>
            <w:tcW w:w="447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textAlignment w:val="auto"/>
              <w:rPr>
                <w:rStyle w:val="13"/>
                <w:rFonts w:ascii="宋体" w:hAnsi="宋体"/>
                <w:sz w:val="24"/>
              </w:rPr>
            </w:pPr>
            <w:r>
              <w:rPr>
                <w:rStyle w:val="13"/>
                <w:rFonts w:ascii="宋体" w:hAnsi="宋体"/>
                <w:sz w:val="24"/>
              </w:rPr>
              <w:t>脉率：+/-5%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1413"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sz w:val="24"/>
              </w:rPr>
            </w:pPr>
            <w:r>
              <w:rPr>
                <w:rStyle w:val="13"/>
                <w:rFonts w:ascii="宋体" w:hAnsi="宋体"/>
                <w:sz w:val="24"/>
              </w:rPr>
              <w:t>适用范围</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textAlignment w:val="auto"/>
              <w:rPr>
                <w:rStyle w:val="13"/>
                <w:rFonts w:ascii="宋体" w:hAnsi="宋体"/>
                <w:sz w:val="24"/>
              </w:rPr>
            </w:pPr>
            <w:r>
              <w:rPr>
                <w:rStyle w:val="13"/>
                <w:rFonts w:ascii="宋体" w:hAnsi="宋体"/>
                <w:sz w:val="24"/>
              </w:rPr>
              <w:t>使用温湿度</w:t>
            </w:r>
          </w:p>
        </w:tc>
        <w:tc>
          <w:tcPr>
            <w:tcW w:w="447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textAlignment w:val="auto"/>
              <w:rPr>
                <w:rStyle w:val="13"/>
                <w:rFonts w:ascii="宋体" w:hAnsi="宋体"/>
                <w:sz w:val="24"/>
              </w:rPr>
            </w:pPr>
            <w:r>
              <w:rPr>
                <w:rStyle w:val="13"/>
                <w:rFonts w:ascii="宋体" w:hAnsi="宋体"/>
                <w:sz w:val="24"/>
              </w:rPr>
              <w:t>5℃～40℃，RH≤80%；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sz w:val="24"/>
              </w:rPr>
            </w:pPr>
          </w:p>
        </w:tc>
        <w:tc>
          <w:tcPr>
            <w:tcW w:w="241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textAlignment w:val="auto"/>
              <w:rPr>
                <w:rStyle w:val="13"/>
                <w:rFonts w:ascii="宋体" w:hAnsi="宋体"/>
                <w:sz w:val="24"/>
              </w:rPr>
            </w:pPr>
            <w:r>
              <w:rPr>
                <w:rStyle w:val="13"/>
                <w:rFonts w:ascii="宋体" w:hAnsi="宋体"/>
                <w:sz w:val="24"/>
              </w:rPr>
              <w:t>适用臂周范围</w:t>
            </w:r>
          </w:p>
        </w:tc>
        <w:tc>
          <w:tcPr>
            <w:tcW w:w="447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textAlignment w:val="auto"/>
              <w:rPr>
                <w:rStyle w:val="13"/>
                <w:rFonts w:ascii="宋体" w:hAnsi="宋体"/>
                <w:sz w:val="24"/>
              </w:rPr>
            </w:pPr>
            <w:r>
              <w:rPr>
                <w:rStyle w:val="13"/>
                <w:rFonts w:ascii="宋体" w:hAnsi="宋体"/>
                <w:sz w:val="24"/>
              </w:rPr>
              <w:t>22cm-32cm</w:t>
            </w:r>
          </w:p>
        </w:tc>
      </w:tr>
    </w:tbl>
    <w:p>
      <w:pPr>
        <w:spacing w:line="360" w:lineRule="auto"/>
        <w:textAlignment w:val="auto"/>
        <w:rPr>
          <w:rStyle w:val="13"/>
          <w:rFonts w:ascii="宋体" w:hAnsi="宋体"/>
          <w:sz w:val="24"/>
        </w:rPr>
      </w:pPr>
    </w:p>
    <w:p>
      <w:pPr>
        <w:pStyle w:val="21"/>
        <w:spacing w:line="360" w:lineRule="auto"/>
        <w:textAlignment w:val="auto"/>
        <w:rPr>
          <w:rStyle w:val="13"/>
          <w:rFonts w:cs="宋体"/>
          <w:b/>
          <w:sz w:val="24"/>
          <w:szCs w:val="24"/>
        </w:rPr>
      </w:pPr>
      <w:r>
        <w:rPr>
          <w:rStyle w:val="13"/>
          <w:rFonts w:cs="宋体"/>
          <w:b/>
          <w:sz w:val="24"/>
          <w:szCs w:val="24"/>
        </w:rPr>
        <w:t>智能语音外呼助手系统</w:t>
      </w:r>
    </w:p>
    <w:p>
      <w:pPr>
        <w:pStyle w:val="22"/>
        <w:numPr>
          <w:ilvl w:val="4"/>
          <w:numId w:val="0"/>
        </w:numPr>
        <w:spacing w:before="0" w:after="0" w:line="360" w:lineRule="auto"/>
        <w:ind w:left="1560"/>
        <w:textAlignment w:val="auto"/>
        <w:rPr>
          <w:rStyle w:val="13"/>
          <w:rFonts w:ascii="宋体" w:hAnsi="宋体" w:cs="宋体"/>
          <w:bCs/>
          <w:sz w:val="24"/>
          <w:szCs w:val="24"/>
        </w:rPr>
      </w:pPr>
      <w:r>
        <w:rPr>
          <w:rStyle w:val="13"/>
          <w:rFonts w:hint="eastAsia" w:ascii="宋体" w:hAnsi="宋体" w:cs="宋体"/>
          <w:bCs/>
          <w:sz w:val="24"/>
          <w:szCs w:val="24"/>
        </w:rPr>
        <w:t>1.</w:t>
      </w:r>
      <w:r>
        <w:rPr>
          <w:rStyle w:val="13"/>
          <w:rFonts w:ascii="宋体" w:hAnsi="宋体" w:cs="宋体"/>
          <w:bCs/>
          <w:sz w:val="24"/>
          <w:szCs w:val="24"/>
        </w:rPr>
        <w:t>产品要求</w:t>
      </w:r>
    </w:p>
    <w:p>
      <w:pPr>
        <w:spacing w:line="360" w:lineRule="auto"/>
        <w:ind w:firstLine="560"/>
        <w:textAlignment w:val="auto"/>
        <w:rPr>
          <w:rStyle w:val="13"/>
          <w:rFonts w:ascii="宋体" w:hAnsi="宋体"/>
          <w:sz w:val="24"/>
        </w:rPr>
      </w:pPr>
      <w:r>
        <w:rPr>
          <w:rStyle w:val="13"/>
          <w:rFonts w:ascii="宋体" w:hAnsi="宋体"/>
          <w:sz w:val="24"/>
        </w:rPr>
        <w:t>智能语音外呼助手系统主要是面向基本公共卫生和家庭医生服务的重点人群，系统按照家庭医生工作内容为不同人群制定随访方案，通过专业的随访话术，自动进行电话或短信随访。帮助家庭医生完成慢病随访、健康档案更新、考核与满意度调查、体检预约、通知宣教等日常工作和考核任务，最大程度上降低医护人员在随访上的工作负担，让其能比较轻松地对大量的签约居民和患者进行随访，进而有效地改善医患关系，提升家庭医生践约率和居民获得感。</w:t>
      </w:r>
    </w:p>
    <w:p>
      <w:pPr>
        <w:pStyle w:val="71"/>
        <w:spacing w:line="360" w:lineRule="auto"/>
        <w:ind w:left="560" w:firstLine="0" w:firstLineChars="0"/>
        <w:textAlignment w:val="auto"/>
        <w:rPr>
          <w:rStyle w:val="13"/>
          <w:rFonts w:ascii="宋体" w:hAnsi="宋体"/>
          <w:sz w:val="24"/>
        </w:rPr>
      </w:pPr>
      <w:r>
        <w:rPr>
          <w:rStyle w:val="13"/>
          <w:rFonts w:hint="eastAsia" w:ascii="宋体" w:hAnsi="宋体"/>
          <w:sz w:val="24"/>
        </w:rPr>
        <w:t>1.1</w:t>
      </w:r>
      <w:r>
        <w:rPr>
          <w:rStyle w:val="13"/>
          <w:rFonts w:ascii="宋体" w:hAnsi="宋体"/>
          <w:sz w:val="24"/>
        </w:rPr>
        <w:t>性能需求</w:t>
      </w:r>
    </w:p>
    <w:p>
      <w:pPr>
        <w:spacing w:line="360" w:lineRule="auto"/>
        <w:ind w:firstLine="560"/>
        <w:textAlignment w:val="auto"/>
        <w:rPr>
          <w:rStyle w:val="13"/>
          <w:rFonts w:ascii="宋体" w:hAnsi="宋体"/>
          <w:sz w:val="24"/>
        </w:rPr>
      </w:pPr>
      <w:r>
        <w:rPr>
          <w:rStyle w:val="13"/>
          <w:rFonts w:ascii="宋体" w:hAnsi="宋体"/>
          <w:sz w:val="24"/>
        </w:rPr>
        <w:t>智能语音外呼助手系统应基于语音合成、语音识别和自然语言理解等人工智能核心技术，为不同服务人群制定不同的外呼方案，并在外呼过程中全程录音保存，且平台必须支持外呼数据的长期留存（保存期不低于1年）。</w:t>
      </w:r>
    </w:p>
    <w:p>
      <w:pPr>
        <w:spacing w:line="360" w:lineRule="auto"/>
        <w:ind w:firstLine="560"/>
        <w:textAlignment w:val="auto"/>
        <w:rPr>
          <w:rStyle w:val="13"/>
          <w:rFonts w:ascii="宋体" w:hAnsi="宋体"/>
          <w:sz w:val="24"/>
        </w:rPr>
      </w:pPr>
      <w:r>
        <w:rPr>
          <w:rStyle w:val="13"/>
          <w:rFonts w:ascii="宋体" w:hAnsi="宋体"/>
          <w:sz w:val="24"/>
        </w:rPr>
        <w:t>系统常规类响应时间应毫秒级，文件操作类应3秒内，在一般网络带宽条件下，能流畅访问操作。在用户并发访问时，系统应保证在1s内进入主界面状态。在调用系统内部各种功能，包括图表、数据库的操作，系统反应速度均不应超过3秒，能友好提示等待状态，展示系统状态。整个系统应降低对外部访问设备的性能要求，易操作，能够满足业界流行的多种浏览器访问的应用要求。</w:t>
      </w:r>
    </w:p>
    <w:p>
      <w:pPr>
        <w:pStyle w:val="71"/>
        <w:spacing w:line="360" w:lineRule="auto"/>
        <w:ind w:left="560" w:firstLine="0" w:firstLineChars="0"/>
        <w:textAlignment w:val="auto"/>
        <w:rPr>
          <w:rStyle w:val="13"/>
          <w:rFonts w:ascii="宋体" w:hAnsi="宋体"/>
          <w:sz w:val="24"/>
        </w:rPr>
      </w:pPr>
      <w:r>
        <w:rPr>
          <w:rStyle w:val="13"/>
          <w:rFonts w:hint="eastAsia" w:ascii="宋体" w:hAnsi="宋体"/>
          <w:sz w:val="24"/>
        </w:rPr>
        <w:t>1.2</w:t>
      </w:r>
      <w:r>
        <w:rPr>
          <w:rStyle w:val="13"/>
          <w:rFonts w:ascii="宋体" w:hAnsi="宋体"/>
          <w:sz w:val="24"/>
        </w:rPr>
        <w:t>功能需求</w:t>
      </w:r>
    </w:p>
    <w:p>
      <w:pPr>
        <w:spacing w:line="360" w:lineRule="auto"/>
        <w:ind w:firstLine="560"/>
        <w:textAlignment w:val="auto"/>
        <w:rPr>
          <w:rStyle w:val="13"/>
          <w:rFonts w:ascii="宋体" w:hAnsi="宋体"/>
          <w:sz w:val="24"/>
        </w:rPr>
      </w:pPr>
      <w:r>
        <w:rPr>
          <w:rStyle w:val="13"/>
          <w:rFonts w:ascii="宋体" w:hAnsi="宋体"/>
          <w:sz w:val="24"/>
        </w:rPr>
        <w:t>根据社区基层医生的工作需求，投标人需提供预约体检、通知宣教、慢病随访和满意度调查共计四类外呼模板，辅助医生对居民进行病情跟踪、健康管理、服务预约、健康宣教等服务。</w:t>
      </w:r>
    </w:p>
    <w:p>
      <w:pPr>
        <w:pStyle w:val="22"/>
        <w:numPr>
          <w:ilvl w:val="4"/>
          <w:numId w:val="0"/>
        </w:numPr>
        <w:spacing w:before="0" w:after="0" w:line="360" w:lineRule="auto"/>
        <w:textAlignment w:val="auto"/>
        <w:rPr>
          <w:rStyle w:val="13"/>
          <w:rFonts w:ascii="宋体" w:hAnsi="宋体" w:cs="宋体"/>
          <w:bCs/>
          <w:sz w:val="24"/>
          <w:szCs w:val="24"/>
        </w:rPr>
      </w:pPr>
      <w:r>
        <w:rPr>
          <w:rStyle w:val="13"/>
          <w:rFonts w:hint="eastAsia" w:ascii="宋体" w:hAnsi="宋体" w:cs="宋体"/>
          <w:bCs/>
          <w:sz w:val="24"/>
          <w:szCs w:val="24"/>
        </w:rPr>
        <w:t>1.3</w:t>
      </w:r>
      <w:r>
        <w:rPr>
          <w:rStyle w:val="13"/>
          <w:rFonts w:ascii="宋体" w:hAnsi="宋体" w:cs="宋体"/>
          <w:bCs/>
          <w:sz w:val="24"/>
          <w:szCs w:val="24"/>
        </w:rPr>
        <w:t>技术参数</w:t>
      </w:r>
    </w:p>
    <w:p>
      <w:pPr>
        <w:spacing w:line="360" w:lineRule="auto"/>
        <w:ind w:firstLine="560"/>
        <w:textAlignment w:val="auto"/>
        <w:rPr>
          <w:rStyle w:val="13"/>
          <w:rFonts w:ascii="宋体" w:hAnsi="宋体"/>
          <w:sz w:val="24"/>
        </w:rPr>
      </w:pPr>
      <w:r>
        <w:rPr>
          <w:rStyle w:val="13"/>
          <w:rFonts w:ascii="宋体" w:hAnsi="宋体"/>
          <w:sz w:val="24"/>
        </w:rPr>
        <w:t>具体技术参数要求如下：</w:t>
      </w:r>
    </w:p>
    <w:p>
      <w:pPr>
        <w:pStyle w:val="3"/>
        <w:spacing w:line="360" w:lineRule="auto"/>
        <w:textAlignment w:val="auto"/>
        <w:rPr>
          <w:rStyle w:val="13"/>
          <w:rFonts w:ascii="宋体" w:hAnsi="宋体" w:eastAsia="宋体"/>
          <w:sz w:val="24"/>
          <w:szCs w:val="24"/>
        </w:rPr>
      </w:pPr>
      <w:r>
        <w:rPr>
          <w:rStyle w:val="13"/>
          <w:rFonts w:ascii="宋体" w:hAnsi="宋体" w:eastAsia="宋体"/>
          <w:sz w:val="24"/>
          <w:szCs w:val="24"/>
        </w:rPr>
        <w:t>表格 14智能语音外呼助手系统技术参数一览表</w:t>
      </w:r>
    </w:p>
    <w:tbl>
      <w:tblPr>
        <w:tblStyle w:val="10"/>
        <w:tblW w:w="83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3"/>
        <w:gridCol w:w="1559"/>
        <w:gridCol w:w="53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360" w:lineRule="auto"/>
              <w:jc w:val="center"/>
              <w:textAlignment w:val="auto"/>
              <w:rPr>
                <w:rStyle w:val="13"/>
                <w:rFonts w:ascii="宋体" w:hAnsi="宋体"/>
                <w:b/>
                <w:kern w:val="0"/>
                <w:sz w:val="24"/>
              </w:rPr>
            </w:pPr>
            <w:r>
              <w:rPr>
                <w:rStyle w:val="13"/>
                <w:rFonts w:ascii="宋体" w:hAnsi="宋体"/>
                <w:b/>
                <w:kern w:val="0"/>
                <w:sz w:val="24"/>
              </w:rPr>
              <w:t>服务名称</w:t>
            </w:r>
          </w:p>
        </w:tc>
        <w:tc>
          <w:tcPr>
            <w:tcW w:w="1559"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360" w:lineRule="auto"/>
              <w:jc w:val="center"/>
              <w:textAlignment w:val="auto"/>
              <w:rPr>
                <w:rStyle w:val="13"/>
                <w:rFonts w:ascii="宋体" w:hAnsi="宋体"/>
                <w:b/>
                <w:kern w:val="0"/>
                <w:sz w:val="24"/>
              </w:rPr>
            </w:pPr>
            <w:r>
              <w:rPr>
                <w:rStyle w:val="13"/>
                <w:rFonts w:ascii="宋体" w:hAnsi="宋体"/>
                <w:b/>
                <w:kern w:val="0"/>
                <w:sz w:val="24"/>
              </w:rPr>
              <w:t>服务模块</w:t>
            </w:r>
          </w:p>
        </w:tc>
        <w:tc>
          <w:tcPr>
            <w:tcW w:w="5329"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360" w:lineRule="auto"/>
              <w:jc w:val="center"/>
              <w:textAlignment w:val="auto"/>
              <w:rPr>
                <w:rStyle w:val="13"/>
                <w:rFonts w:ascii="宋体" w:hAnsi="宋体"/>
                <w:b/>
                <w:kern w:val="0"/>
                <w:sz w:val="24"/>
              </w:rPr>
            </w:pPr>
            <w:r>
              <w:rPr>
                <w:rStyle w:val="13"/>
                <w:rFonts w:ascii="宋体" w:hAnsi="宋体"/>
                <w:b/>
                <w:kern w:val="0"/>
                <w:sz w:val="24"/>
              </w:rPr>
              <w:t>技术参数要求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141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kern w:val="0"/>
                <w:sz w:val="24"/>
              </w:rPr>
            </w:pPr>
            <w:r>
              <w:rPr>
                <w:rStyle w:val="13"/>
                <w:rFonts w:ascii="宋体" w:hAnsi="宋体"/>
                <w:kern w:val="0"/>
                <w:sz w:val="24"/>
              </w:rPr>
              <w:t>一键电话管理</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kern w:val="0"/>
                <w:sz w:val="24"/>
              </w:rPr>
            </w:pPr>
            <w:r>
              <w:rPr>
                <w:rStyle w:val="13"/>
                <w:rFonts w:ascii="宋体" w:hAnsi="宋体"/>
                <w:kern w:val="0"/>
                <w:sz w:val="24"/>
              </w:rPr>
              <w:t>电话随访</w:t>
            </w:r>
          </w:p>
        </w:tc>
        <w:tc>
          <w:tcPr>
            <w:tcW w:w="532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kern w:val="0"/>
                <w:sz w:val="24"/>
              </w:rPr>
            </w:pPr>
            <w:r>
              <w:rPr>
                <w:rStyle w:val="13"/>
                <w:rFonts w:ascii="宋体" w:hAnsi="宋体"/>
                <w:kern w:val="0"/>
                <w:sz w:val="24"/>
              </w:rPr>
              <w:t>支持按业务分类快速进行电话随访，支持快速导入居民名单，选择话术或者方案模板执行电话随访任务，按照导入的居民名单执行批量外呼。支持配置外呼时间、重播次数和重播时间间隔等，实现定时外呼。通过一键电话模式，选择具体话术后即能确定随访方案。通过导入居民姓名、电话号码等签约信息，执行一键随访，自动实现外呼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jc w:val="center"/>
        </w:trPr>
        <w:tc>
          <w:tcPr>
            <w:tcW w:w="141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kern w:val="0"/>
                <w:sz w:val="24"/>
              </w:rPr>
            </w:pPr>
            <w:r>
              <w:rPr>
                <w:rStyle w:val="13"/>
                <w:rFonts w:ascii="宋体" w:hAnsi="宋体"/>
                <w:kern w:val="0"/>
                <w:sz w:val="24"/>
              </w:rPr>
              <w:t>一键短信管理</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kern w:val="0"/>
                <w:sz w:val="24"/>
              </w:rPr>
            </w:pPr>
            <w:r>
              <w:rPr>
                <w:rStyle w:val="13"/>
                <w:rFonts w:ascii="宋体" w:hAnsi="宋体"/>
                <w:kern w:val="0"/>
                <w:sz w:val="24"/>
              </w:rPr>
              <w:t>一键短信随访</w:t>
            </w:r>
          </w:p>
        </w:tc>
        <w:tc>
          <w:tcPr>
            <w:tcW w:w="532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kern w:val="0"/>
                <w:sz w:val="24"/>
              </w:rPr>
            </w:pPr>
            <w:r>
              <w:rPr>
                <w:rStyle w:val="13"/>
                <w:rFonts w:ascii="宋体" w:hAnsi="宋体"/>
                <w:kern w:val="0"/>
                <w:sz w:val="24"/>
              </w:rPr>
              <w:t>支持快速导入居民名单，选择短信模板执行电话随访任务。支持设置发送短信时间，按照导入的居民名单执行批量短信发送。支持设置定时发送短信功能。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1413"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kern w:val="0"/>
                <w:sz w:val="24"/>
              </w:rPr>
            </w:pPr>
            <w:r>
              <w:rPr>
                <w:rStyle w:val="13"/>
                <w:rFonts w:ascii="宋体" w:hAnsi="宋体"/>
                <w:kern w:val="0"/>
                <w:sz w:val="24"/>
              </w:rPr>
              <w:t>居民管理</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kern w:val="0"/>
                <w:sz w:val="24"/>
              </w:rPr>
            </w:pPr>
            <w:r>
              <w:rPr>
                <w:rStyle w:val="13"/>
                <w:rFonts w:ascii="宋体" w:hAnsi="宋体"/>
                <w:kern w:val="0"/>
                <w:sz w:val="24"/>
              </w:rPr>
              <w:t>居民信息管理</w:t>
            </w:r>
          </w:p>
        </w:tc>
        <w:tc>
          <w:tcPr>
            <w:tcW w:w="5329" w:type="dxa"/>
            <w:tcBorders>
              <w:top w:val="single" w:color="000000" w:sz="4" w:space="0"/>
              <w:left w:val="single" w:color="000000" w:sz="4" w:space="0"/>
              <w:bottom w:val="single" w:color="000000" w:sz="4" w:space="0"/>
              <w:right w:val="single" w:color="000000" w:sz="4" w:space="0"/>
            </w:tcBorders>
          </w:tcPr>
          <w:p>
            <w:pPr>
              <w:spacing w:line="360" w:lineRule="auto"/>
              <w:textAlignment w:val="auto"/>
              <w:rPr>
                <w:rStyle w:val="13"/>
                <w:rFonts w:ascii="宋体" w:hAnsi="宋体"/>
                <w:kern w:val="0"/>
                <w:sz w:val="24"/>
              </w:rPr>
            </w:pPr>
            <w:r>
              <w:rPr>
                <w:rStyle w:val="13"/>
                <w:rFonts w:ascii="宋体" w:hAnsi="宋体"/>
                <w:kern w:val="0"/>
                <w:sz w:val="24"/>
              </w:rPr>
              <w:t>支持分组管理、维护居民信息。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kern w:val="0"/>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kern w:val="0"/>
                <w:sz w:val="24"/>
              </w:rPr>
            </w:pPr>
            <w:r>
              <w:rPr>
                <w:rStyle w:val="13"/>
                <w:rFonts w:ascii="宋体" w:hAnsi="宋体"/>
                <w:kern w:val="0"/>
                <w:sz w:val="24"/>
              </w:rPr>
              <w:t>随访管理</w:t>
            </w:r>
          </w:p>
        </w:tc>
        <w:tc>
          <w:tcPr>
            <w:tcW w:w="5329" w:type="dxa"/>
            <w:tcBorders>
              <w:top w:val="single" w:color="000000" w:sz="4" w:space="0"/>
              <w:left w:val="single" w:color="000000" w:sz="4" w:space="0"/>
              <w:bottom w:val="single" w:color="000000" w:sz="4" w:space="0"/>
              <w:right w:val="single" w:color="000000" w:sz="4" w:space="0"/>
            </w:tcBorders>
          </w:tcPr>
          <w:p>
            <w:pPr>
              <w:spacing w:line="360" w:lineRule="auto"/>
              <w:textAlignment w:val="auto"/>
              <w:rPr>
                <w:rStyle w:val="13"/>
                <w:rFonts w:ascii="宋体" w:hAnsi="宋体"/>
                <w:kern w:val="0"/>
                <w:sz w:val="24"/>
              </w:rPr>
            </w:pPr>
            <w:r>
              <w:rPr>
                <w:rStyle w:val="13"/>
                <w:rFonts w:ascii="宋体" w:hAnsi="宋体"/>
                <w:kern w:val="0"/>
                <w:sz w:val="24"/>
              </w:rPr>
              <w:t>按照居民分组信息，执行具体电话外呼或短信发送任务。</w:t>
            </w:r>
            <w:r>
              <w:rPr>
                <w:rStyle w:val="13"/>
                <w:rFonts w:ascii="宋体" w:hAnsi="宋体"/>
                <w:sz w:val="24"/>
              </w:rPr>
              <w:t>支持记录居民随访结果，并查看随访记录详情。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3" w:hRule="atLeast"/>
          <w:jc w:val="center"/>
        </w:trPr>
        <w:tc>
          <w:tcPr>
            <w:tcW w:w="1413"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kern w:val="0"/>
                <w:sz w:val="24"/>
              </w:rPr>
            </w:pPr>
            <w:r>
              <w:rPr>
                <w:rStyle w:val="13"/>
                <w:rFonts w:ascii="宋体" w:hAnsi="宋体"/>
                <w:kern w:val="0"/>
                <w:sz w:val="24"/>
              </w:rPr>
              <w:t>话术模板管理</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kern w:val="0"/>
                <w:sz w:val="24"/>
              </w:rPr>
            </w:pPr>
            <w:r>
              <w:rPr>
                <w:rStyle w:val="13"/>
                <w:rFonts w:ascii="宋体" w:hAnsi="宋体"/>
                <w:kern w:val="0"/>
                <w:sz w:val="24"/>
              </w:rPr>
              <w:t>我的方案</w:t>
            </w:r>
          </w:p>
        </w:tc>
        <w:tc>
          <w:tcPr>
            <w:tcW w:w="5329" w:type="dxa"/>
            <w:tcBorders>
              <w:top w:val="single" w:color="000000" w:sz="4" w:space="0"/>
              <w:left w:val="single" w:color="000000" w:sz="4" w:space="0"/>
              <w:bottom w:val="single" w:color="000000" w:sz="4" w:space="0"/>
              <w:right w:val="single" w:color="000000" w:sz="4" w:space="0"/>
            </w:tcBorders>
          </w:tcPr>
          <w:p>
            <w:pPr>
              <w:spacing w:line="360" w:lineRule="auto"/>
              <w:textAlignment w:val="auto"/>
              <w:rPr>
                <w:rStyle w:val="13"/>
                <w:rFonts w:ascii="宋体" w:hAnsi="宋体"/>
                <w:kern w:val="0"/>
                <w:sz w:val="24"/>
              </w:rPr>
            </w:pPr>
            <w:r>
              <w:rPr>
                <w:rStyle w:val="13"/>
                <w:rFonts w:ascii="宋体" w:hAnsi="宋体"/>
                <w:kern w:val="0"/>
                <w:sz w:val="24"/>
              </w:rPr>
              <w:t>支持通过科室类型进行过滤，支持通过方案名称进行检索；支持查看方案详情，将方案添加到个人列表。按照应用场景，管理外呼方案，方便快速使用。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kern w:val="0"/>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kern w:val="0"/>
                <w:sz w:val="24"/>
              </w:rPr>
            </w:pPr>
            <w:r>
              <w:rPr>
                <w:rStyle w:val="13"/>
                <w:rFonts w:ascii="宋体" w:hAnsi="宋体"/>
                <w:kern w:val="0"/>
                <w:sz w:val="24"/>
              </w:rPr>
              <w:t>电话模板</w:t>
            </w:r>
          </w:p>
        </w:tc>
        <w:tc>
          <w:tcPr>
            <w:tcW w:w="5329" w:type="dxa"/>
            <w:tcBorders>
              <w:top w:val="single" w:color="000000" w:sz="4" w:space="0"/>
              <w:left w:val="single" w:color="000000" w:sz="4" w:space="0"/>
              <w:bottom w:val="single" w:color="000000" w:sz="4" w:space="0"/>
              <w:right w:val="single" w:color="000000" w:sz="4" w:space="0"/>
            </w:tcBorders>
          </w:tcPr>
          <w:p>
            <w:pPr>
              <w:spacing w:line="360" w:lineRule="auto"/>
              <w:textAlignment w:val="auto"/>
              <w:rPr>
                <w:rStyle w:val="13"/>
                <w:rFonts w:ascii="宋体" w:hAnsi="宋体"/>
                <w:kern w:val="0"/>
                <w:sz w:val="24"/>
              </w:rPr>
            </w:pPr>
            <w:r>
              <w:rPr>
                <w:rStyle w:val="13"/>
                <w:rFonts w:ascii="宋体" w:hAnsi="宋体"/>
                <w:kern w:val="0"/>
                <w:sz w:val="24"/>
              </w:rPr>
              <w:t>支持高糖患者随访外呼话术的模板定制。支持通过科室类型对话术方案进行过滤，支持通过方案名称进行检索，支持预览话术流程。能查看电话模板详细信息，支持快速添加至“我的方案”。</w:t>
            </w:r>
            <w:r>
              <w:rPr>
                <w:rStyle w:val="13"/>
                <w:rFonts w:ascii="宋体" w:hAnsi="宋体"/>
                <w:b/>
                <w:kern w:val="0"/>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kern w:val="0"/>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kern w:val="0"/>
                <w:sz w:val="24"/>
              </w:rPr>
            </w:pPr>
            <w:r>
              <w:rPr>
                <w:rStyle w:val="13"/>
                <w:rFonts w:ascii="宋体" w:hAnsi="宋体"/>
                <w:kern w:val="0"/>
                <w:sz w:val="24"/>
              </w:rPr>
              <w:t>短信模板</w:t>
            </w:r>
          </w:p>
        </w:tc>
        <w:tc>
          <w:tcPr>
            <w:tcW w:w="5329" w:type="dxa"/>
            <w:tcBorders>
              <w:top w:val="single" w:color="000000" w:sz="4" w:space="0"/>
              <w:left w:val="single" w:color="000000" w:sz="4" w:space="0"/>
              <w:bottom w:val="single" w:color="000000" w:sz="4" w:space="0"/>
              <w:right w:val="single" w:color="000000" w:sz="4" w:space="0"/>
            </w:tcBorders>
          </w:tcPr>
          <w:p>
            <w:pPr>
              <w:spacing w:line="360" w:lineRule="auto"/>
              <w:textAlignment w:val="auto"/>
              <w:rPr>
                <w:rStyle w:val="13"/>
                <w:rFonts w:ascii="宋体" w:hAnsi="宋体"/>
                <w:kern w:val="0"/>
                <w:sz w:val="24"/>
              </w:rPr>
            </w:pPr>
            <w:r>
              <w:rPr>
                <w:rStyle w:val="13"/>
                <w:rFonts w:ascii="宋体" w:hAnsi="宋体"/>
                <w:kern w:val="0"/>
                <w:sz w:val="24"/>
              </w:rPr>
              <w:t>提供标准随访短信模板。支持通过科室类型对短信模板进行过滤，支持通过模板名称进行检索。查看短信模板详细信息，快速添加至“我的方案”。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1413"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kern w:val="0"/>
                <w:sz w:val="24"/>
              </w:rPr>
            </w:pPr>
            <w:r>
              <w:rPr>
                <w:rStyle w:val="13"/>
                <w:rFonts w:ascii="宋体" w:hAnsi="宋体"/>
                <w:kern w:val="0"/>
                <w:sz w:val="24"/>
              </w:rPr>
              <w:t>统计分析查询</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kern w:val="0"/>
                <w:sz w:val="24"/>
              </w:rPr>
            </w:pPr>
            <w:r>
              <w:rPr>
                <w:rStyle w:val="13"/>
                <w:rFonts w:ascii="宋体" w:hAnsi="宋体"/>
                <w:kern w:val="0"/>
                <w:sz w:val="24"/>
              </w:rPr>
              <w:t>AI电话结果分析</w:t>
            </w:r>
          </w:p>
        </w:tc>
        <w:tc>
          <w:tcPr>
            <w:tcW w:w="5329" w:type="dxa"/>
            <w:tcBorders>
              <w:top w:val="single" w:color="000000" w:sz="4" w:space="0"/>
              <w:left w:val="single" w:color="000000" w:sz="4" w:space="0"/>
              <w:bottom w:val="single" w:color="000000" w:sz="4" w:space="0"/>
              <w:right w:val="single" w:color="000000" w:sz="4" w:space="0"/>
            </w:tcBorders>
          </w:tcPr>
          <w:p>
            <w:pPr>
              <w:spacing w:line="360" w:lineRule="auto"/>
              <w:textAlignment w:val="auto"/>
              <w:rPr>
                <w:rStyle w:val="13"/>
                <w:rFonts w:ascii="宋体" w:hAnsi="宋体"/>
                <w:sz w:val="24"/>
              </w:rPr>
            </w:pPr>
            <w:r>
              <w:rPr>
                <w:rStyle w:val="13"/>
                <w:rFonts w:ascii="宋体" w:hAnsi="宋体"/>
                <w:sz w:val="24"/>
              </w:rPr>
              <w:t>支持每次外呼结果智能分析，支持用户查看历次随访信息，包括随访时间，接通人数，应用话术等；能查看每次随访具体信息，包括外呼接通情况，居民回复的分类结果，居民回答的明细内容等。支持查看每个居民信息详请，听取随访录音，查验电话随访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kern w:val="0"/>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kern w:val="0"/>
                <w:sz w:val="24"/>
              </w:rPr>
            </w:pPr>
            <w:r>
              <w:rPr>
                <w:rStyle w:val="13"/>
                <w:rFonts w:ascii="宋体" w:hAnsi="宋体"/>
                <w:kern w:val="0"/>
                <w:sz w:val="24"/>
              </w:rPr>
              <w:t>AI短信结果分析</w:t>
            </w:r>
          </w:p>
        </w:tc>
        <w:tc>
          <w:tcPr>
            <w:tcW w:w="5329" w:type="dxa"/>
            <w:tcBorders>
              <w:top w:val="single" w:color="000000" w:sz="4" w:space="0"/>
              <w:left w:val="single" w:color="000000" w:sz="4" w:space="0"/>
              <w:bottom w:val="single" w:color="000000" w:sz="4" w:space="0"/>
              <w:right w:val="single" w:color="000000" w:sz="4" w:space="0"/>
            </w:tcBorders>
          </w:tcPr>
          <w:p>
            <w:pPr>
              <w:spacing w:line="360" w:lineRule="auto"/>
              <w:textAlignment w:val="auto"/>
              <w:rPr>
                <w:rStyle w:val="13"/>
                <w:rFonts w:ascii="宋体" w:hAnsi="宋体"/>
                <w:kern w:val="0"/>
                <w:sz w:val="24"/>
              </w:rPr>
            </w:pPr>
            <w:r>
              <w:rPr>
                <w:rStyle w:val="13"/>
                <w:rFonts w:ascii="宋体" w:hAnsi="宋体"/>
                <w:sz w:val="24"/>
              </w:rPr>
              <w:t>支持查看短信随访任务结果。</w:t>
            </w:r>
          </w:p>
        </w:tc>
      </w:tr>
    </w:tbl>
    <w:p>
      <w:pPr>
        <w:spacing w:line="360" w:lineRule="auto"/>
        <w:textAlignment w:val="auto"/>
        <w:rPr>
          <w:rStyle w:val="13"/>
          <w:rFonts w:ascii="宋体" w:hAnsi="宋体"/>
          <w:sz w:val="24"/>
        </w:rPr>
      </w:pPr>
    </w:p>
    <w:p>
      <w:pPr>
        <w:pStyle w:val="21"/>
        <w:spacing w:line="360" w:lineRule="auto"/>
        <w:textAlignment w:val="auto"/>
        <w:rPr>
          <w:rStyle w:val="13"/>
          <w:rFonts w:cs="宋体"/>
          <w:b/>
          <w:sz w:val="24"/>
          <w:szCs w:val="24"/>
        </w:rPr>
      </w:pPr>
      <w:r>
        <w:rPr>
          <w:rStyle w:val="13"/>
          <w:rFonts w:cs="宋体"/>
          <w:b/>
          <w:sz w:val="24"/>
          <w:szCs w:val="24"/>
        </w:rPr>
        <w:t>在线教育培训与管理</w:t>
      </w:r>
    </w:p>
    <w:p>
      <w:pPr>
        <w:pStyle w:val="22"/>
        <w:numPr>
          <w:ilvl w:val="4"/>
          <w:numId w:val="0"/>
        </w:numPr>
        <w:spacing w:before="0" w:after="0" w:line="360" w:lineRule="auto"/>
        <w:ind w:left="1560"/>
        <w:textAlignment w:val="auto"/>
        <w:rPr>
          <w:rStyle w:val="13"/>
          <w:rFonts w:ascii="宋体" w:hAnsi="宋体" w:cs="宋体"/>
          <w:bCs/>
          <w:sz w:val="24"/>
          <w:szCs w:val="24"/>
        </w:rPr>
      </w:pPr>
      <w:r>
        <w:rPr>
          <w:rStyle w:val="13"/>
          <w:rFonts w:hint="eastAsia" w:ascii="宋体" w:hAnsi="宋体" w:cs="宋体"/>
          <w:bCs/>
          <w:sz w:val="24"/>
          <w:szCs w:val="24"/>
        </w:rPr>
        <w:t>1.</w:t>
      </w:r>
      <w:r>
        <w:rPr>
          <w:rStyle w:val="13"/>
          <w:rFonts w:ascii="宋体" w:hAnsi="宋体" w:cs="宋体"/>
          <w:bCs/>
          <w:sz w:val="24"/>
          <w:szCs w:val="24"/>
        </w:rPr>
        <w:t>产品要求</w:t>
      </w:r>
    </w:p>
    <w:p>
      <w:pPr>
        <w:spacing w:line="360" w:lineRule="auto"/>
        <w:ind w:firstLine="560"/>
        <w:textAlignment w:val="auto"/>
        <w:rPr>
          <w:rStyle w:val="13"/>
          <w:rFonts w:ascii="宋体" w:hAnsi="宋体"/>
          <w:sz w:val="24"/>
        </w:rPr>
      </w:pPr>
      <w:r>
        <w:rPr>
          <w:rStyle w:val="13"/>
          <w:rFonts w:ascii="宋体" w:hAnsi="宋体"/>
          <w:sz w:val="24"/>
        </w:rPr>
        <w:t>在线教育培训与管理系统为县域的人才培养提供应用服务，通过计算机、网络、多媒体等技术使得教育和学习变得简单、高效。提供多种教育模式，从在线点播自学到一般的培训讲座、病历讨论、手术直播，再到专业的远程教育学院，建立基层医生岗位胜任力课程、住院医师规范化培训课程、全科继续医学教育培训课程、虚拟标准化病人医学教学培训工具等学习培训资源库内容。使各级医院医务人员、社区全科医师在不脱岗的情况下，低成本、高效率、持续地获得系统的继续教育培训。打破传统的、单一的在位进修学习的人才培养方式，建立在线与在位相结合的更为高效、持续的协同人才培养模式。</w:t>
      </w:r>
    </w:p>
    <w:p>
      <w:pPr>
        <w:pStyle w:val="22"/>
        <w:numPr>
          <w:ilvl w:val="4"/>
          <w:numId w:val="0"/>
        </w:numPr>
        <w:spacing w:before="0" w:after="0" w:line="360" w:lineRule="auto"/>
        <w:ind w:left="1560"/>
        <w:textAlignment w:val="auto"/>
        <w:rPr>
          <w:rStyle w:val="13"/>
          <w:rFonts w:ascii="宋体" w:hAnsi="宋体" w:cs="宋体"/>
          <w:b/>
          <w:sz w:val="24"/>
          <w:szCs w:val="24"/>
        </w:rPr>
      </w:pPr>
      <w:r>
        <w:rPr>
          <w:rStyle w:val="13"/>
          <w:rFonts w:ascii="宋体" w:hAnsi="宋体" w:cs="宋体"/>
          <w:b/>
          <w:sz w:val="24"/>
          <w:szCs w:val="24"/>
        </w:rPr>
        <w:t>技术参数</w:t>
      </w:r>
    </w:p>
    <w:p>
      <w:pPr>
        <w:pStyle w:val="23"/>
        <w:numPr>
          <w:ilvl w:val="5"/>
          <w:numId w:val="0"/>
        </w:numPr>
        <w:spacing w:before="0" w:after="0" w:line="360" w:lineRule="auto"/>
        <w:ind w:left="2126"/>
        <w:textAlignment w:val="auto"/>
        <w:rPr>
          <w:rStyle w:val="13"/>
          <w:rFonts w:cs="宋体"/>
          <w:b/>
          <w:sz w:val="24"/>
          <w:szCs w:val="24"/>
        </w:rPr>
      </w:pPr>
      <w:r>
        <w:rPr>
          <w:rStyle w:val="13"/>
          <w:rFonts w:cs="宋体"/>
          <w:b/>
          <w:sz w:val="24"/>
          <w:szCs w:val="24"/>
        </w:rPr>
        <w:t>临床思维模拟训练系统</w:t>
      </w:r>
    </w:p>
    <w:p>
      <w:pPr>
        <w:pStyle w:val="24"/>
        <w:spacing w:before="0" w:after="0" w:line="360" w:lineRule="auto"/>
        <w:textAlignment w:val="auto"/>
        <w:rPr>
          <w:rStyle w:val="13"/>
          <w:rFonts w:ascii="宋体" w:hAnsi="宋体" w:cs="宋体"/>
          <w:b/>
          <w:bCs/>
        </w:rPr>
      </w:pPr>
      <w:r>
        <w:rPr>
          <w:rStyle w:val="13"/>
          <w:rFonts w:ascii="宋体" w:hAnsi="宋体" w:cs="宋体"/>
          <w:b/>
          <w:bCs/>
        </w:rPr>
        <w:t>整体功能配置</w:t>
      </w:r>
    </w:p>
    <w:p>
      <w:pPr>
        <w:spacing w:line="360" w:lineRule="auto"/>
        <w:ind w:firstLine="560"/>
        <w:textAlignment w:val="auto"/>
        <w:rPr>
          <w:rStyle w:val="13"/>
          <w:rFonts w:ascii="宋体" w:hAnsi="宋体"/>
          <w:sz w:val="24"/>
        </w:rPr>
      </w:pPr>
      <w:r>
        <w:rPr>
          <w:rStyle w:val="13"/>
          <w:rFonts w:ascii="宋体" w:hAnsi="宋体"/>
          <w:sz w:val="24"/>
        </w:rPr>
        <w:t xml:space="preserve">1.1平台支持机构独立主页，支持客户自主管理； </w:t>
      </w:r>
    </w:p>
    <w:p>
      <w:pPr>
        <w:spacing w:line="360" w:lineRule="auto"/>
        <w:ind w:firstLine="560"/>
        <w:textAlignment w:val="auto"/>
        <w:rPr>
          <w:rStyle w:val="13"/>
          <w:rFonts w:ascii="宋体" w:hAnsi="宋体"/>
          <w:sz w:val="24"/>
        </w:rPr>
      </w:pPr>
      <w:r>
        <w:rPr>
          <w:rStyle w:val="13"/>
          <w:rFonts w:ascii="宋体" w:hAnsi="宋体"/>
          <w:sz w:val="24"/>
        </w:rPr>
        <w:t>1.2开放充足学生和教师使用账号，任何时间和地点均可通过网络访问；</w:t>
      </w:r>
    </w:p>
    <w:p>
      <w:pPr>
        <w:spacing w:line="360" w:lineRule="auto"/>
        <w:ind w:firstLine="560"/>
        <w:textAlignment w:val="auto"/>
        <w:rPr>
          <w:rStyle w:val="13"/>
          <w:rFonts w:ascii="宋体" w:hAnsi="宋体"/>
          <w:sz w:val="24"/>
        </w:rPr>
      </w:pPr>
      <w:r>
        <w:rPr>
          <w:rStyle w:val="13"/>
          <w:rFonts w:ascii="宋体" w:hAnsi="宋体"/>
          <w:sz w:val="24"/>
        </w:rPr>
        <w:t xml:space="preserve">1.3供货厂家提供云端服务器，不占用机构空间； </w:t>
      </w:r>
    </w:p>
    <w:p>
      <w:pPr>
        <w:spacing w:line="360" w:lineRule="auto"/>
        <w:ind w:firstLine="560"/>
        <w:textAlignment w:val="auto"/>
        <w:rPr>
          <w:rStyle w:val="13"/>
          <w:rFonts w:ascii="宋体" w:hAnsi="宋体"/>
          <w:sz w:val="24"/>
        </w:rPr>
      </w:pPr>
      <w:r>
        <w:rPr>
          <w:rStyle w:val="13"/>
          <w:rFonts w:ascii="宋体" w:hAnsi="宋体"/>
          <w:sz w:val="24"/>
        </w:rPr>
        <w:t>1.4支持PC网页端和移动APP端(iOS和Android系统)访问，PC端口和移动端口无数量限制。</w:t>
      </w:r>
    </w:p>
    <w:p>
      <w:pPr>
        <w:spacing w:line="360" w:lineRule="auto"/>
        <w:ind w:firstLine="560"/>
        <w:textAlignment w:val="auto"/>
        <w:rPr>
          <w:rStyle w:val="13"/>
          <w:rFonts w:ascii="宋体" w:hAnsi="宋体"/>
          <w:sz w:val="24"/>
        </w:rPr>
      </w:pPr>
      <w:r>
        <w:rPr>
          <w:rStyle w:val="13"/>
          <w:rFonts w:ascii="宋体" w:hAnsi="宋体"/>
          <w:sz w:val="24"/>
        </w:rPr>
        <w:t>1.5平台自带至少300份病例，所有病例要求具有病例解析，同时可支持本院老师上传自定义病例；</w:t>
      </w:r>
    </w:p>
    <w:p>
      <w:pPr>
        <w:pStyle w:val="24"/>
        <w:spacing w:before="0" w:after="0" w:line="360" w:lineRule="auto"/>
        <w:textAlignment w:val="auto"/>
        <w:rPr>
          <w:rStyle w:val="13"/>
          <w:rFonts w:ascii="宋体" w:hAnsi="宋体" w:cs="宋体"/>
          <w:b/>
          <w:bCs/>
        </w:rPr>
      </w:pPr>
      <w:r>
        <w:rPr>
          <w:rStyle w:val="13"/>
          <w:rFonts w:ascii="宋体" w:hAnsi="宋体" w:cs="宋体"/>
          <w:b/>
          <w:bCs/>
        </w:rPr>
        <w:t>机构端功能</w:t>
      </w:r>
    </w:p>
    <w:p>
      <w:pPr>
        <w:spacing w:line="360" w:lineRule="auto"/>
        <w:ind w:firstLine="560"/>
        <w:textAlignment w:val="auto"/>
        <w:rPr>
          <w:rStyle w:val="13"/>
          <w:rFonts w:ascii="宋体" w:hAnsi="宋体"/>
          <w:sz w:val="24"/>
        </w:rPr>
      </w:pPr>
      <w:r>
        <w:rPr>
          <w:rStyle w:val="13"/>
          <w:rFonts w:ascii="宋体" w:hAnsi="宋体"/>
          <w:sz w:val="24"/>
        </w:rPr>
        <w:t>2.1可添加新的学员/导师，可以修改或删除学员/导师信息，并可使用学员/导师信息模板进行批量上传，开通学院教师/学员端口合计不少于2000人次。</w:t>
      </w:r>
    </w:p>
    <w:p>
      <w:pPr>
        <w:spacing w:line="360" w:lineRule="auto"/>
        <w:ind w:firstLine="560"/>
        <w:textAlignment w:val="auto"/>
        <w:rPr>
          <w:rStyle w:val="13"/>
          <w:rFonts w:ascii="宋体" w:hAnsi="宋体"/>
          <w:sz w:val="24"/>
        </w:rPr>
      </w:pPr>
    </w:p>
    <w:p>
      <w:pPr>
        <w:spacing w:line="360" w:lineRule="auto"/>
        <w:ind w:firstLine="560"/>
        <w:textAlignment w:val="auto"/>
        <w:rPr>
          <w:rStyle w:val="13"/>
          <w:rFonts w:ascii="宋体" w:hAnsi="宋体"/>
          <w:sz w:val="24"/>
        </w:rPr>
      </w:pPr>
      <w:r>
        <w:rPr>
          <w:rStyle w:val="13"/>
          <w:rFonts w:ascii="宋体" w:hAnsi="宋体"/>
          <w:sz w:val="24"/>
        </w:rPr>
        <w:t>2.2系统支持查看机构所属导师应用该平台考试及学员的表现情况，并有统计分析报表。</w:t>
      </w:r>
    </w:p>
    <w:p>
      <w:pPr>
        <w:spacing w:line="360" w:lineRule="auto"/>
        <w:ind w:firstLine="560"/>
        <w:textAlignment w:val="auto"/>
        <w:rPr>
          <w:rStyle w:val="13"/>
          <w:rFonts w:ascii="宋体" w:hAnsi="宋体"/>
          <w:sz w:val="24"/>
        </w:rPr>
      </w:pPr>
      <w:r>
        <w:rPr>
          <w:rStyle w:val="13"/>
          <w:rFonts w:ascii="宋体" w:hAnsi="宋体"/>
          <w:sz w:val="24"/>
        </w:rPr>
        <w:t>2.3机构端可上传自主病例且机构享有所上传病例的知识产权，上传云端数据容量不限制；</w:t>
      </w:r>
    </w:p>
    <w:p>
      <w:pPr>
        <w:spacing w:line="360" w:lineRule="auto"/>
        <w:ind w:firstLine="560"/>
        <w:textAlignment w:val="auto"/>
        <w:rPr>
          <w:rStyle w:val="13"/>
          <w:rFonts w:ascii="宋体" w:hAnsi="宋体"/>
          <w:sz w:val="24"/>
        </w:rPr>
      </w:pPr>
      <w:r>
        <w:rPr>
          <w:rStyle w:val="13"/>
          <w:rFonts w:ascii="宋体" w:hAnsi="宋体"/>
          <w:sz w:val="24"/>
        </w:rPr>
        <w:t>2.4 系统带有题库功能，支持客观题、理论题考核，支持自建题库、自动组卷、自动评分和统计分析的功能；</w:t>
      </w:r>
    </w:p>
    <w:p>
      <w:pPr>
        <w:spacing w:line="360" w:lineRule="auto"/>
        <w:ind w:firstLine="560"/>
        <w:textAlignment w:val="auto"/>
        <w:rPr>
          <w:rStyle w:val="13"/>
          <w:rFonts w:ascii="宋体" w:hAnsi="宋体"/>
          <w:sz w:val="24"/>
        </w:rPr>
      </w:pPr>
      <w:r>
        <w:rPr>
          <w:rStyle w:val="13"/>
          <w:rFonts w:ascii="宋体" w:hAnsi="宋体"/>
          <w:sz w:val="24"/>
        </w:rPr>
        <w:t>2.5支持评分三级权重修改，如诊断思维和临床决策一级得分权重；诊断、鉴别诊断、正确处置和病史采集等二级得分权重，满足对不同学员不同侧重点的考核；支持临床思维能力权重设置，可设置系统性、精准性、逻辑性、敏捷性、经济性等评价维度的权重，满足不同考核场景的使用。</w:t>
      </w:r>
    </w:p>
    <w:p>
      <w:pPr>
        <w:spacing w:line="360" w:lineRule="auto"/>
        <w:ind w:firstLine="560"/>
        <w:textAlignment w:val="auto"/>
        <w:rPr>
          <w:rStyle w:val="13"/>
          <w:rFonts w:ascii="宋体" w:hAnsi="宋体"/>
          <w:sz w:val="24"/>
        </w:rPr>
      </w:pPr>
      <w:r>
        <w:rPr>
          <w:rStyle w:val="13"/>
          <w:rFonts w:ascii="宋体" w:hAnsi="宋体"/>
          <w:sz w:val="24"/>
        </w:rPr>
        <w:t>2.6支持理论考试与虚拟病人考试合并考试，并可配置理论考试题数与虚拟病人数。</w:t>
      </w:r>
    </w:p>
    <w:p>
      <w:pPr>
        <w:spacing w:line="360" w:lineRule="auto"/>
        <w:ind w:firstLine="560"/>
        <w:textAlignment w:val="auto"/>
        <w:rPr>
          <w:rStyle w:val="13"/>
          <w:rFonts w:ascii="宋体" w:hAnsi="宋体"/>
          <w:sz w:val="24"/>
        </w:rPr>
      </w:pPr>
      <w:r>
        <w:rPr>
          <w:rStyle w:val="13"/>
          <w:rFonts w:ascii="宋体" w:hAnsi="宋体"/>
          <w:sz w:val="24"/>
        </w:rPr>
        <w:t>2.7 支持设置考试终端，如仅限电脑端考试或仅限移动端考试或者两者均可；</w:t>
      </w:r>
    </w:p>
    <w:p>
      <w:pPr>
        <w:spacing w:line="360" w:lineRule="auto"/>
        <w:ind w:firstLine="560"/>
        <w:textAlignment w:val="auto"/>
        <w:rPr>
          <w:rStyle w:val="13"/>
          <w:rFonts w:ascii="宋体" w:hAnsi="宋体"/>
          <w:sz w:val="24"/>
        </w:rPr>
      </w:pPr>
      <w:r>
        <w:rPr>
          <w:rStyle w:val="13"/>
          <w:rFonts w:ascii="宋体" w:hAnsi="宋体"/>
          <w:sz w:val="24"/>
        </w:rPr>
        <w:t>2.8支持设置考试后成绩显示时间，如交卷后立即显示或考场结束后立即显示或考试后由管理员手动发布；</w:t>
      </w:r>
    </w:p>
    <w:p>
      <w:pPr>
        <w:spacing w:line="360" w:lineRule="auto"/>
        <w:ind w:firstLine="560"/>
        <w:textAlignment w:val="auto"/>
        <w:rPr>
          <w:rStyle w:val="13"/>
          <w:rFonts w:ascii="宋体" w:hAnsi="宋体"/>
          <w:sz w:val="24"/>
        </w:rPr>
      </w:pPr>
      <w:r>
        <w:rPr>
          <w:rStyle w:val="13"/>
          <w:rFonts w:ascii="宋体" w:hAnsi="宋体"/>
          <w:sz w:val="24"/>
        </w:rPr>
        <w:t>2.9支持设置考试后答案显示时间，如不显示答案或公布成绩后显示答案，保证试卷的重复使用；</w:t>
      </w:r>
    </w:p>
    <w:p>
      <w:pPr>
        <w:spacing w:line="360" w:lineRule="auto"/>
        <w:ind w:firstLine="560"/>
        <w:textAlignment w:val="auto"/>
        <w:rPr>
          <w:rStyle w:val="13"/>
          <w:rFonts w:ascii="宋体" w:hAnsi="宋体"/>
          <w:sz w:val="24"/>
        </w:rPr>
      </w:pPr>
      <w:r>
        <w:rPr>
          <w:rStyle w:val="13"/>
          <w:rFonts w:ascii="宋体" w:hAnsi="宋体"/>
          <w:sz w:val="24"/>
        </w:rPr>
        <w:t>2.10 支持设置是否考核诊断依据，实现对不同层次学员、不同考试目的的匹配；</w:t>
      </w:r>
    </w:p>
    <w:p>
      <w:pPr>
        <w:spacing w:line="360" w:lineRule="auto"/>
        <w:ind w:firstLine="560"/>
        <w:textAlignment w:val="auto"/>
        <w:rPr>
          <w:rStyle w:val="13"/>
          <w:rFonts w:ascii="宋体" w:hAnsi="宋体"/>
          <w:sz w:val="24"/>
        </w:rPr>
      </w:pPr>
      <w:r>
        <w:rPr>
          <w:rStyle w:val="13"/>
          <w:rFonts w:ascii="宋体" w:hAnsi="宋体"/>
          <w:sz w:val="24"/>
        </w:rPr>
        <w:t>2.11支持考试时根据考试内容指定考试人员，考试人员会收到考试的通知，保证考试的组织效率和准确性。</w:t>
      </w:r>
    </w:p>
    <w:p>
      <w:pPr>
        <w:pStyle w:val="24"/>
        <w:spacing w:before="0" w:after="0" w:line="360" w:lineRule="auto"/>
        <w:textAlignment w:val="auto"/>
        <w:rPr>
          <w:rStyle w:val="13"/>
          <w:rFonts w:ascii="宋体" w:hAnsi="宋体" w:cs="宋体"/>
          <w:b/>
          <w:bCs/>
        </w:rPr>
      </w:pPr>
      <w:r>
        <w:rPr>
          <w:rStyle w:val="13"/>
          <w:rFonts w:ascii="宋体" w:hAnsi="宋体" w:cs="宋体"/>
          <w:b/>
          <w:bCs/>
        </w:rPr>
        <w:t>导师端功能</w:t>
      </w:r>
    </w:p>
    <w:p>
      <w:pPr>
        <w:spacing w:line="360" w:lineRule="auto"/>
        <w:ind w:firstLine="560"/>
        <w:textAlignment w:val="auto"/>
        <w:rPr>
          <w:rStyle w:val="13"/>
          <w:rFonts w:ascii="宋体" w:hAnsi="宋体"/>
          <w:sz w:val="24"/>
        </w:rPr>
      </w:pPr>
      <w:r>
        <w:rPr>
          <w:rStyle w:val="13"/>
          <w:rFonts w:ascii="宋体" w:hAnsi="宋体"/>
          <w:sz w:val="24"/>
        </w:rPr>
        <w:t>3.1导师可使用个人账号和密码进行登陆，进行临床诊疗能力的教学/考核；</w:t>
      </w:r>
    </w:p>
    <w:p>
      <w:pPr>
        <w:spacing w:line="360" w:lineRule="auto"/>
        <w:ind w:firstLine="560"/>
        <w:textAlignment w:val="auto"/>
        <w:rPr>
          <w:rStyle w:val="13"/>
          <w:rFonts w:ascii="宋体" w:hAnsi="宋体"/>
          <w:sz w:val="24"/>
        </w:rPr>
      </w:pPr>
      <w:r>
        <w:rPr>
          <w:rStyle w:val="13"/>
          <w:rFonts w:ascii="宋体" w:hAnsi="宋体"/>
          <w:sz w:val="24"/>
        </w:rPr>
        <w:t>3.2系统支持病例管理，导师可自行上传病例到平台用于本机构学员训练或考试；</w:t>
      </w:r>
    </w:p>
    <w:p>
      <w:pPr>
        <w:spacing w:line="360" w:lineRule="auto"/>
        <w:ind w:firstLine="560"/>
        <w:textAlignment w:val="auto"/>
        <w:rPr>
          <w:rStyle w:val="13"/>
          <w:rFonts w:ascii="宋体" w:hAnsi="宋体"/>
          <w:sz w:val="24"/>
        </w:rPr>
      </w:pPr>
      <w:r>
        <w:rPr>
          <w:rStyle w:val="13"/>
          <w:rFonts w:ascii="宋体" w:hAnsi="宋体"/>
          <w:sz w:val="24"/>
        </w:rPr>
        <w:t xml:space="preserve">3.3系统支持考试管理，导师可自行创建考试，并根据考试场次开放权限，拥有权限的学员方能参加考试，并可查看所有学员考核时每个病例处置的分数和总分以及相关的临床能力分析。  </w:t>
      </w:r>
    </w:p>
    <w:p>
      <w:pPr>
        <w:pStyle w:val="24"/>
        <w:spacing w:before="0" w:after="0" w:line="360" w:lineRule="auto"/>
        <w:textAlignment w:val="auto"/>
        <w:rPr>
          <w:rStyle w:val="13"/>
          <w:rFonts w:ascii="宋体" w:hAnsi="宋体" w:cs="宋体"/>
          <w:b/>
          <w:bCs/>
        </w:rPr>
      </w:pPr>
      <w:r>
        <w:rPr>
          <w:rStyle w:val="13"/>
          <w:rFonts w:ascii="宋体" w:hAnsi="宋体" w:cs="宋体"/>
          <w:b/>
          <w:bCs/>
        </w:rPr>
        <w:t>学员端功能</w:t>
      </w:r>
    </w:p>
    <w:p>
      <w:pPr>
        <w:spacing w:line="360" w:lineRule="auto"/>
        <w:ind w:firstLine="560"/>
        <w:textAlignment w:val="auto"/>
        <w:rPr>
          <w:rStyle w:val="13"/>
          <w:rFonts w:ascii="宋体" w:hAnsi="宋体"/>
          <w:sz w:val="24"/>
        </w:rPr>
      </w:pPr>
      <w:r>
        <w:rPr>
          <w:rStyle w:val="13"/>
          <w:rFonts w:ascii="宋体" w:hAnsi="宋体"/>
          <w:sz w:val="24"/>
        </w:rPr>
        <w:t>4.1学员可根据个人账号和密码进行登陆，参加临床诊疗能力的训练/考核；</w:t>
      </w:r>
    </w:p>
    <w:p>
      <w:pPr>
        <w:spacing w:line="360" w:lineRule="auto"/>
        <w:ind w:firstLine="560"/>
        <w:textAlignment w:val="auto"/>
        <w:rPr>
          <w:rStyle w:val="13"/>
          <w:rFonts w:ascii="宋体" w:hAnsi="宋体"/>
          <w:sz w:val="24"/>
        </w:rPr>
      </w:pPr>
      <w:r>
        <w:rPr>
          <w:rStyle w:val="13"/>
          <w:rFonts w:ascii="宋体" w:hAnsi="宋体"/>
          <w:sz w:val="24"/>
        </w:rPr>
        <w:t>4.2系统支持自学和考核两种模式，学员可根据考核模式知晓自己的临床诊疗能力水平，并使用自学模式提高自我临床诊疗思维的能力；</w:t>
      </w:r>
    </w:p>
    <w:p>
      <w:pPr>
        <w:spacing w:line="360" w:lineRule="auto"/>
        <w:ind w:firstLine="560"/>
        <w:textAlignment w:val="auto"/>
        <w:rPr>
          <w:rStyle w:val="13"/>
          <w:rFonts w:ascii="宋体" w:hAnsi="宋体"/>
          <w:sz w:val="24"/>
        </w:rPr>
      </w:pPr>
      <w:r>
        <w:rPr>
          <w:rStyle w:val="13"/>
          <w:rFonts w:ascii="宋体" w:hAnsi="宋体"/>
          <w:sz w:val="24"/>
        </w:rPr>
        <w:t>4.3在学习模式下，学员可通过疾病名称查找病例并查看病例介绍、学习目标及患者相关信息，在考核模式下只向学员提供患者的性别、年龄和主要症状；</w:t>
      </w:r>
    </w:p>
    <w:p>
      <w:pPr>
        <w:spacing w:line="360" w:lineRule="auto"/>
        <w:ind w:firstLine="560"/>
        <w:textAlignment w:val="auto"/>
        <w:rPr>
          <w:rStyle w:val="13"/>
          <w:rFonts w:ascii="宋体" w:hAnsi="宋体"/>
          <w:sz w:val="24"/>
        </w:rPr>
      </w:pPr>
      <w:r>
        <w:rPr>
          <w:rStyle w:val="13"/>
          <w:rFonts w:ascii="宋体" w:hAnsi="宋体"/>
          <w:sz w:val="24"/>
        </w:rPr>
        <w:t>4.4系统支持模拟临床诊疗操作，学员对虚拟患者可进行问诊、体检、辅助检查、诊断和治疗等操作；</w:t>
      </w:r>
    </w:p>
    <w:p>
      <w:pPr>
        <w:spacing w:line="360" w:lineRule="auto"/>
        <w:ind w:firstLine="560"/>
        <w:textAlignment w:val="auto"/>
        <w:rPr>
          <w:rStyle w:val="13"/>
          <w:rFonts w:ascii="宋体" w:hAnsi="宋体"/>
          <w:sz w:val="24"/>
        </w:rPr>
      </w:pPr>
      <w:r>
        <w:rPr>
          <w:rStyle w:val="13"/>
          <w:rFonts w:ascii="宋体" w:hAnsi="宋体"/>
          <w:sz w:val="24"/>
        </w:rPr>
        <w:t>4.5 系统支持为所选诊断添加诊断依据，支持为所选鉴别诊断添加排除依据，后台可自动分析学员所选依据的逻辑性；</w:t>
      </w:r>
    </w:p>
    <w:p>
      <w:pPr>
        <w:spacing w:line="360" w:lineRule="auto"/>
        <w:ind w:firstLine="560"/>
        <w:textAlignment w:val="auto"/>
        <w:rPr>
          <w:rStyle w:val="13"/>
          <w:rFonts w:ascii="宋体" w:hAnsi="宋体"/>
          <w:sz w:val="24"/>
        </w:rPr>
      </w:pPr>
      <w:r>
        <w:rPr>
          <w:rStyle w:val="13"/>
          <w:rFonts w:ascii="宋体" w:hAnsi="宋体"/>
          <w:sz w:val="24"/>
        </w:rPr>
        <w:t>4.6系统支持疾病病程演变，学员对虚拟患者给予治疗后可以看到患者的病情演变，并根据病情演变情况调整治疗方案直到治疗结束；</w:t>
      </w:r>
    </w:p>
    <w:p>
      <w:pPr>
        <w:spacing w:line="360" w:lineRule="auto"/>
        <w:ind w:firstLine="560"/>
        <w:textAlignment w:val="auto"/>
        <w:rPr>
          <w:rStyle w:val="13"/>
          <w:rFonts w:ascii="宋体" w:hAnsi="宋体"/>
          <w:sz w:val="24"/>
        </w:rPr>
      </w:pPr>
      <w:r>
        <w:rPr>
          <w:rStyle w:val="13"/>
          <w:rFonts w:ascii="宋体" w:hAnsi="宋体"/>
          <w:sz w:val="24"/>
        </w:rPr>
        <w:t>4.7系统支持查看学员诊疗日志，学员的所有操作、选择及判读都会被系统自动记录下来并上传至服务器，用于学员/导师了解学员知识的掌握程度；</w:t>
      </w:r>
    </w:p>
    <w:p>
      <w:pPr>
        <w:spacing w:line="360" w:lineRule="auto"/>
        <w:ind w:firstLine="560"/>
        <w:textAlignment w:val="auto"/>
        <w:rPr>
          <w:rStyle w:val="13"/>
          <w:rFonts w:ascii="宋体" w:hAnsi="宋体"/>
          <w:sz w:val="24"/>
        </w:rPr>
      </w:pPr>
      <w:r>
        <w:rPr>
          <w:rStyle w:val="13"/>
          <w:rFonts w:ascii="宋体" w:hAnsi="宋体"/>
          <w:sz w:val="24"/>
        </w:rPr>
        <w:t>4.8系统支持查看学员临床诊疗能力分析，学员训练结束后，可以看到自己在此次诊疗过程中的表现及各部分的能力分布，并查看自己错误的地方以及正确的处置方法和原因分析；</w:t>
      </w:r>
    </w:p>
    <w:p>
      <w:pPr>
        <w:spacing w:line="360" w:lineRule="auto"/>
        <w:ind w:firstLine="560"/>
        <w:textAlignment w:val="auto"/>
        <w:rPr>
          <w:rStyle w:val="13"/>
          <w:rFonts w:ascii="宋体" w:hAnsi="宋体"/>
          <w:sz w:val="24"/>
        </w:rPr>
      </w:pPr>
      <w:r>
        <w:rPr>
          <w:rStyle w:val="13"/>
          <w:rFonts w:ascii="宋体" w:hAnsi="宋体"/>
          <w:sz w:val="24"/>
        </w:rPr>
        <w:t>4.9系统支持在线病例交流讨论，学员可以对所学病例进行评价，同时可以与其它学员或导师进行线上交流；</w:t>
      </w:r>
    </w:p>
    <w:p>
      <w:pPr>
        <w:spacing w:line="360" w:lineRule="auto"/>
        <w:ind w:firstLine="560"/>
        <w:textAlignment w:val="auto"/>
        <w:rPr>
          <w:rStyle w:val="13"/>
          <w:rFonts w:ascii="宋体" w:hAnsi="宋体"/>
          <w:sz w:val="24"/>
        </w:rPr>
      </w:pPr>
      <w:r>
        <w:rPr>
          <w:rStyle w:val="13"/>
          <w:rFonts w:ascii="宋体" w:hAnsi="宋体"/>
          <w:sz w:val="24"/>
        </w:rPr>
        <w:t>4.10 移动端有候诊室功能，学员可自选症状进行自测，症状数需至少有15种。</w:t>
      </w:r>
    </w:p>
    <w:p>
      <w:pPr>
        <w:pStyle w:val="24"/>
        <w:spacing w:before="0" w:after="0" w:line="360" w:lineRule="auto"/>
        <w:textAlignment w:val="auto"/>
        <w:rPr>
          <w:rStyle w:val="13"/>
          <w:rFonts w:ascii="宋体" w:hAnsi="宋体" w:cs="宋体"/>
          <w:b/>
          <w:bCs/>
        </w:rPr>
      </w:pPr>
      <w:r>
        <w:rPr>
          <w:rStyle w:val="13"/>
          <w:rFonts w:ascii="宋体" w:hAnsi="宋体" w:cs="宋体"/>
          <w:b/>
          <w:bCs/>
        </w:rPr>
        <w:t>病例参数</w:t>
      </w:r>
    </w:p>
    <w:p>
      <w:pPr>
        <w:spacing w:line="360" w:lineRule="auto"/>
        <w:ind w:firstLine="560"/>
        <w:textAlignment w:val="auto"/>
        <w:rPr>
          <w:rStyle w:val="13"/>
          <w:rFonts w:ascii="宋体" w:hAnsi="宋体"/>
          <w:sz w:val="24"/>
        </w:rPr>
      </w:pPr>
      <w:r>
        <w:rPr>
          <w:rStyle w:val="13"/>
          <w:rFonts w:ascii="宋体" w:hAnsi="宋体"/>
          <w:sz w:val="24"/>
        </w:rPr>
        <w:t>5.1 总体要求</w:t>
      </w:r>
    </w:p>
    <w:p>
      <w:pPr>
        <w:spacing w:line="360" w:lineRule="auto"/>
        <w:ind w:firstLine="560"/>
        <w:textAlignment w:val="auto"/>
        <w:rPr>
          <w:rStyle w:val="13"/>
          <w:rFonts w:ascii="宋体" w:hAnsi="宋体"/>
          <w:sz w:val="24"/>
        </w:rPr>
      </w:pPr>
      <w:r>
        <w:rPr>
          <w:rStyle w:val="13"/>
          <w:rFonts w:ascii="宋体" w:hAnsi="宋体"/>
          <w:sz w:val="24"/>
        </w:rPr>
        <w:t>5.1.1可用于临床思维训练、考核病例不少于300个，每一个病例由三个组成部分：病例内容、病例素材和病例解析；</w:t>
      </w:r>
    </w:p>
    <w:p>
      <w:pPr>
        <w:spacing w:line="360" w:lineRule="auto"/>
        <w:ind w:firstLine="560"/>
        <w:textAlignment w:val="auto"/>
        <w:rPr>
          <w:rStyle w:val="13"/>
          <w:rFonts w:ascii="宋体" w:hAnsi="宋体"/>
          <w:sz w:val="24"/>
        </w:rPr>
      </w:pPr>
      <w:r>
        <w:rPr>
          <w:rStyle w:val="13"/>
          <w:rFonts w:ascii="宋体" w:hAnsi="宋体"/>
          <w:sz w:val="24"/>
        </w:rPr>
        <w:t>5.1.2病例涵盖内科学、外科学、妇产科学、儿科学、感染性疾病学、神经精神病学和急诊医学等学科，每个学科病种不得少于5个，同一病种可提供多个不同并发症/病情的病例；</w:t>
      </w:r>
    </w:p>
    <w:p>
      <w:pPr>
        <w:spacing w:line="360" w:lineRule="auto"/>
        <w:ind w:firstLine="560"/>
        <w:textAlignment w:val="auto"/>
        <w:rPr>
          <w:rStyle w:val="13"/>
          <w:rFonts w:ascii="宋体" w:hAnsi="宋体"/>
          <w:sz w:val="24"/>
        </w:rPr>
      </w:pPr>
      <w:r>
        <w:rPr>
          <w:rStyle w:val="13"/>
          <w:rFonts w:ascii="宋体" w:hAnsi="宋体"/>
          <w:sz w:val="24"/>
        </w:rPr>
        <w:t>5.1.3提供的病例逻辑必须设置合理，病例素材不涉及病人隐私，不存在法律纠纷；</w:t>
      </w:r>
    </w:p>
    <w:p>
      <w:pPr>
        <w:spacing w:line="360" w:lineRule="auto"/>
        <w:ind w:firstLine="560"/>
        <w:textAlignment w:val="auto"/>
        <w:rPr>
          <w:rStyle w:val="13"/>
          <w:rFonts w:ascii="宋体" w:hAnsi="宋体"/>
          <w:sz w:val="24"/>
        </w:rPr>
      </w:pPr>
      <w:r>
        <w:rPr>
          <w:rStyle w:val="13"/>
          <w:rFonts w:ascii="宋体" w:hAnsi="宋体"/>
          <w:sz w:val="24"/>
        </w:rPr>
        <w:t>5.2 病例难度要求</w:t>
      </w:r>
    </w:p>
    <w:p>
      <w:pPr>
        <w:spacing w:line="360" w:lineRule="auto"/>
        <w:ind w:firstLine="560"/>
        <w:textAlignment w:val="auto"/>
        <w:rPr>
          <w:rStyle w:val="13"/>
          <w:rFonts w:ascii="宋体" w:hAnsi="宋体"/>
          <w:sz w:val="24"/>
        </w:rPr>
      </w:pPr>
      <w:r>
        <w:rPr>
          <w:rStyle w:val="13"/>
          <w:rFonts w:ascii="宋体" w:hAnsi="宋体"/>
          <w:sz w:val="24"/>
        </w:rPr>
        <w:t>5.2.1患者信息线索包含干扰项，需要2次以上鉴别诊断或者患者病情危重，需要边治疗同时收集疾病相关信息和证据；</w:t>
      </w:r>
    </w:p>
    <w:p>
      <w:pPr>
        <w:spacing w:line="360" w:lineRule="auto"/>
        <w:ind w:firstLine="560"/>
        <w:textAlignment w:val="auto"/>
        <w:rPr>
          <w:rStyle w:val="13"/>
          <w:rFonts w:ascii="宋体" w:hAnsi="宋体"/>
          <w:sz w:val="24"/>
        </w:rPr>
      </w:pPr>
      <w:r>
        <w:rPr>
          <w:rStyle w:val="13"/>
          <w:rFonts w:ascii="宋体" w:hAnsi="宋体"/>
          <w:sz w:val="24"/>
        </w:rPr>
        <w:t>5.2.2需要结合两种以上实验检查或影像检查鉴别诊断；</w:t>
      </w:r>
    </w:p>
    <w:p>
      <w:pPr>
        <w:spacing w:line="360" w:lineRule="auto"/>
        <w:ind w:firstLine="560"/>
        <w:textAlignment w:val="auto"/>
        <w:rPr>
          <w:rStyle w:val="13"/>
          <w:rFonts w:ascii="宋体" w:hAnsi="宋体"/>
          <w:sz w:val="24"/>
        </w:rPr>
      </w:pPr>
      <w:r>
        <w:rPr>
          <w:rStyle w:val="13"/>
          <w:rFonts w:ascii="宋体" w:hAnsi="宋体"/>
          <w:sz w:val="24"/>
        </w:rPr>
        <w:t>5.2.3支持2段以上合理的病情变化及诊疗阶段；</w:t>
      </w:r>
    </w:p>
    <w:p>
      <w:pPr>
        <w:spacing w:line="360" w:lineRule="auto"/>
        <w:ind w:firstLine="560"/>
        <w:textAlignment w:val="auto"/>
        <w:rPr>
          <w:rStyle w:val="13"/>
          <w:rFonts w:ascii="宋体" w:hAnsi="宋体"/>
          <w:sz w:val="24"/>
        </w:rPr>
      </w:pPr>
      <w:r>
        <w:rPr>
          <w:rStyle w:val="13"/>
          <w:rFonts w:ascii="宋体" w:hAnsi="宋体"/>
          <w:sz w:val="24"/>
        </w:rPr>
        <w:t>5.2.4要有明确的、合理的病情转归；</w:t>
      </w:r>
    </w:p>
    <w:p>
      <w:pPr>
        <w:spacing w:line="360" w:lineRule="auto"/>
        <w:ind w:firstLine="560"/>
        <w:textAlignment w:val="auto"/>
        <w:rPr>
          <w:rStyle w:val="13"/>
          <w:rFonts w:ascii="宋体" w:hAnsi="宋体"/>
          <w:sz w:val="24"/>
        </w:rPr>
      </w:pPr>
      <w:r>
        <w:rPr>
          <w:rStyle w:val="13"/>
          <w:rFonts w:ascii="宋体" w:hAnsi="宋体"/>
          <w:sz w:val="24"/>
        </w:rPr>
        <w:t>5.2.5要有完整、符合最新医学生教材和诊疗指南的分步诊疗评价评分标准。</w:t>
      </w:r>
    </w:p>
    <w:p>
      <w:pPr>
        <w:spacing w:line="360" w:lineRule="auto"/>
        <w:ind w:firstLine="560"/>
        <w:textAlignment w:val="auto"/>
        <w:rPr>
          <w:rStyle w:val="13"/>
          <w:rFonts w:ascii="宋体" w:hAnsi="宋体"/>
          <w:sz w:val="24"/>
        </w:rPr>
      </w:pPr>
      <w:r>
        <w:rPr>
          <w:rStyle w:val="13"/>
          <w:rFonts w:ascii="宋体" w:hAnsi="宋体"/>
          <w:sz w:val="24"/>
        </w:rPr>
        <w:t>5.3 病例内容要求：每项信息请按病例编写模板具体要求编写，不能留空，其中具体要求如下：</w:t>
      </w:r>
    </w:p>
    <w:p>
      <w:pPr>
        <w:spacing w:line="360" w:lineRule="auto"/>
        <w:ind w:firstLine="560"/>
        <w:textAlignment w:val="auto"/>
        <w:rPr>
          <w:rStyle w:val="13"/>
          <w:rFonts w:ascii="宋体" w:hAnsi="宋体"/>
          <w:sz w:val="24"/>
        </w:rPr>
      </w:pPr>
      <w:r>
        <w:rPr>
          <w:rStyle w:val="13"/>
          <w:rFonts w:ascii="宋体" w:hAnsi="宋体"/>
          <w:sz w:val="24"/>
        </w:rPr>
        <w:t>5.3.1有明确的教学目标，疾病诊断符合ICD-10命名规范，包含鉴别诊断和鉴别诊断依据；</w:t>
      </w:r>
    </w:p>
    <w:p>
      <w:pPr>
        <w:spacing w:line="360" w:lineRule="auto"/>
        <w:ind w:firstLine="560"/>
        <w:textAlignment w:val="auto"/>
        <w:rPr>
          <w:rStyle w:val="13"/>
          <w:rFonts w:ascii="宋体" w:hAnsi="宋体"/>
          <w:sz w:val="24"/>
        </w:rPr>
      </w:pPr>
      <w:r>
        <w:rPr>
          <w:rStyle w:val="13"/>
          <w:rFonts w:ascii="宋体" w:hAnsi="宋体"/>
          <w:sz w:val="24"/>
        </w:rPr>
        <w:t>5.3.2主诉、现病史和既往史文词通顺、术语正确；</w:t>
      </w:r>
    </w:p>
    <w:p>
      <w:pPr>
        <w:spacing w:line="360" w:lineRule="auto"/>
        <w:ind w:firstLine="560"/>
        <w:textAlignment w:val="auto"/>
        <w:rPr>
          <w:rStyle w:val="13"/>
          <w:rFonts w:ascii="宋体" w:hAnsi="宋体"/>
          <w:sz w:val="24"/>
        </w:rPr>
      </w:pPr>
      <w:r>
        <w:rPr>
          <w:rStyle w:val="13"/>
          <w:rFonts w:ascii="宋体" w:hAnsi="宋体"/>
          <w:sz w:val="24"/>
        </w:rPr>
        <w:t xml:space="preserve">5.3.3提炼的病史信息、体征、实验指标和辅检结果记录齐全，描述清晰、没有遗漏； </w:t>
      </w:r>
    </w:p>
    <w:p>
      <w:pPr>
        <w:spacing w:line="360" w:lineRule="auto"/>
        <w:ind w:firstLine="560"/>
        <w:textAlignment w:val="auto"/>
        <w:rPr>
          <w:rStyle w:val="13"/>
          <w:rFonts w:ascii="宋体" w:hAnsi="宋体"/>
          <w:sz w:val="24"/>
        </w:rPr>
      </w:pPr>
      <w:r>
        <w:rPr>
          <w:rStyle w:val="13"/>
          <w:rFonts w:ascii="宋体" w:hAnsi="宋体"/>
          <w:sz w:val="24"/>
        </w:rPr>
        <w:t>5.4病程记录</w:t>
      </w:r>
    </w:p>
    <w:p>
      <w:pPr>
        <w:spacing w:line="360" w:lineRule="auto"/>
        <w:ind w:firstLine="560"/>
        <w:textAlignment w:val="auto"/>
        <w:rPr>
          <w:rStyle w:val="13"/>
          <w:rFonts w:ascii="宋体" w:hAnsi="宋体"/>
          <w:sz w:val="24"/>
        </w:rPr>
      </w:pPr>
      <w:r>
        <w:rPr>
          <w:rStyle w:val="13"/>
          <w:rFonts w:ascii="宋体" w:hAnsi="宋体"/>
          <w:sz w:val="24"/>
        </w:rPr>
        <w:t>5.4.1病程记录齐全，能正确反映疾病演变过程，包含病史摘要、重要病情变异记录和原因分析、临床表现变化；</w:t>
      </w:r>
    </w:p>
    <w:p>
      <w:pPr>
        <w:spacing w:line="360" w:lineRule="auto"/>
        <w:ind w:firstLine="560"/>
        <w:textAlignment w:val="auto"/>
        <w:rPr>
          <w:rStyle w:val="13"/>
          <w:rFonts w:ascii="宋体" w:hAnsi="宋体"/>
          <w:sz w:val="24"/>
        </w:rPr>
      </w:pPr>
      <w:r>
        <w:rPr>
          <w:rStyle w:val="13"/>
          <w:rFonts w:ascii="宋体" w:hAnsi="宋体"/>
          <w:sz w:val="24"/>
        </w:rPr>
        <w:t>5.4.2诊疗方案的治疗目标明确，病史采集、体格检查包含患者有意义的阴性症状，治疗措施符合最新临床诊疗指南；</w:t>
      </w:r>
    </w:p>
    <w:p>
      <w:pPr>
        <w:spacing w:line="360" w:lineRule="auto"/>
        <w:ind w:firstLine="560"/>
        <w:textAlignment w:val="auto"/>
        <w:rPr>
          <w:rStyle w:val="13"/>
          <w:rFonts w:ascii="宋体" w:hAnsi="宋体"/>
          <w:sz w:val="24"/>
        </w:rPr>
      </w:pPr>
      <w:r>
        <w:rPr>
          <w:rStyle w:val="13"/>
          <w:rFonts w:ascii="宋体" w:hAnsi="宋体"/>
          <w:sz w:val="24"/>
        </w:rPr>
        <w:t>5.4.3病人症状体征、影像检查涉及的多媒体素材齐全，没有遗漏；</w:t>
      </w:r>
    </w:p>
    <w:p>
      <w:pPr>
        <w:spacing w:line="360" w:lineRule="auto"/>
        <w:ind w:firstLine="560"/>
        <w:textAlignment w:val="auto"/>
        <w:rPr>
          <w:rStyle w:val="13"/>
          <w:rFonts w:ascii="宋体" w:hAnsi="宋体"/>
          <w:sz w:val="24"/>
        </w:rPr>
      </w:pPr>
      <w:r>
        <w:rPr>
          <w:rStyle w:val="13"/>
          <w:rFonts w:ascii="宋体" w:hAnsi="宋体"/>
          <w:sz w:val="24"/>
        </w:rPr>
        <w:t>5.5病例素材格式要求</w:t>
      </w:r>
    </w:p>
    <w:p>
      <w:pPr>
        <w:spacing w:line="360" w:lineRule="auto"/>
        <w:ind w:firstLine="560"/>
        <w:textAlignment w:val="auto"/>
        <w:rPr>
          <w:rStyle w:val="13"/>
          <w:rFonts w:ascii="宋体" w:hAnsi="宋体"/>
          <w:sz w:val="24"/>
        </w:rPr>
      </w:pPr>
      <w:r>
        <w:rPr>
          <w:rStyle w:val="13"/>
          <w:rFonts w:ascii="宋体" w:hAnsi="宋体"/>
          <w:sz w:val="24"/>
        </w:rPr>
        <w:t>5.5.1多媒体素材单独以附件形式提供，要求内容清晰可辨识，命名与病例内容保持一致；</w:t>
      </w:r>
    </w:p>
    <w:p>
      <w:pPr>
        <w:spacing w:line="360" w:lineRule="auto"/>
        <w:ind w:firstLine="560"/>
        <w:textAlignment w:val="auto"/>
        <w:rPr>
          <w:rStyle w:val="13"/>
          <w:rFonts w:ascii="宋体" w:hAnsi="宋体"/>
          <w:sz w:val="24"/>
        </w:rPr>
      </w:pPr>
      <w:r>
        <w:rPr>
          <w:rStyle w:val="13"/>
          <w:rFonts w:ascii="宋体" w:hAnsi="宋体"/>
          <w:sz w:val="24"/>
        </w:rPr>
        <w:t>5.5.2不能有明确身份标识涉及真实病人隐私的信息；</w:t>
      </w:r>
    </w:p>
    <w:p>
      <w:pPr>
        <w:spacing w:line="360" w:lineRule="auto"/>
        <w:ind w:firstLine="560"/>
        <w:textAlignment w:val="auto"/>
        <w:rPr>
          <w:rStyle w:val="13"/>
          <w:rFonts w:ascii="宋体" w:hAnsi="宋体"/>
          <w:sz w:val="24"/>
        </w:rPr>
      </w:pPr>
      <w:r>
        <w:rPr>
          <w:rStyle w:val="13"/>
          <w:rFonts w:ascii="宋体" w:hAnsi="宋体"/>
          <w:sz w:val="24"/>
        </w:rPr>
        <w:t>5.5.3图片素材统一以JPG格式存储，分辨率不低于800*600；</w:t>
      </w:r>
    </w:p>
    <w:p>
      <w:pPr>
        <w:spacing w:line="360" w:lineRule="auto"/>
        <w:ind w:firstLine="560"/>
        <w:textAlignment w:val="auto"/>
        <w:rPr>
          <w:rStyle w:val="13"/>
          <w:rFonts w:ascii="宋体" w:hAnsi="宋体"/>
          <w:sz w:val="24"/>
        </w:rPr>
      </w:pPr>
      <w:r>
        <w:rPr>
          <w:rStyle w:val="13"/>
          <w:rFonts w:ascii="宋体" w:hAnsi="宋体"/>
          <w:sz w:val="24"/>
        </w:rPr>
        <w:t>5.5.4视频素材统一以MP4格式存储，大小不超过10MB；</w:t>
      </w:r>
    </w:p>
    <w:p>
      <w:pPr>
        <w:spacing w:line="360" w:lineRule="auto"/>
        <w:ind w:firstLine="560"/>
        <w:textAlignment w:val="auto"/>
        <w:rPr>
          <w:rStyle w:val="13"/>
          <w:rFonts w:ascii="宋体" w:hAnsi="宋体"/>
          <w:sz w:val="24"/>
        </w:rPr>
      </w:pPr>
      <w:r>
        <w:rPr>
          <w:rStyle w:val="13"/>
          <w:rFonts w:ascii="宋体" w:hAnsi="宋体"/>
          <w:sz w:val="24"/>
        </w:rPr>
        <w:t>5.5.5音频素材统一以MP3格式存储，大小不超过2MB；</w:t>
      </w:r>
    </w:p>
    <w:p>
      <w:pPr>
        <w:spacing w:line="360" w:lineRule="auto"/>
        <w:ind w:firstLine="560"/>
        <w:textAlignment w:val="auto"/>
        <w:rPr>
          <w:rStyle w:val="13"/>
          <w:rFonts w:ascii="宋体" w:hAnsi="宋体"/>
          <w:sz w:val="24"/>
        </w:rPr>
      </w:pPr>
      <w:r>
        <w:rPr>
          <w:rStyle w:val="13"/>
          <w:rFonts w:ascii="宋体" w:hAnsi="宋体"/>
          <w:sz w:val="24"/>
        </w:rPr>
        <w:t>5.6病例解析要求</w:t>
      </w:r>
    </w:p>
    <w:p>
      <w:pPr>
        <w:spacing w:line="360" w:lineRule="auto"/>
        <w:ind w:firstLine="560"/>
        <w:textAlignment w:val="auto"/>
        <w:rPr>
          <w:rStyle w:val="13"/>
          <w:rFonts w:ascii="宋体" w:hAnsi="宋体"/>
          <w:sz w:val="24"/>
        </w:rPr>
      </w:pPr>
      <w:r>
        <w:rPr>
          <w:rStyle w:val="13"/>
          <w:rFonts w:ascii="宋体" w:hAnsi="宋体"/>
          <w:sz w:val="24"/>
        </w:rPr>
        <w:t>5.6.1要有病例涉及疾病与患者每一个临床症状之间关系的分析说明；</w:t>
      </w:r>
    </w:p>
    <w:p>
      <w:pPr>
        <w:spacing w:line="360" w:lineRule="auto"/>
        <w:ind w:firstLine="560"/>
        <w:textAlignment w:val="auto"/>
        <w:rPr>
          <w:rStyle w:val="13"/>
          <w:rFonts w:ascii="宋体" w:hAnsi="宋体"/>
          <w:sz w:val="24"/>
        </w:rPr>
      </w:pPr>
      <w:r>
        <w:rPr>
          <w:rStyle w:val="13"/>
          <w:rFonts w:ascii="宋体" w:hAnsi="宋体"/>
          <w:sz w:val="24"/>
        </w:rPr>
        <w:t>5.6.2要有每一项诊疗操作的目的和意义；</w:t>
      </w:r>
    </w:p>
    <w:p>
      <w:pPr>
        <w:spacing w:line="360" w:lineRule="auto"/>
        <w:ind w:firstLine="560"/>
        <w:textAlignment w:val="auto"/>
        <w:rPr>
          <w:rStyle w:val="13"/>
          <w:rFonts w:ascii="宋体" w:hAnsi="宋体"/>
          <w:sz w:val="24"/>
        </w:rPr>
      </w:pPr>
      <w:r>
        <w:rPr>
          <w:rStyle w:val="13"/>
          <w:rFonts w:ascii="宋体" w:hAnsi="宋体"/>
          <w:sz w:val="24"/>
        </w:rPr>
        <w:t>5.6.3要有病例的心得分析；</w:t>
      </w:r>
    </w:p>
    <w:p>
      <w:pPr>
        <w:spacing w:line="360" w:lineRule="auto"/>
        <w:ind w:firstLine="560"/>
        <w:textAlignment w:val="auto"/>
        <w:rPr>
          <w:rStyle w:val="13"/>
          <w:rFonts w:ascii="宋体" w:hAnsi="宋体"/>
          <w:sz w:val="24"/>
        </w:rPr>
      </w:pPr>
      <w:r>
        <w:rPr>
          <w:rStyle w:val="13"/>
          <w:rFonts w:ascii="宋体" w:hAnsi="宋体"/>
          <w:sz w:val="24"/>
        </w:rPr>
        <w:t>5.6.4每一条分析必须符合最新的医学生教材和诊疗指南；</w:t>
      </w:r>
    </w:p>
    <w:p>
      <w:pPr>
        <w:pStyle w:val="24"/>
        <w:spacing w:before="0" w:after="0" w:line="360" w:lineRule="auto"/>
        <w:textAlignment w:val="auto"/>
        <w:rPr>
          <w:rStyle w:val="13"/>
          <w:rFonts w:ascii="宋体" w:hAnsi="宋体" w:cs="宋体"/>
          <w:b/>
          <w:bCs/>
        </w:rPr>
      </w:pPr>
      <w:r>
        <w:rPr>
          <w:rStyle w:val="13"/>
          <w:rFonts w:ascii="宋体" w:hAnsi="宋体" w:cs="宋体"/>
          <w:b/>
          <w:bCs/>
        </w:rPr>
        <w:t>考核、评级参数</w:t>
      </w:r>
    </w:p>
    <w:p>
      <w:pPr>
        <w:spacing w:line="360" w:lineRule="auto"/>
        <w:ind w:firstLine="560"/>
        <w:textAlignment w:val="auto"/>
        <w:rPr>
          <w:rStyle w:val="13"/>
          <w:rFonts w:ascii="宋体" w:hAnsi="宋体"/>
          <w:sz w:val="24"/>
        </w:rPr>
      </w:pPr>
      <w:r>
        <w:rPr>
          <w:rStyle w:val="13"/>
          <w:rFonts w:ascii="宋体" w:hAnsi="宋体"/>
          <w:sz w:val="24"/>
        </w:rPr>
        <w:t>6.1 单场考试成绩统计</w:t>
      </w:r>
    </w:p>
    <w:p>
      <w:pPr>
        <w:spacing w:line="360" w:lineRule="auto"/>
        <w:ind w:firstLine="560"/>
        <w:textAlignment w:val="auto"/>
        <w:rPr>
          <w:rStyle w:val="13"/>
          <w:rFonts w:ascii="宋体" w:hAnsi="宋体"/>
          <w:sz w:val="24"/>
        </w:rPr>
      </w:pPr>
      <w:r>
        <w:rPr>
          <w:rStyle w:val="13"/>
          <w:rFonts w:ascii="宋体" w:hAnsi="宋体"/>
          <w:sz w:val="24"/>
        </w:rPr>
        <w:t>6.1.1 能够统计考试通过率、平均分、中位数、标准差、方差；</w:t>
      </w:r>
    </w:p>
    <w:p>
      <w:pPr>
        <w:spacing w:line="360" w:lineRule="auto"/>
        <w:ind w:firstLine="560"/>
        <w:textAlignment w:val="auto"/>
        <w:rPr>
          <w:rStyle w:val="13"/>
          <w:rFonts w:ascii="宋体" w:hAnsi="宋体"/>
          <w:sz w:val="24"/>
        </w:rPr>
      </w:pPr>
      <w:r>
        <w:rPr>
          <w:rStyle w:val="13"/>
          <w:rFonts w:ascii="宋体" w:hAnsi="宋体"/>
          <w:sz w:val="24"/>
        </w:rPr>
        <w:t>6.1.2能够统计考试成绩分布、完成度、评级；</w:t>
      </w:r>
    </w:p>
    <w:p>
      <w:pPr>
        <w:spacing w:line="360" w:lineRule="auto"/>
        <w:ind w:firstLine="560"/>
        <w:textAlignment w:val="auto"/>
        <w:rPr>
          <w:rStyle w:val="13"/>
          <w:rFonts w:ascii="宋体" w:hAnsi="宋体"/>
          <w:sz w:val="24"/>
        </w:rPr>
      </w:pPr>
      <w:r>
        <w:rPr>
          <w:rStyle w:val="13"/>
          <w:rFonts w:ascii="宋体" w:hAnsi="宋体"/>
          <w:sz w:val="24"/>
        </w:rPr>
        <w:t>6.1.3 能够统计考生成绩排行，及成绩发展趋势；</w:t>
      </w:r>
    </w:p>
    <w:p>
      <w:pPr>
        <w:spacing w:line="360" w:lineRule="auto"/>
        <w:ind w:firstLine="560"/>
        <w:textAlignment w:val="auto"/>
        <w:rPr>
          <w:rStyle w:val="13"/>
          <w:rFonts w:ascii="宋体" w:hAnsi="宋体"/>
          <w:sz w:val="24"/>
        </w:rPr>
      </w:pPr>
      <w:r>
        <w:rPr>
          <w:rStyle w:val="13"/>
          <w:rFonts w:ascii="宋体" w:hAnsi="宋体"/>
          <w:sz w:val="24"/>
        </w:rPr>
        <w:t>6.1.4 支持统计结果的可视化展示；</w:t>
      </w:r>
    </w:p>
    <w:p>
      <w:pPr>
        <w:spacing w:line="360" w:lineRule="auto"/>
        <w:ind w:firstLine="560"/>
        <w:textAlignment w:val="auto"/>
        <w:rPr>
          <w:rStyle w:val="13"/>
          <w:rFonts w:ascii="宋体" w:hAnsi="宋体"/>
          <w:sz w:val="24"/>
        </w:rPr>
      </w:pPr>
      <w:r>
        <w:rPr>
          <w:rStyle w:val="13"/>
          <w:rFonts w:ascii="宋体" w:hAnsi="宋体"/>
          <w:sz w:val="24"/>
        </w:rPr>
        <w:t>6.1.5 每一场考试可以统计的考题的难度、区分度的分析，每一道题的正确率和错误率</w:t>
      </w:r>
    </w:p>
    <w:p>
      <w:pPr>
        <w:spacing w:line="360" w:lineRule="auto"/>
        <w:ind w:firstLine="560"/>
        <w:textAlignment w:val="auto"/>
        <w:rPr>
          <w:rStyle w:val="13"/>
          <w:rFonts w:ascii="宋体" w:hAnsi="宋体"/>
          <w:sz w:val="24"/>
        </w:rPr>
      </w:pPr>
      <w:r>
        <w:rPr>
          <w:rStyle w:val="13"/>
          <w:rFonts w:ascii="宋体" w:hAnsi="宋体"/>
          <w:sz w:val="24"/>
        </w:rPr>
        <w:t>6.2 单场考试成绩分析</w:t>
      </w:r>
    </w:p>
    <w:p>
      <w:pPr>
        <w:spacing w:line="360" w:lineRule="auto"/>
        <w:ind w:firstLine="560"/>
        <w:textAlignment w:val="auto"/>
        <w:rPr>
          <w:rStyle w:val="13"/>
          <w:rFonts w:ascii="宋体" w:hAnsi="宋体"/>
          <w:sz w:val="24"/>
        </w:rPr>
      </w:pPr>
      <w:r>
        <w:rPr>
          <w:rStyle w:val="13"/>
          <w:rFonts w:ascii="宋体" w:hAnsi="宋体"/>
          <w:sz w:val="24"/>
        </w:rPr>
        <w:t>6.2.1 能够分析考场所有考生整体临床能力水平；</w:t>
      </w:r>
    </w:p>
    <w:p>
      <w:pPr>
        <w:spacing w:line="360" w:lineRule="auto"/>
        <w:ind w:firstLine="560"/>
        <w:textAlignment w:val="auto"/>
        <w:rPr>
          <w:rStyle w:val="13"/>
          <w:rFonts w:ascii="宋体" w:hAnsi="宋体"/>
          <w:sz w:val="24"/>
        </w:rPr>
      </w:pPr>
      <w:r>
        <w:rPr>
          <w:rStyle w:val="13"/>
          <w:rFonts w:ascii="宋体" w:hAnsi="宋体"/>
          <w:sz w:val="24"/>
        </w:rPr>
        <w:t>6.2.2 能够从问诊能力、体检能力、辅检能力、诊断能力、治疗能力等多个维度进行分析；</w:t>
      </w:r>
    </w:p>
    <w:p>
      <w:pPr>
        <w:spacing w:line="360" w:lineRule="auto"/>
        <w:ind w:firstLine="560"/>
        <w:textAlignment w:val="auto"/>
        <w:rPr>
          <w:rStyle w:val="13"/>
          <w:rFonts w:ascii="宋体" w:hAnsi="宋体"/>
          <w:sz w:val="24"/>
        </w:rPr>
      </w:pPr>
      <w:r>
        <w:rPr>
          <w:rStyle w:val="13"/>
          <w:rFonts w:ascii="宋体" w:hAnsi="宋体"/>
          <w:sz w:val="24"/>
        </w:rPr>
        <w:t>6.2.3 支持分析结果的图形化展示与自然语言描述；</w:t>
      </w:r>
    </w:p>
    <w:p>
      <w:pPr>
        <w:spacing w:line="360" w:lineRule="auto"/>
        <w:ind w:firstLine="560"/>
        <w:textAlignment w:val="auto"/>
        <w:rPr>
          <w:rStyle w:val="13"/>
          <w:rFonts w:ascii="宋体" w:hAnsi="宋体"/>
          <w:sz w:val="24"/>
        </w:rPr>
      </w:pPr>
      <w:r>
        <w:rPr>
          <w:rStyle w:val="13"/>
          <w:rFonts w:ascii="宋体" w:hAnsi="宋体"/>
          <w:sz w:val="24"/>
        </w:rPr>
        <w:t>6.3 学员整体临床能力分析</w:t>
      </w:r>
    </w:p>
    <w:p>
      <w:pPr>
        <w:spacing w:line="360" w:lineRule="auto"/>
        <w:ind w:firstLine="560"/>
        <w:textAlignment w:val="auto"/>
        <w:rPr>
          <w:rStyle w:val="13"/>
          <w:rFonts w:ascii="宋体" w:hAnsi="宋体"/>
          <w:sz w:val="24"/>
        </w:rPr>
      </w:pPr>
      <w:r>
        <w:rPr>
          <w:rStyle w:val="13"/>
          <w:rFonts w:ascii="宋体" w:hAnsi="宋体"/>
          <w:sz w:val="24"/>
        </w:rPr>
        <w:t>6.3.1 能够根据专业、班级等不同维度，分析全校学生的临床诊疗水平；</w:t>
      </w:r>
    </w:p>
    <w:p>
      <w:pPr>
        <w:spacing w:line="360" w:lineRule="auto"/>
        <w:ind w:firstLine="560"/>
        <w:textAlignment w:val="auto"/>
        <w:rPr>
          <w:rStyle w:val="13"/>
          <w:rFonts w:ascii="宋体" w:hAnsi="宋体"/>
          <w:sz w:val="24"/>
        </w:rPr>
      </w:pPr>
      <w:r>
        <w:rPr>
          <w:rStyle w:val="13"/>
          <w:rFonts w:ascii="宋体" w:hAnsi="宋体"/>
          <w:sz w:val="24"/>
        </w:rPr>
        <w:t>6.3.2 能够跟踪全校学生的临床诊疗水平及其发展趋势，分析方式不低于10种；</w:t>
      </w:r>
    </w:p>
    <w:p>
      <w:pPr>
        <w:spacing w:line="360" w:lineRule="auto"/>
        <w:ind w:firstLine="560"/>
        <w:textAlignment w:val="auto"/>
        <w:rPr>
          <w:rStyle w:val="13"/>
          <w:rFonts w:ascii="宋体" w:hAnsi="宋体"/>
          <w:sz w:val="24"/>
        </w:rPr>
      </w:pPr>
      <w:r>
        <w:rPr>
          <w:rStyle w:val="13"/>
          <w:rFonts w:ascii="宋体" w:hAnsi="宋体"/>
          <w:sz w:val="24"/>
        </w:rPr>
        <w:t>6.4 个人学习统计</w:t>
      </w:r>
    </w:p>
    <w:p>
      <w:pPr>
        <w:spacing w:line="360" w:lineRule="auto"/>
        <w:ind w:firstLine="560"/>
        <w:textAlignment w:val="auto"/>
        <w:rPr>
          <w:rStyle w:val="13"/>
          <w:rFonts w:ascii="宋体" w:hAnsi="宋体"/>
          <w:sz w:val="24"/>
        </w:rPr>
      </w:pPr>
      <w:r>
        <w:rPr>
          <w:rStyle w:val="13"/>
          <w:rFonts w:ascii="宋体" w:hAnsi="宋体"/>
          <w:sz w:val="24"/>
        </w:rPr>
        <w:t>6.4.1 能够根据专科、病种等，指定统计每个学生的历史自学情况，包括学习次数、时间、分数、评级、效果、班级排名等；</w:t>
      </w:r>
    </w:p>
    <w:p>
      <w:pPr>
        <w:spacing w:line="360" w:lineRule="auto"/>
        <w:ind w:firstLine="560"/>
        <w:textAlignment w:val="auto"/>
        <w:rPr>
          <w:rStyle w:val="13"/>
          <w:rFonts w:ascii="宋体" w:hAnsi="宋体"/>
          <w:sz w:val="24"/>
        </w:rPr>
      </w:pPr>
      <w:r>
        <w:rPr>
          <w:rStyle w:val="13"/>
          <w:rFonts w:ascii="宋体" w:hAnsi="宋体"/>
          <w:sz w:val="24"/>
        </w:rPr>
        <w:t xml:space="preserve">6.4.2 能够统计个人历史考试情况，包括次数、时间、成绩、评级、单场排名、综合排名等； </w:t>
      </w:r>
    </w:p>
    <w:p>
      <w:pPr>
        <w:spacing w:line="360" w:lineRule="auto"/>
        <w:ind w:firstLine="560"/>
        <w:textAlignment w:val="auto"/>
        <w:rPr>
          <w:rStyle w:val="13"/>
          <w:rFonts w:ascii="宋体" w:hAnsi="宋体"/>
          <w:sz w:val="24"/>
        </w:rPr>
      </w:pPr>
      <w:r>
        <w:rPr>
          <w:rStyle w:val="13"/>
          <w:rFonts w:ascii="宋体" w:hAnsi="宋体"/>
          <w:sz w:val="24"/>
        </w:rPr>
        <w:t>6.5 个人能力分析</w:t>
      </w:r>
    </w:p>
    <w:p>
      <w:pPr>
        <w:spacing w:line="360" w:lineRule="auto"/>
        <w:ind w:firstLine="560"/>
        <w:textAlignment w:val="auto"/>
        <w:rPr>
          <w:rStyle w:val="13"/>
          <w:rFonts w:ascii="宋体" w:hAnsi="宋体"/>
          <w:sz w:val="24"/>
        </w:rPr>
      </w:pPr>
      <w:r>
        <w:rPr>
          <w:rStyle w:val="13"/>
          <w:rFonts w:ascii="宋体" w:hAnsi="宋体"/>
          <w:sz w:val="24"/>
        </w:rPr>
        <w:t>6.5.1 能够根据个人自学、考试情况，对个人临床诊疗能力的不同维度进行分析，包括问诊能力、体检能力、辅检能力、诊断能力、治疗能力等；</w:t>
      </w:r>
    </w:p>
    <w:p>
      <w:pPr>
        <w:spacing w:line="360" w:lineRule="auto"/>
        <w:ind w:firstLine="560"/>
        <w:textAlignment w:val="auto"/>
        <w:rPr>
          <w:rStyle w:val="13"/>
          <w:rFonts w:ascii="宋体" w:hAnsi="宋体"/>
          <w:sz w:val="24"/>
        </w:rPr>
      </w:pPr>
      <w:r>
        <w:rPr>
          <w:rStyle w:val="13"/>
          <w:rFonts w:ascii="宋体" w:hAnsi="宋体"/>
          <w:sz w:val="24"/>
        </w:rPr>
        <w:t>6.5.2 能够针对多个学生，进行临床诊疗能力横向对比分析；</w:t>
      </w:r>
    </w:p>
    <w:p>
      <w:pPr>
        <w:spacing w:line="360" w:lineRule="auto"/>
        <w:ind w:firstLine="560"/>
        <w:textAlignment w:val="auto"/>
        <w:rPr>
          <w:rStyle w:val="13"/>
          <w:rFonts w:ascii="宋体" w:hAnsi="宋体"/>
          <w:sz w:val="24"/>
        </w:rPr>
      </w:pPr>
      <w:r>
        <w:rPr>
          <w:rStyle w:val="13"/>
          <w:rFonts w:ascii="宋体" w:hAnsi="宋体"/>
          <w:sz w:val="24"/>
        </w:rPr>
        <w:t>6.5.3 支持能力分析报告的导出。</w:t>
      </w:r>
    </w:p>
    <w:p>
      <w:pPr>
        <w:pStyle w:val="24"/>
        <w:spacing w:before="0" w:after="0" w:line="360" w:lineRule="auto"/>
        <w:textAlignment w:val="auto"/>
        <w:rPr>
          <w:rStyle w:val="13"/>
          <w:rFonts w:ascii="宋体" w:hAnsi="宋体" w:cs="宋体"/>
          <w:b/>
          <w:bCs/>
        </w:rPr>
      </w:pPr>
      <w:r>
        <w:rPr>
          <w:rStyle w:val="13"/>
          <w:rFonts w:ascii="宋体" w:hAnsi="宋体" w:cs="宋体"/>
          <w:b/>
          <w:bCs/>
        </w:rPr>
        <w:t>病例资源</w:t>
      </w:r>
    </w:p>
    <w:p>
      <w:pPr>
        <w:spacing w:line="360" w:lineRule="auto"/>
        <w:ind w:firstLine="560"/>
        <w:textAlignment w:val="auto"/>
        <w:rPr>
          <w:rStyle w:val="13"/>
          <w:rFonts w:ascii="宋体" w:hAnsi="宋体"/>
          <w:sz w:val="24"/>
        </w:rPr>
      </w:pPr>
      <w:r>
        <w:rPr>
          <w:rStyle w:val="13"/>
          <w:rFonts w:ascii="宋体" w:hAnsi="宋体"/>
          <w:sz w:val="24"/>
        </w:rPr>
        <w:t>7.1病例资源丰富：病例覆盖了20余个临床专科200多个病种，可以让学员在学习、见习、实习全过程自主挑选病例进行有针对性的学习和练习。</w:t>
      </w:r>
    </w:p>
    <w:p>
      <w:pPr>
        <w:spacing w:line="360" w:lineRule="auto"/>
        <w:ind w:firstLine="560"/>
        <w:textAlignment w:val="auto"/>
        <w:rPr>
          <w:rStyle w:val="13"/>
          <w:rFonts w:ascii="宋体" w:hAnsi="宋体"/>
          <w:sz w:val="24"/>
        </w:rPr>
      </w:pPr>
      <w:r>
        <w:rPr>
          <w:rStyle w:val="13"/>
          <w:rFonts w:ascii="宋体" w:hAnsi="宋体"/>
          <w:sz w:val="24"/>
        </w:rPr>
        <w:t>7.2.病例资源需满足</w:t>
      </w:r>
    </w:p>
    <w:p>
      <w:pPr>
        <w:spacing w:line="360" w:lineRule="auto"/>
        <w:ind w:firstLine="560"/>
        <w:textAlignment w:val="auto"/>
        <w:rPr>
          <w:rStyle w:val="13"/>
          <w:rFonts w:ascii="宋体" w:hAnsi="宋体"/>
          <w:sz w:val="24"/>
        </w:rPr>
      </w:pPr>
      <w:r>
        <w:rPr>
          <w:rStyle w:val="13"/>
          <w:rFonts w:ascii="宋体" w:hAnsi="宋体"/>
          <w:sz w:val="24"/>
        </w:rPr>
        <w:t>7.2.1病例资源涵盖内科、外科、妇产科、儿科、全科、神经内科等学科。</w:t>
      </w:r>
    </w:p>
    <w:p>
      <w:pPr>
        <w:spacing w:line="360" w:lineRule="auto"/>
        <w:ind w:firstLine="560"/>
        <w:textAlignment w:val="auto"/>
        <w:rPr>
          <w:rStyle w:val="13"/>
          <w:rFonts w:ascii="宋体" w:hAnsi="宋体"/>
          <w:sz w:val="24"/>
        </w:rPr>
      </w:pPr>
      <w:r>
        <w:rPr>
          <w:rStyle w:val="13"/>
          <w:rFonts w:ascii="宋体" w:hAnsi="宋体"/>
          <w:sz w:val="24"/>
        </w:rPr>
        <w:t>7.2.2病例符合医学生教学大纲要求，病例逻辑设置合理。</w:t>
      </w:r>
    </w:p>
    <w:p>
      <w:pPr>
        <w:spacing w:line="360" w:lineRule="auto"/>
        <w:ind w:firstLine="560"/>
        <w:textAlignment w:val="auto"/>
        <w:rPr>
          <w:rStyle w:val="13"/>
          <w:rFonts w:ascii="宋体" w:hAnsi="宋体"/>
          <w:sz w:val="24"/>
        </w:rPr>
      </w:pPr>
      <w:r>
        <w:rPr>
          <w:rStyle w:val="13"/>
          <w:rFonts w:ascii="宋体" w:hAnsi="宋体"/>
          <w:sz w:val="24"/>
        </w:rPr>
        <w:t>7.2.3要有完整、符合最新医学生教材和和诊疗指南的分步诊疗评价评分标准；</w:t>
      </w:r>
    </w:p>
    <w:p>
      <w:pPr>
        <w:spacing w:line="360" w:lineRule="auto"/>
        <w:ind w:firstLine="560"/>
        <w:textAlignment w:val="auto"/>
        <w:rPr>
          <w:rStyle w:val="13"/>
          <w:rFonts w:ascii="宋体" w:hAnsi="宋体"/>
          <w:sz w:val="24"/>
        </w:rPr>
      </w:pPr>
      <w:r>
        <w:rPr>
          <w:rStyle w:val="13"/>
          <w:rFonts w:ascii="宋体" w:hAnsi="宋体"/>
          <w:sz w:val="24"/>
        </w:rPr>
        <w:t>7.3.病例特点需满足：</w:t>
      </w:r>
    </w:p>
    <w:p>
      <w:pPr>
        <w:spacing w:line="360" w:lineRule="auto"/>
        <w:ind w:firstLine="560"/>
        <w:textAlignment w:val="auto"/>
        <w:rPr>
          <w:rStyle w:val="13"/>
          <w:rFonts w:ascii="宋体" w:hAnsi="宋体"/>
          <w:sz w:val="24"/>
        </w:rPr>
      </w:pPr>
      <w:r>
        <w:rPr>
          <w:rStyle w:val="13"/>
          <w:rFonts w:ascii="宋体" w:hAnsi="宋体"/>
          <w:sz w:val="24"/>
        </w:rPr>
        <w:t>7.3.1智能分配病例：通过一次病例自测或自学，系统可根据学生的表现、所处的年纪和教学进度，可以自动或自主分配适合学生自主学习的病例；</w:t>
      </w:r>
    </w:p>
    <w:p>
      <w:pPr>
        <w:spacing w:line="360" w:lineRule="auto"/>
        <w:ind w:firstLine="560"/>
        <w:textAlignment w:val="auto"/>
        <w:rPr>
          <w:rStyle w:val="13"/>
          <w:rFonts w:ascii="宋体" w:hAnsi="宋体"/>
          <w:sz w:val="24"/>
        </w:rPr>
      </w:pPr>
      <w:r>
        <w:rPr>
          <w:rStyle w:val="13"/>
          <w:rFonts w:ascii="宋体" w:hAnsi="宋体"/>
          <w:sz w:val="24"/>
        </w:rPr>
        <w:t>7.3.2病例分级：病例按照难易程度、适合对象分成从专科生到专科培训医生6个层次，医学院和医院机构可以跟据自己的学员类型或学习阶段，选择对应的合适的病例安排学生自学或组织考试。</w:t>
      </w:r>
    </w:p>
    <w:p>
      <w:pPr>
        <w:spacing w:line="360" w:lineRule="auto"/>
        <w:ind w:firstLine="560"/>
        <w:textAlignment w:val="auto"/>
        <w:rPr>
          <w:rStyle w:val="13"/>
          <w:rFonts w:ascii="宋体" w:hAnsi="宋体"/>
          <w:sz w:val="24"/>
        </w:rPr>
      </w:pPr>
      <w:r>
        <w:rPr>
          <w:rStyle w:val="13"/>
          <w:rFonts w:ascii="宋体" w:hAnsi="宋体"/>
          <w:sz w:val="24"/>
        </w:rPr>
        <w:t>7.3.3多病程病例：系统支持多病程病例，可以模拟复杂的病情演变，除了训练/考核学生做出正确诊断的能力，还可训练/考核学生对具体疾病的治疗处置能力。</w:t>
      </w:r>
    </w:p>
    <w:p>
      <w:pPr>
        <w:spacing w:line="360" w:lineRule="auto"/>
        <w:ind w:firstLine="560"/>
        <w:textAlignment w:val="auto"/>
        <w:rPr>
          <w:rStyle w:val="13"/>
          <w:rFonts w:ascii="宋体" w:hAnsi="宋体"/>
          <w:sz w:val="24"/>
        </w:rPr>
      </w:pPr>
      <w:r>
        <w:rPr>
          <w:rStyle w:val="13"/>
          <w:rFonts w:ascii="宋体" w:hAnsi="宋体"/>
          <w:sz w:val="24"/>
        </w:rPr>
        <w:t>7.3.4考核形式：学员可以通过扫二维码、输入验证码等多种方式参与考试；在同一次考试中，不同学员可以考核不同病例，实现更有针对性的考核；学员可以在任何能接入互联网访问的时间和地点参与考试。</w:t>
      </w:r>
    </w:p>
    <w:p>
      <w:pPr>
        <w:spacing w:line="360" w:lineRule="auto"/>
        <w:ind w:firstLine="560"/>
        <w:textAlignment w:val="auto"/>
        <w:rPr>
          <w:rStyle w:val="13"/>
          <w:rFonts w:ascii="宋体" w:hAnsi="宋体"/>
          <w:sz w:val="24"/>
        </w:rPr>
      </w:pPr>
      <w:r>
        <w:rPr>
          <w:rStyle w:val="13"/>
          <w:rFonts w:ascii="宋体" w:hAnsi="宋体"/>
          <w:sz w:val="24"/>
        </w:rPr>
        <w:t>7.3.5系统支持病例自主编写，修改和定向共享，帮助医学院实现教学病例资源的共建共享。</w:t>
      </w:r>
    </w:p>
    <w:p>
      <w:pPr>
        <w:spacing w:line="360" w:lineRule="auto"/>
        <w:ind w:firstLine="560"/>
        <w:textAlignment w:val="auto"/>
        <w:rPr>
          <w:rStyle w:val="13"/>
          <w:rFonts w:ascii="宋体" w:hAnsi="宋体"/>
          <w:sz w:val="24"/>
        </w:rPr>
      </w:pPr>
      <w:r>
        <w:rPr>
          <w:rStyle w:val="13"/>
          <w:rFonts w:ascii="宋体" w:hAnsi="宋体"/>
          <w:sz w:val="24"/>
        </w:rPr>
        <w:t>7.3.6每个学员使用独立的账号登录系统进行临床思维训练和考核，机构可以通过管理员账号在后台查看每位学员历次的训练和考核情况，并支持查看多种统计分析结果。</w:t>
      </w:r>
    </w:p>
    <w:p>
      <w:pPr>
        <w:pStyle w:val="2"/>
      </w:pPr>
      <w:r>
        <w:rPr>
          <w:rFonts w:hint="eastAsia"/>
        </w:rPr>
        <w:t>7.3.7个人学习情况管理，系统支持用户查看培训、学习日志/记录，可对用户的学习、考试结果进行统计分析：</w:t>
      </w:r>
    </w:p>
    <w:p>
      <w:pPr>
        <w:pStyle w:val="2"/>
      </w:pPr>
      <w:r>
        <w:rPr>
          <w:rFonts w:hint="eastAsia"/>
        </w:rPr>
        <w:t>（1）能够根据多种维度，指定统计每个学生的历史自学情况，包括学习课程、次数、时间、分数、评级、培训结排名等，形成综合的学习统计分析报表，支持结果可视化展示；</w:t>
      </w:r>
    </w:p>
    <w:p>
      <w:pPr>
        <w:pStyle w:val="2"/>
      </w:pPr>
      <w:r>
        <w:rPr>
          <w:rFonts w:hint="eastAsia"/>
        </w:rPr>
        <w:t>（2）能够统计个人各项历史考试情况，包括次数、时间、成绩、排名等：能够统计考试通过率、平均分、中位数等形成成绩趋势分析结果；</w:t>
      </w:r>
    </w:p>
    <w:p>
      <w:pPr>
        <w:pStyle w:val="2"/>
      </w:pPr>
      <w:r>
        <w:rPr>
          <w:rFonts w:hint="eastAsia"/>
        </w:rPr>
        <w:t>（3）能够分析学员模拟临床诊疗操作过程，对学员的问诊能力、体检能力、辅检能力、诊断能力、治疗能力进行分析，形成学员临床诊疗能力分析报告；</w:t>
      </w:r>
    </w:p>
    <w:p>
      <w:pPr>
        <w:spacing w:line="360" w:lineRule="auto"/>
        <w:ind w:firstLine="560"/>
        <w:textAlignment w:val="auto"/>
        <w:rPr>
          <w:rStyle w:val="13"/>
          <w:rFonts w:ascii="宋体" w:hAnsi="宋体"/>
          <w:sz w:val="24"/>
        </w:rPr>
      </w:pPr>
    </w:p>
    <w:p>
      <w:pPr>
        <w:pStyle w:val="20"/>
        <w:spacing w:before="0" w:after="0" w:line="360" w:lineRule="auto"/>
        <w:textAlignment w:val="auto"/>
        <w:rPr>
          <w:rStyle w:val="13"/>
          <w:rFonts w:ascii="宋体" w:hAnsi="宋体"/>
          <w:sz w:val="24"/>
          <w:szCs w:val="24"/>
        </w:rPr>
      </w:pPr>
      <w:r>
        <w:rPr>
          <w:rStyle w:val="13"/>
          <w:rFonts w:ascii="宋体" w:hAnsi="宋体"/>
          <w:b/>
          <w:bCs/>
          <w:sz w:val="24"/>
          <w:szCs w:val="24"/>
        </w:rPr>
        <w:t>互联网医疗平台</w:t>
      </w:r>
    </w:p>
    <w:p>
      <w:pPr>
        <w:pStyle w:val="21"/>
        <w:spacing w:line="360" w:lineRule="auto"/>
        <w:textAlignment w:val="auto"/>
        <w:rPr>
          <w:rStyle w:val="13"/>
          <w:rFonts w:cs="宋体"/>
          <w:b/>
          <w:sz w:val="24"/>
          <w:szCs w:val="24"/>
        </w:rPr>
      </w:pPr>
      <w:r>
        <w:rPr>
          <w:rStyle w:val="13"/>
          <w:rFonts w:cs="宋体"/>
          <w:b/>
          <w:sz w:val="24"/>
          <w:szCs w:val="24"/>
        </w:rPr>
        <w:t>智能导诊预约</w:t>
      </w:r>
    </w:p>
    <w:p>
      <w:pPr>
        <w:pStyle w:val="22"/>
        <w:numPr>
          <w:ilvl w:val="4"/>
          <w:numId w:val="0"/>
        </w:numPr>
        <w:spacing w:before="0" w:after="0" w:line="360" w:lineRule="auto"/>
        <w:ind w:left="1560"/>
        <w:textAlignment w:val="auto"/>
        <w:rPr>
          <w:rStyle w:val="13"/>
          <w:rFonts w:ascii="宋体" w:hAnsi="宋体" w:cs="宋体"/>
          <w:bCs/>
          <w:sz w:val="24"/>
          <w:szCs w:val="24"/>
        </w:rPr>
      </w:pPr>
      <w:r>
        <w:rPr>
          <w:rStyle w:val="13"/>
          <w:rFonts w:hint="eastAsia" w:ascii="宋体" w:hAnsi="宋体" w:cs="宋体"/>
          <w:bCs/>
          <w:sz w:val="24"/>
          <w:szCs w:val="24"/>
        </w:rPr>
        <w:t>1.</w:t>
      </w:r>
      <w:r>
        <w:rPr>
          <w:rStyle w:val="13"/>
          <w:rFonts w:ascii="宋体" w:hAnsi="宋体" w:cs="宋体"/>
          <w:bCs/>
          <w:sz w:val="24"/>
          <w:szCs w:val="24"/>
        </w:rPr>
        <w:t>产品要求</w:t>
      </w:r>
    </w:p>
    <w:p>
      <w:pPr>
        <w:spacing w:line="360" w:lineRule="auto"/>
        <w:ind w:firstLine="560"/>
        <w:textAlignment w:val="auto"/>
        <w:rPr>
          <w:rStyle w:val="13"/>
          <w:rFonts w:ascii="宋体" w:hAnsi="宋体"/>
          <w:sz w:val="24"/>
        </w:rPr>
      </w:pPr>
      <w:r>
        <w:rPr>
          <w:rStyle w:val="13"/>
          <w:rFonts w:ascii="宋体" w:hAnsi="宋体"/>
          <w:sz w:val="24"/>
        </w:rPr>
        <w:t>智能导诊预约服务对象主要是区域内的居民，为居民提供精准的导诊导医服务，基于语音、认知智能及推理技术，一方面居民通过多轮语音交互叙述病情，系统能够自动分析给出疑似疾病，精准推荐科室，结合预约挂号平台，实现精准挂号，有效解决知症不知病”、“知病不知科”的困惑和诉求。</w:t>
      </w:r>
    </w:p>
    <w:p>
      <w:pPr>
        <w:pStyle w:val="22"/>
        <w:numPr>
          <w:ilvl w:val="4"/>
          <w:numId w:val="0"/>
        </w:numPr>
        <w:spacing w:before="0" w:after="0" w:line="360" w:lineRule="auto"/>
        <w:ind w:left="1560"/>
        <w:textAlignment w:val="auto"/>
        <w:rPr>
          <w:rStyle w:val="13"/>
          <w:rFonts w:ascii="宋体" w:hAnsi="宋体" w:cs="宋体"/>
          <w:bCs/>
          <w:sz w:val="24"/>
          <w:szCs w:val="24"/>
        </w:rPr>
      </w:pPr>
      <w:r>
        <w:rPr>
          <w:rStyle w:val="13"/>
          <w:rFonts w:hint="eastAsia" w:ascii="宋体" w:hAnsi="宋体" w:cs="宋体"/>
          <w:bCs/>
          <w:sz w:val="24"/>
          <w:szCs w:val="24"/>
        </w:rPr>
        <w:t>1.1</w:t>
      </w:r>
      <w:r>
        <w:rPr>
          <w:rStyle w:val="13"/>
          <w:rFonts w:ascii="宋体" w:hAnsi="宋体" w:cs="宋体"/>
          <w:bCs/>
          <w:sz w:val="24"/>
          <w:szCs w:val="24"/>
        </w:rPr>
        <w:t>技术参数</w:t>
      </w:r>
    </w:p>
    <w:tbl>
      <w:tblPr>
        <w:tblStyle w:val="10"/>
        <w:tblW w:w="849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02"/>
        <w:gridCol w:w="1293"/>
        <w:gridCol w:w="1512"/>
        <w:gridCol w:w="49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blHeader/>
        </w:trPr>
        <w:tc>
          <w:tcPr>
            <w:tcW w:w="702" w:type="dxa"/>
            <w:tcBorders>
              <w:top w:val="single" w:color="000000" w:sz="4" w:space="0"/>
              <w:left w:val="single" w:color="000000" w:sz="4" w:space="0"/>
              <w:bottom w:val="single" w:color="000000" w:sz="4" w:space="0"/>
              <w:right w:val="single" w:color="000000" w:sz="4" w:space="0"/>
            </w:tcBorders>
            <w:shd w:val="clear" w:color="auto" w:fill="D8D8D8"/>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序号</w:t>
            </w:r>
          </w:p>
        </w:tc>
        <w:tc>
          <w:tcPr>
            <w:tcW w:w="1293" w:type="dxa"/>
            <w:tcBorders>
              <w:top w:val="single" w:color="000000" w:sz="4" w:space="0"/>
              <w:left w:val="single" w:color="000000" w:sz="4" w:space="0"/>
              <w:bottom w:val="single" w:color="000000" w:sz="4" w:space="0"/>
              <w:right w:val="single" w:color="000000" w:sz="4" w:space="0"/>
            </w:tcBorders>
            <w:shd w:val="clear" w:color="auto" w:fill="D8D8D8"/>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模块</w:t>
            </w:r>
          </w:p>
        </w:tc>
        <w:tc>
          <w:tcPr>
            <w:tcW w:w="1512" w:type="dxa"/>
            <w:tcBorders>
              <w:top w:val="single" w:color="000000" w:sz="4" w:space="0"/>
              <w:left w:val="single" w:color="000000" w:sz="4" w:space="0"/>
              <w:bottom w:val="single" w:color="000000" w:sz="4" w:space="0"/>
              <w:right w:val="single" w:color="000000" w:sz="4" w:space="0"/>
            </w:tcBorders>
            <w:shd w:val="clear" w:color="auto" w:fill="D8D8D8"/>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模块功能</w:t>
            </w:r>
          </w:p>
        </w:tc>
        <w:tc>
          <w:tcPr>
            <w:tcW w:w="4988" w:type="dxa"/>
            <w:tcBorders>
              <w:top w:val="single" w:color="000000" w:sz="4" w:space="0"/>
              <w:left w:val="single" w:color="000000" w:sz="4" w:space="0"/>
              <w:bottom w:val="single" w:color="000000" w:sz="4" w:space="0"/>
              <w:right w:val="single" w:color="000000" w:sz="4" w:space="0"/>
            </w:tcBorders>
            <w:shd w:val="clear" w:color="auto" w:fill="D8D8D8"/>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技术要求说明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1</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登录注册</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手机号注册</w:t>
            </w:r>
          </w:p>
        </w:tc>
        <w:tc>
          <w:tcPr>
            <w:tcW w:w="498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用户可以通过手机号注册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2</w:t>
            </w:r>
          </w:p>
        </w:tc>
        <w:tc>
          <w:tcPr>
            <w:tcW w:w="129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账号密码登录</w:t>
            </w:r>
          </w:p>
        </w:tc>
        <w:tc>
          <w:tcPr>
            <w:tcW w:w="49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用户可以通过账号密码登录系统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3</w:t>
            </w:r>
          </w:p>
        </w:tc>
        <w:tc>
          <w:tcPr>
            <w:tcW w:w="129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验证码登录</w:t>
            </w:r>
          </w:p>
        </w:tc>
        <w:tc>
          <w:tcPr>
            <w:tcW w:w="49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用户可以通过手机验证码登录系统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4</w:t>
            </w:r>
          </w:p>
        </w:tc>
        <w:tc>
          <w:tcPr>
            <w:tcW w:w="129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第三方授权登录</w:t>
            </w:r>
          </w:p>
        </w:tc>
        <w:tc>
          <w:tcPr>
            <w:tcW w:w="49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用户可以通过第三方授权登录系统（支持微信）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5</w:t>
            </w:r>
          </w:p>
        </w:tc>
        <w:tc>
          <w:tcPr>
            <w:tcW w:w="129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忘记密码</w:t>
            </w:r>
          </w:p>
        </w:tc>
        <w:tc>
          <w:tcPr>
            <w:tcW w:w="49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用户可以通过手机验证码找回密码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6</w:t>
            </w:r>
          </w:p>
        </w:tc>
        <w:tc>
          <w:tcPr>
            <w:tcW w:w="129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账号信息授权</w:t>
            </w:r>
          </w:p>
        </w:tc>
        <w:tc>
          <w:tcPr>
            <w:tcW w:w="49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系统通过微信授权获取用户信息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7</w:t>
            </w:r>
          </w:p>
        </w:tc>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启动页</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启动页广告配置</w:t>
            </w:r>
          </w:p>
        </w:tc>
        <w:tc>
          <w:tcPr>
            <w:tcW w:w="49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启动页可以通过后台配置广告页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8</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语音助手</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问法提示分类</w:t>
            </w:r>
          </w:p>
        </w:tc>
        <w:tc>
          <w:tcPr>
            <w:tcW w:w="49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用户查看问法引导卡片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9</w:t>
            </w:r>
          </w:p>
        </w:tc>
        <w:tc>
          <w:tcPr>
            <w:tcW w:w="129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语音搜名医</w:t>
            </w:r>
          </w:p>
        </w:tc>
        <w:tc>
          <w:tcPr>
            <w:tcW w:w="49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用户通过语音描述疾病精准搜索平台医生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10</w:t>
            </w:r>
          </w:p>
        </w:tc>
        <w:tc>
          <w:tcPr>
            <w:tcW w:w="129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语音找医院</w:t>
            </w:r>
          </w:p>
        </w:tc>
        <w:tc>
          <w:tcPr>
            <w:tcW w:w="49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用户通过语音搜索平台全部医院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11</w:t>
            </w:r>
          </w:p>
        </w:tc>
        <w:tc>
          <w:tcPr>
            <w:tcW w:w="129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疾病百科</w:t>
            </w:r>
          </w:p>
        </w:tc>
        <w:tc>
          <w:tcPr>
            <w:tcW w:w="49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用户通过语音查询疾病百科知识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12</w:t>
            </w:r>
          </w:p>
        </w:tc>
        <w:tc>
          <w:tcPr>
            <w:tcW w:w="129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药品说明书</w:t>
            </w:r>
          </w:p>
        </w:tc>
        <w:tc>
          <w:tcPr>
            <w:tcW w:w="49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用户通过语音搜索药品说明书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13</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AI智能分诊</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推荐问</w:t>
            </w:r>
          </w:p>
        </w:tc>
        <w:tc>
          <w:tcPr>
            <w:tcW w:w="498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kern w:val="0"/>
                <w:sz w:val="24"/>
              </w:rPr>
            </w:pPr>
            <w:r>
              <w:rPr>
                <w:rStyle w:val="13"/>
                <w:rFonts w:ascii="宋体" w:hAnsi="宋体"/>
                <w:color w:val="000000"/>
                <w:kern w:val="0"/>
                <w:sz w:val="24"/>
              </w:rPr>
              <w:t>支持动态推荐患者分诊高频问题，一键点选快捷分诊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14</w:t>
            </w:r>
          </w:p>
        </w:tc>
        <w:tc>
          <w:tcPr>
            <w:tcW w:w="129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症状描述</w:t>
            </w:r>
          </w:p>
        </w:tc>
        <w:tc>
          <w:tcPr>
            <w:tcW w:w="498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kern w:val="0"/>
                <w:sz w:val="24"/>
              </w:rPr>
            </w:pPr>
            <w:r>
              <w:rPr>
                <w:rStyle w:val="13"/>
                <w:rFonts w:ascii="宋体" w:hAnsi="宋体"/>
                <w:color w:val="000000"/>
                <w:kern w:val="0"/>
                <w:sz w:val="24"/>
              </w:rPr>
              <w:t>患者通过文字输入症状进行人机对话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15</w:t>
            </w:r>
          </w:p>
        </w:tc>
        <w:tc>
          <w:tcPr>
            <w:tcW w:w="129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基本信息采集</w:t>
            </w:r>
          </w:p>
        </w:tc>
        <w:tc>
          <w:tcPr>
            <w:tcW w:w="498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kern w:val="0"/>
                <w:sz w:val="24"/>
              </w:rPr>
            </w:pPr>
            <w:r>
              <w:rPr>
                <w:rStyle w:val="13"/>
                <w:rFonts w:ascii="宋体" w:hAnsi="宋体"/>
                <w:color w:val="000000"/>
                <w:kern w:val="0"/>
                <w:sz w:val="24"/>
              </w:rPr>
              <w:t>在对话流程中无感采集患者年龄性别信息，并支持修改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16</w:t>
            </w:r>
          </w:p>
        </w:tc>
        <w:tc>
          <w:tcPr>
            <w:tcW w:w="129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语音输入</w:t>
            </w:r>
          </w:p>
        </w:tc>
        <w:tc>
          <w:tcPr>
            <w:tcW w:w="498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kern w:val="0"/>
                <w:sz w:val="24"/>
              </w:rPr>
            </w:pPr>
            <w:r>
              <w:rPr>
                <w:rStyle w:val="13"/>
                <w:rFonts w:ascii="宋体" w:hAnsi="宋体"/>
                <w:color w:val="000000"/>
                <w:kern w:val="0"/>
                <w:sz w:val="24"/>
              </w:rPr>
              <w:t>患者可以通过语音自述症状，自动转成文字，进行对话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17</w:t>
            </w:r>
          </w:p>
        </w:tc>
        <w:tc>
          <w:tcPr>
            <w:tcW w:w="129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人机对话</w:t>
            </w:r>
          </w:p>
        </w:tc>
        <w:tc>
          <w:tcPr>
            <w:tcW w:w="498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kern w:val="0"/>
                <w:sz w:val="24"/>
              </w:rPr>
            </w:pPr>
            <w:r>
              <w:rPr>
                <w:rStyle w:val="13"/>
                <w:rFonts w:ascii="宋体" w:hAnsi="宋体"/>
                <w:color w:val="000000"/>
                <w:kern w:val="0"/>
                <w:sz w:val="24"/>
              </w:rPr>
              <w:t>支持患者可以通过对话的方式，根据症状得到AI导诊医生的回答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18</w:t>
            </w:r>
          </w:p>
        </w:tc>
        <w:tc>
          <w:tcPr>
            <w:tcW w:w="129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伴随症状候选</w:t>
            </w:r>
          </w:p>
        </w:tc>
        <w:tc>
          <w:tcPr>
            <w:tcW w:w="498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kern w:val="0"/>
                <w:sz w:val="24"/>
              </w:rPr>
            </w:pPr>
            <w:r>
              <w:rPr>
                <w:rStyle w:val="13"/>
                <w:rFonts w:ascii="宋体" w:hAnsi="宋体"/>
                <w:color w:val="000000"/>
                <w:kern w:val="0"/>
                <w:sz w:val="24"/>
              </w:rPr>
              <w:t>通过患者自述症状，根据医学逻辑提供可点选的症状候选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19</w:t>
            </w:r>
          </w:p>
        </w:tc>
        <w:tc>
          <w:tcPr>
            <w:tcW w:w="129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语义转化</w:t>
            </w:r>
          </w:p>
        </w:tc>
        <w:tc>
          <w:tcPr>
            <w:tcW w:w="498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kern w:val="0"/>
                <w:sz w:val="24"/>
              </w:rPr>
            </w:pPr>
            <w:r>
              <w:rPr>
                <w:rStyle w:val="13"/>
                <w:rFonts w:ascii="宋体" w:hAnsi="宋体"/>
                <w:color w:val="000000"/>
                <w:kern w:val="0"/>
                <w:sz w:val="24"/>
              </w:rPr>
              <w:t>根据患者口语表达可以智能转化为医学语言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20</w:t>
            </w:r>
          </w:p>
        </w:tc>
        <w:tc>
          <w:tcPr>
            <w:tcW w:w="129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分诊医学逻辑推理</w:t>
            </w:r>
          </w:p>
        </w:tc>
        <w:tc>
          <w:tcPr>
            <w:tcW w:w="498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kern w:val="0"/>
                <w:sz w:val="24"/>
              </w:rPr>
            </w:pPr>
            <w:r>
              <w:rPr>
                <w:rStyle w:val="13"/>
                <w:rFonts w:ascii="宋体" w:hAnsi="宋体"/>
                <w:color w:val="000000"/>
                <w:kern w:val="0"/>
                <w:sz w:val="24"/>
              </w:rPr>
              <w:t>患者年龄性别等基本信息与对应描述症状的矛盾时，可以结合医学逻辑给出提示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21</w:t>
            </w:r>
          </w:p>
        </w:tc>
        <w:tc>
          <w:tcPr>
            <w:tcW w:w="129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人体部位图</w:t>
            </w:r>
          </w:p>
        </w:tc>
        <w:tc>
          <w:tcPr>
            <w:tcW w:w="498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kern w:val="0"/>
                <w:sz w:val="24"/>
              </w:rPr>
            </w:pPr>
            <w:r>
              <w:rPr>
                <w:rStyle w:val="13"/>
                <w:rFonts w:ascii="宋体" w:hAnsi="宋体"/>
                <w:color w:val="000000"/>
                <w:kern w:val="0"/>
                <w:sz w:val="24"/>
              </w:rPr>
              <w:t>根据患者症状可以智能展示具体可点选的症状部位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22</w:t>
            </w:r>
          </w:p>
        </w:tc>
        <w:tc>
          <w:tcPr>
            <w:tcW w:w="129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疾病百科</w:t>
            </w:r>
          </w:p>
        </w:tc>
        <w:tc>
          <w:tcPr>
            <w:tcW w:w="498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kern w:val="0"/>
                <w:sz w:val="24"/>
              </w:rPr>
            </w:pPr>
            <w:r>
              <w:rPr>
                <w:rStyle w:val="13"/>
                <w:rFonts w:ascii="宋体" w:hAnsi="宋体"/>
                <w:color w:val="000000"/>
                <w:kern w:val="0"/>
                <w:sz w:val="24"/>
              </w:rPr>
              <w:t>患者可以查看疾病百科知识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23</w:t>
            </w:r>
          </w:p>
        </w:tc>
        <w:tc>
          <w:tcPr>
            <w:tcW w:w="129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症状释义</w:t>
            </w:r>
          </w:p>
        </w:tc>
        <w:tc>
          <w:tcPr>
            <w:tcW w:w="498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kern w:val="0"/>
                <w:sz w:val="24"/>
              </w:rPr>
            </w:pPr>
            <w:r>
              <w:rPr>
                <w:rStyle w:val="13"/>
                <w:rFonts w:ascii="宋体" w:hAnsi="宋体"/>
                <w:color w:val="000000"/>
                <w:kern w:val="0"/>
                <w:sz w:val="24"/>
              </w:rPr>
              <w:t>患者在点选症状时，必要的给出名词释义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25</w:t>
            </w:r>
          </w:p>
        </w:tc>
        <w:tc>
          <w:tcPr>
            <w:tcW w:w="129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推荐科室</w:t>
            </w:r>
          </w:p>
        </w:tc>
        <w:tc>
          <w:tcPr>
            <w:tcW w:w="498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kern w:val="0"/>
                <w:sz w:val="24"/>
              </w:rPr>
            </w:pPr>
            <w:r>
              <w:rPr>
                <w:rStyle w:val="13"/>
                <w:rFonts w:ascii="宋体" w:hAnsi="宋体"/>
                <w:color w:val="000000"/>
                <w:kern w:val="0"/>
                <w:sz w:val="24"/>
              </w:rPr>
              <w:t>支持根据患者症状推荐挂号就诊科室可能性列表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26</w:t>
            </w:r>
          </w:p>
        </w:tc>
        <w:tc>
          <w:tcPr>
            <w:tcW w:w="1293"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AI辅助自查</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猜你想问</w:t>
            </w:r>
          </w:p>
        </w:tc>
        <w:tc>
          <w:tcPr>
            <w:tcW w:w="498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kern w:val="0"/>
                <w:sz w:val="24"/>
              </w:rPr>
            </w:pPr>
            <w:r>
              <w:rPr>
                <w:rStyle w:val="13"/>
                <w:rFonts w:ascii="宋体" w:hAnsi="宋体"/>
                <w:color w:val="000000"/>
                <w:kern w:val="0"/>
                <w:sz w:val="24"/>
              </w:rPr>
              <w:t>支持动态推荐患者自查高频问题，快速进行自查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27</w:t>
            </w:r>
          </w:p>
        </w:tc>
        <w:tc>
          <w:tcPr>
            <w:tcW w:w="129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结构化输入</w:t>
            </w:r>
          </w:p>
        </w:tc>
        <w:tc>
          <w:tcPr>
            <w:tcW w:w="498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kern w:val="0"/>
                <w:sz w:val="24"/>
              </w:rPr>
            </w:pPr>
            <w:r>
              <w:rPr>
                <w:rStyle w:val="13"/>
                <w:rFonts w:ascii="宋体" w:hAnsi="宋体"/>
                <w:color w:val="000000"/>
                <w:kern w:val="0"/>
                <w:sz w:val="24"/>
              </w:rPr>
              <w:t>针对日期、性别、时间、症状、加重因素，缓解因素，症状性质等支持结构化点选输入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28</w:t>
            </w:r>
          </w:p>
        </w:tc>
        <w:tc>
          <w:tcPr>
            <w:tcW w:w="129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问诊医学逻辑推理</w:t>
            </w:r>
          </w:p>
        </w:tc>
        <w:tc>
          <w:tcPr>
            <w:tcW w:w="498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kern w:val="0"/>
                <w:sz w:val="24"/>
              </w:rPr>
            </w:pPr>
            <w:r>
              <w:rPr>
                <w:rStyle w:val="13"/>
                <w:rFonts w:ascii="宋体" w:hAnsi="宋体"/>
                <w:color w:val="000000"/>
                <w:kern w:val="0"/>
                <w:sz w:val="24"/>
              </w:rPr>
              <w:t>针对患者症状和前后输入的病史基于医学逻辑动态生成问诊问题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29</w:t>
            </w:r>
          </w:p>
        </w:tc>
        <w:tc>
          <w:tcPr>
            <w:tcW w:w="129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语义转化</w:t>
            </w:r>
          </w:p>
        </w:tc>
        <w:tc>
          <w:tcPr>
            <w:tcW w:w="498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kern w:val="0"/>
                <w:sz w:val="24"/>
              </w:rPr>
            </w:pPr>
            <w:r>
              <w:rPr>
                <w:rStyle w:val="13"/>
                <w:rFonts w:ascii="宋体" w:hAnsi="宋体"/>
                <w:color w:val="000000"/>
                <w:kern w:val="0"/>
                <w:sz w:val="24"/>
              </w:rPr>
              <w:t>基于自然语言理解，智能识别患者所说的意图，可支持药品，疾病，检查，手术等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30</w:t>
            </w:r>
          </w:p>
        </w:tc>
        <w:tc>
          <w:tcPr>
            <w:tcW w:w="129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上一步修改</w:t>
            </w:r>
          </w:p>
        </w:tc>
        <w:tc>
          <w:tcPr>
            <w:tcW w:w="498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kern w:val="0"/>
                <w:sz w:val="24"/>
              </w:rPr>
            </w:pPr>
            <w:r>
              <w:rPr>
                <w:rStyle w:val="13"/>
                <w:rFonts w:ascii="宋体" w:hAnsi="宋体"/>
                <w:color w:val="000000"/>
                <w:kern w:val="0"/>
                <w:sz w:val="24"/>
              </w:rPr>
              <w:t>支持患者不小心选错后还可以修改上一步回答的结果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31</w:t>
            </w:r>
          </w:p>
        </w:tc>
        <w:tc>
          <w:tcPr>
            <w:tcW w:w="129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进度条显示</w:t>
            </w:r>
          </w:p>
        </w:tc>
        <w:tc>
          <w:tcPr>
            <w:tcW w:w="498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kern w:val="0"/>
                <w:sz w:val="24"/>
              </w:rPr>
            </w:pPr>
            <w:r>
              <w:rPr>
                <w:rStyle w:val="13"/>
                <w:rFonts w:ascii="宋体" w:hAnsi="宋体"/>
                <w:color w:val="000000"/>
                <w:kern w:val="0"/>
                <w:sz w:val="24"/>
              </w:rPr>
              <w:t>支持在自查过程中，查看问诊进度条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32</w:t>
            </w:r>
          </w:p>
        </w:tc>
        <w:tc>
          <w:tcPr>
            <w:tcW w:w="129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历史自查记录查询</w:t>
            </w:r>
          </w:p>
        </w:tc>
        <w:tc>
          <w:tcPr>
            <w:tcW w:w="498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kern w:val="0"/>
                <w:sz w:val="24"/>
              </w:rPr>
            </w:pPr>
            <w:r>
              <w:rPr>
                <w:rStyle w:val="13"/>
                <w:rFonts w:ascii="宋体" w:hAnsi="宋体"/>
                <w:color w:val="000000"/>
                <w:kern w:val="0"/>
                <w:sz w:val="24"/>
              </w:rPr>
              <w:t>支持查询患者自查历史自查报告记录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33</w:t>
            </w:r>
          </w:p>
        </w:tc>
        <w:tc>
          <w:tcPr>
            <w:tcW w:w="129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病情概述</w:t>
            </w:r>
          </w:p>
        </w:tc>
        <w:tc>
          <w:tcPr>
            <w:tcW w:w="498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kern w:val="0"/>
                <w:sz w:val="24"/>
              </w:rPr>
            </w:pPr>
            <w:r>
              <w:rPr>
                <w:rStyle w:val="13"/>
                <w:rFonts w:ascii="宋体" w:hAnsi="宋体"/>
                <w:color w:val="000000"/>
                <w:kern w:val="0"/>
                <w:sz w:val="24"/>
              </w:rPr>
              <w:t>支持根据患者主诉及现病史采集结果自动生成病史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34</w:t>
            </w:r>
          </w:p>
        </w:tc>
        <w:tc>
          <w:tcPr>
            <w:tcW w:w="129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疑似患病结果</w:t>
            </w:r>
          </w:p>
        </w:tc>
        <w:tc>
          <w:tcPr>
            <w:tcW w:w="498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kern w:val="0"/>
                <w:sz w:val="24"/>
              </w:rPr>
            </w:pPr>
            <w:r>
              <w:rPr>
                <w:rStyle w:val="13"/>
                <w:rFonts w:ascii="宋体" w:hAnsi="宋体"/>
                <w:color w:val="000000"/>
                <w:kern w:val="0"/>
                <w:sz w:val="24"/>
              </w:rPr>
              <w:t>支持患者查看疑似患病结果列表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35</w:t>
            </w:r>
          </w:p>
        </w:tc>
        <w:tc>
          <w:tcPr>
            <w:tcW w:w="129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推荐依据</w:t>
            </w:r>
          </w:p>
        </w:tc>
        <w:tc>
          <w:tcPr>
            <w:tcW w:w="498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kern w:val="0"/>
                <w:sz w:val="24"/>
              </w:rPr>
            </w:pPr>
            <w:r>
              <w:rPr>
                <w:rStyle w:val="13"/>
                <w:rFonts w:ascii="宋体" w:hAnsi="宋体"/>
                <w:color w:val="000000"/>
                <w:kern w:val="0"/>
                <w:sz w:val="24"/>
              </w:rPr>
              <w:t>患者可以查看疑似患病参考的医学书籍名称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36</w:t>
            </w:r>
          </w:p>
        </w:tc>
        <w:tc>
          <w:tcPr>
            <w:tcW w:w="129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检查推荐</w:t>
            </w:r>
          </w:p>
        </w:tc>
        <w:tc>
          <w:tcPr>
            <w:tcW w:w="498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kern w:val="0"/>
                <w:sz w:val="24"/>
              </w:rPr>
            </w:pPr>
            <w:r>
              <w:rPr>
                <w:rStyle w:val="13"/>
                <w:rFonts w:ascii="宋体" w:hAnsi="宋体"/>
                <w:color w:val="000000"/>
                <w:kern w:val="0"/>
                <w:sz w:val="24"/>
              </w:rPr>
              <w:t>支持根据自查疑似疾病，给出对应确诊需要做的检查列表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37</w:t>
            </w:r>
          </w:p>
        </w:tc>
        <w:tc>
          <w:tcPr>
            <w:tcW w:w="129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就诊科室</w:t>
            </w:r>
          </w:p>
        </w:tc>
        <w:tc>
          <w:tcPr>
            <w:tcW w:w="498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kern w:val="0"/>
                <w:sz w:val="24"/>
              </w:rPr>
            </w:pPr>
            <w:r>
              <w:rPr>
                <w:rStyle w:val="13"/>
                <w:rFonts w:ascii="宋体" w:hAnsi="宋体"/>
                <w:color w:val="000000"/>
                <w:kern w:val="0"/>
                <w:sz w:val="24"/>
              </w:rPr>
              <w:t>支持根据自查疾病，推荐患者就诊科室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38</w:t>
            </w:r>
          </w:p>
        </w:tc>
        <w:tc>
          <w:tcPr>
            <w:tcW w:w="129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预防建议</w:t>
            </w:r>
          </w:p>
        </w:tc>
        <w:tc>
          <w:tcPr>
            <w:tcW w:w="498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kern w:val="0"/>
                <w:sz w:val="24"/>
              </w:rPr>
            </w:pPr>
            <w:r>
              <w:rPr>
                <w:rStyle w:val="13"/>
                <w:rFonts w:ascii="宋体" w:hAnsi="宋体"/>
                <w:color w:val="000000"/>
                <w:kern w:val="0"/>
                <w:sz w:val="24"/>
              </w:rPr>
              <w:t>支持根据自查疾病，推荐患者处理措施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39</w:t>
            </w:r>
          </w:p>
        </w:tc>
        <w:tc>
          <w:tcPr>
            <w:tcW w:w="129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疾病病因</w:t>
            </w:r>
          </w:p>
        </w:tc>
        <w:tc>
          <w:tcPr>
            <w:tcW w:w="498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kern w:val="0"/>
                <w:sz w:val="24"/>
              </w:rPr>
            </w:pPr>
            <w:r>
              <w:rPr>
                <w:rStyle w:val="13"/>
                <w:rFonts w:ascii="宋体" w:hAnsi="宋体"/>
                <w:color w:val="000000"/>
                <w:kern w:val="0"/>
                <w:sz w:val="24"/>
              </w:rPr>
              <w:t>支持根据自查疾病，推荐相关疾病病因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40</w:t>
            </w:r>
          </w:p>
        </w:tc>
        <w:tc>
          <w:tcPr>
            <w:tcW w:w="129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医学知识查询</w:t>
            </w:r>
          </w:p>
        </w:tc>
        <w:tc>
          <w:tcPr>
            <w:tcW w:w="498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kern w:val="0"/>
                <w:sz w:val="24"/>
              </w:rPr>
            </w:pPr>
            <w:r>
              <w:rPr>
                <w:rStyle w:val="13"/>
                <w:rFonts w:ascii="宋体" w:hAnsi="宋体"/>
                <w:color w:val="000000"/>
                <w:kern w:val="0"/>
                <w:sz w:val="24"/>
              </w:rPr>
              <w:t>支持语音进行药品、疾病、检查、手术字典查询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41</w:t>
            </w:r>
          </w:p>
        </w:tc>
        <w:tc>
          <w:tcPr>
            <w:tcW w:w="129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医生列表</w:t>
            </w:r>
          </w:p>
        </w:tc>
        <w:tc>
          <w:tcPr>
            <w:tcW w:w="498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kern w:val="0"/>
                <w:sz w:val="24"/>
              </w:rPr>
            </w:pPr>
            <w:r>
              <w:rPr>
                <w:rStyle w:val="13"/>
                <w:rFonts w:ascii="宋体" w:hAnsi="宋体"/>
                <w:color w:val="000000"/>
                <w:kern w:val="0"/>
                <w:sz w:val="24"/>
              </w:rPr>
              <w:t>支持根据患者疑似患病结果和科室精准推荐医生列表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42</w:t>
            </w:r>
          </w:p>
        </w:tc>
        <w:tc>
          <w:tcPr>
            <w:tcW w:w="1293"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预约挂号</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kern w:val="0"/>
                <w:sz w:val="24"/>
              </w:rPr>
            </w:pPr>
            <w:r>
              <w:rPr>
                <w:rStyle w:val="13"/>
                <w:rFonts w:ascii="宋体" w:hAnsi="宋体"/>
                <w:color w:val="000000"/>
                <w:kern w:val="0"/>
                <w:sz w:val="24"/>
              </w:rPr>
              <w:t>预约挂号</w:t>
            </w:r>
          </w:p>
        </w:tc>
        <w:tc>
          <w:tcPr>
            <w:tcW w:w="498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kern w:val="0"/>
                <w:sz w:val="24"/>
              </w:rPr>
            </w:pPr>
            <w:r>
              <w:rPr>
                <w:rStyle w:val="13"/>
                <w:rFonts w:ascii="宋体" w:hAnsi="宋体"/>
                <w:color w:val="000000"/>
                <w:kern w:val="0"/>
                <w:sz w:val="24"/>
              </w:rPr>
              <w:t>支持居民可以在该平台上根据医院、科室、医生、号源情况进行预约挂号；另外居民可以结合AI智能分诊、AI辅助自查给出的建议，选择医生进行挂号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43</w:t>
            </w:r>
          </w:p>
        </w:tc>
        <w:tc>
          <w:tcPr>
            <w:tcW w:w="129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512"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kern w:val="0"/>
                <w:sz w:val="24"/>
              </w:rPr>
            </w:pPr>
            <w:r>
              <w:rPr>
                <w:rStyle w:val="13"/>
                <w:rFonts w:ascii="宋体" w:hAnsi="宋体"/>
                <w:color w:val="000000"/>
                <w:kern w:val="0"/>
                <w:sz w:val="24"/>
              </w:rPr>
              <w:t>取消预约挂号</w:t>
            </w:r>
          </w:p>
        </w:tc>
        <w:tc>
          <w:tcPr>
            <w:tcW w:w="498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kern w:val="0"/>
                <w:sz w:val="24"/>
              </w:rPr>
            </w:pPr>
            <w:r>
              <w:rPr>
                <w:rStyle w:val="13"/>
                <w:rFonts w:ascii="宋体" w:hAnsi="宋体"/>
                <w:color w:val="000000"/>
                <w:kern w:val="0"/>
                <w:sz w:val="24"/>
              </w:rPr>
              <w:t>支持居民在就诊前，取消预约挂号操作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0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44</w:t>
            </w:r>
          </w:p>
        </w:tc>
        <w:tc>
          <w:tcPr>
            <w:tcW w:w="1293"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kern w:val="0"/>
                <w:sz w:val="24"/>
              </w:rPr>
            </w:pPr>
            <w:r>
              <w:rPr>
                <w:rStyle w:val="13"/>
                <w:rFonts w:ascii="宋体" w:hAnsi="宋体"/>
                <w:color w:val="000000"/>
                <w:kern w:val="0"/>
                <w:sz w:val="24"/>
              </w:rPr>
              <w:t>诊前病史采集</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kern w:val="0"/>
                <w:sz w:val="24"/>
              </w:rPr>
            </w:pPr>
            <w:r>
              <w:rPr>
                <w:rStyle w:val="13"/>
                <w:rFonts w:ascii="宋体" w:hAnsi="宋体"/>
                <w:color w:val="000000"/>
                <w:kern w:val="0"/>
                <w:sz w:val="24"/>
              </w:rPr>
              <w:t>诊前病史采集</w:t>
            </w:r>
          </w:p>
        </w:tc>
        <w:tc>
          <w:tcPr>
            <w:tcW w:w="498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auto"/>
              <w:rPr>
                <w:rStyle w:val="13"/>
                <w:rFonts w:ascii="宋体" w:hAnsi="宋体"/>
                <w:color w:val="000000"/>
                <w:kern w:val="0"/>
                <w:sz w:val="24"/>
              </w:rPr>
            </w:pPr>
            <w:r>
              <w:rPr>
                <w:rStyle w:val="13"/>
                <w:rFonts w:ascii="宋体" w:hAnsi="宋体"/>
                <w:color w:val="000000"/>
                <w:kern w:val="0"/>
                <w:sz w:val="24"/>
              </w:rPr>
              <w:t>支持患者通过症状描述，引导患者进行病史采集</w:t>
            </w:r>
          </w:p>
        </w:tc>
      </w:tr>
    </w:tbl>
    <w:p>
      <w:pPr>
        <w:pStyle w:val="21"/>
        <w:spacing w:line="360" w:lineRule="auto"/>
        <w:textAlignment w:val="auto"/>
        <w:rPr>
          <w:rStyle w:val="13"/>
          <w:rFonts w:cs="宋体"/>
          <w:bCs/>
          <w:sz w:val="24"/>
          <w:szCs w:val="24"/>
        </w:rPr>
      </w:pPr>
      <w:r>
        <w:rPr>
          <w:rStyle w:val="13"/>
          <w:rFonts w:cs="宋体"/>
          <w:b/>
          <w:sz w:val="24"/>
          <w:szCs w:val="24"/>
        </w:rPr>
        <w:t>在线咨询诊疗</w:t>
      </w:r>
    </w:p>
    <w:p>
      <w:pPr>
        <w:pStyle w:val="22"/>
        <w:numPr>
          <w:ilvl w:val="4"/>
          <w:numId w:val="0"/>
        </w:numPr>
        <w:spacing w:before="0" w:after="0" w:line="360" w:lineRule="auto"/>
        <w:ind w:left="1560"/>
        <w:textAlignment w:val="auto"/>
        <w:rPr>
          <w:rStyle w:val="13"/>
          <w:rFonts w:ascii="宋体" w:hAnsi="宋体" w:cs="宋体"/>
          <w:bCs/>
          <w:sz w:val="24"/>
          <w:szCs w:val="24"/>
        </w:rPr>
      </w:pPr>
      <w:r>
        <w:rPr>
          <w:rStyle w:val="13"/>
          <w:rFonts w:hint="eastAsia" w:ascii="宋体" w:hAnsi="宋体" w:cs="宋体"/>
          <w:bCs/>
          <w:sz w:val="24"/>
          <w:szCs w:val="24"/>
        </w:rPr>
        <w:t>1.</w:t>
      </w:r>
      <w:r>
        <w:rPr>
          <w:rStyle w:val="13"/>
          <w:rFonts w:ascii="宋体" w:hAnsi="宋体" w:cs="宋体"/>
          <w:bCs/>
          <w:sz w:val="24"/>
          <w:szCs w:val="24"/>
        </w:rPr>
        <w:t>产品要求</w:t>
      </w:r>
    </w:p>
    <w:p>
      <w:pPr>
        <w:spacing w:line="360" w:lineRule="auto"/>
        <w:ind w:firstLine="560"/>
        <w:textAlignment w:val="auto"/>
        <w:rPr>
          <w:rStyle w:val="13"/>
          <w:rFonts w:ascii="宋体" w:hAnsi="宋体"/>
          <w:sz w:val="24"/>
        </w:rPr>
      </w:pPr>
      <w:r>
        <w:rPr>
          <w:rStyle w:val="13"/>
          <w:rFonts w:ascii="宋体" w:hAnsi="宋体"/>
          <w:sz w:val="24"/>
        </w:rPr>
        <w:t>在线咨询诊疗服务，包括线上咨询和线上诊疗两大服务。图文咨询系统支持复诊、慢病患者在线上向医生进行图文咨询，医生给出处置建议或参考意见。线上诊疗支持视频问诊，医生根据交流结果形成电子病历，医生进行线上诊断，开出电子处方，AI同步进行辅助诊断与合理用药判断。</w:t>
      </w:r>
    </w:p>
    <w:p>
      <w:pPr>
        <w:pStyle w:val="22"/>
        <w:numPr>
          <w:ilvl w:val="4"/>
          <w:numId w:val="0"/>
        </w:numPr>
        <w:spacing w:before="0" w:after="0" w:line="360" w:lineRule="auto"/>
        <w:ind w:left="1560"/>
        <w:textAlignment w:val="auto"/>
        <w:rPr>
          <w:rStyle w:val="13"/>
          <w:rFonts w:ascii="宋体" w:hAnsi="宋体" w:cs="宋体"/>
          <w:bCs/>
          <w:sz w:val="24"/>
          <w:szCs w:val="24"/>
        </w:rPr>
      </w:pPr>
      <w:r>
        <w:rPr>
          <w:rStyle w:val="13"/>
          <w:rFonts w:hint="eastAsia" w:ascii="宋体" w:hAnsi="宋体" w:cs="宋体"/>
          <w:bCs/>
          <w:sz w:val="24"/>
          <w:szCs w:val="24"/>
        </w:rPr>
        <w:t>1.1</w:t>
      </w:r>
      <w:r>
        <w:rPr>
          <w:rStyle w:val="13"/>
          <w:rFonts w:ascii="宋体" w:hAnsi="宋体" w:cs="宋体"/>
          <w:bCs/>
          <w:sz w:val="24"/>
          <w:szCs w:val="24"/>
        </w:rPr>
        <w:t>技术参数</w:t>
      </w:r>
    </w:p>
    <w:tbl>
      <w:tblPr>
        <w:tblStyle w:val="10"/>
        <w:tblW w:w="8495" w:type="dxa"/>
        <w:tblInd w:w="-108" w:type="dxa"/>
        <w:tblLayout w:type="autofit"/>
        <w:tblCellMar>
          <w:top w:w="0" w:type="dxa"/>
          <w:left w:w="0" w:type="dxa"/>
          <w:bottom w:w="0" w:type="dxa"/>
          <w:right w:w="0" w:type="dxa"/>
        </w:tblCellMar>
      </w:tblPr>
      <w:tblGrid>
        <w:gridCol w:w="696"/>
        <w:gridCol w:w="1896"/>
        <w:gridCol w:w="1656"/>
        <w:gridCol w:w="4247"/>
      </w:tblGrid>
      <w:tr>
        <w:tblPrEx>
          <w:tblCellMar>
            <w:top w:w="0" w:type="dxa"/>
            <w:left w:w="0" w:type="dxa"/>
            <w:bottom w:w="0" w:type="dxa"/>
            <w:right w:w="0" w:type="dxa"/>
          </w:tblCellMar>
        </w:tblPrEx>
        <w:trPr>
          <w:trHeight w:val="330" w:hRule="atLeast"/>
          <w:tblHeader/>
        </w:trPr>
        <w:tc>
          <w:tcPr>
            <w:tcW w:w="696" w:type="dxa"/>
            <w:tcBorders>
              <w:top w:val="single" w:color="000000" w:sz="4" w:space="0"/>
              <w:left w:val="single" w:color="000000" w:sz="4" w:space="0"/>
              <w:bottom w:val="single" w:color="000000" w:sz="4" w:space="0"/>
              <w:right w:val="single" w:color="000000" w:sz="4" w:space="0"/>
            </w:tcBorders>
            <w:shd w:val="clear" w:color="auto" w:fill="D8D8D8"/>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序号</w:t>
            </w:r>
          </w:p>
        </w:tc>
        <w:tc>
          <w:tcPr>
            <w:tcW w:w="1896" w:type="dxa"/>
            <w:tcBorders>
              <w:top w:val="single" w:color="000000" w:sz="4" w:space="0"/>
              <w:left w:val="nil"/>
              <w:bottom w:val="single" w:color="000000" w:sz="4" w:space="0"/>
              <w:right w:val="single" w:color="000000" w:sz="4" w:space="0"/>
            </w:tcBorders>
            <w:shd w:val="clear" w:color="auto" w:fill="D8D8D8"/>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模块</w:t>
            </w:r>
          </w:p>
        </w:tc>
        <w:tc>
          <w:tcPr>
            <w:tcW w:w="1656" w:type="dxa"/>
            <w:tcBorders>
              <w:top w:val="single" w:color="000000" w:sz="4" w:space="0"/>
              <w:left w:val="nil"/>
              <w:bottom w:val="single" w:color="000000" w:sz="4" w:space="0"/>
              <w:right w:val="single" w:color="000000" w:sz="4" w:space="0"/>
            </w:tcBorders>
            <w:shd w:val="clear" w:color="auto" w:fill="D8D8D8"/>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模块功能</w:t>
            </w:r>
          </w:p>
        </w:tc>
        <w:tc>
          <w:tcPr>
            <w:tcW w:w="4247" w:type="dxa"/>
            <w:tcBorders>
              <w:top w:val="single" w:color="000000" w:sz="4" w:space="0"/>
              <w:left w:val="nil"/>
              <w:bottom w:val="single" w:color="000000" w:sz="4" w:space="0"/>
              <w:right w:val="single" w:color="000000" w:sz="4" w:space="0"/>
            </w:tcBorders>
            <w:shd w:val="clear" w:color="auto" w:fill="D8D8D8"/>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技术要求说明</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1</w:t>
            </w:r>
          </w:p>
        </w:tc>
        <w:tc>
          <w:tcPr>
            <w:tcW w:w="1896" w:type="dxa"/>
            <w:vMerge w:val="restart"/>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患者端在线咨询</w:t>
            </w:r>
          </w:p>
        </w:tc>
        <w:tc>
          <w:tcPr>
            <w:tcW w:w="1656" w:type="dxa"/>
            <w:vMerge w:val="restart"/>
            <w:tcBorders>
              <w:top w:val="nil"/>
              <w:left w:val="single" w:color="000000" w:sz="4" w:space="0"/>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医生查看</w:t>
            </w:r>
          </w:p>
        </w:tc>
        <w:tc>
          <w:tcPr>
            <w:tcW w:w="4247" w:type="dxa"/>
            <w:tcBorders>
              <w:top w:val="nil"/>
              <w:left w:val="nil"/>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用户可以按照科室查看线上医生</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2</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kern w:val="0"/>
                <w:sz w:val="24"/>
              </w:rPr>
            </w:pPr>
          </w:p>
        </w:tc>
        <w:tc>
          <w:tcPr>
            <w:tcW w:w="4247" w:type="dxa"/>
            <w:tcBorders>
              <w:top w:val="nil"/>
              <w:left w:val="nil"/>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用户可以按照疾病分类查看线上医生</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3</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kern w:val="0"/>
                <w:sz w:val="24"/>
              </w:rPr>
            </w:pPr>
          </w:p>
        </w:tc>
        <w:tc>
          <w:tcPr>
            <w:tcW w:w="4247" w:type="dxa"/>
            <w:tcBorders>
              <w:top w:val="nil"/>
              <w:left w:val="nil"/>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用户可以按照医院查看线上医生列表</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4</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tcBorders>
              <w:top w:val="nil"/>
              <w:left w:val="nil"/>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医生搜索</w:t>
            </w:r>
          </w:p>
        </w:tc>
        <w:tc>
          <w:tcPr>
            <w:tcW w:w="4247" w:type="dxa"/>
            <w:tcBorders>
              <w:top w:val="nil"/>
              <w:left w:val="nil"/>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支持用户搜索医生姓名查看医生</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5</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tcBorders>
              <w:top w:val="nil"/>
              <w:left w:val="nil"/>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医生列表</w:t>
            </w:r>
          </w:p>
        </w:tc>
        <w:tc>
          <w:tcPr>
            <w:tcW w:w="4247" w:type="dxa"/>
            <w:tcBorders>
              <w:top w:val="nil"/>
              <w:left w:val="nil"/>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支持查看医生列表页</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6</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tcBorders>
              <w:top w:val="nil"/>
              <w:left w:val="nil"/>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医生介绍</w:t>
            </w:r>
          </w:p>
        </w:tc>
        <w:tc>
          <w:tcPr>
            <w:tcW w:w="4247" w:type="dxa"/>
            <w:tcBorders>
              <w:top w:val="nil"/>
              <w:left w:val="nil"/>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支持查看医生职称、医院、擅长领域信息</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7</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tcBorders>
              <w:top w:val="nil"/>
              <w:left w:val="nil"/>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问诊信息</w:t>
            </w:r>
          </w:p>
        </w:tc>
        <w:tc>
          <w:tcPr>
            <w:tcW w:w="4247" w:type="dxa"/>
            <w:tcBorders>
              <w:top w:val="nil"/>
              <w:left w:val="nil"/>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支持查看医生服务人数，平均响应时长，患者评分</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9</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tcBorders>
              <w:top w:val="nil"/>
              <w:left w:val="nil"/>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收藏医生</w:t>
            </w:r>
          </w:p>
        </w:tc>
        <w:tc>
          <w:tcPr>
            <w:tcW w:w="4247" w:type="dxa"/>
            <w:tcBorders>
              <w:top w:val="nil"/>
              <w:left w:val="nil"/>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支持收藏医生</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10</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tcBorders>
              <w:top w:val="nil"/>
              <w:left w:val="nil"/>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分享医生</w:t>
            </w:r>
          </w:p>
        </w:tc>
        <w:tc>
          <w:tcPr>
            <w:tcW w:w="4247" w:type="dxa"/>
            <w:tcBorders>
              <w:top w:val="nil"/>
              <w:left w:val="nil"/>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支持分享医生到微信</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11</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tcBorders>
              <w:top w:val="nil"/>
              <w:left w:val="nil"/>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线下排班信息查询</w:t>
            </w:r>
          </w:p>
        </w:tc>
        <w:tc>
          <w:tcPr>
            <w:tcW w:w="4247" w:type="dxa"/>
            <w:tcBorders>
              <w:top w:val="nil"/>
              <w:left w:val="nil"/>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支持查看医生线下排班挂号信息</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12</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tcBorders>
              <w:top w:val="nil"/>
              <w:left w:val="nil"/>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历史问诊服务评价</w:t>
            </w:r>
          </w:p>
        </w:tc>
        <w:tc>
          <w:tcPr>
            <w:tcW w:w="4247" w:type="dxa"/>
            <w:tcBorders>
              <w:top w:val="nil"/>
              <w:left w:val="nil"/>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支持看出医生历史问诊服务评价</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13</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tcBorders>
              <w:top w:val="nil"/>
              <w:left w:val="nil"/>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链接预约挂号</w:t>
            </w:r>
          </w:p>
        </w:tc>
        <w:tc>
          <w:tcPr>
            <w:tcW w:w="4247" w:type="dxa"/>
            <w:tcBorders>
              <w:top w:val="nil"/>
              <w:left w:val="nil"/>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支持链接预约挂号平台</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14</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tcBorders>
              <w:top w:val="nil"/>
              <w:left w:val="nil"/>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图文咨询订单</w:t>
            </w:r>
          </w:p>
        </w:tc>
        <w:tc>
          <w:tcPr>
            <w:tcW w:w="4247" w:type="dxa"/>
            <w:tcBorders>
              <w:top w:val="nil"/>
              <w:left w:val="nil"/>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支持根据患者病情描述生成图文咨询订单</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15</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tcBorders>
              <w:top w:val="nil"/>
              <w:left w:val="nil"/>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医生留言</w:t>
            </w:r>
          </w:p>
        </w:tc>
        <w:tc>
          <w:tcPr>
            <w:tcW w:w="4247" w:type="dxa"/>
            <w:tcBorders>
              <w:top w:val="nil"/>
              <w:left w:val="nil"/>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支持查看医生留言，包含语音和文字2种</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16</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tcBorders>
              <w:top w:val="nil"/>
              <w:left w:val="nil"/>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等待倒计时</w:t>
            </w:r>
          </w:p>
        </w:tc>
        <w:tc>
          <w:tcPr>
            <w:tcW w:w="4247" w:type="dxa"/>
            <w:tcBorders>
              <w:top w:val="nil"/>
              <w:left w:val="nil"/>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支持候诊等待倒计时查看</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17</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tcBorders>
              <w:top w:val="nil"/>
              <w:left w:val="nil"/>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风险告知书查看</w:t>
            </w:r>
          </w:p>
        </w:tc>
        <w:tc>
          <w:tcPr>
            <w:tcW w:w="4247" w:type="dxa"/>
            <w:tcBorders>
              <w:top w:val="nil"/>
              <w:left w:val="nil"/>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支持查看互联网诊疗风险告知书风险提示</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18</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tcBorders>
              <w:top w:val="nil"/>
              <w:left w:val="nil"/>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发文本/图文消息</w:t>
            </w:r>
          </w:p>
        </w:tc>
        <w:tc>
          <w:tcPr>
            <w:tcW w:w="4247" w:type="dxa"/>
            <w:tcBorders>
              <w:top w:val="nil"/>
              <w:left w:val="nil"/>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支持发文本和图文消息给医生</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19</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tcBorders>
              <w:top w:val="nil"/>
              <w:left w:val="nil"/>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既往病历资料查询</w:t>
            </w:r>
          </w:p>
        </w:tc>
        <w:tc>
          <w:tcPr>
            <w:tcW w:w="4247" w:type="dxa"/>
            <w:tcBorders>
              <w:top w:val="nil"/>
              <w:left w:val="nil"/>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支持查询查看既往病历资料查询</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20</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tcBorders>
              <w:top w:val="nil"/>
              <w:left w:val="nil"/>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服务时间预约</w:t>
            </w:r>
          </w:p>
        </w:tc>
        <w:tc>
          <w:tcPr>
            <w:tcW w:w="4247" w:type="dxa"/>
            <w:tcBorders>
              <w:top w:val="nil"/>
              <w:left w:val="nil"/>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支持预约视频服务时间</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21</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tcBorders>
              <w:top w:val="nil"/>
              <w:left w:val="nil"/>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视频咨询订单</w:t>
            </w:r>
          </w:p>
        </w:tc>
        <w:tc>
          <w:tcPr>
            <w:tcW w:w="4247" w:type="dxa"/>
            <w:tcBorders>
              <w:top w:val="nil"/>
              <w:left w:val="nil"/>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支持生成视频咨询订单</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22</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tcBorders>
              <w:top w:val="nil"/>
              <w:left w:val="nil"/>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视频通讯</w:t>
            </w:r>
          </w:p>
        </w:tc>
        <w:tc>
          <w:tcPr>
            <w:tcW w:w="4247" w:type="dxa"/>
            <w:tcBorders>
              <w:top w:val="nil"/>
              <w:left w:val="nil"/>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支持与患者进行电话通讯</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23</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tcBorders>
              <w:top w:val="nil"/>
              <w:left w:val="nil"/>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服务时间预约</w:t>
            </w:r>
          </w:p>
        </w:tc>
        <w:tc>
          <w:tcPr>
            <w:tcW w:w="4247" w:type="dxa"/>
            <w:tcBorders>
              <w:top w:val="nil"/>
              <w:left w:val="nil"/>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支持预约电话服务时间</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24</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tcBorders>
              <w:top w:val="nil"/>
              <w:left w:val="nil"/>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电话预约订单</w:t>
            </w:r>
          </w:p>
        </w:tc>
        <w:tc>
          <w:tcPr>
            <w:tcW w:w="4247" w:type="dxa"/>
            <w:tcBorders>
              <w:top w:val="nil"/>
              <w:left w:val="nil"/>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支持生成电话预约订单</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25</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tcBorders>
              <w:top w:val="nil"/>
              <w:left w:val="nil"/>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电话通讯</w:t>
            </w:r>
          </w:p>
        </w:tc>
        <w:tc>
          <w:tcPr>
            <w:tcW w:w="4247" w:type="dxa"/>
            <w:tcBorders>
              <w:top w:val="nil"/>
              <w:left w:val="nil"/>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支持与医生进行电话通讯与号码隐藏服务</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26</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tcBorders>
              <w:top w:val="nil"/>
              <w:left w:val="nil"/>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提醒</w:t>
            </w:r>
          </w:p>
        </w:tc>
        <w:tc>
          <w:tcPr>
            <w:tcW w:w="4247" w:type="dxa"/>
            <w:tcBorders>
              <w:top w:val="nil"/>
              <w:left w:val="nil"/>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支持医生接诊、医生回复时进行提醒</w:t>
            </w:r>
          </w:p>
        </w:tc>
      </w:tr>
      <w:tr>
        <w:tblPrEx>
          <w:tblCellMar>
            <w:top w:w="0" w:type="dxa"/>
            <w:left w:w="0" w:type="dxa"/>
            <w:bottom w:w="0" w:type="dxa"/>
            <w:right w:w="0" w:type="dxa"/>
          </w:tblCellMar>
        </w:tblPrEx>
        <w:trPr>
          <w:trHeight w:val="66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27</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tcBorders>
              <w:top w:val="nil"/>
              <w:left w:val="nil"/>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电子处方查看</w:t>
            </w:r>
          </w:p>
        </w:tc>
        <w:tc>
          <w:tcPr>
            <w:tcW w:w="4247" w:type="dxa"/>
            <w:tcBorders>
              <w:top w:val="nil"/>
              <w:left w:val="nil"/>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支持查看医生开具的电子处方，包含药品名称，药品用法，药品用量等</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28</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tcBorders>
              <w:top w:val="nil"/>
              <w:left w:val="nil"/>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处方订单</w:t>
            </w:r>
          </w:p>
        </w:tc>
        <w:tc>
          <w:tcPr>
            <w:tcW w:w="4247" w:type="dxa"/>
            <w:tcBorders>
              <w:top w:val="nil"/>
              <w:left w:val="nil"/>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支持生成处方生成</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29</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tcBorders>
              <w:top w:val="nil"/>
              <w:left w:val="nil"/>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服务评价</w:t>
            </w:r>
          </w:p>
        </w:tc>
        <w:tc>
          <w:tcPr>
            <w:tcW w:w="4247" w:type="dxa"/>
            <w:tcBorders>
              <w:top w:val="nil"/>
              <w:left w:val="nil"/>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支持对医生的服务进行评价</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30</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tcBorders>
              <w:top w:val="nil"/>
              <w:left w:val="nil"/>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诊后随访</w:t>
            </w:r>
          </w:p>
        </w:tc>
        <w:tc>
          <w:tcPr>
            <w:tcW w:w="4247" w:type="dxa"/>
            <w:tcBorders>
              <w:top w:val="nil"/>
              <w:left w:val="nil"/>
              <w:bottom w:val="single" w:color="000000" w:sz="4" w:space="0"/>
              <w:right w:val="single" w:color="000000" w:sz="4" w:space="0"/>
            </w:tcBorders>
            <w:shd w:val="clear" w:color="auto" w:fill="FFFFFF"/>
            <w:vAlign w:val="center"/>
          </w:tcPr>
          <w:p>
            <w:pPr>
              <w:spacing w:line="360" w:lineRule="auto"/>
              <w:jc w:val="left"/>
              <w:textAlignment w:val="auto"/>
              <w:rPr>
                <w:rStyle w:val="13"/>
                <w:rFonts w:ascii="宋体" w:hAnsi="宋体"/>
                <w:kern w:val="0"/>
                <w:sz w:val="24"/>
              </w:rPr>
            </w:pPr>
            <w:r>
              <w:rPr>
                <w:rStyle w:val="13"/>
                <w:rFonts w:ascii="宋体" w:hAnsi="宋体"/>
                <w:kern w:val="0"/>
                <w:sz w:val="24"/>
              </w:rPr>
              <w:t>支持对患者进行诊后随访</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31</w:t>
            </w:r>
          </w:p>
        </w:tc>
        <w:tc>
          <w:tcPr>
            <w:tcW w:w="1896" w:type="dxa"/>
            <w:vMerge w:val="restart"/>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医生端在线咨询</w:t>
            </w:r>
          </w:p>
        </w:tc>
        <w:tc>
          <w:tcPr>
            <w:tcW w:w="1656" w:type="dxa"/>
            <w:vMerge w:val="restart"/>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账户登录</w:t>
            </w:r>
          </w:p>
        </w:tc>
        <w:tc>
          <w:tcPr>
            <w:tcW w:w="4247"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支持声纹人脸登录</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32</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4247"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支持工号、密码登录</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33</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4247"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支持手机验证码登录</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34</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vMerge w:val="restart"/>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密码服务</w:t>
            </w:r>
          </w:p>
        </w:tc>
        <w:tc>
          <w:tcPr>
            <w:tcW w:w="4247"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支持忘记密码并找回</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35</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4247"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支持连续输错密码暂时锁账号</w:t>
            </w:r>
          </w:p>
        </w:tc>
      </w:tr>
      <w:tr>
        <w:tblPrEx>
          <w:tblCellMar>
            <w:top w:w="0" w:type="dxa"/>
            <w:left w:w="0" w:type="dxa"/>
            <w:bottom w:w="0" w:type="dxa"/>
            <w:right w:w="0" w:type="dxa"/>
          </w:tblCellMar>
        </w:tblPrEx>
        <w:trPr>
          <w:trHeight w:val="66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36</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vMerge w:val="restart"/>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任务概览</w:t>
            </w:r>
          </w:p>
        </w:tc>
        <w:tc>
          <w:tcPr>
            <w:tcW w:w="4247"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支持用户设置个人标签（头像、姓名、简介、职称、个人信息编辑入口）展示</w:t>
            </w:r>
          </w:p>
        </w:tc>
      </w:tr>
      <w:tr>
        <w:tblPrEx>
          <w:tblCellMar>
            <w:top w:w="0" w:type="dxa"/>
            <w:left w:w="0" w:type="dxa"/>
            <w:bottom w:w="0" w:type="dxa"/>
            <w:right w:w="0" w:type="dxa"/>
          </w:tblCellMar>
        </w:tblPrEx>
        <w:trPr>
          <w:trHeight w:val="66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37</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4247"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支持问诊咨询、区域协同、处方管理、患者管理、个人中心模块展示</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38</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vMerge w:val="restart"/>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任务列表</w:t>
            </w:r>
          </w:p>
        </w:tc>
        <w:tc>
          <w:tcPr>
            <w:tcW w:w="4247"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支持任务状态过滤</w:t>
            </w:r>
          </w:p>
        </w:tc>
      </w:tr>
      <w:tr>
        <w:tblPrEx>
          <w:tblCellMar>
            <w:top w:w="0" w:type="dxa"/>
            <w:left w:w="0" w:type="dxa"/>
            <w:bottom w:w="0" w:type="dxa"/>
            <w:right w:w="0" w:type="dxa"/>
          </w:tblCellMar>
        </w:tblPrEx>
        <w:trPr>
          <w:trHeight w:val="66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39</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4247"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支持任务列表，显示过滤结果，任务状态、任务类型、患者基本信息、预约时间、患者就绪状态等</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40</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vMerge w:val="restart"/>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图文问诊</w:t>
            </w:r>
          </w:p>
        </w:tc>
        <w:tc>
          <w:tcPr>
            <w:tcW w:w="4247"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支持医患沟通，并发送图文发送信息</w:t>
            </w:r>
          </w:p>
        </w:tc>
      </w:tr>
      <w:tr>
        <w:tblPrEx>
          <w:tblCellMar>
            <w:top w:w="0" w:type="dxa"/>
            <w:left w:w="0" w:type="dxa"/>
            <w:bottom w:w="0" w:type="dxa"/>
            <w:right w:w="0" w:type="dxa"/>
          </w:tblCellMar>
        </w:tblPrEx>
        <w:trPr>
          <w:trHeight w:val="66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41</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4247"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支持AI问诊推荐，基于医患对话记录（文本）+诊前病史，推送TOP3-5问诊问题（关注症状）或答案推荐备选；一键引用</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42</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4247"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支持问诊状态追踪、状态流转</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43</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vMerge w:val="restart"/>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电话问诊</w:t>
            </w:r>
          </w:p>
        </w:tc>
        <w:tc>
          <w:tcPr>
            <w:tcW w:w="4247"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支持电话拨号、通话录音、录音文件归档</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44</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4247"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支持通话过程中进行转写，并保存</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45</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vMerge w:val="restart"/>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视频问诊</w:t>
            </w:r>
          </w:p>
        </w:tc>
        <w:tc>
          <w:tcPr>
            <w:tcW w:w="4247"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支持视频通话</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46</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4247"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支持对录音录像进行实时录制</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47</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vMerge w:val="restart"/>
            <w:tcBorders>
              <w:top w:val="nil"/>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已完成任务查看</w:t>
            </w:r>
          </w:p>
        </w:tc>
        <w:tc>
          <w:tcPr>
            <w:tcW w:w="4247"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支持查看患者基本信息、病情概要、问诊类型显示</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48</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4247"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支持问诊意见、处置方式查看</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49</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4247"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支持患者既往病史查看（预留响应接口）</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50</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vMerge w:val="restart"/>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医患沟通</w:t>
            </w:r>
          </w:p>
        </w:tc>
        <w:tc>
          <w:tcPr>
            <w:tcW w:w="4247"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支持医生用语音录入</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51</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4247"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支持发送、接收 文本、超链、图片消息</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52</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vMerge w:val="restart"/>
            <w:tcBorders>
              <w:top w:val="nil"/>
              <w:left w:val="single" w:color="000000" w:sz="4" w:space="0"/>
              <w:bottom w:val="single" w:color="000000" w:sz="4" w:space="0"/>
              <w:right w:val="single" w:color="000000" w:sz="4" w:space="0"/>
            </w:tcBorders>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电子病历</w:t>
            </w:r>
          </w:p>
        </w:tc>
        <w:tc>
          <w:tcPr>
            <w:tcW w:w="4247"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支持诊前病史采集生成病历初稿</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53</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4247"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支持通过语音+模板修改和完善病历，并编辑/选择诊断</w:t>
            </w:r>
          </w:p>
        </w:tc>
      </w:tr>
      <w:tr>
        <w:tblPrEx>
          <w:tblCellMar>
            <w:top w:w="0" w:type="dxa"/>
            <w:left w:w="0" w:type="dxa"/>
            <w:bottom w:w="0" w:type="dxa"/>
            <w:right w:w="0" w:type="dxa"/>
          </w:tblCellMar>
        </w:tblPrEx>
        <w:trPr>
          <w:trHeight w:val="66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54</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4247"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支持辅诊推荐，基于病历，提供TOP3-5辅助诊断，备选；一键引用</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55</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4247"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支持辅诊质检，医生下诊断后，病历、诊断质检提醒</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56</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4247"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支持病历暂存、暂存历史留档</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57</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推荐用药</w:t>
            </w:r>
          </w:p>
        </w:tc>
        <w:tc>
          <w:tcPr>
            <w:tcW w:w="4247"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支持用药推荐</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59</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tcBorders>
              <w:top w:val="nil"/>
              <w:left w:val="nil"/>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用药检索</w:t>
            </w:r>
          </w:p>
        </w:tc>
        <w:tc>
          <w:tcPr>
            <w:tcW w:w="4247"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支持按照药品名、预期用途、厂商快捷检索(首字母、关键字)</w:t>
            </w:r>
          </w:p>
        </w:tc>
      </w:tr>
      <w:tr>
        <w:tblPrEx>
          <w:tblCellMar>
            <w:top w:w="0" w:type="dxa"/>
            <w:left w:w="0" w:type="dxa"/>
            <w:bottom w:w="0" w:type="dxa"/>
            <w:right w:w="0" w:type="dxa"/>
          </w:tblCellMar>
        </w:tblPrEx>
        <w:trPr>
          <w:trHeight w:val="66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60</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vMerge w:val="restart"/>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用药说明</w:t>
            </w:r>
          </w:p>
        </w:tc>
        <w:tc>
          <w:tcPr>
            <w:tcW w:w="4247"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支持药品信息说明：药品名、生产厂商、预期用途、规格、参考价格、禁忌症；</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61</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4247"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支持药品说明书查看</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62</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vMerge w:val="restart"/>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选择用药</w:t>
            </w:r>
          </w:p>
        </w:tc>
        <w:tc>
          <w:tcPr>
            <w:tcW w:w="4247"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支持选择用药剂量、频次、用法、天数、总数、嘱托</w:t>
            </w:r>
          </w:p>
        </w:tc>
      </w:tr>
      <w:tr>
        <w:tblPrEx>
          <w:tblCellMar>
            <w:top w:w="0" w:type="dxa"/>
            <w:left w:w="0" w:type="dxa"/>
            <w:bottom w:w="0" w:type="dxa"/>
            <w:right w:w="0" w:type="dxa"/>
          </w:tblCellMar>
        </w:tblPrEx>
        <w:trPr>
          <w:trHeight w:val="66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63</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4247"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支持修改已经选择的药品剂量、频次、用法、天数、总数、嘱托等</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64</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4247"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支持删除已经选择的药品</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65</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vMerge w:val="restart"/>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处方修改</w:t>
            </w:r>
          </w:p>
        </w:tc>
        <w:tc>
          <w:tcPr>
            <w:tcW w:w="4247"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支持已签发处方召回</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66</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4247"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支持处方笺显示、修改(入口）进入开处方界面</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67</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4247"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支持修改痕迹留档</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68</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vMerge w:val="restart"/>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处方撤销</w:t>
            </w:r>
          </w:p>
        </w:tc>
        <w:tc>
          <w:tcPr>
            <w:tcW w:w="4247"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支持处方笺显示、撤销</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69</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4247"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支持撤销确认、撤销理由填写</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70</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vMerge w:val="restart"/>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异常处方处理</w:t>
            </w:r>
          </w:p>
        </w:tc>
        <w:tc>
          <w:tcPr>
            <w:tcW w:w="4247"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支持处方笺查看、退回原因查看</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auto"/>
              <w:rPr>
                <w:rStyle w:val="13"/>
                <w:rFonts w:ascii="宋体" w:hAnsi="宋体"/>
                <w:color w:val="000000"/>
                <w:kern w:val="0"/>
                <w:sz w:val="24"/>
              </w:rPr>
            </w:pPr>
            <w:r>
              <w:rPr>
                <w:rStyle w:val="13"/>
                <w:rFonts w:ascii="宋体" w:hAnsi="宋体"/>
                <w:color w:val="000000"/>
                <w:kern w:val="0"/>
                <w:sz w:val="24"/>
              </w:rPr>
              <w:t>71</w:t>
            </w:r>
          </w:p>
        </w:tc>
        <w:tc>
          <w:tcPr>
            <w:tcW w:w="189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1656" w:type="dxa"/>
            <w:vMerge w:val="continue"/>
            <w:tcBorders>
              <w:top w:val="nil"/>
              <w:left w:val="single" w:color="000000" w:sz="4" w:space="0"/>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p>
        </w:tc>
        <w:tc>
          <w:tcPr>
            <w:tcW w:w="4247" w:type="dxa"/>
            <w:tcBorders>
              <w:top w:val="nil"/>
              <w:left w:val="nil"/>
              <w:bottom w:val="single" w:color="000000" w:sz="4" w:space="0"/>
              <w:right w:val="single" w:color="000000" w:sz="4" w:space="0"/>
            </w:tcBorders>
            <w:vAlign w:val="center"/>
          </w:tcPr>
          <w:p>
            <w:pPr>
              <w:spacing w:line="360" w:lineRule="auto"/>
              <w:jc w:val="left"/>
              <w:textAlignment w:val="auto"/>
              <w:rPr>
                <w:rStyle w:val="13"/>
                <w:rFonts w:ascii="宋体" w:hAnsi="宋体"/>
                <w:color w:val="000000"/>
                <w:kern w:val="0"/>
                <w:sz w:val="24"/>
              </w:rPr>
            </w:pPr>
            <w:r>
              <w:rPr>
                <w:rStyle w:val="13"/>
                <w:rFonts w:ascii="宋体" w:hAnsi="宋体"/>
                <w:color w:val="000000"/>
                <w:kern w:val="0"/>
                <w:sz w:val="24"/>
              </w:rPr>
              <w:t>支持申诉，申诉原因录入，申诉流转</w:t>
            </w:r>
          </w:p>
        </w:tc>
      </w:tr>
    </w:tbl>
    <w:p>
      <w:pPr>
        <w:spacing w:line="360" w:lineRule="auto"/>
        <w:textAlignment w:val="auto"/>
        <w:rPr>
          <w:rStyle w:val="13"/>
          <w:rFonts w:ascii="宋体" w:hAnsi="宋体"/>
          <w:sz w:val="24"/>
        </w:rPr>
      </w:pPr>
    </w:p>
    <w:p>
      <w:pPr>
        <w:pStyle w:val="21"/>
        <w:spacing w:line="360" w:lineRule="auto"/>
        <w:textAlignment w:val="auto"/>
        <w:rPr>
          <w:rStyle w:val="13"/>
          <w:rFonts w:cs="宋体"/>
          <w:bCs/>
          <w:sz w:val="24"/>
          <w:szCs w:val="24"/>
        </w:rPr>
      </w:pPr>
      <w:r>
        <w:rPr>
          <w:rStyle w:val="13"/>
          <w:rFonts w:cs="宋体"/>
          <w:b/>
          <w:sz w:val="24"/>
          <w:szCs w:val="24"/>
        </w:rPr>
        <w:t>移动支付</w:t>
      </w:r>
    </w:p>
    <w:p>
      <w:pPr>
        <w:pStyle w:val="22"/>
        <w:numPr>
          <w:ilvl w:val="4"/>
          <w:numId w:val="0"/>
        </w:numPr>
        <w:spacing w:before="0" w:after="0" w:line="360" w:lineRule="auto"/>
        <w:ind w:left="1560"/>
        <w:textAlignment w:val="auto"/>
        <w:rPr>
          <w:rStyle w:val="13"/>
          <w:rFonts w:ascii="宋体" w:hAnsi="宋体" w:cs="宋体"/>
          <w:bCs/>
          <w:sz w:val="24"/>
          <w:szCs w:val="24"/>
        </w:rPr>
      </w:pPr>
      <w:r>
        <w:rPr>
          <w:rStyle w:val="13"/>
          <w:rFonts w:hint="eastAsia" w:ascii="宋体" w:hAnsi="宋体" w:cs="宋体"/>
          <w:bCs/>
          <w:sz w:val="24"/>
          <w:szCs w:val="24"/>
        </w:rPr>
        <w:t>1.</w:t>
      </w:r>
      <w:r>
        <w:rPr>
          <w:rStyle w:val="13"/>
          <w:rFonts w:ascii="宋体" w:hAnsi="宋体" w:cs="宋体"/>
          <w:bCs/>
          <w:sz w:val="24"/>
          <w:szCs w:val="24"/>
        </w:rPr>
        <w:t>产品要求</w:t>
      </w:r>
    </w:p>
    <w:p>
      <w:pPr>
        <w:spacing w:line="360" w:lineRule="auto"/>
        <w:ind w:firstLine="560"/>
        <w:textAlignment w:val="auto"/>
        <w:rPr>
          <w:rStyle w:val="13"/>
          <w:rFonts w:ascii="宋体" w:hAnsi="宋体"/>
          <w:sz w:val="24"/>
        </w:rPr>
      </w:pPr>
      <w:r>
        <w:rPr>
          <w:rStyle w:val="13"/>
          <w:rFonts w:ascii="宋体" w:hAnsi="宋体"/>
          <w:sz w:val="24"/>
        </w:rPr>
        <w:t>通过接入移动支付平台，满足居民在线上进行缴费的需要，包括预约挂号缴费，预缴检查检验费用、药品费用、物流配送费用等，真正实现上线就医一体化。</w:t>
      </w:r>
    </w:p>
    <w:p>
      <w:pPr>
        <w:pStyle w:val="22"/>
        <w:numPr>
          <w:ilvl w:val="4"/>
          <w:numId w:val="0"/>
        </w:numPr>
        <w:spacing w:before="0" w:after="0" w:line="360" w:lineRule="auto"/>
        <w:ind w:left="1560"/>
        <w:textAlignment w:val="auto"/>
        <w:rPr>
          <w:rStyle w:val="13"/>
          <w:rFonts w:ascii="宋体" w:hAnsi="宋体" w:cs="宋体"/>
          <w:bCs/>
          <w:sz w:val="24"/>
          <w:szCs w:val="24"/>
        </w:rPr>
      </w:pPr>
      <w:r>
        <w:rPr>
          <w:rStyle w:val="13"/>
          <w:rFonts w:hint="eastAsia" w:ascii="宋体" w:hAnsi="宋体" w:cs="宋体"/>
          <w:bCs/>
          <w:sz w:val="24"/>
          <w:szCs w:val="24"/>
        </w:rPr>
        <w:t>1.1</w:t>
      </w:r>
      <w:r>
        <w:rPr>
          <w:rStyle w:val="13"/>
          <w:rFonts w:ascii="宋体" w:hAnsi="宋体" w:cs="宋体"/>
          <w:bCs/>
          <w:sz w:val="24"/>
          <w:szCs w:val="24"/>
        </w:rPr>
        <w:t>技术参数</w:t>
      </w:r>
    </w:p>
    <w:p>
      <w:pPr>
        <w:pStyle w:val="23"/>
        <w:numPr>
          <w:ilvl w:val="5"/>
          <w:numId w:val="0"/>
        </w:numPr>
        <w:spacing w:before="0" w:after="0" w:line="360" w:lineRule="auto"/>
        <w:textAlignment w:val="auto"/>
        <w:rPr>
          <w:rStyle w:val="13"/>
          <w:rFonts w:cs="宋体"/>
          <w:b/>
          <w:sz w:val="24"/>
          <w:szCs w:val="24"/>
        </w:rPr>
      </w:pPr>
      <w:r>
        <w:rPr>
          <w:rStyle w:val="13"/>
          <w:rFonts w:cs="宋体"/>
          <w:b/>
          <w:sz w:val="24"/>
          <w:szCs w:val="24"/>
        </w:rPr>
        <w:t>移动支付</w:t>
      </w:r>
    </w:p>
    <w:p>
      <w:pPr>
        <w:spacing w:line="360" w:lineRule="auto"/>
        <w:textAlignment w:val="auto"/>
        <w:rPr>
          <w:rStyle w:val="13"/>
          <w:rFonts w:ascii="宋体" w:hAnsi="宋体"/>
          <w:sz w:val="24"/>
        </w:rPr>
      </w:pPr>
      <w:r>
        <w:rPr>
          <w:rStyle w:val="13"/>
          <w:rFonts w:ascii="宋体" w:hAnsi="宋体"/>
          <w:sz w:val="24"/>
        </w:rPr>
        <w:t>（1）居民身份信息校验服务</w:t>
      </w:r>
    </w:p>
    <w:p>
      <w:pPr>
        <w:spacing w:line="360" w:lineRule="auto"/>
        <w:ind w:firstLine="560"/>
        <w:textAlignment w:val="auto"/>
        <w:rPr>
          <w:rStyle w:val="13"/>
          <w:rFonts w:ascii="宋体" w:hAnsi="宋体"/>
          <w:sz w:val="24"/>
        </w:rPr>
      </w:pPr>
      <w:r>
        <w:rPr>
          <w:rStyle w:val="13"/>
          <w:rFonts w:ascii="宋体" w:hAnsi="宋体"/>
          <w:sz w:val="24"/>
        </w:rPr>
        <w:t>提供身份信息校验功能，移动应用可通过微信、支付宝等第三方实名认证渠道经用户实名认证过后向平台发起身份信息校验，将姓名、身份证号等信息按平台提供的加密传输方式传送到平台服务接口。</w:t>
      </w:r>
    </w:p>
    <w:p>
      <w:pPr>
        <w:spacing w:line="360" w:lineRule="auto"/>
        <w:textAlignment w:val="auto"/>
        <w:rPr>
          <w:rStyle w:val="13"/>
          <w:rFonts w:ascii="宋体" w:hAnsi="宋体"/>
          <w:sz w:val="24"/>
        </w:rPr>
      </w:pPr>
      <w:r>
        <w:rPr>
          <w:rStyle w:val="13"/>
          <w:rFonts w:ascii="宋体" w:hAnsi="宋体"/>
          <w:sz w:val="24"/>
        </w:rPr>
        <w:t>（2）支付身份认证服务</w:t>
      </w:r>
    </w:p>
    <w:p>
      <w:pPr>
        <w:spacing w:line="360" w:lineRule="auto"/>
        <w:ind w:firstLine="560"/>
        <w:textAlignment w:val="auto"/>
        <w:rPr>
          <w:rStyle w:val="13"/>
          <w:rFonts w:ascii="宋体" w:hAnsi="宋体"/>
          <w:sz w:val="24"/>
        </w:rPr>
      </w:pPr>
      <w:r>
        <w:rPr>
          <w:rStyle w:val="13"/>
          <w:rFonts w:ascii="宋体" w:hAnsi="宋体"/>
          <w:sz w:val="24"/>
        </w:rPr>
        <w:t>用户在使用移动应用进行移动结算时，通过密码、人脸、声纹认证等方式比对用户在移动应用上输入的认证信息与注册的认证信息是否一致，认证成功后方可进行移动结算。</w:t>
      </w:r>
    </w:p>
    <w:p>
      <w:pPr>
        <w:pStyle w:val="23"/>
        <w:numPr>
          <w:ilvl w:val="5"/>
          <w:numId w:val="0"/>
        </w:numPr>
        <w:spacing w:before="0" w:after="0" w:line="360" w:lineRule="auto"/>
        <w:textAlignment w:val="auto"/>
        <w:rPr>
          <w:rStyle w:val="13"/>
          <w:rFonts w:cs="宋体"/>
          <w:b/>
          <w:sz w:val="24"/>
          <w:szCs w:val="24"/>
        </w:rPr>
      </w:pPr>
      <w:r>
        <w:rPr>
          <w:rStyle w:val="13"/>
          <w:rFonts w:cs="宋体"/>
          <w:b/>
          <w:sz w:val="24"/>
          <w:szCs w:val="24"/>
        </w:rPr>
        <w:t>声纹人脸认证</w:t>
      </w:r>
    </w:p>
    <w:p>
      <w:pPr>
        <w:spacing w:line="360" w:lineRule="auto"/>
        <w:ind w:firstLine="560"/>
        <w:textAlignment w:val="auto"/>
        <w:rPr>
          <w:rStyle w:val="13"/>
          <w:rFonts w:ascii="宋体" w:hAnsi="宋体"/>
          <w:sz w:val="24"/>
        </w:rPr>
      </w:pPr>
      <w:r>
        <w:rPr>
          <w:rStyle w:val="13"/>
          <w:rFonts w:ascii="宋体" w:hAnsi="宋体"/>
          <w:sz w:val="24"/>
        </w:rPr>
        <w:t>患者在进行移动支付时，支持声纹+人脸的生物特征认证，确保资金使用的合规性以及患者自费资金的支付安全性。</w:t>
      </w:r>
    </w:p>
    <w:p>
      <w:pPr>
        <w:spacing w:line="360" w:lineRule="auto"/>
        <w:textAlignment w:val="auto"/>
        <w:rPr>
          <w:rStyle w:val="13"/>
          <w:rFonts w:ascii="宋体" w:hAnsi="宋体"/>
          <w:b/>
          <w:bCs/>
          <w:sz w:val="24"/>
        </w:rPr>
      </w:pPr>
      <w:r>
        <w:rPr>
          <w:rStyle w:val="13"/>
          <w:rFonts w:ascii="宋体" w:hAnsi="宋体"/>
          <w:b/>
          <w:bCs/>
          <w:sz w:val="24"/>
        </w:rPr>
        <w:t>统一对账服务</w:t>
      </w:r>
    </w:p>
    <w:p>
      <w:pPr>
        <w:spacing w:line="360" w:lineRule="auto"/>
        <w:ind w:firstLine="560"/>
        <w:textAlignment w:val="auto"/>
        <w:rPr>
          <w:rStyle w:val="13"/>
          <w:rFonts w:ascii="宋体" w:hAnsi="宋体"/>
          <w:sz w:val="24"/>
        </w:rPr>
      </w:pPr>
      <w:r>
        <w:rPr>
          <w:rStyle w:val="13"/>
          <w:rFonts w:ascii="宋体" w:hAnsi="宋体"/>
          <w:sz w:val="24"/>
        </w:rPr>
        <w:t>账户支付财务报表管理。报表主要包括各账户每日结账报表、办理渠道分类汇总报表、办理渠道对账结果报表、办理渠道异常账目报表等，报表从多维度、多渠道、多方式统计实际收支状况，通过汇总统计当天或者某个时间段内手机APP、微信公众号、小程序等的缴款明细项及应缴款项，真实反应在统计期间内，各渠道实际缴款金额，用于核查对账当天实际资金流是否一致，并跟踪各渠道的业务量。</w:t>
      </w:r>
    </w:p>
    <w:p>
      <w:pPr>
        <w:pStyle w:val="21"/>
        <w:spacing w:line="360" w:lineRule="auto"/>
        <w:textAlignment w:val="auto"/>
        <w:rPr>
          <w:rStyle w:val="13"/>
          <w:rFonts w:cs="宋体"/>
          <w:bCs/>
          <w:sz w:val="24"/>
          <w:szCs w:val="24"/>
        </w:rPr>
      </w:pPr>
      <w:r>
        <w:rPr>
          <w:rStyle w:val="13"/>
          <w:rFonts w:cs="宋体"/>
          <w:b/>
          <w:sz w:val="24"/>
          <w:szCs w:val="24"/>
        </w:rPr>
        <w:t>智能处方流转</w:t>
      </w:r>
    </w:p>
    <w:p>
      <w:pPr>
        <w:pStyle w:val="22"/>
        <w:numPr>
          <w:ilvl w:val="4"/>
          <w:numId w:val="0"/>
        </w:numPr>
        <w:spacing w:before="0" w:after="0" w:line="360" w:lineRule="auto"/>
        <w:ind w:left="1560"/>
        <w:textAlignment w:val="auto"/>
        <w:rPr>
          <w:rStyle w:val="13"/>
          <w:rFonts w:ascii="宋体" w:hAnsi="宋体" w:cs="宋体"/>
          <w:bCs/>
          <w:sz w:val="24"/>
          <w:szCs w:val="24"/>
        </w:rPr>
      </w:pPr>
      <w:r>
        <w:rPr>
          <w:rStyle w:val="13"/>
          <w:rFonts w:hint="eastAsia" w:ascii="宋体" w:hAnsi="宋体" w:cs="宋体"/>
          <w:bCs/>
          <w:sz w:val="24"/>
          <w:szCs w:val="24"/>
        </w:rPr>
        <w:t>1.</w:t>
      </w:r>
      <w:r>
        <w:rPr>
          <w:rStyle w:val="13"/>
          <w:rFonts w:ascii="宋体" w:hAnsi="宋体" w:cs="宋体"/>
          <w:bCs/>
          <w:sz w:val="24"/>
          <w:szCs w:val="24"/>
        </w:rPr>
        <w:t>产品要求</w:t>
      </w:r>
    </w:p>
    <w:p>
      <w:pPr>
        <w:spacing w:line="360" w:lineRule="auto"/>
        <w:ind w:firstLine="560"/>
        <w:textAlignment w:val="auto"/>
        <w:rPr>
          <w:rStyle w:val="13"/>
          <w:rFonts w:ascii="宋体" w:hAnsi="宋体"/>
          <w:sz w:val="24"/>
        </w:rPr>
      </w:pPr>
      <w:r>
        <w:rPr>
          <w:rStyle w:val="13"/>
          <w:rFonts w:ascii="宋体" w:hAnsi="宋体"/>
          <w:sz w:val="24"/>
        </w:rPr>
        <w:t>通过建设智能处方流转平台，可实现电子处方的在线流转，将医院的处方信息、医保目录药品信息和院外药房药品信息等通过电子化的方式，共享到处方流转信息平台。医生可根据患者需求开具外延处方，经医院药师审核后，将处方信息推送给平台药店，患者可自主选择一家平台药店即可完成线下购药或者经由第三方配送机构进行送药上门。</w:t>
      </w:r>
    </w:p>
    <w:p>
      <w:pPr>
        <w:pStyle w:val="22"/>
        <w:numPr>
          <w:ilvl w:val="4"/>
          <w:numId w:val="0"/>
        </w:numPr>
        <w:spacing w:before="0" w:after="0" w:line="360" w:lineRule="auto"/>
        <w:ind w:left="1560"/>
        <w:textAlignment w:val="auto"/>
        <w:rPr>
          <w:rStyle w:val="13"/>
          <w:rFonts w:ascii="宋体" w:hAnsi="宋体" w:cs="宋体"/>
          <w:bCs/>
          <w:sz w:val="24"/>
          <w:szCs w:val="24"/>
        </w:rPr>
      </w:pPr>
      <w:r>
        <w:rPr>
          <w:rStyle w:val="13"/>
          <w:rFonts w:hint="eastAsia" w:ascii="宋体" w:hAnsi="宋体" w:cs="宋体"/>
          <w:bCs/>
          <w:sz w:val="24"/>
          <w:szCs w:val="24"/>
        </w:rPr>
        <w:t>1.1</w:t>
      </w:r>
      <w:r>
        <w:rPr>
          <w:rStyle w:val="13"/>
          <w:rFonts w:ascii="宋体" w:hAnsi="宋体" w:cs="宋体"/>
          <w:bCs/>
          <w:sz w:val="24"/>
          <w:szCs w:val="24"/>
        </w:rPr>
        <w:t>技术参数</w:t>
      </w:r>
    </w:p>
    <w:tbl>
      <w:tblPr>
        <w:tblStyle w:val="10"/>
        <w:tblW w:w="849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46"/>
        <w:gridCol w:w="1291"/>
        <w:gridCol w:w="2043"/>
        <w:gridCol w:w="45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blHeader/>
        </w:trPr>
        <w:tc>
          <w:tcPr>
            <w:tcW w:w="646" w:type="dxa"/>
            <w:tcBorders>
              <w:top w:val="single" w:color="000000" w:sz="4" w:space="0"/>
              <w:left w:val="single" w:color="000000" w:sz="4" w:space="0"/>
              <w:bottom w:val="single" w:color="000000" w:sz="4" w:space="0"/>
              <w:right w:val="single" w:color="000000" w:sz="4" w:space="0"/>
            </w:tcBorders>
            <w:shd w:val="clear" w:color="auto" w:fill="D8D8D8"/>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序号</w:t>
            </w:r>
          </w:p>
        </w:tc>
        <w:tc>
          <w:tcPr>
            <w:tcW w:w="1291" w:type="dxa"/>
            <w:tcBorders>
              <w:top w:val="single" w:color="000000" w:sz="4" w:space="0"/>
              <w:left w:val="single" w:color="000000" w:sz="4" w:space="0"/>
              <w:bottom w:val="single" w:color="000000" w:sz="4" w:space="0"/>
              <w:right w:val="single" w:color="000000" w:sz="4" w:space="0"/>
            </w:tcBorders>
            <w:shd w:val="clear" w:color="auto" w:fill="D8D8D8"/>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模块</w:t>
            </w:r>
          </w:p>
        </w:tc>
        <w:tc>
          <w:tcPr>
            <w:tcW w:w="2043" w:type="dxa"/>
            <w:tcBorders>
              <w:top w:val="single" w:color="000000" w:sz="4" w:space="0"/>
              <w:left w:val="single" w:color="000000" w:sz="4" w:space="0"/>
              <w:bottom w:val="single" w:color="000000" w:sz="4" w:space="0"/>
              <w:right w:val="single" w:color="000000" w:sz="4" w:space="0"/>
            </w:tcBorders>
            <w:shd w:val="clear" w:color="auto" w:fill="D8D8D8"/>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模块功能</w:t>
            </w:r>
          </w:p>
        </w:tc>
        <w:tc>
          <w:tcPr>
            <w:tcW w:w="4515" w:type="dxa"/>
            <w:tcBorders>
              <w:top w:val="single" w:color="000000" w:sz="4" w:space="0"/>
              <w:left w:val="single" w:color="000000" w:sz="4" w:space="0"/>
              <w:bottom w:val="single" w:color="000000" w:sz="4" w:space="0"/>
              <w:right w:val="single" w:color="000000" w:sz="4" w:space="0"/>
            </w:tcBorders>
            <w:shd w:val="clear" w:color="auto" w:fill="D8D8D8"/>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技术要求说明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4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1</w:t>
            </w:r>
          </w:p>
        </w:tc>
        <w:tc>
          <w:tcPr>
            <w:tcW w:w="1291"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药师端应用</w:t>
            </w:r>
          </w:p>
        </w:tc>
        <w:tc>
          <w:tcPr>
            <w:tcW w:w="2043"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药师登录</w:t>
            </w:r>
          </w:p>
        </w:tc>
        <w:tc>
          <w:tcPr>
            <w:tcW w:w="4515" w:type="dxa"/>
            <w:vMerge w:val="restart"/>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支持工号+密码登录</w:t>
            </w:r>
            <w:r>
              <w:rPr>
                <w:rStyle w:val="13"/>
                <w:rFonts w:ascii="宋体" w:hAnsi="宋体"/>
                <w:color w:val="000000"/>
                <w:kern w:val="0"/>
                <w:sz w:val="24"/>
              </w:rPr>
              <w:br w:type="textWrapping" w:clear="all"/>
            </w:r>
            <w:r>
              <w:rPr>
                <w:rStyle w:val="13"/>
                <w:rFonts w:ascii="宋体" w:hAnsi="宋体"/>
                <w:color w:val="000000"/>
                <w:kern w:val="0"/>
                <w:sz w:val="24"/>
              </w:rPr>
              <w:t>支持手机号+验证码登录</w:t>
            </w:r>
            <w:r>
              <w:rPr>
                <w:rStyle w:val="13"/>
                <w:rFonts w:ascii="宋体" w:hAnsi="宋体"/>
                <w:color w:val="000000"/>
                <w:kern w:val="0"/>
                <w:sz w:val="24"/>
              </w:rPr>
              <w:br w:type="textWrapping" w:clear="all"/>
            </w:r>
            <w:r>
              <w:rPr>
                <w:rStyle w:val="13"/>
                <w:rFonts w:ascii="宋体" w:hAnsi="宋体"/>
                <w:color w:val="000000"/>
                <w:kern w:val="0"/>
                <w:sz w:val="24"/>
              </w:rPr>
              <w:t>支持指纹、声纹人脸登录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4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2</w:t>
            </w:r>
          </w:p>
        </w:tc>
        <w:tc>
          <w:tcPr>
            <w:tcW w:w="1291"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2043"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4515"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4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3</w:t>
            </w:r>
          </w:p>
        </w:tc>
        <w:tc>
          <w:tcPr>
            <w:tcW w:w="1291"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2043"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4515"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0" w:hRule="atLeast"/>
        </w:trPr>
        <w:tc>
          <w:tcPr>
            <w:tcW w:w="64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4</w:t>
            </w:r>
          </w:p>
        </w:tc>
        <w:tc>
          <w:tcPr>
            <w:tcW w:w="1291"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204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待审核列表</w:t>
            </w:r>
          </w:p>
        </w:tc>
        <w:tc>
          <w:tcPr>
            <w:tcW w:w="4515"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1）支持展示24小时内未审核的处方主信息列表</w:t>
            </w:r>
            <w:r>
              <w:rPr>
                <w:rStyle w:val="13"/>
                <w:rFonts w:ascii="宋体" w:hAnsi="宋体"/>
                <w:color w:val="000000"/>
                <w:kern w:val="0"/>
                <w:sz w:val="24"/>
              </w:rPr>
              <w:br w:type="textWrapping" w:clear="all"/>
            </w:r>
            <w:r>
              <w:rPr>
                <w:rStyle w:val="13"/>
                <w:rFonts w:ascii="宋体" w:hAnsi="宋体"/>
                <w:color w:val="000000"/>
                <w:kern w:val="0"/>
                <w:sz w:val="24"/>
              </w:rPr>
              <w:t>2）支持查看处方明细，并给出审核意见</w:t>
            </w:r>
            <w:r>
              <w:rPr>
                <w:rStyle w:val="13"/>
                <w:rFonts w:ascii="宋体" w:hAnsi="宋体"/>
                <w:color w:val="000000"/>
                <w:kern w:val="0"/>
                <w:sz w:val="24"/>
              </w:rPr>
              <w:br w:type="textWrapping" w:clear="all"/>
            </w:r>
            <w:r>
              <w:rPr>
                <w:rStyle w:val="13"/>
                <w:rFonts w:ascii="宋体" w:hAnsi="宋体"/>
                <w:color w:val="000000"/>
                <w:kern w:val="0"/>
                <w:sz w:val="24"/>
              </w:rPr>
              <w:t>支持药品信息包括（药品名称、规格、剂量、频次、用法、备注），一张处方多个药品，支持切换药品查看</w:t>
            </w:r>
            <w:r>
              <w:rPr>
                <w:rStyle w:val="13"/>
                <w:rFonts w:ascii="宋体" w:hAnsi="宋体"/>
                <w:color w:val="000000"/>
                <w:kern w:val="0"/>
                <w:sz w:val="24"/>
              </w:rPr>
              <w:br w:type="textWrapping" w:clear="all"/>
            </w:r>
            <w:r>
              <w:rPr>
                <w:rStyle w:val="13"/>
                <w:rFonts w:ascii="宋体" w:hAnsi="宋体"/>
                <w:color w:val="000000"/>
                <w:kern w:val="0"/>
                <w:sz w:val="24"/>
              </w:rPr>
              <w:t>3）支持调阅查看患者病历</w:t>
            </w:r>
            <w:r>
              <w:rPr>
                <w:rStyle w:val="13"/>
                <w:rFonts w:ascii="宋体" w:hAnsi="宋体"/>
                <w:color w:val="000000"/>
                <w:kern w:val="0"/>
                <w:sz w:val="24"/>
              </w:rPr>
              <w:br w:type="textWrapping" w:clear="all"/>
            </w:r>
            <w:r>
              <w:rPr>
                <w:rStyle w:val="13"/>
                <w:rFonts w:ascii="宋体" w:hAnsi="宋体"/>
                <w:color w:val="000000"/>
                <w:kern w:val="0"/>
                <w:sz w:val="24"/>
              </w:rPr>
              <w:t>4）支持对审核通过的处方，记录通过、记录审核时间、药师工号、药师姓名</w:t>
            </w:r>
            <w:r>
              <w:rPr>
                <w:rStyle w:val="13"/>
                <w:rFonts w:ascii="宋体" w:hAnsi="宋体"/>
                <w:color w:val="000000"/>
                <w:kern w:val="0"/>
                <w:sz w:val="24"/>
              </w:rPr>
              <w:br w:type="textWrapping" w:clear="all"/>
            </w:r>
            <w:r>
              <w:rPr>
                <w:rStyle w:val="13"/>
                <w:rFonts w:ascii="宋体" w:hAnsi="宋体"/>
                <w:color w:val="000000"/>
                <w:kern w:val="0"/>
                <w:sz w:val="24"/>
              </w:rPr>
              <w:t>5）支持填写审核驳回原因，支持电话或者短信通知开处方医生</w:t>
            </w:r>
            <w:r>
              <w:rPr>
                <w:rStyle w:val="13"/>
                <w:rFonts w:ascii="宋体" w:hAnsi="宋体"/>
                <w:color w:val="000000"/>
                <w:kern w:val="0"/>
                <w:sz w:val="24"/>
              </w:rPr>
              <w:br w:type="textWrapping" w:clear="all"/>
            </w:r>
            <w:r>
              <w:rPr>
                <w:rStyle w:val="13"/>
                <w:rFonts w:ascii="宋体" w:hAnsi="宋体"/>
                <w:color w:val="000000"/>
                <w:kern w:val="0"/>
                <w:sz w:val="24"/>
              </w:rPr>
              <w:t>6)审核通过与审核不通过需要调用CA接口进行签名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0" w:hRule="atLeast"/>
        </w:trPr>
        <w:tc>
          <w:tcPr>
            <w:tcW w:w="64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5</w:t>
            </w:r>
          </w:p>
        </w:tc>
        <w:tc>
          <w:tcPr>
            <w:tcW w:w="1291"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204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已审核列表</w:t>
            </w:r>
          </w:p>
        </w:tc>
        <w:tc>
          <w:tcPr>
            <w:tcW w:w="4515"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1）按审核时间倒序排列，展示24小时内已审核的处方主信息列表(患者姓名、性别、年龄、诊断、主诉、审核状态（已审核、驳回）、审核时间)</w:t>
            </w:r>
            <w:r>
              <w:rPr>
                <w:rStyle w:val="13"/>
                <w:rFonts w:ascii="宋体" w:hAnsi="宋体"/>
                <w:color w:val="000000"/>
                <w:kern w:val="0"/>
                <w:sz w:val="24"/>
              </w:rPr>
              <w:br w:type="textWrapping" w:clear="all"/>
            </w:r>
            <w:r>
              <w:rPr>
                <w:rStyle w:val="13"/>
                <w:rFonts w:ascii="宋体" w:hAnsi="宋体"/>
                <w:color w:val="000000"/>
                <w:kern w:val="0"/>
                <w:sz w:val="24"/>
              </w:rPr>
              <w:t>2）支持处方明细查看：</w:t>
            </w:r>
            <w:r>
              <w:rPr>
                <w:rStyle w:val="13"/>
                <w:rFonts w:ascii="宋体" w:hAnsi="宋体"/>
                <w:color w:val="000000"/>
                <w:kern w:val="0"/>
                <w:sz w:val="24"/>
              </w:rPr>
              <w:br w:type="textWrapping" w:clear="all"/>
            </w:r>
            <w:r>
              <w:rPr>
                <w:rStyle w:val="13"/>
                <w:rFonts w:ascii="宋体" w:hAnsi="宋体"/>
                <w:color w:val="000000"/>
                <w:kern w:val="0"/>
                <w:sz w:val="24"/>
              </w:rPr>
              <w:t xml:space="preserve">  （1）处方主信息包括患者姓名、性别、年龄、诊断、主诉、现病史、开方医生、审核状态、审核时间</w:t>
            </w:r>
            <w:r>
              <w:rPr>
                <w:rStyle w:val="13"/>
                <w:rFonts w:ascii="宋体" w:hAnsi="宋体"/>
                <w:color w:val="000000"/>
                <w:kern w:val="0"/>
                <w:sz w:val="24"/>
              </w:rPr>
              <w:br w:type="textWrapping" w:clear="all"/>
            </w:r>
            <w:r>
              <w:rPr>
                <w:rStyle w:val="13"/>
                <w:rFonts w:ascii="宋体" w:hAnsi="宋体"/>
                <w:color w:val="000000"/>
                <w:kern w:val="0"/>
                <w:sz w:val="24"/>
              </w:rPr>
              <w:t xml:space="preserve">  （2）药品信息包括（药品名称、规格、剂量、频次、用法、备注），一张处方多个药品，支持切换药品查看</w:t>
            </w:r>
            <w:r>
              <w:rPr>
                <w:rStyle w:val="13"/>
                <w:rFonts w:ascii="宋体" w:hAnsi="宋体"/>
                <w:color w:val="000000"/>
                <w:kern w:val="0"/>
                <w:sz w:val="24"/>
              </w:rPr>
              <w:br w:type="textWrapping" w:clear="all"/>
            </w:r>
            <w:r>
              <w:rPr>
                <w:rStyle w:val="13"/>
                <w:rFonts w:ascii="宋体" w:hAnsi="宋体"/>
                <w:color w:val="000000"/>
                <w:kern w:val="0"/>
                <w:sz w:val="24"/>
              </w:rPr>
              <w:t xml:space="preserve">  （3）支持调阅查看患者病历</w:t>
            </w:r>
            <w:r>
              <w:rPr>
                <w:rStyle w:val="13"/>
                <w:rFonts w:ascii="宋体" w:hAnsi="宋体"/>
                <w:color w:val="000000"/>
                <w:kern w:val="0"/>
                <w:sz w:val="24"/>
              </w:rPr>
              <w:br w:type="textWrapping" w:clear="all"/>
            </w:r>
            <w:r>
              <w:rPr>
                <w:rStyle w:val="13"/>
                <w:rFonts w:ascii="宋体" w:hAnsi="宋体"/>
                <w:color w:val="000000"/>
                <w:kern w:val="0"/>
                <w:sz w:val="24"/>
              </w:rPr>
              <w:t xml:space="preserve">  （4）支持拨打开方医生电话即时告知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4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6</w:t>
            </w:r>
          </w:p>
        </w:tc>
        <w:tc>
          <w:tcPr>
            <w:tcW w:w="1291"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204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个人信息查看/维护</w:t>
            </w:r>
          </w:p>
        </w:tc>
        <w:tc>
          <w:tcPr>
            <w:tcW w:w="4515" w:type="dxa"/>
            <w:tcBorders>
              <w:top w:val="single" w:color="000000" w:sz="4" w:space="0"/>
              <w:left w:val="single" w:color="000000" w:sz="4" w:space="0"/>
              <w:bottom w:val="single" w:color="000000" w:sz="4" w:space="0"/>
              <w:right w:val="single" w:color="000000" w:sz="4" w:space="0"/>
            </w:tcBorders>
            <w:noWrap/>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支持姓名、性别、年龄、药师职称等信息维护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0" w:hRule="atLeast"/>
        </w:trPr>
        <w:tc>
          <w:tcPr>
            <w:tcW w:w="64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7</w:t>
            </w:r>
          </w:p>
        </w:tc>
        <w:tc>
          <w:tcPr>
            <w:tcW w:w="1291"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204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个人工作量查询</w:t>
            </w:r>
          </w:p>
        </w:tc>
        <w:tc>
          <w:tcPr>
            <w:tcW w:w="4515"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1）根据审核日期进行筛选，支持本日、本周、本月快速条件设置，同时支持任意时间段历史处方筛选</w:t>
            </w:r>
            <w:r>
              <w:rPr>
                <w:rStyle w:val="13"/>
                <w:rFonts w:ascii="宋体" w:hAnsi="宋体"/>
                <w:color w:val="000000"/>
                <w:kern w:val="0"/>
                <w:sz w:val="24"/>
              </w:rPr>
              <w:br w:type="textWrapping" w:clear="all"/>
            </w:r>
            <w:r>
              <w:rPr>
                <w:rStyle w:val="13"/>
                <w:rFonts w:ascii="宋体" w:hAnsi="宋体"/>
                <w:color w:val="000000"/>
                <w:kern w:val="0"/>
                <w:sz w:val="24"/>
              </w:rPr>
              <w:t>2）以图表的形式进行工作量展示，包括审核日期、审方数、通过数和不通过数，分别以列表和图形化展示</w:t>
            </w:r>
            <w:r>
              <w:rPr>
                <w:rStyle w:val="13"/>
                <w:rFonts w:ascii="宋体" w:hAnsi="宋体"/>
                <w:color w:val="000000"/>
                <w:kern w:val="0"/>
                <w:sz w:val="24"/>
              </w:rPr>
              <w:br w:type="textWrapping" w:clear="all"/>
            </w:r>
            <w:r>
              <w:rPr>
                <w:rStyle w:val="13"/>
                <w:rFonts w:ascii="宋体" w:hAnsi="宋体"/>
                <w:color w:val="000000"/>
                <w:kern w:val="0"/>
                <w:sz w:val="24"/>
              </w:rPr>
              <w:t>3）根据审核日期进行筛选，支持本日、本周、本月快速条件设置，同时支持任意时间段历史处方筛选</w:t>
            </w:r>
            <w:r>
              <w:rPr>
                <w:rStyle w:val="13"/>
                <w:rFonts w:ascii="宋体" w:hAnsi="宋体"/>
                <w:color w:val="000000"/>
                <w:kern w:val="0"/>
                <w:sz w:val="24"/>
              </w:rPr>
              <w:br w:type="textWrapping" w:clear="all"/>
            </w:r>
            <w:r>
              <w:rPr>
                <w:rStyle w:val="13"/>
                <w:rFonts w:ascii="宋体" w:hAnsi="宋体"/>
                <w:color w:val="000000"/>
                <w:kern w:val="0"/>
                <w:sz w:val="24"/>
              </w:rPr>
              <w:t>3）以图表的形式进行审方效率分析，包括审核日期、审方数、每张处方的平均用时，分别以列表和图形化展示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64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8</w:t>
            </w:r>
          </w:p>
        </w:tc>
        <w:tc>
          <w:tcPr>
            <w:tcW w:w="129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处方流转</w:t>
            </w:r>
          </w:p>
        </w:tc>
        <w:tc>
          <w:tcPr>
            <w:tcW w:w="204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处方流转</w:t>
            </w:r>
          </w:p>
        </w:tc>
        <w:tc>
          <w:tcPr>
            <w:tcW w:w="4515"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支持打通区域内的药企或医院等相关信息系统，经过药师审核通过的处方，可以自动流转至相关药企或者院内药房</w:t>
            </w:r>
          </w:p>
        </w:tc>
      </w:tr>
    </w:tbl>
    <w:p>
      <w:pPr>
        <w:pStyle w:val="21"/>
        <w:spacing w:line="360" w:lineRule="auto"/>
        <w:textAlignment w:val="auto"/>
        <w:rPr>
          <w:rStyle w:val="13"/>
          <w:rFonts w:cs="宋体"/>
          <w:b/>
          <w:sz w:val="24"/>
          <w:szCs w:val="24"/>
        </w:rPr>
      </w:pPr>
      <w:r>
        <w:rPr>
          <w:rStyle w:val="13"/>
          <w:rFonts w:cs="宋体"/>
          <w:b/>
          <w:sz w:val="24"/>
          <w:szCs w:val="24"/>
        </w:rPr>
        <w:t>药品配送</w:t>
      </w:r>
    </w:p>
    <w:p>
      <w:pPr>
        <w:pStyle w:val="22"/>
        <w:numPr>
          <w:ilvl w:val="4"/>
          <w:numId w:val="0"/>
        </w:numPr>
        <w:spacing w:before="0" w:after="0" w:line="360" w:lineRule="auto"/>
        <w:ind w:left="1560"/>
        <w:textAlignment w:val="auto"/>
        <w:rPr>
          <w:rStyle w:val="13"/>
          <w:rFonts w:ascii="宋体" w:hAnsi="宋体" w:cs="宋体"/>
          <w:bCs/>
          <w:sz w:val="24"/>
          <w:szCs w:val="24"/>
        </w:rPr>
      </w:pPr>
      <w:r>
        <w:rPr>
          <w:rStyle w:val="13"/>
          <w:rFonts w:hint="eastAsia" w:ascii="宋体" w:hAnsi="宋体" w:cs="宋体"/>
          <w:bCs/>
          <w:sz w:val="24"/>
          <w:szCs w:val="24"/>
        </w:rPr>
        <w:t>1.</w:t>
      </w:r>
      <w:r>
        <w:rPr>
          <w:rStyle w:val="13"/>
          <w:rFonts w:ascii="宋体" w:hAnsi="宋体" w:cs="宋体"/>
          <w:bCs/>
          <w:sz w:val="24"/>
          <w:szCs w:val="24"/>
        </w:rPr>
        <w:t>产品要求</w:t>
      </w:r>
    </w:p>
    <w:p>
      <w:pPr>
        <w:spacing w:line="360" w:lineRule="auto"/>
        <w:ind w:firstLine="560"/>
        <w:textAlignment w:val="auto"/>
        <w:rPr>
          <w:rStyle w:val="13"/>
          <w:rFonts w:ascii="宋体" w:hAnsi="宋体"/>
          <w:sz w:val="24"/>
        </w:rPr>
      </w:pPr>
      <w:r>
        <w:rPr>
          <w:rStyle w:val="13"/>
          <w:rFonts w:ascii="宋体" w:hAnsi="宋体"/>
          <w:sz w:val="24"/>
        </w:rPr>
        <w:t>通过与当地的药企、院内药房合作，通过处方流转平台，将处方流转到相应的药企或者院内药房，再由相关物流进行药品的配送。</w:t>
      </w:r>
    </w:p>
    <w:p>
      <w:pPr>
        <w:pStyle w:val="22"/>
        <w:numPr>
          <w:ilvl w:val="4"/>
          <w:numId w:val="0"/>
        </w:numPr>
        <w:spacing w:before="0" w:after="0" w:line="360" w:lineRule="auto"/>
        <w:ind w:left="1560"/>
        <w:textAlignment w:val="auto"/>
        <w:rPr>
          <w:rStyle w:val="13"/>
          <w:rFonts w:ascii="宋体" w:hAnsi="宋体" w:cs="宋体"/>
          <w:bCs/>
          <w:sz w:val="24"/>
          <w:szCs w:val="24"/>
        </w:rPr>
      </w:pPr>
      <w:r>
        <w:rPr>
          <w:rStyle w:val="13"/>
          <w:rFonts w:hint="eastAsia" w:ascii="宋体" w:hAnsi="宋体" w:cs="宋体"/>
          <w:bCs/>
          <w:sz w:val="24"/>
          <w:szCs w:val="24"/>
        </w:rPr>
        <w:t>1.1</w:t>
      </w:r>
      <w:r>
        <w:rPr>
          <w:rStyle w:val="13"/>
          <w:rFonts w:ascii="宋体" w:hAnsi="宋体" w:cs="宋体"/>
          <w:bCs/>
          <w:sz w:val="24"/>
          <w:szCs w:val="24"/>
        </w:rPr>
        <w:t>技术参数</w:t>
      </w:r>
    </w:p>
    <w:p>
      <w:pPr>
        <w:spacing w:line="360" w:lineRule="auto"/>
        <w:ind w:firstLine="560"/>
        <w:textAlignment w:val="auto"/>
        <w:rPr>
          <w:rStyle w:val="13"/>
          <w:rFonts w:ascii="宋体" w:hAnsi="宋体"/>
          <w:sz w:val="24"/>
        </w:rPr>
      </w:pPr>
      <w:r>
        <w:rPr>
          <w:rStyle w:val="13"/>
          <w:rFonts w:ascii="宋体" w:hAnsi="宋体"/>
          <w:sz w:val="24"/>
        </w:rPr>
        <w:t>患者选择是否需要药品配送服务，并填写药物配送地址、联系人、联系方式等配送订单信息，由医药电商或院内药房完成药品的配送，患者可随时查询药物配送进程。</w:t>
      </w:r>
    </w:p>
    <w:p>
      <w:pPr>
        <w:pStyle w:val="21"/>
        <w:spacing w:line="360" w:lineRule="auto"/>
        <w:textAlignment w:val="auto"/>
        <w:rPr>
          <w:rStyle w:val="13"/>
          <w:rFonts w:cs="宋体"/>
          <w:b/>
          <w:sz w:val="24"/>
          <w:szCs w:val="24"/>
        </w:rPr>
      </w:pPr>
      <w:r>
        <w:rPr>
          <w:rStyle w:val="13"/>
          <w:rFonts w:cs="宋体"/>
          <w:b/>
          <w:sz w:val="24"/>
          <w:szCs w:val="24"/>
        </w:rPr>
        <w:t>互联网协同平台</w:t>
      </w:r>
    </w:p>
    <w:p>
      <w:pPr>
        <w:pStyle w:val="22"/>
        <w:numPr>
          <w:ilvl w:val="4"/>
          <w:numId w:val="0"/>
        </w:numPr>
        <w:spacing w:before="0" w:after="0" w:line="360" w:lineRule="auto"/>
        <w:ind w:left="1560"/>
        <w:textAlignment w:val="auto"/>
        <w:rPr>
          <w:rStyle w:val="13"/>
          <w:rFonts w:ascii="宋体" w:hAnsi="宋体" w:cs="宋体"/>
          <w:bCs/>
          <w:sz w:val="24"/>
          <w:szCs w:val="24"/>
        </w:rPr>
      </w:pPr>
      <w:r>
        <w:rPr>
          <w:rStyle w:val="13"/>
          <w:rFonts w:hint="eastAsia" w:ascii="宋体" w:hAnsi="宋体" w:cs="宋体"/>
          <w:bCs/>
          <w:sz w:val="24"/>
          <w:szCs w:val="24"/>
        </w:rPr>
        <w:t>1.</w:t>
      </w:r>
      <w:r>
        <w:rPr>
          <w:rStyle w:val="13"/>
          <w:rFonts w:ascii="宋体" w:hAnsi="宋体" w:cs="宋体"/>
          <w:bCs/>
          <w:sz w:val="24"/>
          <w:szCs w:val="24"/>
        </w:rPr>
        <w:t>产品要求</w:t>
      </w:r>
    </w:p>
    <w:p>
      <w:pPr>
        <w:spacing w:line="360" w:lineRule="auto"/>
        <w:ind w:firstLine="560"/>
        <w:textAlignment w:val="auto"/>
        <w:rPr>
          <w:rStyle w:val="13"/>
          <w:rFonts w:ascii="宋体" w:hAnsi="宋体"/>
          <w:sz w:val="24"/>
        </w:rPr>
      </w:pPr>
      <w:r>
        <w:rPr>
          <w:rStyle w:val="13"/>
          <w:rFonts w:ascii="宋体" w:hAnsi="宋体"/>
          <w:sz w:val="24"/>
        </w:rPr>
        <w:t>利用互联网、卫生专网等网络基层设施，通过医疗卫生信息互联互通，实现医生之间、医疗机构之间随时随地跨越空间的畅捷沟通，包括区域医疗专家通过5G等新型网络技术开展多学科远程会诊、远程视频查房、远程临床协作、远程护理指导等，开展摆脱固定场所、专业设备的要求，建立一种全新的联系方式，满足不同层次的医疗需求。</w:t>
      </w:r>
    </w:p>
    <w:p>
      <w:pPr>
        <w:pStyle w:val="22"/>
        <w:numPr>
          <w:ilvl w:val="4"/>
          <w:numId w:val="0"/>
        </w:numPr>
        <w:spacing w:before="0" w:after="0" w:line="360" w:lineRule="auto"/>
        <w:ind w:left="1560"/>
        <w:textAlignment w:val="auto"/>
        <w:rPr>
          <w:rStyle w:val="13"/>
          <w:rFonts w:ascii="宋体" w:hAnsi="宋体" w:cs="宋体"/>
          <w:bCs/>
          <w:sz w:val="24"/>
          <w:szCs w:val="24"/>
        </w:rPr>
      </w:pPr>
      <w:r>
        <w:rPr>
          <w:rStyle w:val="13"/>
          <w:rFonts w:hint="eastAsia" w:ascii="宋体" w:hAnsi="宋体" w:cs="宋体"/>
          <w:bCs/>
          <w:sz w:val="24"/>
          <w:szCs w:val="24"/>
        </w:rPr>
        <w:t>1.1</w:t>
      </w:r>
      <w:r>
        <w:rPr>
          <w:rStyle w:val="13"/>
          <w:rFonts w:ascii="宋体" w:hAnsi="宋体" w:cs="宋体"/>
          <w:bCs/>
          <w:sz w:val="24"/>
          <w:szCs w:val="24"/>
        </w:rPr>
        <w:t>技术参数</w:t>
      </w:r>
    </w:p>
    <w:p>
      <w:pPr>
        <w:pStyle w:val="23"/>
        <w:numPr>
          <w:ilvl w:val="5"/>
          <w:numId w:val="0"/>
        </w:numPr>
        <w:spacing w:before="0" w:after="0" w:line="360" w:lineRule="auto"/>
        <w:jc w:val="center"/>
        <w:textAlignment w:val="auto"/>
        <w:rPr>
          <w:rStyle w:val="13"/>
          <w:rFonts w:cs="宋体"/>
          <w:b/>
          <w:sz w:val="24"/>
          <w:szCs w:val="24"/>
        </w:rPr>
      </w:pPr>
      <w:r>
        <w:rPr>
          <w:rStyle w:val="13"/>
          <w:rFonts w:cs="宋体"/>
          <w:b/>
          <w:sz w:val="24"/>
          <w:szCs w:val="24"/>
        </w:rPr>
        <w:t>远程医疗协作</w:t>
      </w:r>
    </w:p>
    <w:p>
      <w:pPr>
        <w:spacing w:line="360" w:lineRule="auto"/>
        <w:ind w:firstLine="560"/>
        <w:textAlignment w:val="auto"/>
        <w:rPr>
          <w:rStyle w:val="13"/>
          <w:rFonts w:ascii="宋体" w:hAnsi="宋体"/>
          <w:sz w:val="24"/>
        </w:rPr>
      </w:pPr>
      <w:r>
        <w:rPr>
          <w:rStyle w:val="13"/>
          <w:rFonts w:ascii="宋体" w:hAnsi="宋体"/>
          <w:sz w:val="24"/>
        </w:rPr>
        <w:t>借助“互联网+”，构建远程临床协作系统。针对下级医生遇到疑难病例无法处理的门诊病情，可在线申请邀约上级专家医生会诊。下级医生与上级专家医生联合对患者进行临床诊疗，患者的信息在联合诊疗过程中实现可视化共享。病人在下级医院医生处进行就诊，由远端的上级医院专家通过视频查阅病人的资料和病人的状态，同时指导下级医生对病人进行体检，根据了解的病症指导下级医生对病人进行诊断和治疗。</w:t>
      </w:r>
    </w:p>
    <w:p>
      <w:pPr>
        <w:pStyle w:val="23"/>
        <w:numPr>
          <w:ilvl w:val="5"/>
          <w:numId w:val="0"/>
        </w:numPr>
        <w:spacing w:before="0" w:after="0" w:line="360" w:lineRule="auto"/>
        <w:jc w:val="center"/>
        <w:textAlignment w:val="auto"/>
        <w:rPr>
          <w:rStyle w:val="13"/>
          <w:rFonts w:cs="宋体"/>
          <w:bCs/>
          <w:sz w:val="24"/>
          <w:szCs w:val="24"/>
        </w:rPr>
      </w:pPr>
      <w:r>
        <w:rPr>
          <w:rStyle w:val="13"/>
          <w:rFonts w:cs="宋体"/>
          <w:b/>
          <w:sz w:val="24"/>
          <w:szCs w:val="24"/>
        </w:rPr>
        <w:t>互联网视频查房</w:t>
      </w:r>
    </w:p>
    <w:p>
      <w:pPr>
        <w:spacing w:line="360" w:lineRule="auto"/>
        <w:ind w:firstLine="560"/>
        <w:textAlignment w:val="auto"/>
        <w:rPr>
          <w:rStyle w:val="13"/>
          <w:rFonts w:ascii="宋体" w:hAnsi="宋体"/>
          <w:sz w:val="24"/>
        </w:rPr>
      </w:pPr>
      <w:r>
        <w:rPr>
          <w:rStyle w:val="13"/>
          <w:rFonts w:ascii="宋体" w:hAnsi="宋体"/>
          <w:sz w:val="24"/>
        </w:rPr>
        <w:t>借助“互联网+”，构建互联网视频查房系统。针对下级医生无法处理的住院病情，申请上级专家医生的协助。利用5G网络的高速率、大连接、低延时能力，实现上级专家医生远程视频诊视病人，查看医学检查结果和影像图像，开展专家间的直接的讨论，让身处不同医院的专家（或同院不同科的专家）如同亲临现场查看患者，如同开展面对面的交流讨论，从而可以给患者提供多学科联合的高质量会诊意见，大幅提升了会诊质量和效率。</w:t>
      </w:r>
    </w:p>
    <w:p>
      <w:pPr>
        <w:pStyle w:val="23"/>
        <w:numPr>
          <w:ilvl w:val="5"/>
          <w:numId w:val="0"/>
        </w:numPr>
        <w:spacing w:before="0" w:after="0" w:line="360" w:lineRule="auto"/>
        <w:jc w:val="center"/>
        <w:textAlignment w:val="auto"/>
        <w:rPr>
          <w:rStyle w:val="13"/>
          <w:rFonts w:cs="宋体"/>
          <w:b/>
          <w:sz w:val="24"/>
          <w:szCs w:val="24"/>
        </w:rPr>
      </w:pPr>
      <w:r>
        <w:rPr>
          <w:rStyle w:val="13"/>
          <w:rFonts w:cs="宋体"/>
          <w:b/>
          <w:sz w:val="24"/>
          <w:szCs w:val="24"/>
        </w:rPr>
        <w:t>远程护理指导</w:t>
      </w:r>
    </w:p>
    <w:p>
      <w:pPr>
        <w:spacing w:line="360" w:lineRule="auto"/>
        <w:ind w:firstLine="560"/>
        <w:textAlignment w:val="auto"/>
        <w:rPr>
          <w:rStyle w:val="13"/>
          <w:rFonts w:ascii="宋体" w:hAnsi="宋体"/>
          <w:sz w:val="24"/>
        </w:rPr>
      </w:pPr>
      <w:r>
        <w:rPr>
          <w:rStyle w:val="13"/>
          <w:rFonts w:ascii="宋体" w:hAnsi="宋体"/>
          <w:sz w:val="24"/>
        </w:rPr>
        <w:t>借助“互联网+”，构建远程护理指导系统。针对下级护士无法处理的住院病情，申请上级护士的协助，让身处不同医院的护士如同亲临现场查看患者，对下级护士开展护理指导、护理培训，提高下级护士的护理水平，给患者提供更好的护理服务。</w:t>
      </w:r>
    </w:p>
    <w:p>
      <w:pPr>
        <w:pStyle w:val="23"/>
        <w:numPr>
          <w:ilvl w:val="5"/>
          <w:numId w:val="0"/>
        </w:numPr>
        <w:spacing w:before="0" w:after="0" w:line="360" w:lineRule="auto"/>
        <w:jc w:val="center"/>
        <w:textAlignment w:val="auto"/>
        <w:rPr>
          <w:rStyle w:val="13"/>
          <w:rFonts w:cs="宋体"/>
          <w:b/>
          <w:sz w:val="24"/>
          <w:szCs w:val="24"/>
        </w:rPr>
      </w:pPr>
      <w:r>
        <w:rPr>
          <w:rStyle w:val="13"/>
          <w:rFonts w:cs="宋体"/>
          <w:b/>
          <w:sz w:val="24"/>
          <w:szCs w:val="24"/>
        </w:rPr>
        <w:t>区域互联网MDT</w:t>
      </w:r>
    </w:p>
    <w:p>
      <w:pPr>
        <w:spacing w:line="360" w:lineRule="auto"/>
        <w:ind w:firstLine="560"/>
        <w:textAlignment w:val="auto"/>
        <w:rPr>
          <w:rStyle w:val="13"/>
          <w:rFonts w:ascii="宋体" w:hAnsi="宋体"/>
          <w:sz w:val="24"/>
        </w:rPr>
      </w:pPr>
      <w:r>
        <w:rPr>
          <w:rStyle w:val="13"/>
          <w:rFonts w:ascii="宋体" w:hAnsi="宋体"/>
          <w:sz w:val="24"/>
        </w:rPr>
        <w:t>借助“互联网+”，构建区域互联网MDT系统。针对单学科治疗无法达到最佳诊疗效果，分科治疗体系难以为病人提供全方位的诊疗策略，以及区域间医疗资源分布不平衡问题，构建专科疾病分级诊疗、分级健康管理体系。针对专科医生独立无法处理的病情，可在线向区域专家申请多学科会诊，多个会诊专家在自己的办公室远程接入平台，可自由切换视频主窗口、浏览会诊患者的电子病历信息，在详细了解患者病情、各学科专家充分沟通的基础上，以患者为中心,根据患者的病情需要来制定最优的诊疗方案。</w:t>
      </w:r>
    </w:p>
    <w:p>
      <w:pPr>
        <w:pStyle w:val="21"/>
        <w:spacing w:line="360" w:lineRule="auto"/>
        <w:textAlignment w:val="auto"/>
        <w:rPr>
          <w:rStyle w:val="13"/>
          <w:rFonts w:cs="宋体"/>
          <w:bCs/>
          <w:sz w:val="24"/>
          <w:szCs w:val="24"/>
        </w:rPr>
      </w:pPr>
      <w:r>
        <w:rPr>
          <w:rStyle w:val="13"/>
          <w:rFonts w:cs="宋体"/>
          <w:b/>
          <w:sz w:val="24"/>
          <w:szCs w:val="24"/>
        </w:rPr>
        <w:t>基础支撑平台</w:t>
      </w:r>
    </w:p>
    <w:p>
      <w:pPr>
        <w:pStyle w:val="22"/>
        <w:numPr>
          <w:ilvl w:val="4"/>
          <w:numId w:val="0"/>
        </w:numPr>
        <w:spacing w:before="0" w:after="0" w:line="360" w:lineRule="auto"/>
        <w:ind w:left="1560"/>
        <w:textAlignment w:val="auto"/>
        <w:rPr>
          <w:rStyle w:val="13"/>
          <w:rFonts w:ascii="宋体" w:hAnsi="宋体" w:cs="宋体"/>
          <w:bCs/>
          <w:sz w:val="24"/>
          <w:szCs w:val="24"/>
        </w:rPr>
      </w:pPr>
      <w:r>
        <w:rPr>
          <w:rStyle w:val="13"/>
          <w:rFonts w:hint="eastAsia" w:ascii="宋体" w:hAnsi="宋体" w:cs="宋体"/>
          <w:bCs/>
          <w:sz w:val="24"/>
          <w:szCs w:val="24"/>
        </w:rPr>
        <w:t>1.</w:t>
      </w:r>
      <w:r>
        <w:rPr>
          <w:rStyle w:val="13"/>
          <w:rFonts w:ascii="宋体" w:hAnsi="宋体" w:cs="宋体"/>
          <w:bCs/>
          <w:sz w:val="24"/>
          <w:szCs w:val="24"/>
        </w:rPr>
        <w:t>产品要求</w:t>
      </w:r>
    </w:p>
    <w:p>
      <w:pPr>
        <w:spacing w:line="360" w:lineRule="auto"/>
        <w:ind w:firstLine="560"/>
        <w:textAlignment w:val="auto"/>
        <w:rPr>
          <w:rStyle w:val="13"/>
          <w:rFonts w:ascii="宋体" w:hAnsi="宋体"/>
          <w:sz w:val="24"/>
        </w:rPr>
      </w:pPr>
      <w:r>
        <w:rPr>
          <w:rStyle w:val="13"/>
          <w:rFonts w:ascii="宋体" w:hAnsi="宋体"/>
          <w:sz w:val="24"/>
        </w:rPr>
        <w:t>通过基础支撑平台，实现对区域内的互联网诊疗产生的数据进行实时监管，并利用大数据分析技术，对数据进行可视化展示和分析；另外基于标准的医学数据交换标准，实现区域数据互联网互通，满足线上医生数据调阅需求。最后需要实现（预留）CA接口，满足医生线上写病历、开处方的需求。</w:t>
      </w:r>
    </w:p>
    <w:p>
      <w:pPr>
        <w:pStyle w:val="22"/>
        <w:numPr>
          <w:ilvl w:val="4"/>
          <w:numId w:val="0"/>
        </w:numPr>
        <w:spacing w:before="0" w:after="0" w:line="360" w:lineRule="auto"/>
        <w:ind w:left="1560"/>
        <w:textAlignment w:val="auto"/>
        <w:rPr>
          <w:rStyle w:val="13"/>
          <w:rFonts w:ascii="宋体" w:hAnsi="宋体" w:cs="宋体"/>
          <w:bCs/>
          <w:sz w:val="24"/>
          <w:szCs w:val="24"/>
        </w:rPr>
      </w:pPr>
      <w:r>
        <w:rPr>
          <w:rStyle w:val="13"/>
          <w:rFonts w:hint="eastAsia" w:ascii="宋体" w:hAnsi="宋体" w:cs="宋体"/>
          <w:bCs/>
          <w:sz w:val="24"/>
          <w:szCs w:val="24"/>
        </w:rPr>
        <w:t>1.1</w:t>
      </w:r>
      <w:r>
        <w:rPr>
          <w:rStyle w:val="13"/>
          <w:rFonts w:ascii="宋体" w:hAnsi="宋体" w:cs="宋体"/>
          <w:bCs/>
          <w:sz w:val="24"/>
          <w:szCs w:val="24"/>
        </w:rPr>
        <w:t>技术参数</w:t>
      </w:r>
    </w:p>
    <w:tbl>
      <w:tblPr>
        <w:tblStyle w:val="10"/>
        <w:tblW w:w="8495" w:type="dxa"/>
        <w:tblInd w:w="-108" w:type="dxa"/>
        <w:tblLayout w:type="autofit"/>
        <w:tblCellMar>
          <w:top w:w="0" w:type="dxa"/>
          <w:left w:w="0" w:type="dxa"/>
          <w:bottom w:w="0" w:type="dxa"/>
          <w:right w:w="0" w:type="dxa"/>
        </w:tblCellMar>
      </w:tblPr>
      <w:tblGrid>
        <w:gridCol w:w="696"/>
        <w:gridCol w:w="1656"/>
        <w:gridCol w:w="2376"/>
        <w:gridCol w:w="3767"/>
      </w:tblGrid>
      <w:tr>
        <w:tblPrEx>
          <w:tblCellMar>
            <w:top w:w="0" w:type="dxa"/>
            <w:left w:w="0" w:type="dxa"/>
            <w:bottom w:w="0" w:type="dxa"/>
            <w:right w:w="0" w:type="dxa"/>
          </w:tblCellMar>
        </w:tblPrEx>
        <w:trPr>
          <w:trHeight w:val="330" w:hRule="atLeast"/>
          <w:tblHeader/>
        </w:trPr>
        <w:tc>
          <w:tcPr>
            <w:tcW w:w="696" w:type="dxa"/>
            <w:tcBorders>
              <w:top w:val="single" w:color="000000" w:sz="4" w:space="0"/>
              <w:left w:val="single" w:color="000000" w:sz="4" w:space="0"/>
              <w:bottom w:val="single" w:color="000000" w:sz="4" w:space="0"/>
              <w:right w:val="single" w:color="000000" w:sz="4" w:space="0"/>
            </w:tcBorders>
            <w:shd w:val="clear" w:color="auto" w:fill="D8D8D8"/>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序号</w:t>
            </w:r>
          </w:p>
        </w:tc>
        <w:tc>
          <w:tcPr>
            <w:tcW w:w="1656" w:type="dxa"/>
            <w:tcBorders>
              <w:top w:val="single" w:color="000000" w:sz="4" w:space="0"/>
              <w:left w:val="nil"/>
              <w:bottom w:val="single" w:color="000000" w:sz="4" w:space="0"/>
              <w:right w:val="single" w:color="000000" w:sz="4" w:space="0"/>
            </w:tcBorders>
            <w:shd w:val="clear" w:color="auto" w:fill="D8D8D8"/>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模块</w:t>
            </w:r>
          </w:p>
        </w:tc>
        <w:tc>
          <w:tcPr>
            <w:tcW w:w="2376" w:type="dxa"/>
            <w:tcBorders>
              <w:top w:val="single" w:color="000000" w:sz="4" w:space="0"/>
              <w:left w:val="nil"/>
              <w:bottom w:val="single" w:color="000000" w:sz="4" w:space="0"/>
              <w:right w:val="single" w:color="000000" w:sz="4" w:space="0"/>
            </w:tcBorders>
            <w:shd w:val="clear" w:color="auto" w:fill="D8D8D8"/>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模块功能</w:t>
            </w:r>
          </w:p>
        </w:tc>
        <w:tc>
          <w:tcPr>
            <w:tcW w:w="3767" w:type="dxa"/>
            <w:tcBorders>
              <w:top w:val="single" w:color="000000" w:sz="4" w:space="0"/>
              <w:left w:val="nil"/>
              <w:bottom w:val="single" w:color="000000" w:sz="4" w:space="0"/>
              <w:right w:val="single" w:color="000000" w:sz="4" w:space="0"/>
            </w:tcBorders>
            <w:shd w:val="clear" w:color="auto" w:fill="D8D8D8"/>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技术要求说明</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1</w:t>
            </w:r>
          </w:p>
        </w:tc>
        <w:tc>
          <w:tcPr>
            <w:tcW w:w="1656" w:type="dxa"/>
            <w:vMerge w:val="restart"/>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运营管理模块</w:t>
            </w:r>
          </w:p>
        </w:tc>
        <w:tc>
          <w:tcPr>
            <w:tcW w:w="2376" w:type="dxa"/>
            <w:vMerge w:val="restart"/>
            <w:tcBorders>
              <w:top w:val="nil"/>
              <w:left w:val="single" w:color="000000" w:sz="4" w:space="0"/>
              <w:right w:val="single" w:color="000000" w:sz="4" w:space="0"/>
            </w:tcBorders>
            <w:shd w:val="clear" w:color="auto" w:fill="FFFFFF"/>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运营分析</w:t>
            </w:r>
          </w:p>
          <w:p>
            <w:pPr>
              <w:ind w:firstLine="400"/>
              <w:jc w:val="center"/>
              <w:textAlignment w:val="auto"/>
              <w:rPr>
                <w:rStyle w:val="13"/>
                <w:rFonts w:ascii="宋体" w:hAnsi="宋体"/>
                <w:color w:val="000000"/>
                <w:kern w:val="0"/>
                <w:sz w:val="24"/>
              </w:rPr>
            </w:pPr>
          </w:p>
        </w:tc>
        <w:tc>
          <w:tcPr>
            <w:tcW w:w="3767" w:type="dxa"/>
            <w:tcBorders>
              <w:top w:val="nil"/>
              <w:left w:val="nil"/>
              <w:bottom w:val="single" w:color="000000" w:sz="4" w:space="0"/>
              <w:right w:val="single" w:color="000000" w:sz="4" w:space="0"/>
            </w:tcBorders>
            <w:shd w:val="clear" w:color="auto" w:fill="FFFFFF"/>
            <w:noWrap/>
            <w:vAlign w:val="center"/>
          </w:tcPr>
          <w:p>
            <w:pPr>
              <w:jc w:val="left"/>
              <w:textAlignment w:val="auto"/>
              <w:rPr>
                <w:rStyle w:val="13"/>
                <w:rFonts w:ascii="宋体" w:hAnsi="宋体"/>
                <w:kern w:val="0"/>
                <w:sz w:val="24"/>
              </w:rPr>
            </w:pPr>
            <w:r>
              <w:rPr>
                <w:rStyle w:val="13"/>
                <w:rFonts w:ascii="宋体" w:hAnsi="宋体"/>
                <w:kern w:val="0"/>
                <w:sz w:val="24"/>
              </w:rPr>
              <w:t>支持当日就诊数据显示</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3</w:t>
            </w:r>
          </w:p>
        </w:tc>
        <w:tc>
          <w:tcPr>
            <w:tcW w:w="1656" w:type="dxa"/>
            <w:vMerge w:val="continue"/>
            <w:tcBorders>
              <w:top w:val="nil"/>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2376" w:type="dxa"/>
            <w:vMerge w:val="continue"/>
            <w:tcBorders>
              <w:left w:val="single" w:color="000000" w:sz="4" w:space="0"/>
              <w:right w:val="single" w:color="000000" w:sz="4" w:space="0"/>
            </w:tcBorders>
            <w:vAlign w:val="center"/>
          </w:tcPr>
          <w:p>
            <w:pPr>
              <w:ind w:firstLine="400"/>
              <w:jc w:val="center"/>
              <w:textAlignment w:val="auto"/>
              <w:rPr>
                <w:rStyle w:val="13"/>
                <w:rFonts w:ascii="宋体" w:hAnsi="宋体"/>
                <w:color w:val="000000"/>
                <w:kern w:val="0"/>
                <w:sz w:val="24"/>
              </w:rPr>
            </w:pPr>
          </w:p>
        </w:tc>
        <w:tc>
          <w:tcPr>
            <w:tcW w:w="3767" w:type="dxa"/>
            <w:tcBorders>
              <w:top w:val="nil"/>
              <w:left w:val="nil"/>
              <w:bottom w:val="single" w:color="000000" w:sz="4" w:space="0"/>
              <w:right w:val="single" w:color="000000" w:sz="4" w:space="0"/>
            </w:tcBorders>
            <w:noWrap/>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支持对区域内就诊疾病趋势展示</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5</w:t>
            </w:r>
          </w:p>
        </w:tc>
        <w:tc>
          <w:tcPr>
            <w:tcW w:w="1656" w:type="dxa"/>
            <w:vMerge w:val="continue"/>
            <w:tcBorders>
              <w:top w:val="nil"/>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2376" w:type="dxa"/>
            <w:vMerge w:val="continue"/>
            <w:tcBorders>
              <w:left w:val="single" w:color="000000" w:sz="4" w:space="0"/>
              <w:right w:val="single" w:color="000000" w:sz="4" w:space="0"/>
            </w:tcBorders>
            <w:vAlign w:val="center"/>
          </w:tcPr>
          <w:p>
            <w:pPr>
              <w:ind w:firstLine="400"/>
              <w:jc w:val="center"/>
              <w:textAlignment w:val="auto"/>
              <w:rPr>
                <w:rStyle w:val="13"/>
                <w:rFonts w:ascii="宋体" w:hAnsi="宋体"/>
                <w:color w:val="000000"/>
                <w:kern w:val="0"/>
                <w:sz w:val="24"/>
              </w:rPr>
            </w:pPr>
          </w:p>
        </w:tc>
        <w:tc>
          <w:tcPr>
            <w:tcW w:w="3767" w:type="dxa"/>
            <w:tcBorders>
              <w:top w:val="nil"/>
              <w:left w:val="nil"/>
              <w:bottom w:val="single" w:color="000000" w:sz="4" w:space="0"/>
              <w:right w:val="single" w:color="000000" w:sz="4" w:space="0"/>
            </w:tcBorders>
            <w:noWrap/>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支持对区域内就诊患者类型展示</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12</w:t>
            </w:r>
          </w:p>
        </w:tc>
        <w:tc>
          <w:tcPr>
            <w:tcW w:w="1656" w:type="dxa"/>
            <w:vMerge w:val="continue"/>
            <w:tcBorders>
              <w:top w:val="nil"/>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2376" w:type="dxa"/>
            <w:vMerge w:val="continue"/>
            <w:tcBorders>
              <w:left w:val="single" w:color="000000" w:sz="4" w:space="0"/>
              <w:right w:val="single" w:color="000000" w:sz="4" w:space="0"/>
            </w:tcBorders>
            <w:noWrap/>
            <w:vAlign w:val="center"/>
          </w:tcPr>
          <w:p>
            <w:pPr>
              <w:jc w:val="center"/>
              <w:textAlignment w:val="auto"/>
              <w:rPr>
                <w:rStyle w:val="13"/>
                <w:rFonts w:ascii="宋体" w:hAnsi="宋体"/>
                <w:color w:val="000000"/>
                <w:kern w:val="0"/>
                <w:sz w:val="24"/>
              </w:rPr>
            </w:pPr>
          </w:p>
        </w:tc>
        <w:tc>
          <w:tcPr>
            <w:tcW w:w="3767" w:type="dxa"/>
            <w:tcBorders>
              <w:top w:val="nil"/>
              <w:left w:val="nil"/>
              <w:bottom w:val="single" w:color="000000" w:sz="4" w:space="0"/>
              <w:right w:val="single" w:color="000000" w:sz="4" w:space="0"/>
            </w:tcBorders>
            <w:noWrap/>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支持对收入分析</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14</w:t>
            </w:r>
          </w:p>
        </w:tc>
        <w:tc>
          <w:tcPr>
            <w:tcW w:w="1656" w:type="dxa"/>
            <w:vMerge w:val="continue"/>
            <w:tcBorders>
              <w:top w:val="nil"/>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2376" w:type="dxa"/>
            <w:vMerge w:val="continue"/>
            <w:tcBorders>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3767" w:type="dxa"/>
            <w:tcBorders>
              <w:top w:val="nil"/>
              <w:left w:val="nil"/>
              <w:bottom w:val="single" w:color="000000" w:sz="4" w:space="0"/>
              <w:right w:val="single" w:color="000000" w:sz="4" w:space="0"/>
            </w:tcBorders>
            <w:noWrap/>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支持对就诊服务分析</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23</w:t>
            </w:r>
          </w:p>
        </w:tc>
        <w:tc>
          <w:tcPr>
            <w:tcW w:w="1656" w:type="dxa"/>
            <w:vMerge w:val="continue"/>
            <w:tcBorders>
              <w:top w:val="nil"/>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2376" w:type="dxa"/>
            <w:vMerge w:val="restart"/>
            <w:tcBorders>
              <w:top w:val="nil"/>
              <w:left w:val="single" w:color="000000" w:sz="4" w:space="0"/>
              <w:bottom w:val="single" w:color="000000" w:sz="4" w:space="0"/>
              <w:right w:val="single" w:color="000000" w:sz="4" w:space="0"/>
            </w:tcBorders>
            <w:shd w:val="clear" w:color="auto" w:fill="FFFFFF"/>
            <w:noWrap/>
            <w:vAlign w:val="center"/>
          </w:tcPr>
          <w:p>
            <w:pPr>
              <w:jc w:val="center"/>
              <w:textAlignment w:val="auto"/>
              <w:rPr>
                <w:rStyle w:val="13"/>
                <w:rFonts w:ascii="宋体" w:hAnsi="宋体"/>
                <w:kern w:val="0"/>
                <w:sz w:val="24"/>
              </w:rPr>
            </w:pPr>
            <w:r>
              <w:rPr>
                <w:rStyle w:val="13"/>
                <w:rFonts w:ascii="宋体" w:hAnsi="宋体"/>
                <w:kern w:val="0"/>
                <w:sz w:val="24"/>
              </w:rPr>
              <w:t>业务管理与配置</w:t>
            </w:r>
          </w:p>
        </w:tc>
        <w:tc>
          <w:tcPr>
            <w:tcW w:w="3767" w:type="dxa"/>
            <w:tcBorders>
              <w:top w:val="nil"/>
              <w:left w:val="nil"/>
              <w:bottom w:val="single" w:color="000000" w:sz="4" w:space="0"/>
              <w:right w:val="single" w:color="000000" w:sz="4" w:space="0"/>
            </w:tcBorders>
            <w:shd w:val="clear" w:color="auto" w:fill="FFFFFF"/>
            <w:noWrap/>
            <w:vAlign w:val="center"/>
          </w:tcPr>
          <w:p>
            <w:pPr>
              <w:jc w:val="left"/>
              <w:textAlignment w:val="auto"/>
              <w:rPr>
                <w:rStyle w:val="13"/>
                <w:rFonts w:ascii="宋体" w:hAnsi="宋体"/>
                <w:kern w:val="0"/>
                <w:sz w:val="24"/>
              </w:rPr>
            </w:pPr>
            <w:r>
              <w:rPr>
                <w:rStyle w:val="13"/>
                <w:rFonts w:ascii="宋体" w:hAnsi="宋体"/>
                <w:kern w:val="0"/>
                <w:sz w:val="24"/>
              </w:rPr>
              <w:t>支持对机构管理</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24</w:t>
            </w:r>
          </w:p>
        </w:tc>
        <w:tc>
          <w:tcPr>
            <w:tcW w:w="1656" w:type="dxa"/>
            <w:vMerge w:val="continue"/>
            <w:tcBorders>
              <w:top w:val="nil"/>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2376" w:type="dxa"/>
            <w:vMerge w:val="continue"/>
            <w:tcBorders>
              <w:top w:val="nil"/>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p>
        </w:tc>
        <w:tc>
          <w:tcPr>
            <w:tcW w:w="3767" w:type="dxa"/>
            <w:tcBorders>
              <w:top w:val="nil"/>
              <w:left w:val="nil"/>
              <w:bottom w:val="single" w:color="000000" w:sz="4" w:space="0"/>
              <w:right w:val="single" w:color="000000" w:sz="4" w:space="0"/>
            </w:tcBorders>
            <w:shd w:val="clear" w:color="auto" w:fill="FFFFFF"/>
            <w:noWrap/>
            <w:vAlign w:val="center"/>
          </w:tcPr>
          <w:p>
            <w:pPr>
              <w:jc w:val="left"/>
              <w:textAlignment w:val="auto"/>
              <w:rPr>
                <w:rStyle w:val="13"/>
                <w:rFonts w:ascii="宋体" w:hAnsi="宋体"/>
                <w:kern w:val="0"/>
                <w:sz w:val="24"/>
              </w:rPr>
            </w:pPr>
            <w:r>
              <w:rPr>
                <w:rStyle w:val="13"/>
                <w:rFonts w:ascii="宋体" w:hAnsi="宋体"/>
                <w:kern w:val="0"/>
                <w:sz w:val="24"/>
              </w:rPr>
              <w:t>支持对用户管理</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25</w:t>
            </w:r>
          </w:p>
        </w:tc>
        <w:tc>
          <w:tcPr>
            <w:tcW w:w="1656" w:type="dxa"/>
            <w:vMerge w:val="continue"/>
            <w:tcBorders>
              <w:top w:val="nil"/>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2376" w:type="dxa"/>
            <w:vMerge w:val="continue"/>
            <w:tcBorders>
              <w:top w:val="nil"/>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p>
        </w:tc>
        <w:tc>
          <w:tcPr>
            <w:tcW w:w="3767" w:type="dxa"/>
            <w:tcBorders>
              <w:top w:val="nil"/>
              <w:left w:val="nil"/>
              <w:bottom w:val="single" w:color="000000" w:sz="4" w:space="0"/>
              <w:right w:val="single" w:color="000000" w:sz="4" w:space="0"/>
            </w:tcBorders>
            <w:shd w:val="clear" w:color="auto" w:fill="FFFFFF"/>
            <w:noWrap/>
            <w:vAlign w:val="center"/>
          </w:tcPr>
          <w:p>
            <w:pPr>
              <w:jc w:val="left"/>
              <w:textAlignment w:val="auto"/>
              <w:rPr>
                <w:rStyle w:val="13"/>
                <w:rFonts w:ascii="宋体" w:hAnsi="宋体"/>
                <w:kern w:val="0"/>
                <w:sz w:val="24"/>
              </w:rPr>
            </w:pPr>
            <w:r>
              <w:rPr>
                <w:rStyle w:val="13"/>
                <w:rFonts w:ascii="宋体" w:hAnsi="宋体"/>
                <w:kern w:val="0"/>
                <w:sz w:val="24"/>
              </w:rPr>
              <w:t>支持对角色管理</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26</w:t>
            </w:r>
          </w:p>
        </w:tc>
        <w:tc>
          <w:tcPr>
            <w:tcW w:w="1656" w:type="dxa"/>
            <w:vMerge w:val="continue"/>
            <w:tcBorders>
              <w:top w:val="nil"/>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2376" w:type="dxa"/>
            <w:vMerge w:val="continue"/>
            <w:tcBorders>
              <w:top w:val="nil"/>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p>
        </w:tc>
        <w:tc>
          <w:tcPr>
            <w:tcW w:w="3767" w:type="dxa"/>
            <w:tcBorders>
              <w:top w:val="nil"/>
              <w:left w:val="nil"/>
              <w:bottom w:val="single" w:color="000000" w:sz="4" w:space="0"/>
              <w:right w:val="single" w:color="000000" w:sz="4" w:space="0"/>
            </w:tcBorders>
            <w:shd w:val="clear" w:color="auto" w:fill="FFFFFF"/>
            <w:noWrap/>
            <w:vAlign w:val="center"/>
          </w:tcPr>
          <w:p>
            <w:pPr>
              <w:jc w:val="left"/>
              <w:textAlignment w:val="auto"/>
              <w:rPr>
                <w:rStyle w:val="13"/>
                <w:rFonts w:ascii="宋体" w:hAnsi="宋体"/>
                <w:kern w:val="0"/>
                <w:sz w:val="24"/>
              </w:rPr>
            </w:pPr>
            <w:r>
              <w:rPr>
                <w:rStyle w:val="13"/>
                <w:rFonts w:ascii="宋体" w:hAnsi="宋体"/>
                <w:kern w:val="0"/>
                <w:sz w:val="24"/>
              </w:rPr>
              <w:t>支持对用户权限管理</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27</w:t>
            </w:r>
          </w:p>
        </w:tc>
        <w:tc>
          <w:tcPr>
            <w:tcW w:w="1656"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CA接口</w:t>
            </w:r>
          </w:p>
        </w:tc>
        <w:tc>
          <w:tcPr>
            <w:tcW w:w="2376" w:type="dxa"/>
            <w:tcBorders>
              <w:top w:val="nil"/>
              <w:left w:val="single" w:color="000000" w:sz="4" w:space="0"/>
              <w:bottom w:val="single" w:color="000000" w:sz="4" w:space="0"/>
              <w:right w:val="single" w:color="000000" w:sz="4" w:space="0"/>
            </w:tcBorders>
            <w:noWrap/>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医生端移动CA</w:t>
            </w:r>
          </w:p>
        </w:tc>
        <w:tc>
          <w:tcPr>
            <w:tcW w:w="3767"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通过与医院或者区域CA系统对接，实现移动端写病历、开处方</w:t>
            </w:r>
          </w:p>
        </w:tc>
      </w:tr>
      <w:tr>
        <w:tblPrEx>
          <w:tblCellMar>
            <w:top w:w="0" w:type="dxa"/>
            <w:left w:w="0" w:type="dxa"/>
            <w:bottom w:w="0" w:type="dxa"/>
            <w:right w:w="0" w:type="dxa"/>
          </w:tblCellMar>
        </w:tblPrEx>
        <w:trPr>
          <w:trHeight w:val="330" w:hRule="atLeast"/>
        </w:trPr>
        <w:tc>
          <w:tcPr>
            <w:tcW w:w="696"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28</w:t>
            </w:r>
          </w:p>
        </w:tc>
        <w:tc>
          <w:tcPr>
            <w:tcW w:w="1656" w:type="dxa"/>
            <w:vMerge w:val="continue"/>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2376" w:type="dxa"/>
            <w:tcBorders>
              <w:top w:val="nil"/>
              <w:left w:val="single" w:color="000000" w:sz="4" w:space="0"/>
              <w:bottom w:val="single" w:color="000000" w:sz="4" w:space="0"/>
              <w:right w:val="single" w:color="000000" w:sz="4" w:space="0"/>
            </w:tcBorders>
            <w:noWrap/>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药师端移动CA</w:t>
            </w:r>
          </w:p>
        </w:tc>
        <w:tc>
          <w:tcPr>
            <w:tcW w:w="3767"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通过与医院或者区域CA系统对接，实现药师移动端进行药品审核</w:t>
            </w:r>
          </w:p>
        </w:tc>
      </w:tr>
      <w:tr>
        <w:tblPrEx>
          <w:tblCellMar>
            <w:top w:w="0" w:type="dxa"/>
            <w:left w:w="0" w:type="dxa"/>
            <w:bottom w:w="0" w:type="dxa"/>
            <w:right w:w="0" w:type="dxa"/>
          </w:tblCellMar>
        </w:tblPrEx>
        <w:trPr>
          <w:trHeight w:val="660" w:hRule="atLeast"/>
        </w:trPr>
        <w:tc>
          <w:tcPr>
            <w:tcW w:w="696"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29</w:t>
            </w:r>
          </w:p>
        </w:tc>
        <w:tc>
          <w:tcPr>
            <w:tcW w:w="1656" w:type="dxa"/>
            <w:vMerge w:val="restart"/>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系统对接</w:t>
            </w:r>
          </w:p>
        </w:tc>
        <w:tc>
          <w:tcPr>
            <w:tcW w:w="2376" w:type="dxa"/>
            <w:tcBorders>
              <w:top w:val="nil"/>
              <w:left w:val="single" w:color="000000" w:sz="4" w:space="0"/>
              <w:bottom w:val="single" w:color="000000" w:sz="4" w:space="0"/>
              <w:right w:val="single" w:color="000000" w:sz="4" w:space="0"/>
            </w:tcBorders>
            <w:noWrap/>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业务系统对接</w:t>
            </w:r>
          </w:p>
        </w:tc>
        <w:tc>
          <w:tcPr>
            <w:tcW w:w="3767"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系统需要与全民健康信息平台、院内HIS等系统打通，实现数据的互联互通</w:t>
            </w:r>
          </w:p>
        </w:tc>
      </w:tr>
      <w:tr>
        <w:tblPrEx>
          <w:tblCellMar>
            <w:top w:w="0" w:type="dxa"/>
            <w:left w:w="0" w:type="dxa"/>
            <w:bottom w:w="0" w:type="dxa"/>
            <w:right w:w="0" w:type="dxa"/>
          </w:tblCellMar>
        </w:tblPrEx>
        <w:trPr>
          <w:trHeight w:val="660" w:hRule="atLeast"/>
        </w:trPr>
        <w:tc>
          <w:tcPr>
            <w:tcW w:w="696" w:type="dxa"/>
            <w:tcBorders>
              <w:top w:val="nil"/>
              <w:left w:val="single" w:color="000000" w:sz="4" w:space="0"/>
              <w:bottom w:val="single" w:color="000000" w:sz="4" w:space="0"/>
              <w:right w:val="single" w:color="000000" w:sz="4" w:space="0"/>
            </w:tcBorders>
            <w:noWrap/>
            <w:vAlign w:val="center"/>
          </w:tcPr>
          <w:p>
            <w:pPr>
              <w:jc w:val="center"/>
              <w:textAlignment w:val="auto"/>
              <w:rPr>
                <w:rStyle w:val="13"/>
                <w:rFonts w:ascii="宋体" w:hAnsi="宋体"/>
                <w:color w:val="000000"/>
                <w:kern w:val="0"/>
                <w:sz w:val="24"/>
              </w:rPr>
            </w:pPr>
            <w:r>
              <w:rPr>
                <w:rStyle w:val="13"/>
                <w:rFonts w:ascii="宋体" w:hAnsi="宋体"/>
                <w:color w:val="000000"/>
                <w:kern w:val="0"/>
                <w:sz w:val="24"/>
              </w:rPr>
              <w:t>30</w:t>
            </w:r>
          </w:p>
        </w:tc>
        <w:tc>
          <w:tcPr>
            <w:tcW w:w="1656" w:type="dxa"/>
            <w:vMerge w:val="continue"/>
            <w:tcBorders>
              <w:top w:val="nil"/>
              <w:left w:val="single" w:color="000000" w:sz="4" w:space="0"/>
              <w:bottom w:val="single" w:color="000000" w:sz="4" w:space="0"/>
              <w:right w:val="single" w:color="000000" w:sz="4" w:space="0"/>
            </w:tcBorders>
            <w:vAlign w:val="center"/>
          </w:tcPr>
          <w:p>
            <w:pPr>
              <w:jc w:val="left"/>
              <w:textAlignment w:val="auto"/>
              <w:rPr>
                <w:rStyle w:val="13"/>
                <w:rFonts w:ascii="宋体" w:hAnsi="宋体"/>
                <w:color w:val="000000"/>
                <w:kern w:val="0"/>
                <w:sz w:val="24"/>
              </w:rPr>
            </w:pPr>
          </w:p>
        </w:tc>
        <w:tc>
          <w:tcPr>
            <w:tcW w:w="2376" w:type="dxa"/>
            <w:tcBorders>
              <w:top w:val="nil"/>
              <w:left w:val="single" w:color="000000" w:sz="4" w:space="0"/>
              <w:bottom w:val="single" w:color="000000" w:sz="4" w:space="0"/>
              <w:right w:val="single" w:color="000000" w:sz="4" w:space="0"/>
            </w:tcBorders>
            <w:noWrap/>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互联网监管平台对接</w:t>
            </w:r>
          </w:p>
        </w:tc>
        <w:tc>
          <w:tcPr>
            <w:tcW w:w="3767" w:type="dxa"/>
            <w:tcBorders>
              <w:top w:val="nil"/>
              <w:left w:val="nil"/>
              <w:bottom w:val="single" w:color="000000" w:sz="4" w:space="0"/>
              <w:right w:val="single" w:color="000000" w:sz="4" w:space="0"/>
            </w:tcBorders>
            <w:vAlign w:val="center"/>
          </w:tcPr>
          <w:p>
            <w:pPr>
              <w:jc w:val="left"/>
              <w:textAlignment w:val="auto"/>
              <w:rPr>
                <w:rStyle w:val="13"/>
                <w:rFonts w:ascii="宋体" w:hAnsi="宋体"/>
                <w:color w:val="000000"/>
                <w:kern w:val="0"/>
                <w:sz w:val="24"/>
              </w:rPr>
            </w:pPr>
            <w:r>
              <w:rPr>
                <w:rStyle w:val="13"/>
                <w:rFonts w:ascii="宋体" w:hAnsi="宋体"/>
                <w:color w:val="000000"/>
                <w:kern w:val="0"/>
                <w:sz w:val="24"/>
              </w:rPr>
              <w:t>为了满足政府对互联网诊疗行为的监管，本次平台建设将预留自治区互联网监管平台接口</w:t>
            </w:r>
          </w:p>
        </w:tc>
      </w:tr>
    </w:tbl>
    <w:p>
      <w:pPr>
        <w:spacing w:line="360" w:lineRule="auto"/>
        <w:textAlignment w:val="auto"/>
        <w:rPr>
          <w:rStyle w:val="13"/>
          <w:rFonts w:ascii="宋体" w:hAnsi="宋体"/>
          <w:sz w:val="24"/>
        </w:rPr>
      </w:pPr>
    </w:p>
    <w:p>
      <w:pPr>
        <w:pStyle w:val="20"/>
        <w:spacing w:before="0" w:after="0" w:line="360" w:lineRule="auto"/>
        <w:textAlignment w:val="auto"/>
        <w:rPr>
          <w:rStyle w:val="13"/>
          <w:rFonts w:ascii="宋体" w:hAnsi="宋体"/>
          <w:b/>
          <w:bCs/>
          <w:sz w:val="24"/>
          <w:szCs w:val="24"/>
        </w:rPr>
      </w:pPr>
      <w:r>
        <w:rPr>
          <w:rStyle w:val="13"/>
          <w:rFonts w:ascii="宋体" w:hAnsi="宋体"/>
          <w:b/>
          <w:bCs/>
          <w:sz w:val="24"/>
          <w:szCs w:val="24"/>
        </w:rPr>
        <w:t>综合监测平台</w:t>
      </w:r>
    </w:p>
    <w:p>
      <w:pPr>
        <w:pStyle w:val="21"/>
        <w:spacing w:line="360" w:lineRule="auto"/>
        <w:textAlignment w:val="auto"/>
        <w:rPr>
          <w:rStyle w:val="13"/>
          <w:rFonts w:cs="宋体"/>
          <w:bCs/>
          <w:sz w:val="24"/>
          <w:szCs w:val="24"/>
        </w:rPr>
      </w:pPr>
      <w:r>
        <w:rPr>
          <w:rStyle w:val="13"/>
          <w:rFonts w:cs="宋体"/>
          <w:b/>
          <w:sz w:val="24"/>
          <w:szCs w:val="24"/>
        </w:rPr>
        <w:t>人工智能质控审核系统</w:t>
      </w:r>
    </w:p>
    <w:p>
      <w:pPr>
        <w:pStyle w:val="22"/>
        <w:numPr>
          <w:ilvl w:val="4"/>
          <w:numId w:val="0"/>
        </w:numPr>
        <w:spacing w:before="0" w:after="0" w:line="360" w:lineRule="auto"/>
        <w:ind w:left="1560"/>
        <w:textAlignment w:val="auto"/>
        <w:rPr>
          <w:rStyle w:val="13"/>
          <w:rFonts w:ascii="宋体" w:hAnsi="宋体" w:cs="宋体"/>
          <w:bCs/>
          <w:sz w:val="24"/>
          <w:szCs w:val="24"/>
        </w:rPr>
      </w:pPr>
      <w:r>
        <w:rPr>
          <w:rStyle w:val="13"/>
          <w:rFonts w:hint="eastAsia" w:ascii="宋体" w:hAnsi="宋体" w:cs="宋体"/>
          <w:bCs/>
          <w:sz w:val="24"/>
          <w:szCs w:val="24"/>
        </w:rPr>
        <w:t>1.</w:t>
      </w:r>
      <w:r>
        <w:rPr>
          <w:rStyle w:val="13"/>
          <w:rFonts w:ascii="宋体" w:hAnsi="宋体" w:cs="宋体"/>
          <w:bCs/>
          <w:sz w:val="24"/>
          <w:szCs w:val="24"/>
        </w:rPr>
        <w:t>产品要求</w:t>
      </w:r>
    </w:p>
    <w:p>
      <w:pPr>
        <w:spacing w:line="360" w:lineRule="auto"/>
        <w:ind w:firstLine="560"/>
        <w:textAlignment w:val="auto"/>
        <w:rPr>
          <w:rStyle w:val="13"/>
          <w:rFonts w:ascii="宋体" w:hAnsi="宋体"/>
          <w:sz w:val="24"/>
        </w:rPr>
      </w:pPr>
      <w:r>
        <w:rPr>
          <w:rStyle w:val="13"/>
          <w:rFonts w:ascii="宋体" w:hAnsi="宋体"/>
          <w:sz w:val="24"/>
        </w:rPr>
        <w:t>人工智能质控审核系统以在线实时的方式将筛查出的诊断不一致和危重诊断病例自动提交给上级医生进行复审，同时基层医生在遇到危重疾病或诊断不一致病例时也可以主动发起咨询，由上级医生作进一步确诊后反馈至对应基层医生处，打造基层诊疗服务闭环。</w:t>
      </w:r>
    </w:p>
    <w:p>
      <w:pPr>
        <w:pStyle w:val="22"/>
        <w:numPr>
          <w:ilvl w:val="4"/>
          <w:numId w:val="0"/>
        </w:numPr>
        <w:spacing w:before="0" w:after="0" w:line="360" w:lineRule="auto"/>
        <w:ind w:left="1560"/>
        <w:textAlignment w:val="auto"/>
        <w:rPr>
          <w:rStyle w:val="13"/>
          <w:rFonts w:ascii="宋体" w:hAnsi="宋体" w:cs="宋体"/>
          <w:bCs/>
          <w:sz w:val="24"/>
          <w:szCs w:val="24"/>
        </w:rPr>
      </w:pPr>
      <w:r>
        <w:rPr>
          <w:rStyle w:val="13"/>
          <w:rFonts w:hint="eastAsia" w:ascii="宋体" w:hAnsi="宋体" w:cs="宋体"/>
          <w:bCs/>
          <w:sz w:val="24"/>
          <w:szCs w:val="24"/>
        </w:rPr>
        <w:t>1.1</w:t>
      </w:r>
      <w:r>
        <w:rPr>
          <w:rStyle w:val="13"/>
          <w:rFonts w:ascii="宋体" w:hAnsi="宋体" w:cs="宋体"/>
          <w:bCs/>
          <w:sz w:val="24"/>
          <w:szCs w:val="24"/>
        </w:rPr>
        <w:t>技术参数</w:t>
      </w:r>
    </w:p>
    <w:p>
      <w:pPr>
        <w:spacing w:line="360" w:lineRule="auto"/>
        <w:ind w:firstLine="560"/>
        <w:textAlignment w:val="auto"/>
        <w:rPr>
          <w:rStyle w:val="13"/>
          <w:rFonts w:ascii="宋体" w:hAnsi="宋体"/>
          <w:sz w:val="24"/>
        </w:rPr>
      </w:pPr>
      <w:r>
        <w:rPr>
          <w:rStyle w:val="13"/>
          <w:rFonts w:ascii="宋体" w:hAnsi="宋体"/>
          <w:sz w:val="24"/>
        </w:rPr>
        <w:t>产品的技术参数要求如下：</w:t>
      </w:r>
    </w:p>
    <w:p>
      <w:pPr>
        <w:pStyle w:val="3"/>
        <w:spacing w:line="360" w:lineRule="auto"/>
        <w:textAlignment w:val="auto"/>
        <w:rPr>
          <w:rStyle w:val="13"/>
          <w:rFonts w:ascii="宋体" w:hAnsi="宋体" w:eastAsia="宋体"/>
          <w:sz w:val="24"/>
          <w:szCs w:val="24"/>
        </w:rPr>
      </w:pPr>
      <w:r>
        <w:rPr>
          <w:rStyle w:val="13"/>
          <w:rFonts w:ascii="宋体" w:hAnsi="宋体" w:eastAsia="宋体"/>
          <w:sz w:val="24"/>
          <w:szCs w:val="24"/>
        </w:rPr>
        <w:t>表格 15人工智能质控审核系统技术参数一览表</w:t>
      </w:r>
    </w:p>
    <w:tbl>
      <w:tblPr>
        <w:tblStyle w:val="10"/>
        <w:tblW w:w="849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20"/>
        <w:gridCol w:w="2032"/>
        <w:gridCol w:w="5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20" w:type="dxa"/>
            <w:tcBorders>
              <w:top w:val="single" w:color="000000" w:sz="4" w:space="0"/>
              <w:left w:val="single" w:color="000000" w:sz="4" w:space="0"/>
              <w:bottom w:val="single" w:color="000000" w:sz="4" w:space="0"/>
              <w:right w:val="single" w:color="000000" w:sz="4" w:space="0"/>
            </w:tcBorders>
            <w:shd w:val="clear" w:color="auto" w:fill="D8D8D8"/>
            <w:vAlign w:val="center"/>
          </w:tcPr>
          <w:p>
            <w:pPr>
              <w:jc w:val="center"/>
              <w:textAlignment w:val="auto"/>
              <w:rPr>
                <w:rStyle w:val="13"/>
                <w:rFonts w:ascii="宋体" w:hAnsi="宋体"/>
                <w:b/>
                <w:sz w:val="24"/>
              </w:rPr>
            </w:pPr>
            <w:r>
              <w:rPr>
                <w:rStyle w:val="13"/>
                <w:rFonts w:ascii="宋体" w:hAnsi="宋体"/>
                <w:b/>
                <w:sz w:val="24"/>
              </w:rPr>
              <w:t>序号</w:t>
            </w:r>
          </w:p>
        </w:tc>
        <w:tc>
          <w:tcPr>
            <w:tcW w:w="2032" w:type="dxa"/>
            <w:tcBorders>
              <w:top w:val="single" w:color="000000" w:sz="4" w:space="0"/>
              <w:left w:val="single" w:color="000000" w:sz="4" w:space="0"/>
              <w:bottom w:val="single" w:color="000000" w:sz="4" w:space="0"/>
              <w:right w:val="single" w:color="000000" w:sz="4" w:space="0"/>
            </w:tcBorders>
            <w:shd w:val="clear" w:color="auto" w:fill="D8D8D8"/>
            <w:vAlign w:val="center"/>
          </w:tcPr>
          <w:p>
            <w:pPr>
              <w:jc w:val="center"/>
              <w:textAlignment w:val="auto"/>
              <w:rPr>
                <w:rStyle w:val="13"/>
                <w:rFonts w:ascii="宋体" w:hAnsi="宋体"/>
                <w:b/>
                <w:sz w:val="24"/>
              </w:rPr>
            </w:pPr>
            <w:r>
              <w:rPr>
                <w:rStyle w:val="13"/>
                <w:rFonts w:ascii="宋体" w:hAnsi="宋体"/>
                <w:b/>
                <w:sz w:val="24"/>
              </w:rPr>
              <w:t>性能/功能</w:t>
            </w:r>
          </w:p>
        </w:tc>
        <w:tc>
          <w:tcPr>
            <w:tcW w:w="5743" w:type="dxa"/>
            <w:tcBorders>
              <w:top w:val="single" w:color="000000" w:sz="4" w:space="0"/>
              <w:left w:val="single" w:color="000000" w:sz="4" w:space="0"/>
              <w:bottom w:val="single" w:color="000000" w:sz="4" w:space="0"/>
              <w:right w:val="single" w:color="000000" w:sz="4" w:space="0"/>
            </w:tcBorders>
            <w:shd w:val="clear" w:color="auto" w:fill="D8D8D8"/>
            <w:vAlign w:val="center"/>
          </w:tcPr>
          <w:p>
            <w:pPr>
              <w:jc w:val="center"/>
              <w:textAlignment w:val="auto"/>
              <w:rPr>
                <w:rStyle w:val="13"/>
                <w:rFonts w:ascii="宋体" w:hAnsi="宋体"/>
                <w:b/>
                <w:sz w:val="24"/>
              </w:rPr>
            </w:pPr>
            <w:r>
              <w:rPr>
                <w:rStyle w:val="13"/>
                <w:rFonts w:ascii="宋体" w:hAnsi="宋体"/>
                <w:b/>
                <w:sz w:val="24"/>
              </w:rPr>
              <w:t>需求及技术参数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71"/>
              <w:numPr>
                <w:ilvl w:val="0"/>
                <w:numId w:val="14"/>
              </w:numPr>
              <w:ind w:firstLineChars="0"/>
              <w:jc w:val="center"/>
              <w:textAlignment w:val="auto"/>
              <w:rPr>
                <w:rStyle w:val="13"/>
                <w:rFonts w:ascii="宋体" w:hAnsi="宋体"/>
                <w:sz w:val="24"/>
              </w:rPr>
            </w:pPr>
          </w:p>
        </w:tc>
        <w:tc>
          <w:tcPr>
            <w:tcW w:w="2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auto"/>
              <w:rPr>
                <w:rStyle w:val="13"/>
                <w:rFonts w:ascii="宋体" w:hAnsi="宋体"/>
                <w:sz w:val="24"/>
              </w:rPr>
            </w:pPr>
            <w:r>
              <w:rPr>
                <w:rStyle w:val="13"/>
                <w:rFonts w:ascii="宋体" w:hAnsi="宋体"/>
                <w:sz w:val="24"/>
              </w:rPr>
              <w:t>患者健康摘要</w:t>
            </w:r>
          </w:p>
        </w:tc>
        <w:tc>
          <w:tcPr>
            <w:tcW w:w="5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auto"/>
              <w:rPr>
                <w:rStyle w:val="13"/>
                <w:rFonts w:ascii="宋体" w:hAnsi="宋体"/>
                <w:sz w:val="24"/>
              </w:rPr>
            </w:pPr>
            <w:r>
              <w:rPr>
                <w:rStyle w:val="13"/>
                <w:rFonts w:ascii="宋体" w:hAnsi="宋体"/>
                <w:sz w:val="24"/>
              </w:rPr>
              <w:t>包含健康档案摘要提取、既往病历摘要提取等，通过将患者在基层的健康档案与既往疾病摘要进行汇总与分类，分析慢性病与普通多发病等，实现对患者的信息的基本管理与健康状态评估。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20" w:type="dxa"/>
            <w:tcBorders>
              <w:top w:val="single" w:color="000000" w:sz="4" w:space="0"/>
              <w:left w:val="single" w:color="000000" w:sz="4" w:space="0"/>
              <w:bottom w:val="single" w:color="000000" w:sz="4" w:space="0"/>
              <w:right w:val="single" w:color="000000" w:sz="4" w:space="0"/>
            </w:tcBorders>
            <w:vAlign w:val="center"/>
          </w:tcPr>
          <w:p>
            <w:pPr>
              <w:pStyle w:val="71"/>
              <w:numPr>
                <w:ilvl w:val="0"/>
                <w:numId w:val="14"/>
              </w:numPr>
              <w:ind w:firstLineChars="0"/>
              <w:jc w:val="center"/>
              <w:textAlignment w:val="auto"/>
              <w:rPr>
                <w:rStyle w:val="13"/>
                <w:rFonts w:ascii="宋体" w:hAnsi="宋体"/>
                <w:sz w:val="24"/>
              </w:rPr>
            </w:pPr>
          </w:p>
        </w:tc>
        <w:tc>
          <w:tcPr>
            <w:tcW w:w="2032" w:type="dxa"/>
            <w:tcBorders>
              <w:top w:val="single" w:color="000000" w:sz="4" w:space="0"/>
              <w:left w:val="single" w:color="000000" w:sz="4" w:space="0"/>
              <w:bottom w:val="single" w:color="000000" w:sz="4" w:space="0"/>
              <w:right w:val="single" w:color="000000" w:sz="4" w:space="0"/>
            </w:tcBorders>
            <w:vAlign w:val="center"/>
          </w:tcPr>
          <w:p>
            <w:pPr>
              <w:textAlignment w:val="auto"/>
              <w:rPr>
                <w:rStyle w:val="13"/>
                <w:rFonts w:ascii="宋体" w:hAnsi="宋体"/>
                <w:sz w:val="24"/>
              </w:rPr>
            </w:pPr>
            <w:r>
              <w:rPr>
                <w:rStyle w:val="13"/>
                <w:rFonts w:ascii="宋体" w:hAnsi="宋体"/>
                <w:sz w:val="24"/>
              </w:rPr>
              <w:t>诊中病历信息提取</w:t>
            </w:r>
          </w:p>
        </w:tc>
        <w:tc>
          <w:tcPr>
            <w:tcW w:w="5743" w:type="dxa"/>
            <w:tcBorders>
              <w:top w:val="single" w:color="000000" w:sz="4" w:space="0"/>
              <w:left w:val="single" w:color="000000" w:sz="4" w:space="0"/>
              <w:bottom w:val="single" w:color="000000" w:sz="4" w:space="0"/>
              <w:right w:val="single" w:color="000000" w:sz="4" w:space="0"/>
            </w:tcBorders>
            <w:vAlign w:val="center"/>
          </w:tcPr>
          <w:p>
            <w:pPr>
              <w:textAlignment w:val="auto"/>
              <w:rPr>
                <w:rStyle w:val="13"/>
                <w:rFonts w:ascii="宋体" w:hAnsi="宋体"/>
                <w:sz w:val="24"/>
              </w:rPr>
            </w:pPr>
            <w:r>
              <w:rPr>
                <w:rStyle w:val="13"/>
                <w:rFonts w:ascii="宋体" w:hAnsi="宋体"/>
                <w:sz w:val="24"/>
              </w:rPr>
              <w:t>系统支持通过自然语言处理和语义提取技术对病历内容进行自动结构化处理，支持对结构化病历内容进行提取。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20" w:type="dxa"/>
            <w:tcBorders>
              <w:top w:val="single" w:color="000000" w:sz="4" w:space="0"/>
              <w:left w:val="single" w:color="000000" w:sz="4" w:space="0"/>
              <w:bottom w:val="single" w:color="000000" w:sz="4" w:space="0"/>
              <w:right w:val="single" w:color="000000" w:sz="4" w:space="0"/>
            </w:tcBorders>
            <w:vAlign w:val="center"/>
          </w:tcPr>
          <w:p>
            <w:pPr>
              <w:pStyle w:val="71"/>
              <w:numPr>
                <w:ilvl w:val="0"/>
                <w:numId w:val="14"/>
              </w:numPr>
              <w:ind w:firstLineChars="0"/>
              <w:jc w:val="center"/>
              <w:textAlignment w:val="auto"/>
              <w:rPr>
                <w:rStyle w:val="13"/>
                <w:rFonts w:ascii="宋体" w:hAnsi="宋体"/>
                <w:sz w:val="24"/>
              </w:rPr>
            </w:pPr>
          </w:p>
        </w:tc>
        <w:tc>
          <w:tcPr>
            <w:tcW w:w="2032" w:type="dxa"/>
            <w:tcBorders>
              <w:top w:val="single" w:color="000000" w:sz="4" w:space="0"/>
              <w:left w:val="single" w:color="000000" w:sz="4" w:space="0"/>
              <w:bottom w:val="single" w:color="000000" w:sz="4" w:space="0"/>
              <w:right w:val="single" w:color="000000" w:sz="4" w:space="0"/>
            </w:tcBorders>
            <w:vAlign w:val="center"/>
          </w:tcPr>
          <w:p>
            <w:pPr>
              <w:textAlignment w:val="auto"/>
              <w:rPr>
                <w:rStyle w:val="13"/>
                <w:rFonts w:ascii="宋体" w:hAnsi="宋体"/>
                <w:sz w:val="24"/>
              </w:rPr>
            </w:pPr>
            <w:r>
              <w:rPr>
                <w:rStyle w:val="13"/>
                <w:rFonts w:ascii="宋体" w:hAnsi="宋体"/>
                <w:sz w:val="24"/>
              </w:rPr>
              <w:t>风险监测与提醒</w:t>
            </w:r>
          </w:p>
        </w:tc>
        <w:tc>
          <w:tcPr>
            <w:tcW w:w="5743" w:type="dxa"/>
            <w:tcBorders>
              <w:top w:val="single" w:color="000000" w:sz="4" w:space="0"/>
              <w:left w:val="single" w:color="000000" w:sz="4" w:space="0"/>
              <w:bottom w:val="single" w:color="000000" w:sz="4" w:space="0"/>
              <w:right w:val="single" w:color="000000" w:sz="4" w:space="0"/>
            </w:tcBorders>
            <w:vAlign w:val="center"/>
          </w:tcPr>
          <w:p>
            <w:pPr>
              <w:textAlignment w:val="auto"/>
              <w:rPr>
                <w:rStyle w:val="13"/>
                <w:rFonts w:ascii="宋体" w:hAnsi="宋体"/>
                <w:sz w:val="24"/>
              </w:rPr>
            </w:pPr>
            <w:r>
              <w:rPr>
                <w:rStyle w:val="13"/>
                <w:rFonts w:ascii="宋体" w:hAnsi="宋体"/>
                <w:sz w:val="24"/>
              </w:rPr>
              <w:t>系统支持漏诊、误诊病历检测；系统支持疑似危重疾症病历检测；系统支持疗效不佳患者检测。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20" w:type="dxa"/>
            <w:tcBorders>
              <w:top w:val="single" w:color="000000" w:sz="4" w:space="0"/>
              <w:left w:val="single" w:color="000000" w:sz="4" w:space="0"/>
              <w:bottom w:val="single" w:color="000000" w:sz="4" w:space="0"/>
              <w:right w:val="single" w:color="000000" w:sz="4" w:space="0"/>
            </w:tcBorders>
            <w:vAlign w:val="center"/>
          </w:tcPr>
          <w:p>
            <w:pPr>
              <w:pStyle w:val="71"/>
              <w:numPr>
                <w:ilvl w:val="0"/>
                <w:numId w:val="14"/>
              </w:numPr>
              <w:ind w:firstLineChars="0"/>
              <w:jc w:val="center"/>
              <w:textAlignment w:val="auto"/>
              <w:rPr>
                <w:rStyle w:val="13"/>
                <w:rFonts w:ascii="宋体" w:hAnsi="宋体"/>
                <w:sz w:val="24"/>
              </w:rPr>
            </w:pPr>
          </w:p>
        </w:tc>
        <w:tc>
          <w:tcPr>
            <w:tcW w:w="2032" w:type="dxa"/>
            <w:tcBorders>
              <w:top w:val="single" w:color="000000" w:sz="4" w:space="0"/>
              <w:left w:val="single" w:color="000000" w:sz="4" w:space="0"/>
              <w:bottom w:val="single" w:color="000000" w:sz="4" w:space="0"/>
              <w:right w:val="single" w:color="000000" w:sz="4" w:space="0"/>
            </w:tcBorders>
            <w:vAlign w:val="center"/>
          </w:tcPr>
          <w:p>
            <w:pPr>
              <w:textAlignment w:val="auto"/>
              <w:rPr>
                <w:rStyle w:val="13"/>
                <w:rFonts w:ascii="宋体" w:hAnsi="宋体"/>
                <w:sz w:val="24"/>
              </w:rPr>
            </w:pPr>
            <w:r>
              <w:rPr>
                <w:rStyle w:val="13"/>
                <w:rFonts w:ascii="宋体" w:hAnsi="宋体"/>
                <w:sz w:val="24"/>
              </w:rPr>
              <w:t>风险等级评估</w:t>
            </w:r>
          </w:p>
        </w:tc>
        <w:tc>
          <w:tcPr>
            <w:tcW w:w="5743" w:type="dxa"/>
            <w:tcBorders>
              <w:top w:val="single" w:color="000000" w:sz="4" w:space="0"/>
              <w:left w:val="single" w:color="000000" w:sz="4" w:space="0"/>
              <w:bottom w:val="single" w:color="000000" w:sz="4" w:space="0"/>
              <w:right w:val="single" w:color="000000" w:sz="4" w:space="0"/>
            </w:tcBorders>
            <w:vAlign w:val="center"/>
          </w:tcPr>
          <w:p>
            <w:pPr>
              <w:textAlignment w:val="auto"/>
              <w:rPr>
                <w:rStyle w:val="13"/>
                <w:rFonts w:ascii="宋体" w:hAnsi="宋体"/>
                <w:sz w:val="24"/>
              </w:rPr>
            </w:pPr>
            <w:r>
              <w:rPr>
                <w:rStyle w:val="13"/>
                <w:rFonts w:ascii="宋体" w:hAnsi="宋体"/>
                <w:sz w:val="24"/>
              </w:rPr>
              <w:t>系统支持对患者病情危急程度评估，系统对于检测出的风险内容进行汇总并进行总体的等级划分，后台按照医生职称、能力水平、擅长疾病等内容，将不同等级病例分配不同医生，实现精准有序的专家资源匹配。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20" w:type="dxa"/>
            <w:tcBorders>
              <w:top w:val="single" w:color="000000" w:sz="4" w:space="0"/>
              <w:left w:val="single" w:color="000000" w:sz="4" w:space="0"/>
              <w:bottom w:val="single" w:color="000000" w:sz="4" w:space="0"/>
              <w:right w:val="single" w:color="000000" w:sz="4" w:space="0"/>
            </w:tcBorders>
            <w:vAlign w:val="center"/>
          </w:tcPr>
          <w:p>
            <w:pPr>
              <w:pStyle w:val="71"/>
              <w:numPr>
                <w:ilvl w:val="0"/>
                <w:numId w:val="14"/>
              </w:numPr>
              <w:ind w:firstLineChars="0"/>
              <w:jc w:val="center"/>
              <w:textAlignment w:val="auto"/>
              <w:rPr>
                <w:rStyle w:val="13"/>
                <w:rFonts w:ascii="宋体" w:hAnsi="宋体"/>
                <w:sz w:val="24"/>
              </w:rPr>
            </w:pPr>
          </w:p>
        </w:tc>
        <w:tc>
          <w:tcPr>
            <w:tcW w:w="2032" w:type="dxa"/>
            <w:tcBorders>
              <w:top w:val="single" w:color="000000" w:sz="4" w:space="0"/>
              <w:left w:val="single" w:color="000000" w:sz="4" w:space="0"/>
              <w:bottom w:val="single" w:color="000000" w:sz="4" w:space="0"/>
              <w:right w:val="single" w:color="000000" w:sz="4" w:space="0"/>
            </w:tcBorders>
            <w:vAlign w:val="center"/>
          </w:tcPr>
          <w:p>
            <w:pPr>
              <w:textAlignment w:val="auto"/>
              <w:rPr>
                <w:rStyle w:val="13"/>
                <w:rFonts w:ascii="宋体" w:hAnsi="宋体"/>
                <w:sz w:val="24"/>
              </w:rPr>
            </w:pPr>
            <w:r>
              <w:rPr>
                <w:rStyle w:val="13"/>
                <w:rFonts w:ascii="宋体" w:hAnsi="宋体"/>
                <w:sz w:val="24"/>
              </w:rPr>
              <w:t>专家问题咨询</w:t>
            </w:r>
          </w:p>
        </w:tc>
        <w:tc>
          <w:tcPr>
            <w:tcW w:w="5743" w:type="dxa"/>
            <w:tcBorders>
              <w:top w:val="single" w:color="000000" w:sz="4" w:space="0"/>
              <w:left w:val="single" w:color="000000" w:sz="4" w:space="0"/>
              <w:bottom w:val="single" w:color="000000" w:sz="4" w:space="0"/>
              <w:right w:val="single" w:color="000000" w:sz="4" w:space="0"/>
            </w:tcBorders>
            <w:vAlign w:val="center"/>
          </w:tcPr>
          <w:p>
            <w:pPr>
              <w:textAlignment w:val="auto"/>
              <w:rPr>
                <w:rStyle w:val="13"/>
                <w:rFonts w:ascii="宋体" w:hAnsi="宋体"/>
                <w:sz w:val="24"/>
              </w:rPr>
            </w:pPr>
            <w:r>
              <w:rPr>
                <w:rStyle w:val="13"/>
                <w:rFonts w:ascii="宋体" w:hAnsi="宋体"/>
                <w:sz w:val="24"/>
              </w:rPr>
              <w:t>支持医生在诊疗过程中遇到问题或对专家审核意见存在疑问可快速提交至专家处进行解答，支持基层医生通过文字内容对遇到的问题或知识点进行描述。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20" w:type="dxa"/>
            <w:tcBorders>
              <w:top w:val="single" w:color="000000" w:sz="4" w:space="0"/>
              <w:left w:val="single" w:color="000000" w:sz="4" w:space="0"/>
              <w:bottom w:val="single" w:color="000000" w:sz="4" w:space="0"/>
              <w:right w:val="single" w:color="000000" w:sz="4" w:space="0"/>
            </w:tcBorders>
            <w:vAlign w:val="center"/>
          </w:tcPr>
          <w:p>
            <w:pPr>
              <w:pStyle w:val="71"/>
              <w:numPr>
                <w:ilvl w:val="0"/>
                <w:numId w:val="14"/>
              </w:numPr>
              <w:ind w:firstLineChars="0"/>
              <w:jc w:val="center"/>
              <w:textAlignment w:val="auto"/>
              <w:rPr>
                <w:rStyle w:val="13"/>
                <w:rFonts w:ascii="宋体" w:hAnsi="宋体"/>
                <w:sz w:val="24"/>
              </w:rPr>
            </w:pPr>
          </w:p>
        </w:tc>
        <w:tc>
          <w:tcPr>
            <w:tcW w:w="2032" w:type="dxa"/>
            <w:tcBorders>
              <w:top w:val="single" w:color="000000" w:sz="4" w:space="0"/>
              <w:left w:val="single" w:color="000000" w:sz="4" w:space="0"/>
              <w:bottom w:val="single" w:color="000000" w:sz="4" w:space="0"/>
              <w:right w:val="single" w:color="000000" w:sz="4" w:space="0"/>
            </w:tcBorders>
            <w:vAlign w:val="center"/>
          </w:tcPr>
          <w:p>
            <w:pPr>
              <w:textAlignment w:val="auto"/>
              <w:rPr>
                <w:rStyle w:val="13"/>
                <w:rFonts w:ascii="宋体" w:hAnsi="宋体"/>
                <w:sz w:val="24"/>
              </w:rPr>
            </w:pPr>
            <w:r>
              <w:rPr>
                <w:rStyle w:val="13"/>
                <w:rFonts w:ascii="宋体" w:hAnsi="宋体"/>
                <w:sz w:val="24"/>
              </w:rPr>
              <w:t>病历到达提醒</w:t>
            </w:r>
          </w:p>
        </w:tc>
        <w:tc>
          <w:tcPr>
            <w:tcW w:w="5743" w:type="dxa"/>
            <w:tcBorders>
              <w:top w:val="single" w:color="000000" w:sz="4" w:space="0"/>
              <w:left w:val="single" w:color="000000" w:sz="4" w:space="0"/>
              <w:bottom w:val="single" w:color="000000" w:sz="4" w:space="0"/>
              <w:right w:val="single" w:color="000000" w:sz="4" w:space="0"/>
            </w:tcBorders>
            <w:vAlign w:val="center"/>
          </w:tcPr>
          <w:p>
            <w:pPr>
              <w:textAlignment w:val="auto"/>
              <w:rPr>
                <w:rStyle w:val="13"/>
                <w:rFonts w:ascii="宋体" w:hAnsi="宋体"/>
                <w:sz w:val="24"/>
              </w:rPr>
            </w:pPr>
            <w:r>
              <w:rPr>
                <w:rStyle w:val="13"/>
                <w:rFonts w:ascii="宋体" w:hAnsi="宋体"/>
                <w:sz w:val="24"/>
              </w:rPr>
              <w:t>当病历分发给上级专家后，系统会通过应用终端给专家发起提醒，以便专家能够及时审核。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20" w:type="dxa"/>
            <w:tcBorders>
              <w:top w:val="single" w:color="000000" w:sz="4" w:space="0"/>
              <w:left w:val="single" w:color="000000" w:sz="4" w:space="0"/>
              <w:bottom w:val="single" w:color="000000" w:sz="4" w:space="0"/>
              <w:right w:val="single" w:color="000000" w:sz="4" w:space="0"/>
            </w:tcBorders>
            <w:vAlign w:val="center"/>
          </w:tcPr>
          <w:p>
            <w:pPr>
              <w:pStyle w:val="71"/>
              <w:numPr>
                <w:ilvl w:val="0"/>
                <w:numId w:val="14"/>
              </w:numPr>
              <w:ind w:firstLineChars="0"/>
              <w:jc w:val="center"/>
              <w:textAlignment w:val="auto"/>
              <w:rPr>
                <w:rStyle w:val="13"/>
                <w:rFonts w:ascii="宋体" w:hAnsi="宋体"/>
                <w:sz w:val="24"/>
              </w:rPr>
            </w:pPr>
          </w:p>
        </w:tc>
        <w:tc>
          <w:tcPr>
            <w:tcW w:w="2032" w:type="dxa"/>
            <w:tcBorders>
              <w:top w:val="single" w:color="000000" w:sz="4" w:space="0"/>
              <w:left w:val="single" w:color="000000" w:sz="4" w:space="0"/>
              <w:bottom w:val="single" w:color="000000" w:sz="4" w:space="0"/>
              <w:right w:val="single" w:color="000000" w:sz="4" w:space="0"/>
            </w:tcBorders>
            <w:vAlign w:val="center"/>
          </w:tcPr>
          <w:p>
            <w:pPr>
              <w:textAlignment w:val="auto"/>
              <w:rPr>
                <w:rStyle w:val="13"/>
                <w:rFonts w:ascii="宋体" w:hAnsi="宋体"/>
                <w:sz w:val="24"/>
              </w:rPr>
            </w:pPr>
            <w:r>
              <w:rPr>
                <w:rStyle w:val="13"/>
                <w:rFonts w:ascii="宋体" w:hAnsi="宋体"/>
                <w:sz w:val="24"/>
              </w:rPr>
              <w:t>专家审核</w:t>
            </w:r>
          </w:p>
        </w:tc>
        <w:tc>
          <w:tcPr>
            <w:tcW w:w="5743" w:type="dxa"/>
            <w:tcBorders>
              <w:top w:val="single" w:color="000000" w:sz="4" w:space="0"/>
              <w:left w:val="single" w:color="000000" w:sz="4" w:space="0"/>
              <w:bottom w:val="single" w:color="000000" w:sz="4" w:space="0"/>
              <w:right w:val="single" w:color="000000" w:sz="4" w:space="0"/>
            </w:tcBorders>
            <w:vAlign w:val="center"/>
          </w:tcPr>
          <w:p>
            <w:pPr>
              <w:textAlignment w:val="auto"/>
              <w:rPr>
                <w:rStyle w:val="13"/>
                <w:rFonts w:ascii="宋体" w:hAnsi="宋体"/>
                <w:sz w:val="24"/>
              </w:rPr>
            </w:pPr>
            <w:r>
              <w:rPr>
                <w:rStyle w:val="13"/>
                <w:rFonts w:ascii="宋体" w:hAnsi="宋体"/>
                <w:sz w:val="24"/>
              </w:rPr>
              <w:t>系统会将病历或患者高风险的原因进行可视化展示，通过文字描述、关键信息点亮、异常提示等多种方式实现风险内容展示。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20" w:type="dxa"/>
            <w:tcBorders>
              <w:top w:val="single" w:color="000000" w:sz="4" w:space="0"/>
              <w:left w:val="single" w:color="000000" w:sz="4" w:space="0"/>
              <w:bottom w:val="single" w:color="000000" w:sz="4" w:space="0"/>
              <w:right w:val="single" w:color="000000" w:sz="4" w:space="0"/>
            </w:tcBorders>
            <w:vAlign w:val="center"/>
          </w:tcPr>
          <w:p>
            <w:pPr>
              <w:pStyle w:val="71"/>
              <w:numPr>
                <w:ilvl w:val="0"/>
                <w:numId w:val="14"/>
              </w:numPr>
              <w:ind w:firstLineChars="0"/>
              <w:jc w:val="center"/>
              <w:textAlignment w:val="auto"/>
              <w:rPr>
                <w:rStyle w:val="13"/>
                <w:rFonts w:ascii="宋体" w:hAnsi="宋体"/>
                <w:sz w:val="24"/>
              </w:rPr>
            </w:pPr>
          </w:p>
        </w:tc>
        <w:tc>
          <w:tcPr>
            <w:tcW w:w="2032" w:type="dxa"/>
            <w:tcBorders>
              <w:top w:val="single" w:color="000000" w:sz="4" w:space="0"/>
              <w:left w:val="single" w:color="000000" w:sz="4" w:space="0"/>
              <w:bottom w:val="single" w:color="000000" w:sz="4" w:space="0"/>
              <w:right w:val="single" w:color="000000" w:sz="4" w:space="0"/>
            </w:tcBorders>
            <w:vAlign w:val="center"/>
          </w:tcPr>
          <w:p>
            <w:pPr>
              <w:textAlignment w:val="auto"/>
              <w:rPr>
                <w:rStyle w:val="13"/>
                <w:rFonts w:ascii="宋体" w:hAnsi="宋体"/>
                <w:sz w:val="24"/>
              </w:rPr>
            </w:pPr>
            <w:r>
              <w:rPr>
                <w:rStyle w:val="13"/>
                <w:rFonts w:ascii="宋体" w:hAnsi="宋体"/>
                <w:sz w:val="24"/>
              </w:rPr>
              <w:t>专家在线答复</w:t>
            </w:r>
          </w:p>
        </w:tc>
        <w:tc>
          <w:tcPr>
            <w:tcW w:w="5743" w:type="dxa"/>
            <w:tcBorders>
              <w:top w:val="single" w:color="000000" w:sz="4" w:space="0"/>
              <w:left w:val="single" w:color="000000" w:sz="4" w:space="0"/>
              <w:bottom w:val="single" w:color="000000" w:sz="4" w:space="0"/>
              <w:right w:val="single" w:color="000000" w:sz="4" w:space="0"/>
            </w:tcBorders>
            <w:vAlign w:val="center"/>
          </w:tcPr>
          <w:p>
            <w:pPr>
              <w:textAlignment w:val="auto"/>
              <w:rPr>
                <w:rStyle w:val="13"/>
                <w:rFonts w:ascii="宋体" w:hAnsi="宋体"/>
                <w:sz w:val="24"/>
              </w:rPr>
            </w:pPr>
            <w:r>
              <w:rPr>
                <w:rStyle w:val="13"/>
                <w:rFonts w:ascii="宋体" w:hAnsi="宋体"/>
                <w:sz w:val="24"/>
              </w:rPr>
              <w:t>当上级专家收到基层医生求助问题，专家可在线进行答复。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20" w:type="dxa"/>
            <w:tcBorders>
              <w:top w:val="single" w:color="000000" w:sz="4" w:space="0"/>
              <w:left w:val="single" w:color="000000" w:sz="4" w:space="0"/>
              <w:bottom w:val="single" w:color="000000" w:sz="4" w:space="0"/>
              <w:right w:val="single" w:color="000000" w:sz="4" w:space="0"/>
            </w:tcBorders>
            <w:vAlign w:val="center"/>
          </w:tcPr>
          <w:p>
            <w:pPr>
              <w:pStyle w:val="71"/>
              <w:numPr>
                <w:ilvl w:val="0"/>
                <w:numId w:val="14"/>
              </w:numPr>
              <w:ind w:firstLineChars="0"/>
              <w:jc w:val="center"/>
              <w:textAlignment w:val="auto"/>
              <w:rPr>
                <w:rStyle w:val="13"/>
                <w:rFonts w:ascii="宋体" w:hAnsi="宋体"/>
                <w:sz w:val="24"/>
              </w:rPr>
            </w:pPr>
          </w:p>
        </w:tc>
        <w:tc>
          <w:tcPr>
            <w:tcW w:w="2032" w:type="dxa"/>
            <w:tcBorders>
              <w:top w:val="single" w:color="000000" w:sz="4" w:space="0"/>
              <w:left w:val="single" w:color="000000" w:sz="4" w:space="0"/>
              <w:bottom w:val="single" w:color="000000" w:sz="4" w:space="0"/>
              <w:right w:val="single" w:color="000000" w:sz="4" w:space="0"/>
            </w:tcBorders>
            <w:vAlign w:val="center"/>
          </w:tcPr>
          <w:p>
            <w:pPr>
              <w:textAlignment w:val="auto"/>
              <w:rPr>
                <w:rStyle w:val="13"/>
                <w:rFonts w:ascii="宋体" w:hAnsi="宋体"/>
                <w:sz w:val="24"/>
              </w:rPr>
            </w:pPr>
            <w:r>
              <w:rPr>
                <w:rStyle w:val="13"/>
                <w:rFonts w:ascii="宋体" w:hAnsi="宋体"/>
                <w:sz w:val="24"/>
              </w:rPr>
              <w:t>专家风险提醒</w:t>
            </w:r>
          </w:p>
        </w:tc>
        <w:tc>
          <w:tcPr>
            <w:tcW w:w="5743" w:type="dxa"/>
            <w:tcBorders>
              <w:top w:val="single" w:color="000000" w:sz="4" w:space="0"/>
              <w:left w:val="single" w:color="000000" w:sz="4" w:space="0"/>
              <w:bottom w:val="single" w:color="000000" w:sz="4" w:space="0"/>
              <w:right w:val="single" w:color="000000" w:sz="4" w:space="0"/>
            </w:tcBorders>
            <w:vAlign w:val="center"/>
          </w:tcPr>
          <w:p>
            <w:pPr>
              <w:textAlignment w:val="auto"/>
              <w:rPr>
                <w:rStyle w:val="13"/>
                <w:rFonts w:ascii="宋体" w:hAnsi="宋体"/>
                <w:sz w:val="24"/>
              </w:rPr>
            </w:pPr>
            <w:r>
              <w:rPr>
                <w:rStyle w:val="13"/>
                <w:rFonts w:ascii="宋体" w:hAnsi="宋体"/>
                <w:sz w:val="24"/>
              </w:rPr>
              <w:t>专家完成审核与提醒内容编写后，支持通过基层全科医生辅助诊疗系统端推送相关信息内容，供基层医生查看；系统支持对专家提醒记录内容进行管理，可在提醒的基础上追加提醒内容或对已提醒内容进行筛选等操作。</w:t>
            </w:r>
          </w:p>
        </w:tc>
      </w:tr>
    </w:tbl>
    <w:p>
      <w:pPr>
        <w:spacing w:line="360" w:lineRule="auto"/>
        <w:textAlignment w:val="auto"/>
        <w:rPr>
          <w:rStyle w:val="13"/>
          <w:rFonts w:ascii="宋体" w:hAnsi="宋体"/>
          <w:sz w:val="24"/>
        </w:rPr>
      </w:pPr>
    </w:p>
    <w:p>
      <w:pPr>
        <w:pStyle w:val="21"/>
        <w:spacing w:line="360" w:lineRule="auto"/>
        <w:textAlignment w:val="auto"/>
        <w:rPr>
          <w:rStyle w:val="13"/>
          <w:rFonts w:cs="宋体"/>
          <w:bCs/>
          <w:sz w:val="24"/>
          <w:szCs w:val="24"/>
        </w:rPr>
      </w:pPr>
      <w:r>
        <w:rPr>
          <w:rStyle w:val="13"/>
          <w:rFonts w:cs="宋体"/>
          <w:b/>
          <w:sz w:val="24"/>
          <w:szCs w:val="24"/>
        </w:rPr>
        <w:t>运行及监管平台</w:t>
      </w:r>
    </w:p>
    <w:p>
      <w:pPr>
        <w:pStyle w:val="22"/>
        <w:numPr>
          <w:ilvl w:val="4"/>
          <w:numId w:val="0"/>
        </w:numPr>
        <w:spacing w:before="0" w:after="0" w:line="360" w:lineRule="auto"/>
        <w:ind w:left="1560"/>
        <w:textAlignment w:val="auto"/>
        <w:rPr>
          <w:rStyle w:val="13"/>
          <w:rFonts w:ascii="宋体" w:hAnsi="宋体" w:cs="宋体"/>
          <w:bCs/>
          <w:sz w:val="24"/>
          <w:szCs w:val="24"/>
        </w:rPr>
      </w:pPr>
      <w:r>
        <w:rPr>
          <w:rStyle w:val="13"/>
          <w:rFonts w:hint="eastAsia" w:ascii="宋体" w:hAnsi="宋体" w:cs="宋体"/>
          <w:bCs/>
          <w:sz w:val="24"/>
          <w:szCs w:val="24"/>
        </w:rPr>
        <w:t>1.</w:t>
      </w:r>
      <w:r>
        <w:rPr>
          <w:rStyle w:val="13"/>
          <w:rFonts w:ascii="宋体" w:hAnsi="宋体" w:cs="宋体"/>
          <w:bCs/>
          <w:sz w:val="24"/>
          <w:szCs w:val="24"/>
        </w:rPr>
        <w:t>产品要求</w:t>
      </w:r>
    </w:p>
    <w:p>
      <w:pPr>
        <w:spacing w:line="360" w:lineRule="auto"/>
        <w:ind w:firstLine="560"/>
        <w:textAlignment w:val="auto"/>
        <w:rPr>
          <w:rStyle w:val="13"/>
          <w:rFonts w:ascii="宋体" w:hAnsi="宋体"/>
          <w:sz w:val="24"/>
        </w:rPr>
      </w:pPr>
      <w:r>
        <w:rPr>
          <w:rStyle w:val="13"/>
          <w:rFonts w:ascii="宋体" w:hAnsi="宋体"/>
          <w:sz w:val="24"/>
        </w:rPr>
        <w:t>运行及监管系统以可视化形式展现基层医疗机构基层全科辅助诊断系统实时数据动态，按照时间、行政区域和机构名称多条件精确展示基层医疗机构相关信息，内容包括病历数量、辅诊建议数量、医学检索数量等各类管理指标，可基于用户数据进行数据分析，内容包括病历质检、就诊人群分析、用户活跃度等。</w:t>
      </w:r>
    </w:p>
    <w:p>
      <w:pPr>
        <w:pStyle w:val="22"/>
        <w:numPr>
          <w:ilvl w:val="4"/>
          <w:numId w:val="0"/>
        </w:numPr>
        <w:spacing w:before="0" w:after="0" w:line="360" w:lineRule="auto"/>
        <w:ind w:left="1560"/>
        <w:textAlignment w:val="auto"/>
        <w:rPr>
          <w:rStyle w:val="13"/>
          <w:rFonts w:ascii="宋体" w:hAnsi="宋体" w:cs="宋体"/>
          <w:bCs/>
          <w:sz w:val="24"/>
          <w:szCs w:val="24"/>
        </w:rPr>
      </w:pPr>
      <w:r>
        <w:rPr>
          <w:rStyle w:val="13"/>
          <w:rFonts w:hint="eastAsia" w:ascii="宋体" w:hAnsi="宋体" w:cs="宋体"/>
          <w:bCs/>
          <w:sz w:val="24"/>
          <w:szCs w:val="24"/>
        </w:rPr>
        <w:t>1.1</w:t>
      </w:r>
      <w:r>
        <w:rPr>
          <w:rStyle w:val="13"/>
          <w:rFonts w:ascii="宋体" w:hAnsi="宋体" w:cs="宋体"/>
          <w:bCs/>
          <w:sz w:val="24"/>
          <w:szCs w:val="24"/>
        </w:rPr>
        <w:t>技术参数</w:t>
      </w:r>
    </w:p>
    <w:p>
      <w:pPr>
        <w:spacing w:line="360" w:lineRule="auto"/>
        <w:ind w:firstLine="560"/>
        <w:textAlignment w:val="auto"/>
        <w:rPr>
          <w:rStyle w:val="13"/>
          <w:rFonts w:ascii="宋体" w:hAnsi="宋体"/>
          <w:sz w:val="24"/>
        </w:rPr>
      </w:pPr>
      <w:r>
        <w:rPr>
          <w:rStyle w:val="13"/>
          <w:rFonts w:ascii="宋体" w:hAnsi="宋体"/>
          <w:sz w:val="24"/>
        </w:rPr>
        <w:t>产品的技术参数要求如下：</w:t>
      </w:r>
    </w:p>
    <w:p>
      <w:pPr>
        <w:pStyle w:val="3"/>
        <w:spacing w:line="360" w:lineRule="auto"/>
        <w:textAlignment w:val="auto"/>
        <w:rPr>
          <w:rStyle w:val="13"/>
          <w:rFonts w:ascii="宋体" w:hAnsi="宋体" w:eastAsia="宋体"/>
          <w:sz w:val="24"/>
          <w:szCs w:val="24"/>
        </w:rPr>
      </w:pPr>
      <w:r>
        <w:rPr>
          <w:rStyle w:val="13"/>
          <w:rFonts w:ascii="宋体" w:hAnsi="宋体" w:eastAsia="宋体"/>
          <w:sz w:val="24"/>
          <w:szCs w:val="24"/>
        </w:rPr>
        <w:t>表格 16运行及监管平台技术参数一览表</w:t>
      </w:r>
    </w:p>
    <w:tbl>
      <w:tblPr>
        <w:tblStyle w:val="10"/>
        <w:tblW w:w="849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20"/>
        <w:gridCol w:w="2032"/>
        <w:gridCol w:w="5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20" w:type="dxa"/>
            <w:tcBorders>
              <w:top w:val="single" w:color="000000" w:sz="4" w:space="0"/>
              <w:left w:val="single" w:color="000000" w:sz="4" w:space="0"/>
              <w:bottom w:val="single" w:color="000000" w:sz="4" w:space="0"/>
              <w:right w:val="single" w:color="000000" w:sz="4" w:space="0"/>
            </w:tcBorders>
            <w:shd w:val="clear" w:color="auto" w:fill="D8D8D8"/>
            <w:vAlign w:val="center"/>
          </w:tcPr>
          <w:p>
            <w:pPr>
              <w:jc w:val="center"/>
              <w:textAlignment w:val="auto"/>
              <w:rPr>
                <w:rStyle w:val="13"/>
                <w:rFonts w:ascii="宋体" w:hAnsi="宋体"/>
                <w:b/>
                <w:sz w:val="24"/>
              </w:rPr>
            </w:pPr>
            <w:r>
              <w:rPr>
                <w:rStyle w:val="13"/>
                <w:rFonts w:ascii="宋体" w:hAnsi="宋体"/>
                <w:b/>
                <w:sz w:val="24"/>
              </w:rPr>
              <w:t>序号</w:t>
            </w:r>
          </w:p>
        </w:tc>
        <w:tc>
          <w:tcPr>
            <w:tcW w:w="2032" w:type="dxa"/>
            <w:tcBorders>
              <w:top w:val="single" w:color="000000" w:sz="4" w:space="0"/>
              <w:left w:val="single" w:color="000000" w:sz="4" w:space="0"/>
              <w:bottom w:val="single" w:color="000000" w:sz="4" w:space="0"/>
              <w:right w:val="single" w:color="000000" w:sz="4" w:space="0"/>
            </w:tcBorders>
            <w:shd w:val="clear" w:color="auto" w:fill="D8D8D8"/>
            <w:vAlign w:val="center"/>
          </w:tcPr>
          <w:p>
            <w:pPr>
              <w:jc w:val="center"/>
              <w:textAlignment w:val="auto"/>
              <w:rPr>
                <w:rStyle w:val="13"/>
                <w:rFonts w:ascii="宋体" w:hAnsi="宋体"/>
                <w:b/>
                <w:sz w:val="24"/>
              </w:rPr>
            </w:pPr>
            <w:r>
              <w:rPr>
                <w:rStyle w:val="13"/>
                <w:rFonts w:ascii="宋体" w:hAnsi="宋体"/>
                <w:b/>
                <w:sz w:val="24"/>
              </w:rPr>
              <w:t>性能/功能</w:t>
            </w:r>
          </w:p>
        </w:tc>
        <w:tc>
          <w:tcPr>
            <w:tcW w:w="5743" w:type="dxa"/>
            <w:tcBorders>
              <w:top w:val="single" w:color="000000" w:sz="4" w:space="0"/>
              <w:left w:val="single" w:color="000000" w:sz="4" w:space="0"/>
              <w:bottom w:val="single" w:color="000000" w:sz="4" w:space="0"/>
              <w:right w:val="single" w:color="000000" w:sz="4" w:space="0"/>
            </w:tcBorders>
            <w:shd w:val="clear" w:color="auto" w:fill="D8D8D8"/>
            <w:vAlign w:val="center"/>
          </w:tcPr>
          <w:p>
            <w:pPr>
              <w:jc w:val="center"/>
              <w:textAlignment w:val="auto"/>
              <w:rPr>
                <w:rStyle w:val="13"/>
                <w:rFonts w:ascii="宋体" w:hAnsi="宋体"/>
                <w:b/>
                <w:sz w:val="24"/>
              </w:rPr>
            </w:pPr>
            <w:r>
              <w:rPr>
                <w:rStyle w:val="13"/>
                <w:rFonts w:ascii="宋体" w:hAnsi="宋体"/>
                <w:b/>
                <w:sz w:val="24"/>
              </w:rPr>
              <w:t>需求及技术参数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71"/>
              <w:numPr>
                <w:ilvl w:val="0"/>
                <w:numId w:val="15"/>
              </w:numPr>
              <w:ind w:left="0" w:firstLineChars="0"/>
              <w:jc w:val="center"/>
              <w:textAlignment w:val="auto"/>
              <w:rPr>
                <w:rStyle w:val="13"/>
                <w:rFonts w:ascii="宋体" w:hAnsi="宋体"/>
                <w:sz w:val="24"/>
              </w:rPr>
            </w:pPr>
          </w:p>
        </w:tc>
        <w:tc>
          <w:tcPr>
            <w:tcW w:w="2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auto"/>
              <w:rPr>
                <w:rStyle w:val="13"/>
                <w:rFonts w:ascii="宋体" w:hAnsi="宋体"/>
                <w:sz w:val="24"/>
              </w:rPr>
            </w:pPr>
            <w:r>
              <w:rPr>
                <w:rStyle w:val="13"/>
                <w:rFonts w:ascii="宋体" w:hAnsi="宋体"/>
                <w:sz w:val="24"/>
              </w:rPr>
              <w:t>总体数据统计</w:t>
            </w:r>
          </w:p>
        </w:tc>
        <w:tc>
          <w:tcPr>
            <w:tcW w:w="5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auto"/>
              <w:rPr>
                <w:rStyle w:val="13"/>
                <w:rFonts w:ascii="宋体" w:hAnsi="宋体"/>
                <w:sz w:val="24"/>
              </w:rPr>
            </w:pPr>
            <w:r>
              <w:rPr>
                <w:rStyle w:val="13"/>
                <w:rFonts w:ascii="宋体" w:hAnsi="宋体"/>
                <w:sz w:val="24"/>
              </w:rPr>
              <w:t>提供病历数、辅诊数、活跃用户、病历规范和诊断质检等统计数据。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20" w:type="dxa"/>
            <w:tcBorders>
              <w:top w:val="single" w:color="000000" w:sz="4" w:space="0"/>
              <w:left w:val="single" w:color="000000" w:sz="4" w:space="0"/>
              <w:bottom w:val="single" w:color="000000" w:sz="4" w:space="0"/>
              <w:right w:val="single" w:color="000000" w:sz="4" w:space="0"/>
            </w:tcBorders>
            <w:vAlign w:val="center"/>
          </w:tcPr>
          <w:p>
            <w:pPr>
              <w:pStyle w:val="71"/>
              <w:numPr>
                <w:ilvl w:val="0"/>
                <w:numId w:val="15"/>
              </w:numPr>
              <w:ind w:left="0" w:firstLineChars="0"/>
              <w:jc w:val="center"/>
              <w:textAlignment w:val="auto"/>
              <w:rPr>
                <w:rStyle w:val="13"/>
                <w:rFonts w:ascii="宋体" w:hAnsi="宋体"/>
                <w:sz w:val="24"/>
              </w:rPr>
            </w:pPr>
          </w:p>
        </w:tc>
        <w:tc>
          <w:tcPr>
            <w:tcW w:w="2032" w:type="dxa"/>
            <w:tcBorders>
              <w:top w:val="single" w:color="000000" w:sz="4" w:space="0"/>
              <w:left w:val="single" w:color="000000" w:sz="4" w:space="0"/>
              <w:bottom w:val="single" w:color="000000" w:sz="4" w:space="0"/>
              <w:right w:val="single" w:color="000000" w:sz="4" w:space="0"/>
            </w:tcBorders>
            <w:vAlign w:val="center"/>
          </w:tcPr>
          <w:p>
            <w:pPr>
              <w:textAlignment w:val="auto"/>
              <w:rPr>
                <w:rStyle w:val="13"/>
                <w:rFonts w:ascii="宋体" w:hAnsi="宋体"/>
                <w:sz w:val="24"/>
              </w:rPr>
            </w:pPr>
            <w:r>
              <w:rPr>
                <w:rStyle w:val="13"/>
                <w:rFonts w:ascii="宋体" w:hAnsi="宋体"/>
                <w:sz w:val="24"/>
              </w:rPr>
              <w:t>病历质量分析</w:t>
            </w:r>
          </w:p>
        </w:tc>
        <w:tc>
          <w:tcPr>
            <w:tcW w:w="5743" w:type="dxa"/>
            <w:tcBorders>
              <w:top w:val="single" w:color="000000" w:sz="4" w:space="0"/>
              <w:left w:val="single" w:color="000000" w:sz="4" w:space="0"/>
              <w:bottom w:val="single" w:color="000000" w:sz="4" w:space="0"/>
              <w:right w:val="single" w:color="000000" w:sz="4" w:space="0"/>
            </w:tcBorders>
            <w:vAlign w:val="center"/>
          </w:tcPr>
          <w:p>
            <w:pPr>
              <w:textAlignment w:val="auto"/>
              <w:rPr>
                <w:rStyle w:val="13"/>
                <w:rFonts w:ascii="宋体" w:hAnsi="宋体"/>
                <w:sz w:val="24"/>
              </w:rPr>
            </w:pPr>
            <w:r>
              <w:rPr>
                <w:rStyle w:val="13"/>
                <w:rFonts w:ascii="宋体" w:hAnsi="宋体"/>
                <w:sz w:val="24"/>
              </w:rPr>
              <w:t>★提供病历诊断质检统计，诊断质检结果，与AI诊断不一致病历原因分类等信息（投标文件中提供“病历质量分析”软件界面截图）。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20" w:type="dxa"/>
            <w:tcBorders>
              <w:top w:val="single" w:color="000000" w:sz="4" w:space="0"/>
              <w:left w:val="single" w:color="000000" w:sz="4" w:space="0"/>
              <w:bottom w:val="single" w:color="000000" w:sz="4" w:space="0"/>
              <w:right w:val="single" w:color="000000" w:sz="4" w:space="0"/>
            </w:tcBorders>
            <w:vAlign w:val="center"/>
          </w:tcPr>
          <w:p>
            <w:pPr>
              <w:pStyle w:val="71"/>
              <w:numPr>
                <w:ilvl w:val="0"/>
                <w:numId w:val="15"/>
              </w:numPr>
              <w:ind w:left="0" w:firstLineChars="0"/>
              <w:jc w:val="center"/>
              <w:textAlignment w:val="auto"/>
              <w:rPr>
                <w:rStyle w:val="13"/>
                <w:rFonts w:ascii="宋体" w:hAnsi="宋体"/>
                <w:sz w:val="24"/>
              </w:rPr>
            </w:pPr>
          </w:p>
        </w:tc>
        <w:tc>
          <w:tcPr>
            <w:tcW w:w="2032" w:type="dxa"/>
            <w:tcBorders>
              <w:top w:val="single" w:color="000000" w:sz="4" w:space="0"/>
              <w:left w:val="single" w:color="000000" w:sz="4" w:space="0"/>
              <w:bottom w:val="single" w:color="000000" w:sz="4" w:space="0"/>
              <w:right w:val="single" w:color="000000" w:sz="4" w:space="0"/>
            </w:tcBorders>
            <w:vAlign w:val="center"/>
          </w:tcPr>
          <w:p>
            <w:pPr>
              <w:textAlignment w:val="auto"/>
              <w:rPr>
                <w:rStyle w:val="13"/>
                <w:rFonts w:ascii="宋体" w:hAnsi="宋体"/>
                <w:sz w:val="24"/>
              </w:rPr>
            </w:pPr>
            <w:r>
              <w:rPr>
                <w:rStyle w:val="13"/>
                <w:rFonts w:ascii="宋体" w:hAnsi="宋体"/>
                <w:sz w:val="24"/>
              </w:rPr>
              <w:t>病历规范性分析</w:t>
            </w:r>
          </w:p>
        </w:tc>
        <w:tc>
          <w:tcPr>
            <w:tcW w:w="5743" w:type="dxa"/>
            <w:tcBorders>
              <w:top w:val="single" w:color="000000" w:sz="4" w:space="0"/>
              <w:left w:val="single" w:color="000000" w:sz="4" w:space="0"/>
              <w:bottom w:val="single" w:color="000000" w:sz="4" w:space="0"/>
              <w:right w:val="single" w:color="000000" w:sz="4" w:space="0"/>
            </w:tcBorders>
            <w:vAlign w:val="center"/>
          </w:tcPr>
          <w:p>
            <w:pPr>
              <w:textAlignment w:val="auto"/>
              <w:rPr>
                <w:rStyle w:val="13"/>
                <w:rFonts w:ascii="宋体" w:hAnsi="宋体"/>
                <w:sz w:val="24"/>
              </w:rPr>
            </w:pPr>
            <w:r>
              <w:rPr>
                <w:rStyle w:val="13"/>
                <w:rFonts w:ascii="宋体" w:hAnsi="宋体"/>
                <w:sz w:val="24"/>
              </w:rPr>
              <w:t>★提供病历规范率的变化趋势、病历缺陷类型分类统计，对与AI诊断一致病历、与AI诊断不一致病历和不一致率等按照时间和行政层级进行数据统计分析。（投标文件中提供“病历规范性分析”软件界面截图）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20" w:type="dxa"/>
            <w:tcBorders>
              <w:top w:val="single" w:color="000000" w:sz="4" w:space="0"/>
              <w:left w:val="single" w:color="000000" w:sz="4" w:space="0"/>
              <w:bottom w:val="single" w:color="000000" w:sz="4" w:space="0"/>
              <w:right w:val="single" w:color="000000" w:sz="4" w:space="0"/>
            </w:tcBorders>
            <w:vAlign w:val="center"/>
          </w:tcPr>
          <w:p>
            <w:pPr>
              <w:pStyle w:val="71"/>
              <w:numPr>
                <w:ilvl w:val="0"/>
                <w:numId w:val="15"/>
              </w:numPr>
              <w:ind w:left="0" w:firstLineChars="0"/>
              <w:jc w:val="center"/>
              <w:textAlignment w:val="auto"/>
              <w:rPr>
                <w:rStyle w:val="13"/>
                <w:rFonts w:ascii="宋体" w:hAnsi="宋体"/>
                <w:sz w:val="24"/>
              </w:rPr>
            </w:pPr>
          </w:p>
        </w:tc>
        <w:tc>
          <w:tcPr>
            <w:tcW w:w="2032" w:type="dxa"/>
            <w:tcBorders>
              <w:top w:val="single" w:color="000000" w:sz="4" w:space="0"/>
              <w:left w:val="single" w:color="000000" w:sz="4" w:space="0"/>
              <w:bottom w:val="single" w:color="000000" w:sz="4" w:space="0"/>
              <w:right w:val="single" w:color="000000" w:sz="4" w:space="0"/>
            </w:tcBorders>
            <w:vAlign w:val="center"/>
          </w:tcPr>
          <w:p>
            <w:pPr>
              <w:textAlignment w:val="auto"/>
              <w:rPr>
                <w:rStyle w:val="13"/>
                <w:rFonts w:ascii="宋体" w:hAnsi="宋体"/>
                <w:sz w:val="24"/>
              </w:rPr>
            </w:pPr>
            <w:r>
              <w:rPr>
                <w:rStyle w:val="13"/>
                <w:rFonts w:ascii="宋体" w:hAnsi="宋体"/>
                <w:sz w:val="24"/>
              </w:rPr>
              <w:t>区域机构排名</w:t>
            </w:r>
          </w:p>
        </w:tc>
        <w:tc>
          <w:tcPr>
            <w:tcW w:w="5743" w:type="dxa"/>
            <w:tcBorders>
              <w:top w:val="single" w:color="000000" w:sz="4" w:space="0"/>
              <w:left w:val="single" w:color="000000" w:sz="4" w:space="0"/>
              <w:bottom w:val="single" w:color="000000" w:sz="4" w:space="0"/>
              <w:right w:val="single" w:color="000000" w:sz="4" w:space="0"/>
            </w:tcBorders>
            <w:vAlign w:val="center"/>
          </w:tcPr>
          <w:p>
            <w:pPr>
              <w:textAlignment w:val="auto"/>
              <w:rPr>
                <w:rStyle w:val="13"/>
                <w:rFonts w:ascii="宋体" w:hAnsi="宋体"/>
                <w:sz w:val="24"/>
              </w:rPr>
            </w:pPr>
            <w:r>
              <w:rPr>
                <w:rStyle w:val="13"/>
                <w:rFonts w:ascii="宋体" w:hAnsi="宋体"/>
                <w:sz w:val="24"/>
              </w:rPr>
              <w:t>按照时间和行政层级或机构统计规范病历、不规范病历数量，支持表格数据展现及导出。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20" w:type="dxa"/>
            <w:tcBorders>
              <w:top w:val="single" w:color="000000" w:sz="4" w:space="0"/>
              <w:left w:val="single" w:color="000000" w:sz="4" w:space="0"/>
              <w:bottom w:val="single" w:color="000000" w:sz="4" w:space="0"/>
              <w:right w:val="single" w:color="000000" w:sz="4" w:space="0"/>
            </w:tcBorders>
            <w:vAlign w:val="center"/>
          </w:tcPr>
          <w:p>
            <w:pPr>
              <w:pStyle w:val="71"/>
              <w:numPr>
                <w:ilvl w:val="0"/>
                <w:numId w:val="15"/>
              </w:numPr>
              <w:ind w:left="0" w:firstLineChars="0"/>
              <w:jc w:val="center"/>
              <w:textAlignment w:val="auto"/>
              <w:rPr>
                <w:rStyle w:val="13"/>
                <w:rFonts w:ascii="宋体" w:hAnsi="宋体"/>
                <w:sz w:val="24"/>
              </w:rPr>
            </w:pPr>
          </w:p>
        </w:tc>
        <w:tc>
          <w:tcPr>
            <w:tcW w:w="2032" w:type="dxa"/>
            <w:tcBorders>
              <w:top w:val="single" w:color="000000" w:sz="4" w:space="0"/>
              <w:left w:val="single" w:color="000000" w:sz="4" w:space="0"/>
              <w:bottom w:val="single" w:color="000000" w:sz="4" w:space="0"/>
              <w:right w:val="single" w:color="000000" w:sz="4" w:space="0"/>
            </w:tcBorders>
            <w:vAlign w:val="center"/>
          </w:tcPr>
          <w:p>
            <w:pPr>
              <w:textAlignment w:val="auto"/>
              <w:rPr>
                <w:rStyle w:val="13"/>
                <w:rFonts w:ascii="宋体" w:hAnsi="宋体"/>
                <w:sz w:val="24"/>
              </w:rPr>
            </w:pPr>
            <w:r>
              <w:rPr>
                <w:rStyle w:val="13"/>
                <w:rFonts w:ascii="宋体" w:hAnsi="宋体"/>
                <w:sz w:val="24"/>
              </w:rPr>
              <w:t>诊断风险监控</w:t>
            </w:r>
          </w:p>
        </w:tc>
        <w:tc>
          <w:tcPr>
            <w:tcW w:w="5743" w:type="dxa"/>
            <w:tcBorders>
              <w:top w:val="single" w:color="000000" w:sz="4" w:space="0"/>
              <w:left w:val="single" w:color="000000" w:sz="4" w:space="0"/>
              <w:bottom w:val="single" w:color="000000" w:sz="4" w:space="0"/>
              <w:right w:val="single" w:color="000000" w:sz="4" w:space="0"/>
            </w:tcBorders>
            <w:vAlign w:val="center"/>
          </w:tcPr>
          <w:p>
            <w:pPr>
              <w:textAlignment w:val="auto"/>
              <w:rPr>
                <w:rStyle w:val="13"/>
                <w:rFonts w:ascii="宋体" w:hAnsi="宋体"/>
                <w:sz w:val="24"/>
              </w:rPr>
            </w:pPr>
            <w:r>
              <w:rPr>
                <w:rStyle w:val="13"/>
                <w:rFonts w:ascii="宋体" w:hAnsi="宋体"/>
                <w:sz w:val="24"/>
              </w:rPr>
              <w:t>★对与AI诊断不一致病历进行原因分析。提供与AI诊断不一致病历分析，与AI诊断不一致病历统计，支持按时间和行政层级查询统计。（投标文件中提供“诊断风险监控”软件界面截图）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20" w:type="dxa"/>
            <w:tcBorders>
              <w:top w:val="single" w:color="000000" w:sz="4" w:space="0"/>
              <w:left w:val="single" w:color="000000" w:sz="4" w:space="0"/>
              <w:bottom w:val="single" w:color="000000" w:sz="4" w:space="0"/>
              <w:right w:val="single" w:color="000000" w:sz="4" w:space="0"/>
            </w:tcBorders>
            <w:vAlign w:val="center"/>
          </w:tcPr>
          <w:p>
            <w:pPr>
              <w:pStyle w:val="71"/>
              <w:numPr>
                <w:ilvl w:val="0"/>
                <w:numId w:val="15"/>
              </w:numPr>
              <w:ind w:left="0" w:firstLineChars="0"/>
              <w:jc w:val="center"/>
              <w:textAlignment w:val="auto"/>
              <w:rPr>
                <w:rStyle w:val="13"/>
                <w:rFonts w:ascii="宋体" w:hAnsi="宋体"/>
                <w:sz w:val="24"/>
              </w:rPr>
            </w:pPr>
          </w:p>
        </w:tc>
        <w:tc>
          <w:tcPr>
            <w:tcW w:w="2032" w:type="dxa"/>
            <w:tcBorders>
              <w:top w:val="single" w:color="000000" w:sz="4" w:space="0"/>
              <w:left w:val="single" w:color="000000" w:sz="4" w:space="0"/>
              <w:bottom w:val="single" w:color="000000" w:sz="4" w:space="0"/>
              <w:right w:val="single" w:color="000000" w:sz="4" w:space="0"/>
            </w:tcBorders>
            <w:vAlign w:val="center"/>
          </w:tcPr>
          <w:p>
            <w:pPr>
              <w:textAlignment w:val="auto"/>
              <w:rPr>
                <w:rStyle w:val="13"/>
                <w:rFonts w:ascii="宋体" w:hAnsi="宋体"/>
                <w:sz w:val="24"/>
              </w:rPr>
            </w:pPr>
            <w:r>
              <w:rPr>
                <w:rStyle w:val="13"/>
                <w:rFonts w:ascii="宋体" w:hAnsi="宋体"/>
                <w:sz w:val="24"/>
              </w:rPr>
              <w:t>运维状态监控</w:t>
            </w:r>
          </w:p>
        </w:tc>
        <w:tc>
          <w:tcPr>
            <w:tcW w:w="5743" w:type="dxa"/>
            <w:tcBorders>
              <w:top w:val="single" w:color="000000" w:sz="4" w:space="0"/>
              <w:left w:val="single" w:color="000000" w:sz="4" w:space="0"/>
              <w:bottom w:val="single" w:color="000000" w:sz="4" w:space="0"/>
              <w:right w:val="single" w:color="000000" w:sz="4" w:space="0"/>
            </w:tcBorders>
            <w:vAlign w:val="center"/>
          </w:tcPr>
          <w:p>
            <w:pPr>
              <w:textAlignment w:val="auto"/>
              <w:rPr>
                <w:rStyle w:val="13"/>
                <w:rFonts w:ascii="宋体" w:hAnsi="宋体"/>
                <w:sz w:val="24"/>
              </w:rPr>
            </w:pPr>
            <w:r>
              <w:rPr>
                <w:rStyle w:val="13"/>
                <w:rFonts w:ascii="宋体" w:hAnsi="宋体"/>
                <w:sz w:val="24"/>
              </w:rPr>
              <w:t>提供区域内网络及数据情况的监控（包括实时监控和历史报错查询）。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20" w:type="dxa"/>
            <w:tcBorders>
              <w:top w:val="single" w:color="000000" w:sz="4" w:space="0"/>
              <w:left w:val="single" w:color="000000" w:sz="4" w:space="0"/>
              <w:bottom w:val="single" w:color="000000" w:sz="4" w:space="0"/>
              <w:right w:val="single" w:color="000000" w:sz="4" w:space="0"/>
            </w:tcBorders>
            <w:vAlign w:val="center"/>
          </w:tcPr>
          <w:p>
            <w:pPr>
              <w:pStyle w:val="71"/>
              <w:numPr>
                <w:ilvl w:val="0"/>
                <w:numId w:val="15"/>
              </w:numPr>
              <w:ind w:left="0" w:firstLineChars="0"/>
              <w:jc w:val="center"/>
              <w:textAlignment w:val="auto"/>
              <w:rPr>
                <w:rStyle w:val="13"/>
                <w:rFonts w:ascii="宋体" w:hAnsi="宋体"/>
                <w:sz w:val="24"/>
              </w:rPr>
            </w:pPr>
          </w:p>
        </w:tc>
        <w:tc>
          <w:tcPr>
            <w:tcW w:w="2032" w:type="dxa"/>
            <w:tcBorders>
              <w:top w:val="single" w:color="000000" w:sz="4" w:space="0"/>
              <w:left w:val="single" w:color="000000" w:sz="4" w:space="0"/>
              <w:bottom w:val="single" w:color="000000" w:sz="4" w:space="0"/>
              <w:right w:val="single" w:color="000000" w:sz="4" w:space="0"/>
            </w:tcBorders>
            <w:vAlign w:val="center"/>
          </w:tcPr>
          <w:p>
            <w:pPr>
              <w:textAlignment w:val="auto"/>
              <w:rPr>
                <w:rStyle w:val="13"/>
                <w:rFonts w:ascii="宋体" w:hAnsi="宋体"/>
                <w:sz w:val="24"/>
              </w:rPr>
            </w:pPr>
            <w:r>
              <w:rPr>
                <w:rStyle w:val="13"/>
                <w:rFonts w:ascii="宋体" w:hAnsi="宋体"/>
                <w:sz w:val="24"/>
              </w:rPr>
              <w:t>处方监控</w:t>
            </w:r>
          </w:p>
        </w:tc>
        <w:tc>
          <w:tcPr>
            <w:tcW w:w="5743" w:type="dxa"/>
            <w:tcBorders>
              <w:top w:val="single" w:color="000000" w:sz="4" w:space="0"/>
              <w:left w:val="single" w:color="000000" w:sz="4" w:space="0"/>
              <w:bottom w:val="single" w:color="000000" w:sz="4" w:space="0"/>
              <w:right w:val="single" w:color="000000" w:sz="4" w:space="0"/>
            </w:tcBorders>
            <w:vAlign w:val="center"/>
          </w:tcPr>
          <w:p>
            <w:pPr>
              <w:textAlignment w:val="auto"/>
              <w:rPr>
                <w:rStyle w:val="13"/>
                <w:rFonts w:ascii="宋体" w:hAnsi="宋体"/>
                <w:sz w:val="24"/>
              </w:rPr>
            </w:pPr>
            <w:r>
              <w:rPr>
                <w:rStyle w:val="13"/>
                <w:rFonts w:ascii="宋体" w:hAnsi="宋体"/>
                <w:sz w:val="24"/>
              </w:rPr>
              <w:t>提供区域内门诊处方的统计和“三素一汤”等重点药品使用量的统计分析；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20" w:type="dxa"/>
            <w:tcBorders>
              <w:top w:val="single" w:color="000000" w:sz="4" w:space="0"/>
              <w:left w:val="single" w:color="000000" w:sz="4" w:space="0"/>
              <w:bottom w:val="single" w:color="000000" w:sz="4" w:space="0"/>
              <w:right w:val="single" w:color="000000" w:sz="4" w:space="0"/>
            </w:tcBorders>
            <w:vAlign w:val="center"/>
          </w:tcPr>
          <w:p>
            <w:pPr>
              <w:pStyle w:val="71"/>
              <w:numPr>
                <w:ilvl w:val="0"/>
                <w:numId w:val="15"/>
              </w:numPr>
              <w:ind w:left="0" w:firstLineChars="0"/>
              <w:jc w:val="center"/>
              <w:textAlignment w:val="auto"/>
              <w:rPr>
                <w:rStyle w:val="13"/>
                <w:rFonts w:ascii="宋体" w:hAnsi="宋体"/>
                <w:sz w:val="24"/>
              </w:rPr>
            </w:pPr>
          </w:p>
        </w:tc>
        <w:tc>
          <w:tcPr>
            <w:tcW w:w="2032" w:type="dxa"/>
            <w:tcBorders>
              <w:top w:val="single" w:color="000000" w:sz="4" w:space="0"/>
              <w:left w:val="single" w:color="000000" w:sz="4" w:space="0"/>
              <w:bottom w:val="single" w:color="000000" w:sz="4" w:space="0"/>
              <w:right w:val="single" w:color="000000" w:sz="4" w:space="0"/>
            </w:tcBorders>
            <w:vAlign w:val="center"/>
          </w:tcPr>
          <w:p>
            <w:pPr>
              <w:textAlignment w:val="auto"/>
              <w:rPr>
                <w:rStyle w:val="13"/>
                <w:rFonts w:ascii="宋体" w:hAnsi="宋体"/>
                <w:sz w:val="24"/>
              </w:rPr>
            </w:pPr>
            <w:r>
              <w:rPr>
                <w:rStyle w:val="13"/>
                <w:rFonts w:ascii="宋体" w:hAnsi="宋体"/>
                <w:sz w:val="24"/>
              </w:rPr>
              <w:t>统计报表</w:t>
            </w:r>
          </w:p>
        </w:tc>
        <w:tc>
          <w:tcPr>
            <w:tcW w:w="5743" w:type="dxa"/>
            <w:tcBorders>
              <w:top w:val="single" w:color="000000" w:sz="4" w:space="0"/>
              <w:left w:val="single" w:color="000000" w:sz="4" w:space="0"/>
              <w:bottom w:val="single" w:color="000000" w:sz="4" w:space="0"/>
              <w:right w:val="single" w:color="000000" w:sz="4" w:space="0"/>
            </w:tcBorders>
            <w:vAlign w:val="center"/>
          </w:tcPr>
          <w:p>
            <w:pPr>
              <w:textAlignment w:val="auto"/>
              <w:rPr>
                <w:rStyle w:val="13"/>
                <w:rFonts w:ascii="宋体" w:hAnsi="宋体"/>
                <w:sz w:val="24"/>
              </w:rPr>
            </w:pPr>
            <w:r>
              <w:rPr>
                <w:rStyle w:val="13"/>
                <w:rFonts w:ascii="宋体" w:hAnsi="宋体"/>
                <w:sz w:val="24"/>
              </w:rPr>
              <w:t>支持相关的数据统计报表导出。</w:t>
            </w:r>
          </w:p>
        </w:tc>
      </w:tr>
    </w:tbl>
    <w:p>
      <w:pPr>
        <w:pStyle w:val="20"/>
        <w:spacing w:before="0" w:after="0" w:line="360" w:lineRule="auto"/>
        <w:textAlignment w:val="auto"/>
        <w:rPr>
          <w:rStyle w:val="13"/>
          <w:rFonts w:ascii="宋体" w:hAnsi="宋体"/>
          <w:b/>
          <w:bCs/>
          <w:sz w:val="24"/>
          <w:szCs w:val="24"/>
        </w:rPr>
      </w:pPr>
      <w:r>
        <w:rPr>
          <w:rStyle w:val="13"/>
          <w:rFonts w:ascii="宋体" w:hAnsi="宋体"/>
          <w:b/>
          <w:bCs/>
          <w:sz w:val="24"/>
          <w:szCs w:val="24"/>
        </w:rPr>
        <w:t>配套硬件</w:t>
      </w:r>
    </w:p>
    <w:p>
      <w:pPr>
        <w:pStyle w:val="21"/>
        <w:spacing w:line="360" w:lineRule="auto"/>
        <w:textAlignment w:val="auto"/>
        <w:rPr>
          <w:rStyle w:val="13"/>
          <w:rFonts w:cs="宋体"/>
          <w:bCs/>
          <w:sz w:val="24"/>
          <w:szCs w:val="24"/>
        </w:rPr>
      </w:pPr>
      <w:r>
        <w:rPr>
          <w:rStyle w:val="13"/>
          <w:rFonts w:cs="宋体"/>
          <w:b/>
          <w:sz w:val="24"/>
          <w:szCs w:val="24"/>
        </w:rPr>
        <w:t>县卫健委端后台硬件</w:t>
      </w:r>
    </w:p>
    <w:tbl>
      <w:tblPr>
        <w:tblStyle w:val="10"/>
        <w:tblW w:w="849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79"/>
        <w:gridCol w:w="524"/>
        <w:gridCol w:w="5382"/>
        <w:gridCol w:w="816"/>
        <w:gridCol w:w="11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blHeader/>
        </w:trPr>
        <w:tc>
          <w:tcPr>
            <w:tcW w:w="579" w:type="dxa"/>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textAlignment w:val="auto"/>
              <w:rPr>
                <w:rStyle w:val="13"/>
                <w:rFonts w:ascii="宋体" w:hAnsi="宋体" w:cs="宋体"/>
                <w:b/>
                <w:bCs/>
                <w:kern w:val="0"/>
                <w:sz w:val="24"/>
              </w:rPr>
            </w:pPr>
            <w:r>
              <w:rPr>
                <w:rStyle w:val="13"/>
                <w:rFonts w:ascii="宋体" w:hAnsi="宋体" w:cs="宋体"/>
                <w:b/>
                <w:bCs/>
                <w:kern w:val="0"/>
                <w:sz w:val="24"/>
              </w:rPr>
              <w:t>No.</w:t>
            </w:r>
          </w:p>
        </w:tc>
        <w:tc>
          <w:tcPr>
            <w:tcW w:w="524" w:type="dxa"/>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textAlignment w:val="auto"/>
              <w:rPr>
                <w:rStyle w:val="13"/>
                <w:rFonts w:ascii="宋体" w:hAnsi="宋体" w:cs="宋体"/>
                <w:b/>
                <w:bCs/>
                <w:kern w:val="0"/>
                <w:sz w:val="24"/>
              </w:rPr>
            </w:pPr>
            <w:r>
              <w:rPr>
                <w:rStyle w:val="13"/>
                <w:rFonts w:ascii="宋体" w:hAnsi="宋体" w:cs="宋体"/>
                <w:b/>
                <w:bCs/>
                <w:kern w:val="0"/>
                <w:sz w:val="24"/>
              </w:rPr>
              <w:t>名称</w:t>
            </w:r>
          </w:p>
        </w:tc>
        <w:tc>
          <w:tcPr>
            <w:tcW w:w="5382" w:type="dxa"/>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textAlignment w:val="auto"/>
              <w:rPr>
                <w:rStyle w:val="13"/>
                <w:rFonts w:ascii="宋体" w:hAnsi="宋体" w:cs="宋体"/>
                <w:b/>
                <w:bCs/>
                <w:kern w:val="0"/>
                <w:sz w:val="24"/>
              </w:rPr>
            </w:pPr>
            <w:r>
              <w:rPr>
                <w:rStyle w:val="13"/>
                <w:rFonts w:ascii="宋体" w:hAnsi="宋体" w:cs="宋体"/>
                <w:b/>
                <w:bCs/>
                <w:kern w:val="0"/>
                <w:sz w:val="24"/>
              </w:rPr>
              <w:t>配置要求</w:t>
            </w:r>
          </w:p>
        </w:tc>
        <w:tc>
          <w:tcPr>
            <w:tcW w:w="816" w:type="dxa"/>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textAlignment w:val="auto"/>
              <w:rPr>
                <w:rStyle w:val="13"/>
                <w:rFonts w:ascii="宋体" w:hAnsi="宋体" w:cs="宋体"/>
                <w:b/>
                <w:bCs/>
                <w:kern w:val="0"/>
                <w:sz w:val="24"/>
              </w:rPr>
            </w:pPr>
            <w:r>
              <w:rPr>
                <w:rStyle w:val="13"/>
                <w:rFonts w:ascii="宋体" w:hAnsi="宋体" w:cs="宋体"/>
                <w:b/>
                <w:bCs/>
                <w:kern w:val="0"/>
                <w:sz w:val="24"/>
              </w:rPr>
              <w:t>数量</w:t>
            </w:r>
          </w:p>
        </w:tc>
        <w:tc>
          <w:tcPr>
            <w:tcW w:w="1194" w:type="dxa"/>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textAlignment w:val="auto"/>
              <w:rPr>
                <w:rStyle w:val="13"/>
                <w:rFonts w:ascii="宋体" w:hAnsi="宋体" w:cs="宋体"/>
                <w:b/>
                <w:bCs/>
                <w:kern w:val="0"/>
                <w:sz w:val="24"/>
              </w:rPr>
            </w:pPr>
            <w:r>
              <w:rPr>
                <w:rStyle w:val="13"/>
                <w:rFonts w:ascii="宋体" w:hAnsi="宋体" w:cs="宋体"/>
                <w:b/>
                <w:bCs/>
                <w:kern w:val="0"/>
                <w:sz w:val="24"/>
              </w:rPr>
              <w:t>用途及相关说明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numPr>
                <w:ilvl w:val="0"/>
                <w:numId w:val="16"/>
              </w:numPr>
              <w:ind w:left="0"/>
              <w:jc w:val="center"/>
              <w:textAlignment w:val="auto"/>
              <w:rPr>
                <w:rStyle w:val="13"/>
                <w:rFonts w:ascii="宋体" w:hAnsi="宋体"/>
                <w:kern w:val="0"/>
                <w:sz w:val="24"/>
              </w:rPr>
            </w:pPr>
          </w:p>
        </w:tc>
        <w:tc>
          <w:tcPr>
            <w:tcW w:w="524" w:type="dxa"/>
            <w:tcBorders>
              <w:top w:val="single" w:color="000000" w:sz="4" w:space="0"/>
              <w:left w:val="single" w:color="000000" w:sz="4" w:space="0"/>
              <w:bottom w:val="single" w:color="000000" w:sz="4" w:space="0"/>
              <w:right w:val="single" w:color="000000" w:sz="4" w:space="0"/>
            </w:tcBorders>
            <w:vAlign w:val="center"/>
          </w:tcPr>
          <w:p>
            <w:pPr>
              <w:jc w:val="center"/>
              <w:textAlignment w:val="auto"/>
              <w:rPr>
                <w:rStyle w:val="13"/>
                <w:rFonts w:ascii="宋体" w:hAnsi="宋体"/>
                <w:b/>
                <w:kern w:val="0"/>
                <w:sz w:val="24"/>
              </w:rPr>
            </w:pPr>
            <w:r>
              <w:rPr>
                <w:rStyle w:val="13"/>
                <w:rFonts w:ascii="宋体" w:hAnsi="宋体"/>
                <w:b/>
                <w:kern w:val="0"/>
                <w:sz w:val="24"/>
              </w:rPr>
              <w:t>超融合服务器</w:t>
            </w:r>
          </w:p>
        </w:tc>
        <w:tc>
          <w:tcPr>
            <w:tcW w:w="5382"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r>
              <w:rPr>
                <w:rStyle w:val="13"/>
                <w:rFonts w:ascii="宋体" w:hAnsi="宋体"/>
                <w:kern w:val="0"/>
                <w:sz w:val="24"/>
              </w:rPr>
              <w:t>X86服务器</w:t>
            </w:r>
          </w:p>
          <w:p>
            <w:pPr>
              <w:jc w:val="left"/>
              <w:textAlignment w:val="auto"/>
              <w:rPr>
                <w:rStyle w:val="13"/>
                <w:rFonts w:ascii="宋体" w:hAnsi="宋体"/>
                <w:kern w:val="0"/>
                <w:sz w:val="24"/>
              </w:rPr>
            </w:pPr>
            <w:r>
              <w:rPr>
                <w:rStyle w:val="13"/>
                <w:rFonts w:ascii="宋体" w:hAnsi="宋体"/>
                <w:kern w:val="0"/>
                <w:sz w:val="24"/>
              </w:rPr>
              <w:t>1)CPU处理器≥2颗，主频≥2.30 GHz，单颗CPU内核数≥18，缓存≥24MB；</w:t>
            </w:r>
          </w:p>
          <w:p>
            <w:pPr>
              <w:jc w:val="left"/>
              <w:textAlignment w:val="auto"/>
              <w:rPr>
                <w:rStyle w:val="13"/>
                <w:rFonts w:ascii="宋体" w:hAnsi="宋体"/>
                <w:kern w:val="0"/>
                <w:sz w:val="24"/>
              </w:rPr>
            </w:pPr>
            <w:r>
              <w:rPr>
                <w:rStyle w:val="13"/>
                <w:rFonts w:ascii="宋体" w:hAnsi="宋体"/>
                <w:kern w:val="0"/>
                <w:sz w:val="24"/>
              </w:rPr>
              <w:t>2)内存≥256G ，主频≥2400MHz；槽位≥24；</w:t>
            </w:r>
          </w:p>
          <w:p>
            <w:pPr>
              <w:jc w:val="left"/>
              <w:textAlignment w:val="auto"/>
              <w:rPr>
                <w:rStyle w:val="13"/>
                <w:rFonts w:ascii="宋体" w:hAnsi="宋体"/>
                <w:kern w:val="0"/>
                <w:sz w:val="24"/>
              </w:rPr>
            </w:pPr>
            <w:r>
              <w:rPr>
                <w:rStyle w:val="13"/>
                <w:rFonts w:ascii="宋体" w:hAnsi="宋体"/>
                <w:kern w:val="0"/>
                <w:sz w:val="24"/>
              </w:rPr>
              <w:t>3)硬盘≥4块600GB SSD盘+≥10块1.8T 10Krpm SAS盘 ；硬盘背板配满硬盘。</w:t>
            </w:r>
          </w:p>
          <w:p>
            <w:pPr>
              <w:jc w:val="left"/>
              <w:textAlignment w:val="auto"/>
              <w:rPr>
                <w:rStyle w:val="13"/>
                <w:rFonts w:ascii="宋体" w:hAnsi="宋体"/>
                <w:kern w:val="0"/>
                <w:sz w:val="24"/>
              </w:rPr>
            </w:pPr>
            <w:r>
              <w:rPr>
                <w:rStyle w:val="13"/>
                <w:rFonts w:ascii="宋体" w:hAnsi="宋体"/>
                <w:kern w:val="0"/>
                <w:sz w:val="24"/>
              </w:rPr>
              <w:t>4)RAID 卡：RAID 控制器（支持0/1/10/5/6，缓存≥2G）带电池或电容保护；</w:t>
            </w:r>
          </w:p>
          <w:p>
            <w:pPr>
              <w:jc w:val="left"/>
              <w:textAlignment w:val="auto"/>
              <w:rPr>
                <w:rStyle w:val="13"/>
                <w:rFonts w:ascii="宋体" w:hAnsi="宋体"/>
                <w:kern w:val="0"/>
                <w:sz w:val="24"/>
              </w:rPr>
            </w:pPr>
            <w:r>
              <w:rPr>
                <w:rStyle w:val="13"/>
                <w:rFonts w:ascii="宋体" w:hAnsi="宋体"/>
                <w:kern w:val="0"/>
                <w:sz w:val="24"/>
              </w:rPr>
              <w:t>5)网卡：4端口10/100/1000兆自适应网卡≥1块，2端口万兆网卡≥2块（兼容标准Finisar AOC）；</w:t>
            </w:r>
          </w:p>
          <w:p>
            <w:pPr>
              <w:jc w:val="left"/>
              <w:textAlignment w:val="auto"/>
              <w:rPr>
                <w:rStyle w:val="13"/>
                <w:rFonts w:ascii="宋体" w:hAnsi="宋体"/>
                <w:kern w:val="0"/>
                <w:sz w:val="24"/>
              </w:rPr>
            </w:pPr>
            <w:r>
              <w:rPr>
                <w:rStyle w:val="13"/>
                <w:rFonts w:ascii="宋体" w:hAnsi="宋体"/>
                <w:kern w:val="0"/>
                <w:sz w:val="24"/>
              </w:rPr>
              <w:t>6)风扇：冗余风扇模块；电源≥550W+冗余电源；</w:t>
            </w:r>
          </w:p>
          <w:p>
            <w:pPr>
              <w:jc w:val="left"/>
              <w:textAlignment w:val="auto"/>
              <w:rPr>
                <w:rStyle w:val="13"/>
                <w:rFonts w:ascii="宋体" w:hAnsi="宋体"/>
                <w:kern w:val="0"/>
                <w:sz w:val="24"/>
              </w:rPr>
            </w:pPr>
            <w:r>
              <w:rPr>
                <w:rStyle w:val="13"/>
                <w:rFonts w:ascii="宋体" w:hAnsi="宋体"/>
                <w:kern w:val="0"/>
                <w:sz w:val="24"/>
              </w:rPr>
              <w:t>7)I/O扩展:PCI-E I/O扩展能力支持≥6个；</w:t>
            </w:r>
          </w:p>
          <w:p>
            <w:pPr>
              <w:jc w:val="left"/>
              <w:textAlignment w:val="auto"/>
              <w:rPr>
                <w:rStyle w:val="13"/>
                <w:rFonts w:ascii="宋体" w:hAnsi="宋体"/>
                <w:kern w:val="0"/>
                <w:sz w:val="24"/>
              </w:rPr>
            </w:pPr>
            <w:r>
              <w:rPr>
                <w:rStyle w:val="13"/>
                <w:rFonts w:ascii="宋体" w:hAnsi="宋体"/>
                <w:kern w:val="0"/>
                <w:sz w:val="24"/>
              </w:rPr>
              <w:t>8)双冗余电源、双导轨；</w:t>
            </w:r>
          </w:p>
          <w:p>
            <w:pPr>
              <w:jc w:val="left"/>
              <w:textAlignment w:val="auto"/>
              <w:rPr>
                <w:rStyle w:val="13"/>
                <w:rFonts w:ascii="宋体" w:hAnsi="宋体"/>
                <w:kern w:val="0"/>
                <w:sz w:val="24"/>
              </w:rPr>
            </w:pPr>
            <w:r>
              <w:rPr>
                <w:rStyle w:val="13"/>
                <w:rFonts w:ascii="宋体" w:hAnsi="宋体"/>
                <w:kern w:val="0"/>
                <w:sz w:val="24"/>
              </w:rPr>
              <w:t>9)企业级IPMI x 1、支持KVMoIP；支持基于浏览器的远程登录、管理、ISO镜像挂载、操作系统部署及管理软件永久授权；</w:t>
            </w:r>
          </w:p>
          <w:p>
            <w:pPr>
              <w:jc w:val="left"/>
              <w:textAlignment w:val="auto"/>
              <w:rPr>
                <w:rStyle w:val="13"/>
                <w:rFonts w:ascii="宋体" w:hAnsi="宋体"/>
                <w:kern w:val="0"/>
                <w:sz w:val="24"/>
              </w:rPr>
            </w:pPr>
            <w:r>
              <w:rPr>
                <w:rStyle w:val="13"/>
                <w:rFonts w:ascii="宋体" w:hAnsi="宋体"/>
                <w:kern w:val="0"/>
                <w:sz w:val="24"/>
              </w:rPr>
              <w:t>10)服务：三年原厂质保，7*24小时服务。</w:t>
            </w:r>
          </w:p>
          <w:p>
            <w:pPr>
              <w:jc w:val="left"/>
              <w:textAlignment w:val="auto"/>
              <w:rPr>
                <w:rStyle w:val="13"/>
                <w:rFonts w:ascii="宋体" w:hAnsi="宋体"/>
                <w:kern w:val="0"/>
                <w:sz w:val="24"/>
              </w:rPr>
            </w:pPr>
            <w:r>
              <w:rPr>
                <w:rStyle w:val="13"/>
                <w:rFonts w:ascii="宋体" w:hAnsi="宋体"/>
                <w:kern w:val="0"/>
                <w:sz w:val="24"/>
              </w:rPr>
              <w:t>11)支持部署目前主流超融合架构。</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center"/>
              <w:textAlignment w:val="auto"/>
              <w:rPr>
                <w:rStyle w:val="13"/>
                <w:rFonts w:ascii="宋体" w:hAnsi="宋体"/>
                <w:kern w:val="0"/>
                <w:sz w:val="24"/>
              </w:rPr>
            </w:pPr>
            <w:r>
              <w:rPr>
                <w:rStyle w:val="13"/>
                <w:rFonts w:ascii="宋体" w:hAnsi="宋体"/>
                <w:kern w:val="0"/>
                <w:sz w:val="24"/>
              </w:rPr>
              <w:t>6台</w:t>
            </w:r>
          </w:p>
        </w:tc>
        <w:tc>
          <w:tcPr>
            <w:tcW w:w="1194"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r>
              <w:rPr>
                <w:rStyle w:val="13"/>
                <w:rFonts w:ascii="宋体" w:hAnsi="宋体"/>
                <w:kern w:val="0"/>
                <w:sz w:val="24"/>
              </w:rPr>
              <w:t>6台服务器组建两组超融合，一组4台给专网用，提供24TB可用空间与35余台虚拟机；另一组2台给互联网用，提供18TB可用空间与25余台虚拟机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579" w:type="dxa"/>
            <w:vMerge w:val="restart"/>
            <w:tcBorders>
              <w:top w:val="single" w:color="000000" w:sz="4" w:space="0"/>
              <w:left w:val="single" w:color="000000" w:sz="4" w:space="0"/>
              <w:bottom w:val="single" w:color="000000" w:sz="4" w:space="0"/>
              <w:right w:val="single" w:color="000000" w:sz="4" w:space="0"/>
            </w:tcBorders>
            <w:vAlign w:val="center"/>
          </w:tcPr>
          <w:p>
            <w:pPr>
              <w:numPr>
                <w:ilvl w:val="0"/>
                <w:numId w:val="16"/>
              </w:numPr>
              <w:ind w:left="0"/>
              <w:jc w:val="center"/>
              <w:textAlignment w:val="auto"/>
              <w:rPr>
                <w:rStyle w:val="13"/>
                <w:rFonts w:ascii="宋体" w:hAnsi="宋体"/>
                <w:kern w:val="0"/>
                <w:sz w:val="24"/>
              </w:rPr>
            </w:pPr>
          </w:p>
        </w:tc>
        <w:tc>
          <w:tcPr>
            <w:tcW w:w="524" w:type="dxa"/>
            <w:tcBorders>
              <w:top w:val="single" w:color="000000" w:sz="4" w:space="0"/>
              <w:left w:val="single" w:color="000000" w:sz="4" w:space="0"/>
              <w:bottom w:val="single" w:color="000000" w:sz="4" w:space="0"/>
              <w:right w:val="single" w:color="000000" w:sz="4" w:space="0"/>
            </w:tcBorders>
            <w:vAlign w:val="center"/>
          </w:tcPr>
          <w:p>
            <w:pPr>
              <w:jc w:val="center"/>
              <w:textAlignment w:val="auto"/>
              <w:rPr>
                <w:rStyle w:val="13"/>
                <w:rFonts w:ascii="宋体" w:hAnsi="宋体"/>
                <w:b/>
                <w:kern w:val="0"/>
                <w:sz w:val="24"/>
              </w:rPr>
            </w:pPr>
            <w:r>
              <w:rPr>
                <w:rStyle w:val="13"/>
                <w:rFonts w:ascii="宋体" w:hAnsi="宋体"/>
                <w:b/>
                <w:kern w:val="0"/>
                <w:sz w:val="24"/>
              </w:rPr>
              <w:t>服务器虚拟化软件</w:t>
            </w:r>
          </w:p>
        </w:tc>
        <w:tc>
          <w:tcPr>
            <w:tcW w:w="5382"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r>
              <w:rPr>
                <w:rStyle w:val="13"/>
                <w:rFonts w:ascii="宋体" w:hAnsi="宋体"/>
                <w:kern w:val="0"/>
                <w:sz w:val="24"/>
              </w:rPr>
              <w:t>1)采用裸金属架构，无需绑定操作系统即可搭建虚拟化平台；</w:t>
            </w:r>
          </w:p>
          <w:p>
            <w:pPr>
              <w:jc w:val="left"/>
              <w:textAlignment w:val="auto"/>
              <w:rPr>
                <w:rStyle w:val="13"/>
                <w:rFonts w:ascii="宋体" w:hAnsi="宋体"/>
                <w:kern w:val="0"/>
                <w:sz w:val="24"/>
              </w:rPr>
            </w:pPr>
            <w:r>
              <w:rPr>
                <w:rStyle w:val="13"/>
                <w:rFonts w:ascii="宋体" w:hAnsi="宋体"/>
                <w:kern w:val="0"/>
                <w:sz w:val="24"/>
              </w:rPr>
              <w:t>2)无需独立管理中心组件、通过Web页面实现平台访问和管理，且集群管理节点可在所有主机中漂移和重新选择（提供配置截图）；</w:t>
            </w:r>
          </w:p>
          <w:p>
            <w:pPr>
              <w:jc w:val="left"/>
              <w:textAlignment w:val="auto"/>
              <w:rPr>
                <w:rStyle w:val="13"/>
                <w:rFonts w:ascii="宋体" w:hAnsi="宋体"/>
                <w:kern w:val="0"/>
                <w:sz w:val="24"/>
              </w:rPr>
            </w:pPr>
            <w:r>
              <w:rPr>
                <w:rStyle w:val="13"/>
                <w:rFonts w:ascii="宋体" w:hAnsi="宋体"/>
                <w:kern w:val="0"/>
                <w:sz w:val="24"/>
              </w:rPr>
              <w:t>3)后期无需安装额外软件、仅开通授权即可支持虚拟VPN、虚拟上网行为管理、虚拟广域网优化、虚拟应用交付、虚拟防火墙、虚拟数据库审计、虚拟路由器等（提供配置截图）；</w:t>
            </w:r>
          </w:p>
          <w:p>
            <w:pPr>
              <w:jc w:val="left"/>
              <w:textAlignment w:val="auto"/>
              <w:rPr>
                <w:rStyle w:val="13"/>
                <w:rFonts w:ascii="宋体" w:hAnsi="宋体"/>
                <w:kern w:val="0"/>
                <w:sz w:val="24"/>
              </w:rPr>
            </w:pPr>
            <w:r>
              <w:rPr>
                <w:rStyle w:val="13"/>
                <w:rFonts w:ascii="宋体" w:hAnsi="宋体"/>
                <w:kern w:val="0"/>
                <w:sz w:val="24"/>
              </w:rPr>
              <w:t>4)为保证产品的安全可靠性，厂商具备国家信息安全漏洞共享平台CNVD技术组认证(提供证书复印件)；</w:t>
            </w:r>
          </w:p>
          <w:p>
            <w:pPr>
              <w:jc w:val="left"/>
              <w:textAlignment w:val="auto"/>
              <w:rPr>
                <w:rStyle w:val="13"/>
                <w:rFonts w:ascii="宋体" w:hAnsi="宋体"/>
                <w:kern w:val="0"/>
                <w:sz w:val="24"/>
              </w:rPr>
            </w:pPr>
            <w:r>
              <w:rPr>
                <w:rStyle w:val="13"/>
                <w:rFonts w:ascii="宋体" w:hAnsi="宋体"/>
                <w:kern w:val="0"/>
                <w:sz w:val="24"/>
              </w:rPr>
              <w:t>5)厂商应是CNCERT网络安全应急服务支撑单位（国家级）（提供证书复印件）；</w:t>
            </w:r>
          </w:p>
          <w:p>
            <w:pPr>
              <w:jc w:val="left"/>
              <w:textAlignment w:val="auto"/>
              <w:rPr>
                <w:rStyle w:val="13"/>
                <w:rFonts w:ascii="宋体" w:hAnsi="宋体"/>
                <w:kern w:val="0"/>
                <w:sz w:val="24"/>
              </w:rPr>
            </w:pPr>
            <w:r>
              <w:rPr>
                <w:rStyle w:val="13"/>
                <w:rFonts w:ascii="宋体" w:hAnsi="宋体"/>
                <w:kern w:val="0"/>
                <w:sz w:val="24"/>
              </w:rPr>
              <w:t>6)厂商入围X86服务器虚拟化基础架构魔力象限（提供Gartner报告截图证明）</w:t>
            </w:r>
          </w:p>
          <w:p>
            <w:pPr>
              <w:jc w:val="left"/>
              <w:textAlignment w:val="auto"/>
              <w:rPr>
                <w:rStyle w:val="13"/>
                <w:rFonts w:ascii="宋体" w:hAnsi="宋体"/>
                <w:kern w:val="0"/>
                <w:sz w:val="24"/>
              </w:rPr>
            </w:pPr>
            <w:r>
              <w:rPr>
                <w:rStyle w:val="13"/>
                <w:rFonts w:ascii="宋体" w:hAnsi="宋体"/>
                <w:kern w:val="0"/>
                <w:sz w:val="24"/>
              </w:rPr>
              <w:t>7)提供五年软件升级服务，提供项目授权和服务承诺函；</w:t>
            </w:r>
          </w:p>
          <w:p>
            <w:pPr>
              <w:jc w:val="left"/>
              <w:textAlignment w:val="auto"/>
              <w:rPr>
                <w:rStyle w:val="13"/>
                <w:rFonts w:ascii="宋体" w:hAnsi="宋体"/>
                <w:kern w:val="0"/>
                <w:sz w:val="24"/>
              </w:rPr>
            </w:pPr>
            <w:r>
              <w:rPr>
                <w:rStyle w:val="13"/>
                <w:rFonts w:ascii="宋体" w:hAnsi="宋体"/>
                <w:kern w:val="0"/>
                <w:sz w:val="24"/>
              </w:rPr>
              <w:t>8)功能性要求：</w:t>
            </w:r>
          </w:p>
          <w:p>
            <w:pPr>
              <w:jc w:val="left"/>
              <w:textAlignment w:val="auto"/>
              <w:rPr>
                <w:rStyle w:val="13"/>
                <w:rFonts w:ascii="宋体" w:hAnsi="宋体"/>
                <w:kern w:val="0"/>
                <w:sz w:val="24"/>
              </w:rPr>
            </w:pPr>
            <w:r>
              <w:rPr>
                <w:rStyle w:val="13"/>
                <w:rFonts w:ascii="宋体" w:hAnsi="宋体"/>
                <w:kern w:val="0"/>
                <w:sz w:val="24"/>
              </w:rPr>
              <w:t>9)支持虚拟机卡死及蓝屏的检测功能并实现自动重启，无需人工干预减少运维工作量（需提供产品功能截图）</w:t>
            </w:r>
          </w:p>
          <w:p>
            <w:pPr>
              <w:jc w:val="left"/>
              <w:textAlignment w:val="auto"/>
              <w:rPr>
                <w:rStyle w:val="13"/>
                <w:rFonts w:ascii="宋体" w:hAnsi="宋体"/>
                <w:kern w:val="0"/>
                <w:sz w:val="24"/>
              </w:rPr>
            </w:pPr>
            <w:r>
              <w:rPr>
                <w:rStyle w:val="13"/>
                <w:rFonts w:ascii="宋体" w:hAnsi="宋体"/>
                <w:kern w:val="0"/>
                <w:sz w:val="24"/>
              </w:rPr>
              <w:t>10)每个虚拟机都可以安装独立的操作系统，操作系统支持需要包括Windows、 Linux，并且支持国产操作系统包括：红旗linux、中标麒麟、中标普华等，便于方便部署减少运维工作量（需提供产品功能截图）</w:t>
            </w:r>
          </w:p>
          <w:p>
            <w:pPr>
              <w:jc w:val="left"/>
              <w:textAlignment w:val="auto"/>
              <w:rPr>
                <w:rStyle w:val="13"/>
                <w:rFonts w:ascii="宋体" w:hAnsi="宋体"/>
                <w:kern w:val="0"/>
                <w:sz w:val="24"/>
              </w:rPr>
            </w:pPr>
            <w:r>
              <w:rPr>
                <w:rStyle w:val="13"/>
                <w:rFonts w:ascii="宋体" w:hAnsi="宋体"/>
                <w:kern w:val="0"/>
                <w:sz w:val="24"/>
              </w:rPr>
              <w:t>11)支持无代理跨物理主机的虚拟机USB映射，需要使用USB KEY时，无需再虚拟机上安装客户端插件，且虚拟机迁移到其它物理主机后，仍能正常使用迁移前所在物理主机上的USB资源，对于业务的自适应能力、使用便捷性更佳（需提供产品功能截图）</w:t>
            </w:r>
          </w:p>
          <w:p>
            <w:pPr>
              <w:jc w:val="left"/>
              <w:textAlignment w:val="auto"/>
              <w:rPr>
                <w:rStyle w:val="13"/>
                <w:rFonts w:ascii="宋体" w:hAnsi="宋体"/>
                <w:kern w:val="0"/>
                <w:sz w:val="24"/>
              </w:rPr>
            </w:pPr>
            <w:r>
              <w:rPr>
                <w:rStyle w:val="13"/>
                <w:rFonts w:ascii="宋体" w:hAnsi="宋体"/>
                <w:kern w:val="0"/>
                <w:sz w:val="24"/>
              </w:rPr>
              <w:t>12)支持平台中的集群资源环境一键检测，对硬件健康、平台底层的虚拟化的运行状态和配置，进行多个维度进行检查，提供快速定位问题功能，确保系统最佳状态（提供配置截图）</w:t>
            </w:r>
          </w:p>
          <w:p>
            <w:pPr>
              <w:jc w:val="left"/>
              <w:textAlignment w:val="auto"/>
              <w:rPr>
                <w:rStyle w:val="13"/>
                <w:rFonts w:ascii="宋体" w:hAnsi="宋体"/>
                <w:kern w:val="0"/>
                <w:sz w:val="24"/>
              </w:rPr>
            </w:pPr>
            <w:r>
              <w:rPr>
                <w:rStyle w:val="13"/>
                <w:rFonts w:ascii="宋体" w:hAnsi="宋体"/>
                <w:kern w:val="0"/>
                <w:sz w:val="24"/>
              </w:rPr>
              <w:t>13)备份策略可按小时颗粒度进行备份（提供虚拟平台管理中心备份时间策略截图）</w:t>
            </w:r>
          </w:p>
          <w:p>
            <w:pPr>
              <w:jc w:val="left"/>
              <w:textAlignment w:val="auto"/>
              <w:rPr>
                <w:rStyle w:val="13"/>
                <w:rFonts w:ascii="宋体" w:hAnsi="宋体"/>
                <w:kern w:val="0"/>
                <w:sz w:val="24"/>
              </w:rPr>
            </w:pPr>
            <w:r>
              <w:rPr>
                <w:rStyle w:val="13"/>
                <w:rFonts w:ascii="宋体" w:hAnsi="宋体"/>
                <w:kern w:val="0"/>
                <w:sz w:val="24"/>
              </w:rPr>
              <w:t>14)备份策略最高支持保存12份副本（提供虚拟平台管理中心备份保留个数策略截图）；</w:t>
            </w:r>
          </w:p>
        </w:tc>
        <w:tc>
          <w:tcPr>
            <w:tcW w:w="816" w:type="dxa"/>
            <w:tcBorders>
              <w:top w:val="single" w:color="000000" w:sz="4" w:space="0"/>
              <w:left w:val="single" w:color="000000" w:sz="4" w:space="0"/>
              <w:bottom w:val="single" w:color="000000" w:sz="4" w:space="0"/>
              <w:right w:val="single" w:color="000000" w:sz="4" w:space="0"/>
            </w:tcBorders>
            <w:vAlign w:val="center"/>
          </w:tcPr>
          <w:p>
            <w:pPr>
              <w:textAlignment w:val="auto"/>
              <w:rPr>
                <w:rStyle w:val="13"/>
                <w:rFonts w:ascii="宋体" w:hAnsi="宋体"/>
                <w:kern w:val="0"/>
                <w:sz w:val="24"/>
              </w:rPr>
            </w:pPr>
            <w:r>
              <w:rPr>
                <w:rStyle w:val="13"/>
                <w:rFonts w:ascii="宋体" w:hAnsi="宋体"/>
                <w:kern w:val="0"/>
                <w:sz w:val="24"/>
              </w:rPr>
              <w:t>12CPU授权</w:t>
            </w:r>
          </w:p>
        </w:tc>
        <w:tc>
          <w:tcPr>
            <w:tcW w:w="1194"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r>
              <w:rPr>
                <w:rStyle w:val="13"/>
                <w:rFonts w:ascii="宋体" w:hAnsi="宋体"/>
                <w:kern w:val="0"/>
                <w:sz w:val="24"/>
              </w:rPr>
              <w:t>服务虚拟化，虚拟池放置在分布式存储上，不用另采购物理存储设备。</w:t>
            </w:r>
          </w:p>
          <w:p>
            <w:pPr>
              <w:jc w:val="left"/>
              <w:textAlignment w:val="auto"/>
              <w:rPr>
                <w:rStyle w:val="13"/>
                <w:rFonts w:ascii="宋体" w:hAnsi="宋体"/>
                <w:kern w:val="0"/>
                <w:sz w:val="24"/>
              </w:rPr>
            </w:pPr>
            <w:r>
              <w:rPr>
                <w:rStyle w:val="13"/>
                <w:rFonts w:ascii="宋体" w:hAnsi="宋体"/>
                <w:kern w:val="0"/>
                <w:sz w:val="24"/>
              </w:rPr>
              <w:t>组建两组虚拟池。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579" w:type="dxa"/>
            <w:vMerge w:val="continue"/>
            <w:tcBorders>
              <w:top w:val="single" w:color="000000" w:sz="4" w:space="0"/>
              <w:left w:val="single" w:color="000000" w:sz="4" w:space="0"/>
              <w:bottom w:val="single" w:color="000000" w:sz="4" w:space="0"/>
              <w:right w:val="single" w:color="000000" w:sz="4" w:space="0"/>
            </w:tcBorders>
            <w:vAlign w:val="center"/>
          </w:tcPr>
          <w:p>
            <w:pPr>
              <w:numPr>
                <w:ilvl w:val="0"/>
                <w:numId w:val="16"/>
              </w:numPr>
              <w:ind w:left="0"/>
              <w:jc w:val="center"/>
              <w:textAlignment w:val="auto"/>
              <w:rPr>
                <w:rStyle w:val="13"/>
                <w:rFonts w:ascii="宋体" w:hAnsi="宋体"/>
                <w:kern w:val="0"/>
                <w:sz w:val="24"/>
              </w:rPr>
            </w:pPr>
          </w:p>
        </w:tc>
        <w:tc>
          <w:tcPr>
            <w:tcW w:w="524" w:type="dxa"/>
            <w:tcBorders>
              <w:top w:val="single" w:color="000000" w:sz="4" w:space="0"/>
              <w:left w:val="single" w:color="000000" w:sz="4" w:space="0"/>
              <w:bottom w:val="single" w:color="000000" w:sz="4" w:space="0"/>
              <w:right w:val="single" w:color="000000" w:sz="4" w:space="0"/>
            </w:tcBorders>
            <w:vAlign w:val="center"/>
          </w:tcPr>
          <w:p>
            <w:pPr>
              <w:jc w:val="center"/>
              <w:textAlignment w:val="auto"/>
              <w:rPr>
                <w:rStyle w:val="13"/>
                <w:rFonts w:ascii="宋体" w:hAnsi="宋体"/>
                <w:kern w:val="0"/>
                <w:sz w:val="24"/>
              </w:rPr>
            </w:pPr>
            <w:r>
              <w:rPr>
                <w:rStyle w:val="13"/>
                <w:rFonts w:ascii="宋体" w:hAnsi="宋体"/>
                <w:b/>
                <w:kern w:val="0"/>
                <w:sz w:val="24"/>
              </w:rPr>
              <w:t>分布式存储软件</w:t>
            </w:r>
          </w:p>
        </w:tc>
        <w:tc>
          <w:tcPr>
            <w:tcW w:w="5382"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r>
              <w:rPr>
                <w:rStyle w:val="13"/>
                <w:rFonts w:ascii="宋体" w:hAnsi="宋体"/>
                <w:kern w:val="0"/>
                <w:sz w:val="24"/>
              </w:rPr>
              <w:t>1)采用分布式架构设计：由多台物理服务器组成分布式存储集群，通过新增物理服务器实现存储容量和性能的横向扩展（Scale-Out架构），扩容过程保证业务零中断；</w:t>
            </w:r>
          </w:p>
          <w:p>
            <w:pPr>
              <w:jc w:val="left"/>
              <w:textAlignment w:val="auto"/>
              <w:rPr>
                <w:rStyle w:val="13"/>
                <w:rFonts w:ascii="宋体" w:hAnsi="宋体"/>
                <w:kern w:val="0"/>
                <w:sz w:val="24"/>
              </w:rPr>
            </w:pPr>
            <w:r>
              <w:rPr>
                <w:rStyle w:val="13"/>
                <w:rFonts w:ascii="宋体" w:hAnsi="宋体"/>
                <w:kern w:val="0"/>
                <w:sz w:val="24"/>
              </w:rPr>
              <w:t>2)为了便于部署关键业务系统，虚拟存储可支持Oracle RAC，支持共享盘，及共享块设备，支持向导式安装，降低部署复杂度。（需提供产品功能截图）；</w:t>
            </w:r>
          </w:p>
          <w:p>
            <w:pPr>
              <w:jc w:val="left"/>
              <w:textAlignment w:val="auto"/>
              <w:rPr>
                <w:rStyle w:val="13"/>
                <w:rFonts w:ascii="宋体" w:hAnsi="宋体"/>
                <w:kern w:val="0"/>
                <w:sz w:val="24"/>
              </w:rPr>
            </w:pPr>
            <w:r>
              <w:rPr>
                <w:rStyle w:val="13"/>
                <w:rFonts w:ascii="宋体" w:hAnsi="宋体"/>
                <w:kern w:val="0"/>
                <w:sz w:val="24"/>
              </w:rPr>
              <w:t>3)支持多副本冗余功能：采用2副本或3副本，各副本互斥保存在集群的不同节点中，单个主机或磁盘故障时仍须确保数据正常访问；</w:t>
            </w:r>
          </w:p>
          <w:p>
            <w:pPr>
              <w:jc w:val="left"/>
              <w:textAlignment w:val="auto"/>
              <w:rPr>
                <w:rStyle w:val="13"/>
                <w:rFonts w:ascii="宋体" w:hAnsi="宋体"/>
                <w:kern w:val="0"/>
                <w:sz w:val="24"/>
              </w:rPr>
            </w:pPr>
            <w:r>
              <w:rPr>
                <w:rStyle w:val="13"/>
                <w:rFonts w:ascii="宋体" w:hAnsi="宋体"/>
                <w:kern w:val="0"/>
                <w:sz w:val="24"/>
              </w:rPr>
              <w:t>4)支持SSD缓存寿命检测功能：虚拟存储集群可预警寿命即将耗尽的SSD，提醒更换SSD；</w:t>
            </w:r>
          </w:p>
          <w:p>
            <w:pPr>
              <w:jc w:val="left"/>
              <w:textAlignment w:val="auto"/>
              <w:rPr>
                <w:rStyle w:val="13"/>
                <w:rFonts w:ascii="宋体" w:hAnsi="宋体"/>
                <w:kern w:val="0"/>
                <w:sz w:val="24"/>
              </w:rPr>
            </w:pPr>
            <w:r>
              <w:rPr>
                <w:rStyle w:val="13"/>
                <w:rFonts w:ascii="宋体" w:hAnsi="宋体"/>
                <w:kern w:val="0"/>
                <w:sz w:val="24"/>
              </w:rPr>
              <w:t>5)在可视化的WEB管理平台上，可以查看存储容量大小、容量使用率、实时的IOPS读写次数、IOPS读写数据量等信息，方便为IT管理做为有效的决策依据。（需提供产品功能截图）</w:t>
            </w:r>
          </w:p>
          <w:p>
            <w:pPr>
              <w:jc w:val="left"/>
              <w:textAlignment w:val="auto"/>
              <w:rPr>
                <w:rStyle w:val="13"/>
                <w:rFonts w:ascii="宋体" w:hAnsi="宋体"/>
                <w:kern w:val="0"/>
                <w:sz w:val="24"/>
              </w:rPr>
            </w:pPr>
            <w:r>
              <w:rPr>
                <w:rStyle w:val="13"/>
                <w:rFonts w:ascii="宋体" w:hAnsi="宋体"/>
                <w:kern w:val="0"/>
                <w:sz w:val="24"/>
              </w:rPr>
              <w:t>6)为保障后续可扩展性，提供不小于1000TB的存储虚拟化授权（开具原厂盖章证明）。</w:t>
            </w:r>
          </w:p>
          <w:p>
            <w:pPr>
              <w:jc w:val="left"/>
              <w:textAlignment w:val="auto"/>
              <w:rPr>
                <w:rStyle w:val="13"/>
                <w:rFonts w:ascii="宋体" w:hAnsi="宋体"/>
                <w:kern w:val="0"/>
                <w:sz w:val="24"/>
              </w:rPr>
            </w:pPr>
            <w:r>
              <w:rPr>
                <w:rStyle w:val="13"/>
                <w:rFonts w:ascii="宋体" w:hAnsi="宋体"/>
                <w:kern w:val="0"/>
                <w:sz w:val="24"/>
              </w:rPr>
              <w:t>7)为保证产品的安全可靠性，厂商具备国家信息安全漏洞共享平台CNVD技术组认证(提供证书复印件)；</w:t>
            </w:r>
          </w:p>
          <w:p>
            <w:pPr>
              <w:jc w:val="left"/>
              <w:textAlignment w:val="auto"/>
              <w:rPr>
                <w:rStyle w:val="13"/>
                <w:rFonts w:ascii="宋体" w:hAnsi="宋体"/>
                <w:kern w:val="0"/>
                <w:sz w:val="24"/>
              </w:rPr>
            </w:pPr>
            <w:r>
              <w:rPr>
                <w:rStyle w:val="13"/>
                <w:rFonts w:ascii="宋体" w:hAnsi="宋体"/>
                <w:kern w:val="0"/>
                <w:sz w:val="24"/>
              </w:rPr>
              <w:t>8)厂商应是CNCERT网络安全应急服务支撑单位（国家级）（提供证书复印件）</w:t>
            </w:r>
          </w:p>
          <w:p>
            <w:pPr>
              <w:jc w:val="left"/>
              <w:textAlignment w:val="auto"/>
              <w:rPr>
                <w:rStyle w:val="13"/>
                <w:rFonts w:ascii="宋体" w:hAnsi="宋体"/>
                <w:kern w:val="0"/>
                <w:sz w:val="24"/>
              </w:rPr>
            </w:pPr>
            <w:r>
              <w:rPr>
                <w:rStyle w:val="13"/>
                <w:rFonts w:ascii="宋体" w:hAnsi="宋体"/>
                <w:kern w:val="0"/>
                <w:sz w:val="24"/>
              </w:rPr>
              <w:t>9)提供五年软件升级服务，提供项目授权和服务承诺函；</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center"/>
              <w:textAlignment w:val="auto"/>
              <w:rPr>
                <w:rStyle w:val="13"/>
                <w:rFonts w:ascii="宋体" w:hAnsi="宋体"/>
                <w:kern w:val="0"/>
                <w:sz w:val="24"/>
              </w:rPr>
            </w:pPr>
            <w:r>
              <w:rPr>
                <w:rStyle w:val="13"/>
                <w:rFonts w:ascii="宋体" w:hAnsi="宋体"/>
                <w:kern w:val="0"/>
                <w:sz w:val="24"/>
              </w:rPr>
              <w:t>12CPU授权</w:t>
            </w:r>
          </w:p>
        </w:tc>
        <w:tc>
          <w:tcPr>
            <w:tcW w:w="1194"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r>
              <w:rPr>
                <w:rStyle w:val="13"/>
                <w:rFonts w:ascii="宋体" w:hAnsi="宋体"/>
                <w:kern w:val="0"/>
                <w:sz w:val="24"/>
              </w:rPr>
              <w:t>通过软件将6台X86服务器的本机硬盘、SSD缓存盘虚拟成两台高速、三倍冗余、24TB与18TB可用容量的分布式存储。</w:t>
            </w:r>
          </w:p>
          <w:p>
            <w:pPr>
              <w:jc w:val="left"/>
              <w:textAlignment w:val="auto"/>
              <w:rPr>
                <w:rStyle w:val="13"/>
                <w:rFonts w:ascii="宋体" w:hAnsi="宋体"/>
                <w:kern w:val="0"/>
                <w:sz w:val="24"/>
              </w:rPr>
            </w:pPr>
            <w:r>
              <w:rPr>
                <w:rStyle w:val="13"/>
                <w:rFonts w:ascii="宋体" w:hAnsi="宋体"/>
                <w:kern w:val="0"/>
                <w:sz w:val="24"/>
              </w:rPr>
              <w:t>1台三副本模式、24TB用于专网，1台两副本、18TB用于互联网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numPr>
                <w:ilvl w:val="0"/>
                <w:numId w:val="16"/>
              </w:numPr>
              <w:ind w:left="0"/>
              <w:jc w:val="center"/>
              <w:textAlignment w:val="auto"/>
              <w:rPr>
                <w:rStyle w:val="13"/>
                <w:rFonts w:ascii="宋体" w:hAnsi="宋体"/>
                <w:kern w:val="0"/>
                <w:sz w:val="24"/>
              </w:rPr>
            </w:pPr>
          </w:p>
        </w:tc>
        <w:tc>
          <w:tcPr>
            <w:tcW w:w="524" w:type="dxa"/>
            <w:tcBorders>
              <w:top w:val="single" w:color="000000" w:sz="4" w:space="0"/>
              <w:left w:val="single" w:color="000000" w:sz="4" w:space="0"/>
              <w:bottom w:val="single" w:color="000000" w:sz="4" w:space="0"/>
              <w:right w:val="single" w:color="000000" w:sz="4" w:space="0"/>
            </w:tcBorders>
            <w:vAlign w:val="center"/>
          </w:tcPr>
          <w:p>
            <w:pPr>
              <w:jc w:val="center"/>
              <w:textAlignment w:val="auto"/>
              <w:rPr>
                <w:rStyle w:val="13"/>
                <w:rFonts w:ascii="宋体" w:hAnsi="宋体"/>
                <w:b/>
                <w:kern w:val="0"/>
                <w:sz w:val="24"/>
              </w:rPr>
            </w:pPr>
            <w:r>
              <w:rPr>
                <w:rStyle w:val="13"/>
                <w:rFonts w:ascii="宋体" w:hAnsi="宋体"/>
                <w:b/>
                <w:kern w:val="0"/>
                <w:sz w:val="24"/>
              </w:rPr>
              <w:t>万兆交换机</w:t>
            </w:r>
          </w:p>
        </w:tc>
        <w:tc>
          <w:tcPr>
            <w:tcW w:w="5382"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r>
              <w:rPr>
                <w:rStyle w:val="13"/>
                <w:rFonts w:ascii="宋体" w:hAnsi="宋体"/>
                <w:kern w:val="0"/>
                <w:sz w:val="24"/>
              </w:rPr>
              <w:t>1)交换容量≥1.44Tbps，包转发率≥1071Mpps，满足全端口线速转发；</w:t>
            </w:r>
          </w:p>
          <w:p>
            <w:pPr>
              <w:jc w:val="left"/>
              <w:textAlignment w:val="auto"/>
              <w:rPr>
                <w:rStyle w:val="13"/>
                <w:rFonts w:ascii="宋体" w:hAnsi="宋体"/>
                <w:kern w:val="0"/>
                <w:sz w:val="24"/>
              </w:rPr>
            </w:pPr>
            <w:r>
              <w:rPr>
                <w:rStyle w:val="13"/>
                <w:rFonts w:ascii="宋体" w:hAnsi="宋体"/>
                <w:kern w:val="0"/>
                <w:sz w:val="24"/>
              </w:rPr>
              <w:t>2)提供万兆光口≥48个，40G端口≥6个，支持第三方厂商AOC线缆接入；</w:t>
            </w:r>
          </w:p>
          <w:p>
            <w:pPr>
              <w:jc w:val="left"/>
              <w:textAlignment w:val="auto"/>
              <w:rPr>
                <w:rStyle w:val="13"/>
                <w:rFonts w:ascii="宋体" w:hAnsi="宋体"/>
                <w:kern w:val="0"/>
                <w:sz w:val="24"/>
              </w:rPr>
            </w:pPr>
            <w:r>
              <w:rPr>
                <w:rStyle w:val="13"/>
                <w:rFonts w:ascii="宋体" w:hAnsi="宋体"/>
                <w:kern w:val="0"/>
                <w:sz w:val="24"/>
              </w:rPr>
              <w:t>3)电源风扇等关键部件冗余设计，单部件运行不会影响交换机性能；</w:t>
            </w:r>
          </w:p>
          <w:p>
            <w:pPr>
              <w:jc w:val="left"/>
              <w:textAlignment w:val="auto"/>
              <w:rPr>
                <w:rStyle w:val="13"/>
                <w:rFonts w:ascii="宋体" w:hAnsi="宋体"/>
                <w:kern w:val="0"/>
                <w:sz w:val="24"/>
              </w:rPr>
            </w:pPr>
            <w:r>
              <w:rPr>
                <w:rStyle w:val="13"/>
                <w:rFonts w:ascii="宋体" w:hAnsi="宋体"/>
                <w:kern w:val="0"/>
                <w:sz w:val="24"/>
              </w:rPr>
              <w:t>4)支持持静态路由、RIP、OSPF、BGP等路由协议；支持IPv4/IPv6双栈路由协议，支持ECMP路由≥16条；</w:t>
            </w:r>
          </w:p>
          <w:p>
            <w:pPr>
              <w:jc w:val="left"/>
              <w:textAlignment w:val="auto"/>
              <w:rPr>
                <w:rStyle w:val="13"/>
                <w:rFonts w:ascii="宋体" w:hAnsi="宋体"/>
                <w:kern w:val="0"/>
                <w:sz w:val="24"/>
              </w:rPr>
            </w:pPr>
            <w:r>
              <w:rPr>
                <w:rStyle w:val="13"/>
                <w:rFonts w:ascii="宋体" w:hAnsi="宋体"/>
                <w:kern w:val="0"/>
                <w:sz w:val="24"/>
              </w:rPr>
              <w:t>5)支持LACP（IEEE 802.3ad）、MSTP（IEEE 802.1s）、端口安全等功能；</w:t>
            </w:r>
          </w:p>
          <w:p>
            <w:pPr>
              <w:jc w:val="left"/>
              <w:textAlignment w:val="auto"/>
              <w:rPr>
                <w:rStyle w:val="13"/>
                <w:rFonts w:ascii="宋体" w:hAnsi="宋体"/>
                <w:kern w:val="0"/>
                <w:sz w:val="24"/>
              </w:rPr>
            </w:pPr>
            <w:r>
              <w:rPr>
                <w:rStyle w:val="13"/>
                <w:rFonts w:ascii="宋体" w:hAnsi="宋体"/>
                <w:kern w:val="0"/>
                <w:sz w:val="24"/>
              </w:rPr>
              <w:t>6)支持控制平面多虚一的技术，能够将多台交换机虚拟化为一台逻辑设备；</w:t>
            </w:r>
          </w:p>
          <w:p>
            <w:pPr>
              <w:jc w:val="left"/>
              <w:textAlignment w:val="auto"/>
              <w:rPr>
                <w:rStyle w:val="13"/>
                <w:rFonts w:ascii="宋体" w:hAnsi="宋体"/>
                <w:kern w:val="0"/>
                <w:sz w:val="24"/>
              </w:rPr>
            </w:pPr>
            <w:r>
              <w:rPr>
                <w:rStyle w:val="13"/>
                <w:rFonts w:ascii="宋体" w:hAnsi="宋体"/>
                <w:kern w:val="0"/>
                <w:sz w:val="24"/>
              </w:rPr>
              <w:t>7)支持模块化的QoS配置方式，支持优先级映射、流量监管、流量整形、接口限速、拥塞避免、拥塞管理、流量统计等技术，支持支持基于接口、IP和VLAN应用QoS策略；</w:t>
            </w:r>
          </w:p>
          <w:p>
            <w:pPr>
              <w:jc w:val="left"/>
              <w:textAlignment w:val="auto"/>
              <w:rPr>
                <w:rStyle w:val="13"/>
                <w:rFonts w:ascii="宋体" w:hAnsi="宋体"/>
                <w:kern w:val="0"/>
                <w:sz w:val="24"/>
              </w:rPr>
            </w:pPr>
            <w:r>
              <w:rPr>
                <w:rStyle w:val="13"/>
                <w:rFonts w:ascii="宋体" w:hAnsi="宋体"/>
                <w:kern w:val="0"/>
                <w:sz w:val="24"/>
              </w:rPr>
              <w:t>8)VXLAN EVPN完整功能，支持VXLAN Bridging与VXLAN Routing功能；</w:t>
            </w:r>
          </w:p>
          <w:p>
            <w:pPr>
              <w:jc w:val="left"/>
              <w:textAlignment w:val="auto"/>
              <w:rPr>
                <w:rStyle w:val="13"/>
                <w:rFonts w:ascii="宋体" w:hAnsi="宋体"/>
                <w:b/>
                <w:kern w:val="0"/>
                <w:sz w:val="24"/>
              </w:rPr>
            </w:pPr>
            <w:r>
              <w:rPr>
                <w:rStyle w:val="13"/>
                <w:rFonts w:ascii="宋体" w:hAnsi="宋体"/>
                <w:kern w:val="0"/>
                <w:sz w:val="24"/>
              </w:rPr>
              <w:t>9)原厂三年质保。</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center"/>
              <w:textAlignment w:val="auto"/>
              <w:rPr>
                <w:rStyle w:val="13"/>
                <w:rFonts w:ascii="宋体" w:hAnsi="宋体"/>
                <w:kern w:val="0"/>
                <w:sz w:val="24"/>
              </w:rPr>
            </w:pPr>
            <w:r>
              <w:rPr>
                <w:rStyle w:val="13"/>
                <w:rFonts w:ascii="宋体" w:hAnsi="宋体"/>
                <w:kern w:val="0"/>
                <w:sz w:val="24"/>
              </w:rPr>
              <w:t>4台</w:t>
            </w:r>
          </w:p>
        </w:tc>
        <w:tc>
          <w:tcPr>
            <w:tcW w:w="1194"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r>
              <w:rPr>
                <w:rStyle w:val="13"/>
                <w:rFonts w:ascii="宋体" w:hAnsi="宋体"/>
                <w:kern w:val="0"/>
                <w:sz w:val="24"/>
              </w:rPr>
              <w:t>用于连接两组超融合服务器，每组各用两台交换机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numPr>
                <w:ilvl w:val="0"/>
                <w:numId w:val="16"/>
              </w:numPr>
              <w:ind w:left="0"/>
              <w:jc w:val="center"/>
              <w:textAlignment w:val="auto"/>
              <w:rPr>
                <w:rStyle w:val="13"/>
                <w:rFonts w:ascii="宋体" w:hAnsi="宋体"/>
                <w:kern w:val="0"/>
                <w:sz w:val="24"/>
              </w:rPr>
            </w:pPr>
          </w:p>
        </w:tc>
        <w:tc>
          <w:tcPr>
            <w:tcW w:w="524" w:type="dxa"/>
            <w:tcBorders>
              <w:top w:val="single" w:color="000000" w:sz="4" w:space="0"/>
              <w:left w:val="single" w:color="000000" w:sz="4" w:space="0"/>
              <w:bottom w:val="single" w:color="000000" w:sz="4" w:space="0"/>
              <w:right w:val="single" w:color="000000" w:sz="4" w:space="0"/>
            </w:tcBorders>
            <w:vAlign w:val="center"/>
          </w:tcPr>
          <w:p>
            <w:pPr>
              <w:jc w:val="center"/>
              <w:textAlignment w:val="auto"/>
              <w:rPr>
                <w:rStyle w:val="13"/>
                <w:rFonts w:ascii="宋体" w:hAnsi="宋体"/>
                <w:b/>
                <w:kern w:val="0"/>
                <w:sz w:val="24"/>
              </w:rPr>
            </w:pPr>
            <w:r>
              <w:rPr>
                <w:rStyle w:val="13"/>
                <w:rFonts w:ascii="宋体" w:hAnsi="宋体"/>
                <w:b/>
                <w:kern w:val="0"/>
                <w:sz w:val="24"/>
              </w:rPr>
              <w:t>统一容灾一体机</w:t>
            </w:r>
          </w:p>
        </w:tc>
        <w:tc>
          <w:tcPr>
            <w:tcW w:w="5382"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r>
              <w:rPr>
                <w:rStyle w:val="13"/>
                <w:rFonts w:ascii="宋体" w:hAnsi="宋体"/>
                <w:kern w:val="0"/>
                <w:sz w:val="24"/>
              </w:rPr>
              <w:t>提供100TB连接数据保护空间,采用一体机对各个应用软件的数据库层、应用服务层提供操作系统级别连续数据保护，在生产系统故障时可恢复数据，也可接管系统的应急运行。确保实现数据不丢，应急业务不停</w:t>
            </w:r>
          </w:p>
        </w:tc>
        <w:tc>
          <w:tcPr>
            <w:tcW w:w="816" w:type="dxa"/>
            <w:tcBorders>
              <w:top w:val="single" w:color="000000" w:sz="4" w:space="0"/>
              <w:left w:val="single" w:color="000000" w:sz="4" w:space="0"/>
              <w:bottom w:val="single" w:color="000000" w:sz="4" w:space="0"/>
              <w:right w:val="single" w:color="000000" w:sz="4" w:space="0"/>
            </w:tcBorders>
            <w:vAlign w:val="center"/>
          </w:tcPr>
          <w:p>
            <w:pPr>
              <w:jc w:val="center"/>
              <w:textAlignment w:val="auto"/>
              <w:rPr>
                <w:rStyle w:val="13"/>
                <w:rFonts w:ascii="宋体" w:hAnsi="宋体"/>
                <w:kern w:val="0"/>
                <w:sz w:val="24"/>
              </w:rPr>
            </w:pPr>
            <w:r>
              <w:rPr>
                <w:rStyle w:val="13"/>
                <w:rFonts w:ascii="宋体" w:hAnsi="宋体"/>
                <w:kern w:val="0"/>
                <w:sz w:val="24"/>
              </w:rPr>
              <w:t>1套</w:t>
            </w:r>
          </w:p>
        </w:tc>
        <w:tc>
          <w:tcPr>
            <w:tcW w:w="1194"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p>
        </w:tc>
      </w:tr>
    </w:tbl>
    <w:p>
      <w:pPr>
        <w:spacing w:line="360" w:lineRule="auto"/>
        <w:ind w:firstLine="170" w:firstLineChars="71"/>
        <w:textAlignment w:val="auto"/>
        <w:rPr>
          <w:rStyle w:val="13"/>
          <w:rFonts w:ascii="宋体" w:hAnsi="宋体"/>
          <w:sz w:val="24"/>
        </w:rPr>
      </w:pPr>
      <w:r>
        <w:rPr>
          <w:rStyle w:val="13"/>
          <w:rFonts w:ascii="宋体" w:hAnsi="宋体"/>
          <w:sz w:val="24"/>
        </w:rPr>
        <w:t>注：其它硬件（如卫生专网路由器、卫生专网防火墙、核心交换机、互联网路由器、互联网防火墙、网闸、应用负载均衡器、WEB防火墙、网页防篡改、数据库审计等）利旧。</w:t>
      </w:r>
    </w:p>
    <w:p>
      <w:pPr>
        <w:pStyle w:val="21"/>
        <w:spacing w:line="360" w:lineRule="auto"/>
        <w:textAlignment w:val="auto"/>
        <w:rPr>
          <w:rStyle w:val="13"/>
          <w:rFonts w:cs="宋体"/>
          <w:b/>
          <w:sz w:val="24"/>
          <w:szCs w:val="24"/>
        </w:rPr>
      </w:pPr>
      <w:r>
        <w:rPr>
          <w:rStyle w:val="13"/>
          <w:rFonts w:cs="宋体"/>
          <w:b/>
          <w:sz w:val="24"/>
          <w:szCs w:val="24"/>
        </w:rPr>
        <w:t>县人民医院后台硬件</w:t>
      </w:r>
    </w:p>
    <w:tbl>
      <w:tblPr>
        <w:tblStyle w:val="10"/>
        <w:tblW w:w="849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79"/>
        <w:gridCol w:w="564"/>
        <w:gridCol w:w="5422"/>
        <w:gridCol w:w="696"/>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blHeader/>
        </w:trPr>
        <w:tc>
          <w:tcPr>
            <w:tcW w:w="579" w:type="dxa"/>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textAlignment w:val="auto"/>
              <w:rPr>
                <w:rStyle w:val="13"/>
                <w:rFonts w:ascii="宋体" w:hAnsi="宋体" w:cs="宋体"/>
                <w:b/>
                <w:bCs/>
                <w:kern w:val="0"/>
                <w:sz w:val="24"/>
              </w:rPr>
            </w:pPr>
            <w:r>
              <w:rPr>
                <w:rStyle w:val="13"/>
                <w:rFonts w:ascii="宋体" w:hAnsi="宋体" w:cs="宋体"/>
                <w:b/>
                <w:bCs/>
                <w:kern w:val="0"/>
                <w:sz w:val="24"/>
              </w:rPr>
              <w:t>No.</w:t>
            </w:r>
          </w:p>
        </w:tc>
        <w:tc>
          <w:tcPr>
            <w:tcW w:w="564" w:type="dxa"/>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textAlignment w:val="auto"/>
              <w:rPr>
                <w:rStyle w:val="13"/>
                <w:rFonts w:ascii="宋体" w:hAnsi="宋体" w:cs="宋体"/>
                <w:b/>
                <w:bCs/>
                <w:kern w:val="0"/>
                <w:sz w:val="24"/>
              </w:rPr>
            </w:pPr>
            <w:r>
              <w:rPr>
                <w:rStyle w:val="13"/>
                <w:rFonts w:ascii="宋体" w:hAnsi="宋体" w:cs="宋体"/>
                <w:b/>
                <w:bCs/>
                <w:kern w:val="0"/>
                <w:sz w:val="24"/>
              </w:rPr>
              <w:t>名称</w:t>
            </w:r>
          </w:p>
        </w:tc>
        <w:tc>
          <w:tcPr>
            <w:tcW w:w="5422" w:type="dxa"/>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textAlignment w:val="auto"/>
              <w:rPr>
                <w:rStyle w:val="13"/>
                <w:rFonts w:ascii="宋体" w:hAnsi="宋体" w:cs="宋体"/>
                <w:b/>
                <w:bCs/>
                <w:kern w:val="0"/>
                <w:sz w:val="24"/>
              </w:rPr>
            </w:pPr>
            <w:r>
              <w:rPr>
                <w:rStyle w:val="13"/>
                <w:rFonts w:ascii="宋体" w:hAnsi="宋体" w:cs="宋体"/>
                <w:b/>
                <w:bCs/>
                <w:kern w:val="0"/>
                <w:sz w:val="24"/>
              </w:rPr>
              <w:t>配置要求</w:t>
            </w:r>
          </w:p>
        </w:tc>
        <w:tc>
          <w:tcPr>
            <w:tcW w:w="696" w:type="dxa"/>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textAlignment w:val="auto"/>
              <w:rPr>
                <w:rStyle w:val="13"/>
                <w:rFonts w:ascii="宋体" w:hAnsi="宋体" w:cs="宋体"/>
                <w:b/>
                <w:bCs/>
                <w:kern w:val="0"/>
                <w:sz w:val="24"/>
              </w:rPr>
            </w:pPr>
            <w:r>
              <w:rPr>
                <w:rStyle w:val="13"/>
                <w:rFonts w:ascii="宋体" w:hAnsi="宋体" w:cs="宋体"/>
                <w:b/>
                <w:bCs/>
                <w:kern w:val="0"/>
                <w:sz w:val="24"/>
              </w:rPr>
              <w:t>数量</w:t>
            </w:r>
          </w:p>
        </w:tc>
        <w:tc>
          <w:tcPr>
            <w:tcW w:w="1234" w:type="dxa"/>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textAlignment w:val="auto"/>
              <w:rPr>
                <w:rStyle w:val="13"/>
                <w:rFonts w:ascii="宋体" w:hAnsi="宋体" w:cs="宋体"/>
                <w:b/>
                <w:bCs/>
                <w:kern w:val="0"/>
                <w:sz w:val="24"/>
              </w:rPr>
            </w:pPr>
            <w:r>
              <w:rPr>
                <w:rStyle w:val="13"/>
                <w:rFonts w:ascii="宋体" w:hAnsi="宋体" w:cs="宋体"/>
                <w:b/>
                <w:bCs/>
                <w:kern w:val="0"/>
                <w:sz w:val="24"/>
              </w:rPr>
              <w:t>用途及相关说明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numPr>
                <w:ilvl w:val="0"/>
                <w:numId w:val="17"/>
              </w:numPr>
              <w:ind w:left="0"/>
              <w:jc w:val="center"/>
              <w:textAlignment w:val="auto"/>
              <w:rPr>
                <w:rStyle w:val="13"/>
                <w:rFonts w:ascii="宋体" w:hAnsi="宋体"/>
                <w:kern w:val="0"/>
                <w:sz w:val="24"/>
              </w:rPr>
            </w:pPr>
          </w:p>
        </w:tc>
        <w:tc>
          <w:tcPr>
            <w:tcW w:w="564" w:type="dxa"/>
            <w:tcBorders>
              <w:top w:val="single" w:color="000000" w:sz="4" w:space="0"/>
              <w:left w:val="single" w:color="000000" w:sz="4" w:space="0"/>
              <w:bottom w:val="single" w:color="000000" w:sz="4" w:space="0"/>
              <w:right w:val="single" w:color="000000" w:sz="4" w:space="0"/>
            </w:tcBorders>
            <w:vAlign w:val="center"/>
          </w:tcPr>
          <w:p>
            <w:pPr>
              <w:jc w:val="center"/>
              <w:textAlignment w:val="auto"/>
              <w:rPr>
                <w:rStyle w:val="13"/>
                <w:rFonts w:ascii="宋体" w:hAnsi="宋体"/>
                <w:b/>
                <w:kern w:val="0"/>
                <w:sz w:val="24"/>
              </w:rPr>
            </w:pPr>
            <w:r>
              <w:rPr>
                <w:rStyle w:val="13"/>
                <w:rFonts w:ascii="宋体" w:hAnsi="宋体"/>
                <w:b/>
                <w:kern w:val="0"/>
                <w:sz w:val="24"/>
              </w:rPr>
              <w:t>超融合服务器</w:t>
            </w:r>
          </w:p>
        </w:tc>
        <w:tc>
          <w:tcPr>
            <w:tcW w:w="5422"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r>
              <w:rPr>
                <w:rStyle w:val="13"/>
                <w:rFonts w:ascii="宋体" w:hAnsi="宋体"/>
                <w:kern w:val="0"/>
                <w:sz w:val="24"/>
              </w:rPr>
              <w:t>X86服务器</w:t>
            </w:r>
          </w:p>
          <w:p>
            <w:pPr>
              <w:jc w:val="left"/>
              <w:textAlignment w:val="auto"/>
              <w:rPr>
                <w:rStyle w:val="13"/>
                <w:rFonts w:ascii="宋体" w:hAnsi="宋体"/>
                <w:kern w:val="0"/>
                <w:sz w:val="24"/>
              </w:rPr>
            </w:pPr>
            <w:r>
              <w:rPr>
                <w:rStyle w:val="13"/>
                <w:rFonts w:ascii="宋体" w:hAnsi="宋体"/>
                <w:kern w:val="0"/>
                <w:sz w:val="24"/>
              </w:rPr>
              <w:t>1)CPU处理器≥2颗，主频≥2.30 GHz，单颗CPU内核数≥18，缓存≥24MB；</w:t>
            </w:r>
          </w:p>
          <w:p>
            <w:pPr>
              <w:jc w:val="left"/>
              <w:textAlignment w:val="auto"/>
              <w:rPr>
                <w:rStyle w:val="13"/>
                <w:rFonts w:ascii="宋体" w:hAnsi="宋体"/>
                <w:kern w:val="0"/>
                <w:sz w:val="24"/>
              </w:rPr>
            </w:pPr>
            <w:r>
              <w:rPr>
                <w:rStyle w:val="13"/>
                <w:rFonts w:ascii="宋体" w:hAnsi="宋体"/>
                <w:kern w:val="0"/>
                <w:sz w:val="24"/>
              </w:rPr>
              <w:t>2)内存≥256G ，主频≥2400MHz；槽位≥24；</w:t>
            </w:r>
          </w:p>
          <w:p>
            <w:pPr>
              <w:jc w:val="left"/>
              <w:textAlignment w:val="auto"/>
              <w:rPr>
                <w:rStyle w:val="13"/>
                <w:rFonts w:ascii="宋体" w:hAnsi="宋体"/>
                <w:kern w:val="0"/>
                <w:sz w:val="24"/>
              </w:rPr>
            </w:pPr>
            <w:r>
              <w:rPr>
                <w:rStyle w:val="13"/>
                <w:rFonts w:ascii="宋体" w:hAnsi="宋体"/>
                <w:kern w:val="0"/>
                <w:sz w:val="24"/>
              </w:rPr>
              <w:t>3)硬盘≥4块600GB SSD盘+≥10块1.8T 10Krpm SAS盘 ；硬盘背板配满硬盘。</w:t>
            </w:r>
          </w:p>
          <w:p>
            <w:pPr>
              <w:jc w:val="left"/>
              <w:textAlignment w:val="auto"/>
              <w:rPr>
                <w:rStyle w:val="13"/>
                <w:rFonts w:ascii="宋体" w:hAnsi="宋体"/>
                <w:kern w:val="0"/>
                <w:sz w:val="24"/>
              </w:rPr>
            </w:pPr>
            <w:r>
              <w:rPr>
                <w:rStyle w:val="13"/>
                <w:rFonts w:ascii="宋体" w:hAnsi="宋体"/>
                <w:kern w:val="0"/>
                <w:sz w:val="24"/>
              </w:rPr>
              <w:t>4)RAID 卡：RAID 控制器（支持0/1/10/5/6，缓存≥2G）带电池或电容保护；</w:t>
            </w:r>
          </w:p>
          <w:p>
            <w:pPr>
              <w:jc w:val="left"/>
              <w:textAlignment w:val="auto"/>
              <w:rPr>
                <w:rStyle w:val="13"/>
                <w:rFonts w:ascii="宋体" w:hAnsi="宋体"/>
                <w:kern w:val="0"/>
                <w:sz w:val="24"/>
              </w:rPr>
            </w:pPr>
            <w:r>
              <w:rPr>
                <w:rStyle w:val="13"/>
                <w:rFonts w:ascii="宋体" w:hAnsi="宋体"/>
                <w:kern w:val="0"/>
                <w:sz w:val="24"/>
              </w:rPr>
              <w:t>5)网卡：4端口10/100/1000兆自适应网卡≥1块，2端口万兆网卡≥2块（兼容标准Finisar AOC）；</w:t>
            </w:r>
          </w:p>
          <w:p>
            <w:pPr>
              <w:jc w:val="left"/>
              <w:textAlignment w:val="auto"/>
              <w:rPr>
                <w:rStyle w:val="13"/>
                <w:rFonts w:ascii="宋体" w:hAnsi="宋体"/>
                <w:kern w:val="0"/>
                <w:sz w:val="24"/>
              </w:rPr>
            </w:pPr>
            <w:r>
              <w:rPr>
                <w:rStyle w:val="13"/>
                <w:rFonts w:ascii="宋体" w:hAnsi="宋体"/>
                <w:kern w:val="0"/>
                <w:sz w:val="24"/>
              </w:rPr>
              <w:t>6)风扇：冗余风扇模块；电源≥550W+冗余电源；</w:t>
            </w:r>
          </w:p>
          <w:p>
            <w:pPr>
              <w:jc w:val="left"/>
              <w:textAlignment w:val="auto"/>
              <w:rPr>
                <w:rStyle w:val="13"/>
                <w:rFonts w:ascii="宋体" w:hAnsi="宋体"/>
                <w:kern w:val="0"/>
                <w:sz w:val="24"/>
              </w:rPr>
            </w:pPr>
            <w:r>
              <w:rPr>
                <w:rStyle w:val="13"/>
                <w:rFonts w:ascii="宋体" w:hAnsi="宋体"/>
                <w:kern w:val="0"/>
                <w:sz w:val="24"/>
              </w:rPr>
              <w:t>7)I/O扩展:PCI-E I/O扩展能力支持≥6个；</w:t>
            </w:r>
          </w:p>
          <w:p>
            <w:pPr>
              <w:jc w:val="left"/>
              <w:textAlignment w:val="auto"/>
              <w:rPr>
                <w:rStyle w:val="13"/>
                <w:rFonts w:ascii="宋体" w:hAnsi="宋体"/>
                <w:kern w:val="0"/>
                <w:sz w:val="24"/>
              </w:rPr>
            </w:pPr>
            <w:r>
              <w:rPr>
                <w:rStyle w:val="13"/>
                <w:rFonts w:ascii="宋体" w:hAnsi="宋体"/>
                <w:kern w:val="0"/>
                <w:sz w:val="24"/>
              </w:rPr>
              <w:t>8)双冗余电源、双导轨；</w:t>
            </w:r>
          </w:p>
          <w:p>
            <w:pPr>
              <w:jc w:val="left"/>
              <w:textAlignment w:val="auto"/>
              <w:rPr>
                <w:rStyle w:val="13"/>
                <w:rFonts w:ascii="宋体" w:hAnsi="宋体"/>
                <w:kern w:val="0"/>
                <w:sz w:val="24"/>
              </w:rPr>
            </w:pPr>
            <w:r>
              <w:rPr>
                <w:rStyle w:val="13"/>
                <w:rFonts w:ascii="宋体" w:hAnsi="宋体"/>
                <w:kern w:val="0"/>
                <w:sz w:val="24"/>
              </w:rPr>
              <w:t>9)企业级IPMI x 1、支持KVMoIP；支持基于浏览器的远程登录、管理、ISO镜像挂载、操作系统部署及管理软件永久授权；</w:t>
            </w:r>
          </w:p>
          <w:p>
            <w:pPr>
              <w:jc w:val="left"/>
              <w:textAlignment w:val="auto"/>
              <w:rPr>
                <w:rStyle w:val="13"/>
                <w:rFonts w:ascii="宋体" w:hAnsi="宋体"/>
                <w:kern w:val="0"/>
                <w:sz w:val="24"/>
              </w:rPr>
            </w:pPr>
            <w:r>
              <w:rPr>
                <w:rStyle w:val="13"/>
                <w:rFonts w:ascii="宋体" w:hAnsi="宋体"/>
                <w:kern w:val="0"/>
                <w:sz w:val="24"/>
              </w:rPr>
              <w:t>10)服务：三年原厂质保，7*24小时服务。</w:t>
            </w:r>
          </w:p>
          <w:p>
            <w:pPr>
              <w:jc w:val="left"/>
              <w:textAlignment w:val="auto"/>
              <w:rPr>
                <w:rStyle w:val="13"/>
                <w:rFonts w:ascii="宋体" w:hAnsi="宋体"/>
                <w:kern w:val="0"/>
                <w:sz w:val="24"/>
              </w:rPr>
            </w:pPr>
            <w:r>
              <w:rPr>
                <w:rStyle w:val="13"/>
                <w:rFonts w:ascii="宋体" w:hAnsi="宋体"/>
                <w:kern w:val="0"/>
                <w:sz w:val="24"/>
              </w:rPr>
              <w:t>11)支持部署目前主流超融合架构。</w:t>
            </w:r>
          </w:p>
        </w:tc>
        <w:tc>
          <w:tcPr>
            <w:tcW w:w="696" w:type="dxa"/>
            <w:tcBorders>
              <w:top w:val="single" w:color="000000" w:sz="4" w:space="0"/>
              <w:left w:val="single" w:color="000000" w:sz="4" w:space="0"/>
              <w:bottom w:val="single" w:color="000000" w:sz="4" w:space="0"/>
              <w:right w:val="single" w:color="000000" w:sz="4" w:space="0"/>
            </w:tcBorders>
            <w:vAlign w:val="center"/>
          </w:tcPr>
          <w:p>
            <w:pPr>
              <w:jc w:val="center"/>
              <w:textAlignment w:val="auto"/>
              <w:rPr>
                <w:rStyle w:val="13"/>
                <w:rFonts w:ascii="宋体" w:hAnsi="宋体"/>
                <w:kern w:val="0"/>
                <w:sz w:val="24"/>
              </w:rPr>
            </w:pPr>
            <w:r>
              <w:rPr>
                <w:rStyle w:val="13"/>
                <w:rFonts w:ascii="宋体" w:hAnsi="宋体"/>
                <w:kern w:val="0"/>
                <w:sz w:val="24"/>
              </w:rPr>
              <w:t>2台</w:t>
            </w:r>
          </w:p>
        </w:tc>
        <w:tc>
          <w:tcPr>
            <w:tcW w:w="1234"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r>
              <w:rPr>
                <w:rStyle w:val="13"/>
                <w:rFonts w:ascii="宋体" w:hAnsi="宋体"/>
                <w:kern w:val="0"/>
                <w:sz w:val="24"/>
              </w:rPr>
              <w:t>2台服务器组建超融合，提供18TB可用空间与15余台虚拟机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579" w:type="dxa"/>
            <w:vMerge w:val="restart"/>
            <w:tcBorders>
              <w:top w:val="single" w:color="000000" w:sz="4" w:space="0"/>
              <w:left w:val="single" w:color="000000" w:sz="4" w:space="0"/>
              <w:bottom w:val="single" w:color="000000" w:sz="4" w:space="0"/>
              <w:right w:val="single" w:color="000000" w:sz="4" w:space="0"/>
            </w:tcBorders>
            <w:vAlign w:val="center"/>
          </w:tcPr>
          <w:p>
            <w:pPr>
              <w:numPr>
                <w:ilvl w:val="0"/>
                <w:numId w:val="17"/>
              </w:numPr>
              <w:ind w:left="0"/>
              <w:jc w:val="center"/>
              <w:textAlignment w:val="auto"/>
              <w:rPr>
                <w:rStyle w:val="13"/>
                <w:rFonts w:ascii="宋体" w:hAnsi="宋体"/>
                <w:kern w:val="0"/>
                <w:sz w:val="24"/>
              </w:rPr>
            </w:pPr>
          </w:p>
        </w:tc>
        <w:tc>
          <w:tcPr>
            <w:tcW w:w="564" w:type="dxa"/>
            <w:tcBorders>
              <w:top w:val="single" w:color="000000" w:sz="4" w:space="0"/>
              <w:left w:val="single" w:color="000000" w:sz="4" w:space="0"/>
              <w:bottom w:val="single" w:color="000000" w:sz="4" w:space="0"/>
              <w:right w:val="single" w:color="000000" w:sz="4" w:space="0"/>
            </w:tcBorders>
            <w:vAlign w:val="center"/>
          </w:tcPr>
          <w:p>
            <w:pPr>
              <w:jc w:val="center"/>
              <w:textAlignment w:val="auto"/>
              <w:rPr>
                <w:rStyle w:val="13"/>
                <w:rFonts w:ascii="宋体" w:hAnsi="宋体"/>
                <w:b/>
                <w:kern w:val="0"/>
                <w:sz w:val="24"/>
              </w:rPr>
            </w:pPr>
            <w:r>
              <w:rPr>
                <w:rStyle w:val="13"/>
                <w:rFonts w:ascii="宋体" w:hAnsi="宋体"/>
                <w:b/>
                <w:kern w:val="0"/>
                <w:sz w:val="24"/>
              </w:rPr>
              <w:t>服务器虚拟化软件</w:t>
            </w:r>
          </w:p>
        </w:tc>
        <w:tc>
          <w:tcPr>
            <w:tcW w:w="5422"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r>
              <w:rPr>
                <w:rStyle w:val="13"/>
                <w:rFonts w:ascii="宋体" w:hAnsi="宋体"/>
                <w:kern w:val="0"/>
                <w:sz w:val="24"/>
              </w:rPr>
              <w:t>1)采用裸金属架构，无需绑定操作系统即可搭建虚拟化平台；</w:t>
            </w:r>
          </w:p>
          <w:p>
            <w:pPr>
              <w:jc w:val="left"/>
              <w:textAlignment w:val="auto"/>
              <w:rPr>
                <w:rStyle w:val="13"/>
                <w:rFonts w:ascii="宋体" w:hAnsi="宋体"/>
                <w:kern w:val="0"/>
                <w:sz w:val="24"/>
              </w:rPr>
            </w:pPr>
            <w:r>
              <w:rPr>
                <w:rStyle w:val="13"/>
                <w:rFonts w:ascii="宋体" w:hAnsi="宋体"/>
                <w:kern w:val="0"/>
                <w:sz w:val="24"/>
              </w:rPr>
              <w:t>2)无需独立管理中心组件、通过Web页面实现平台访问和管理，且集群管理节点可在所有主机中漂移和重新选择（提供配置截图）；</w:t>
            </w:r>
          </w:p>
          <w:p>
            <w:pPr>
              <w:jc w:val="left"/>
              <w:textAlignment w:val="auto"/>
              <w:rPr>
                <w:rStyle w:val="13"/>
                <w:rFonts w:ascii="宋体" w:hAnsi="宋体"/>
                <w:kern w:val="0"/>
                <w:sz w:val="24"/>
              </w:rPr>
            </w:pPr>
            <w:r>
              <w:rPr>
                <w:rStyle w:val="13"/>
                <w:rFonts w:ascii="宋体" w:hAnsi="宋体"/>
                <w:kern w:val="0"/>
                <w:sz w:val="24"/>
              </w:rPr>
              <w:t>3)后期无需安装额外软件、仅开通授权即可支持虚拟VPN、虚拟上网行为管理、虚拟广域网优化、虚拟应用交付、虚拟防火墙、虚拟数据库审计、虚拟路由器等（提供配置截图）；</w:t>
            </w:r>
          </w:p>
          <w:p>
            <w:pPr>
              <w:jc w:val="left"/>
              <w:textAlignment w:val="auto"/>
              <w:rPr>
                <w:rStyle w:val="13"/>
                <w:rFonts w:ascii="宋体" w:hAnsi="宋体"/>
                <w:kern w:val="0"/>
                <w:sz w:val="24"/>
              </w:rPr>
            </w:pPr>
            <w:r>
              <w:rPr>
                <w:rStyle w:val="13"/>
                <w:rFonts w:ascii="宋体" w:hAnsi="宋体"/>
                <w:kern w:val="0"/>
                <w:sz w:val="24"/>
              </w:rPr>
              <w:t>4)为保证产品的安全可靠性，厂商具备国家信息安全漏洞共享平台CNVD技术组认证(提供证书复印件)；</w:t>
            </w:r>
          </w:p>
          <w:p>
            <w:pPr>
              <w:jc w:val="left"/>
              <w:textAlignment w:val="auto"/>
              <w:rPr>
                <w:rStyle w:val="13"/>
                <w:rFonts w:ascii="宋体" w:hAnsi="宋体"/>
                <w:kern w:val="0"/>
                <w:sz w:val="24"/>
              </w:rPr>
            </w:pPr>
            <w:r>
              <w:rPr>
                <w:rStyle w:val="13"/>
                <w:rFonts w:ascii="宋体" w:hAnsi="宋体"/>
                <w:kern w:val="0"/>
                <w:sz w:val="24"/>
              </w:rPr>
              <w:t>5)厂商应是CNCERT网络安全应急服务支撑单位（国家级）（提供证书复印件）；</w:t>
            </w:r>
          </w:p>
          <w:p>
            <w:pPr>
              <w:jc w:val="left"/>
              <w:textAlignment w:val="auto"/>
              <w:rPr>
                <w:rStyle w:val="13"/>
                <w:rFonts w:ascii="宋体" w:hAnsi="宋体"/>
                <w:kern w:val="0"/>
                <w:sz w:val="24"/>
              </w:rPr>
            </w:pPr>
            <w:r>
              <w:rPr>
                <w:rStyle w:val="13"/>
                <w:rFonts w:ascii="宋体" w:hAnsi="宋体"/>
                <w:kern w:val="0"/>
                <w:sz w:val="24"/>
              </w:rPr>
              <w:t>6)厂商入围X86服务器虚拟化基础架构魔力象限（提供Gartner报告截图证明）</w:t>
            </w:r>
          </w:p>
          <w:p>
            <w:pPr>
              <w:jc w:val="left"/>
              <w:textAlignment w:val="auto"/>
              <w:rPr>
                <w:rStyle w:val="13"/>
                <w:rFonts w:ascii="宋体" w:hAnsi="宋体"/>
                <w:kern w:val="0"/>
                <w:sz w:val="24"/>
              </w:rPr>
            </w:pPr>
            <w:r>
              <w:rPr>
                <w:rStyle w:val="13"/>
                <w:rFonts w:ascii="宋体" w:hAnsi="宋体"/>
                <w:kern w:val="0"/>
                <w:sz w:val="24"/>
              </w:rPr>
              <w:t>7)提供五年软件升级服务，提供项目授权和服务承诺函；</w:t>
            </w:r>
          </w:p>
          <w:p>
            <w:pPr>
              <w:jc w:val="left"/>
              <w:textAlignment w:val="auto"/>
              <w:rPr>
                <w:rStyle w:val="13"/>
                <w:rFonts w:ascii="宋体" w:hAnsi="宋体"/>
                <w:kern w:val="0"/>
                <w:sz w:val="24"/>
              </w:rPr>
            </w:pPr>
            <w:r>
              <w:rPr>
                <w:rStyle w:val="13"/>
                <w:rFonts w:ascii="宋体" w:hAnsi="宋体"/>
                <w:kern w:val="0"/>
                <w:sz w:val="24"/>
              </w:rPr>
              <w:t>8)功能性要求：</w:t>
            </w:r>
          </w:p>
          <w:p>
            <w:pPr>
              <w:jc w:val="left"/>
              <w:textAlignment w:val="auto"/>
              <w:rPr>
                <w:rStyle w:val="13"/>
                <w:rFonts w:ascii="宋体" w:hAnsi="宋体"/>
                <w:kern w:val="0"/>
                <w:sz w:val="24"/>
              </w:rPr>
            </w:pPr>
            <w:r>
              <w:rPr>
                <w:rStyle w:val="13"/>
                <w:rFonts w:ascii="宋体" w:hAnsi="宋体"/>
                <w:kern w:val="0"/>
                <w:sz w:val="24"/>
              </w:rPr>
              <w:t>9)支持虚拟机卡死及蓝屏的检测功能并实现自动重启，无需人工干预减少运维工作量（需提供产品功能截图）</w:t>
            </w:r>
          </w:p>
          <w:p>
            <w:pPr>
              <w:jc w:val="left"/>
              <w:textAlignment w:val="auto"/>
              <w:rPr>
                <w:rStyle w:val="13"/>
                <w:rFonts w:ascii="宋体" w:hAnsi="宋体"/>
                <w:kern w:val="0"/>
                <w:sz w:val="24"/>
              </w:rPr>
            </w:pPr>
            <w:r>
              <w:rPr>
                <w:rStyle w:val="13"/>
                <w:rFonts w:ascii="宋体" w:hAnsi="宋体"/>
                <w:kern w:val="0"/>
                <w:sz w:val="24"/>
              </w:rPr>
              <w:t>10)每个虚拟机都可以安装独立的操作系统，操作系统支持需要包括Windows、 Linux，并且支持国产操作系统包括：红旗linux、中标麒麟、中标普华等，便于方便部署减少运维工作量（需提供产品功能截图）</w:t>
            </w:r>
          </w:p>
          <w:p>
            <w:pPr>
              <w:jc w:val="left"/>
              <w:textAlignment w:val="auto"/>
              <w:rPr>
                <w:rStyle w:val="13"/>
                <w:rFonts w:ascii="宋体" w:hAnsi="宋体"/>
                <w:kern w:val="0"/>
                <w:sz w:val="24"/>
              </w:rPr>
            </w:pPr>
            <w:r>
              <w:rPr>
                <w:rStyle w:val="13"/>
                <w:rFonts w:ascii="宋体" w:hAnsi="宋体"/>
                <w:kern w:val="0"/>
                <w:sz w:val="24"/>
              </w:rPr>
              <w:t>11)支持无代理跨物理主机的虚拟机USB映射，需要使用USB KEY时，无需再虚拟机上安装客户端插件，且虚拟机迁移到其它物理主机后，仍能正常使用迁移前所在物理主机上的USB资源，对于业务的自适应能力、使用便捷性更佳（需提供产品功能截图）</w:t>
            </w:r>
          </w:p>
          <w:p>
            <w:pPr>
              <w:jc w:val="left"/>
              <w:textAlignment w:val="auto"/>
              <w:rPr>
                <w:rStyle w:val="13"/>
                <w:rFonts w:ascii="宋体" w:hAnsi="宋体"/>
                <w:kern w:val="0"/>
                <w:sz w:val="24"/>
              </w:rPr>
            </w:pPr>
            <w:r>
              <w:rPr>
                <w:rStyle w:val="13"/>
                <w:rFonts w:ascii="宋体" w:hAnsi="宋体"/>
                <w:kern w:val="0"/>
                <w:sz w:val="24"/>
              </w:rPr>
              <w:t>12)支持平台中的集群资源环境一键检测，对硬件健康、平台底层的虚拟化的运行状态和配置，进行多个维度进行检查，提供快速定位问题功能，确保系统最佳状态（提供配置截图）</w:t>
            </w:r>
          </w:p>
          <w:p>
            <w:pPr>
              <w:jc w:val="left"/>
              <w:textAlignment w:val="auto"/>
              <w:rPr>
                <w:rStyle w:val="13"/>
                <w:rFonts w:ascii="宋体" w:hAnsi="宋体"/>
                <w:kern w:val="0"/>
                <w:sz w:val="24"/>
              </w:rPr>
            </w:pPr>
            <w:r>
              <w:rPr>
                <w:rStyle w:val="13"/>
                <w:rFonts w:ascii="宋体" w:hAnsi="宋体"/>
                <w:kern w:val="0"/>
                <w:sz w:val="24"/>
              </w:rPr>
              <w:t>13)备份策略可按小时颗粒度进行备份（提供虚拟平台管理中心备份时间策略截图）</w:t>
            </w:r>
          </w:p>
          <w:p>
            <w:pPr>
              <w:jc w:val="left"/>
              <w:textAlignment w:val="auto"/>
              <w:rPr>
                <w:rStyle w:val="13"/>
                <w:rFonts w:ascii="宋体" w:hAnsi="宋体"/>
                <w:kern w:val="0"/>
                <w:sz w:val="24"/>
              </w:rPr>
            </w:pPr>
            <w:r>
              <w:rPr>
                <w:rStyle w:val="13"/>
                <w:rFonts w:ascii="宋体" w:hAnsi="宋体"/>
                <w:kern w:val="0"/>
                <w:sz w:val="24"/>
              </w:rPr>
              <w:t>14)备份策略最高支持保存12份副本（提供虚拟平台管理中心备份保留个数策略截图）；</w:t>
            </w:r>
          </w:p>
        </w:tc>
        <w:tc>
          <w:tcPr>
            <w:tcW w:w="696" w:type="dxa"/>
            <w:tcBorders>
              <w:top w:val="single" w:color="000000" w:sz="4" w:space="0"/>
              <w:left w:val="single" w:color="000000" w:sz="4" w:space="0"/>
              <w:bottom w:val="single" w:color="000000" w:sz="4" w:space="0"/>
              <w:right w:val="single" w:color="000000" w:sz="4" w:space="0"/>
            </w:tcBorders>
            <w:vAlign w:val="center"/>
          </w:tcPr>
          <w:p>
            <w:pPr>
              <w:textAlignment w:val="auto"/>
              <w:rPr>
                <w:rStyle w:val="13"/>
                <w:rFonts w:ascii="宋体" w:hAnsi="宋体"/>
                <w:kern w:val="0"/>
                <w:sz w:val="24"/>
              </w:rPr>
            </w:pPr>
            <w:r>
              <w:rPr>
                <w:rStyle w:val="13"/>
                <w:rFonts w:ascii="宋体" w:hAnsi="宋体"/>
                <w:kern w:val="0"/>
                <w:sz w:val="24"/>
              </w:rPr>
              <w:t>4CPU授权</w:t>
            </w:r>
          </w:p>
        </w:tc>
        <w:tc>
          <w:tcPr>
            <w:tcW w:w="1234"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r>
              <w:rPr>
                <w:rStyle w:val="13"/>
                <w:rFonts w:ascii="宋体" w:hAnsi="宋体"/>
                <w:kern w:val="0"/>
                <w:sz w:val="24"/>
              </w:rPr>
              <w:t>服务虚拟化，虚拟池放置在分布式存储上，不用另采购物理存储设备。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579" w:type="dxa"/>
            <w:vMerge w:val="continue"/>
            <w:tcBorders>
              <w:top w:val="single" w:color="000000" w:sz="4" w:space="0"/>
              <w:left w:val="single" w:color="000000" w:sz="4" w:space="0"/>
              <w:bottom w:val="single" w:color="000000" w:sz="4" w:space="0"/>
              <w:right w:val="single" w:color="000000" w:sz="4" w:space="0"/>
            </w:tcBorders>
            <w:vAlign w:val="center"/>
          </w:tcPr>
          <w:p>
            <w:pPr>
              <w:numPr>
                <w:ilvl w:val="0"/>
                <w:numId w:val="17"/>
              </w:numPr>
              <w:ind w:left="0"/>
              <w:jc w:val="center"/>
              <w:textAlignment w:val="auto"/>
              <w:rPr>
                <w:rStyle w:val="13"/>
                <w:rFonts w:ascii="宋体" w:hAnsi="宋体"/>
                <w:kern w:val="0"/>
                <w:sz w:val="24"/>
              </w:rPr>
            </w:pPr>
          </w:p>
        </w:tc>
        <w:tc>
          <w:tcPr>
            <w:tcW w:w="564" w:type="dxa"/>
            <w:tcBorders>
              <w:top w:val="single" w:color="000000" w:sz="4" w:space="0"/>
              <w:left w:val="single" w:color="000000" w:sz="4" w:space="0"/>
              <w:bottom w:val="single" w:color="000000" w:sz="4" w:space="0"/>
              <w:right w:val="single" w:color="000000" w:sz="4" w:space="0"/>
            </w:tcBorders>
            <w:vAlign w:val="center"/>
          </w:tcPr>
          <w:p>
            <w:pPr>
              <w:jc w:val="center"/>
              <w:textAlignment w:val="auto"/>
              <w:rPr>
                <w:rStyle w:val="13"/>
                <w:rFonts w:ascii="宋体" w:hAnsi="宋体"/>
                <w:kern w:val="0"/>
                <w:sz w:val="24"/>
              </w:rPr>
            </w:pPr>
            <w:r>
              <w:rPr>
                <w:rStyle w:val="13"/>
                <w:rFonts w:ascii="宋体" w:hAnsi="宋体"/>
                <w:b/>
                <w:kern w:val="0"/>
                <w:sz w:val="24"/>
              </w:rPr>
              <w:t>分布式存储软件</w:t>
            </w:r>
          </w:p>
        </w:tc>
        <w:tc>
          <w:tcPr>
            <w:tcW w:w="5422"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r>
              <w:rPr>
                <w:rStyle w:val="13"/>
                <w:rFonts w:ascii="宋体" w:hAnsi="宋体"/>
                <w:kern w:val="0"/>
                <w:sz w:val="24"/>
              </w:rPr>
              <w:t>1)采用分布式架构设计：由多台物理服务器组成分布式存储集群，通过新增物理服务器实现存储容量和性能的横向扩展（Scale-Out架构），扩容过程保证业务零中断；</w:t>
            </w:r>
          </w:p>
          <w:p>
            <w:pPr>
              <w:jc w:val="left"/>
              <w:textAlignment w:val="auto"/>
              <w:rPr>
                <w:rStyle w:val="13"/>
                <w:rFonts w:ascii="宋体" w:hAnsi="宋体"/>
                <w:kern w:val="0"/>
                <w:sz w:val="24"/>
              </w:rPr>
            </w:pPr>
            <w:r>
              <w:rPr>
                <w:rStyle w:val="13"/>
                <w:rFonts w:ascii="宋体" w:hAnsi="宋体"/>
                <w:kern w:val="0"/>
                <w:sz w:val="24"/>
              </w:rPr>
              <w:t>2)为了便于部署关键业务系统，虚拟存储可支持Oracle RAC，支持共享盘，及共享块设备，支持向导式安装，降低部署复杂度。（需提供产品功能截图）；</w:t>
            </w:r>
          </w:p>
          <w:p>
            <w:pPr>
              <w:jc w:val="left"/>
              <w:textAlignment w:val="auto"/>
              <w:rPr>
                <w:rStyle w:val="13"/>
                <w:rFonts w:ascii="宋体" w:hAnsi="宋体"/>
                <w:kern w:val="0"/>
                <w:sz w:val="24"/>
              </w:rPr>
            </w:pPr>
            <w:r>
              <w:rPr>
                <w:rStyle w:val="13"/>
                <w:rFonts w:ascii="宋体" w:hAnsi="宋体"/>
                <w:kern w:val="0"/>
                <w:sz w:val="24"/>
              </w:rPr>
              <w:t>3)支持多副本冗余功能：采用2副本或3副本，各副本互斥保存在集群的不同节点中，单个主机或磁盘故障时仍须确保数据正常访问；</w:t>
            </w:r>
          </w:p>
          <w:p>
            <w:pPr>
              <w:jc w:val="left"/>
              <w:textAlignment w:val="auto"/>
              <w:rPr>
                <w:rStyle w:val="13"/>
                <w:rFonts w:ascii="宋体" w:hAnsi="宋体"/>
                <w:kern w:val="0"/>
                <w:sz w:val="24"/>
              </w:rPr>
            </w:pPr>
            <w:r>
              <w:rPr>
                <w:rStyle w:val="13"/>
                <w:rFonts w:ascii="宋体" w:hAnsi="宋体"/>
                <w:kern w:val="0"/>
                <w:sz w:val="24"/>
              </w:rPr>
              <w:t>4)支持SSD缓存寿命检测功能：虚拟存储集群可预警寿命即将耗尽的SSD，提醒更换SSD；</w:t>
            </w:r>
          </w:p>
          <w:p>
            <w:pPr>
              <w:jc w:val="left"/>
              <w:textAlignment w:val="auto"/>
              <w:rPr>
                <w:rStyle w:val="13"/>
                <w:rFonts w:ascii="宋体" w:hAnsi="宋体"/>
                <w:kern w:val="0"/>
                <w:sz w:val="24"/>
              </w:rPr>
            </w:pPr>
            <w:r>
              <w:rPr>
                <w:rStyle w:val="13"/>
                <w:rFonts w:ascii="宋体" w:hAnsi="宋体"/>
                <w:kern w:val="0"/>
                <w:sz w:val="24"/>
              </w:rPr>
              <w:t>5)在可视化的WEB管理平台上，可以查看存储容量大小、容量使用率、实时的IOPS读写次数、IOPS读写数据量等信息，方便为IT管理做为有效的决策依据。（需提供产品功能截图）</w:t>
            </w:r>
          </w:p>
          <w:p>
            <w:pPr>
              <w:jc w:val="left"/>
              <w:textAlignment w:val="auto"/>
              <w:rPr>
                <w:rStyle w:val="13"/>
                <w:rFonts w:ascii="宋体" w:hAnsi="宋体"/>
                <w:kern w:val="0"/>
                <w:sz w:val="24"/>
              </w:rPr>
            </w:pPr>
            <w:r>
              <w:rPr>
                <w:rStyle w:val="13"/>
                <w:rFonts w:ascii="宋体" w:hAnsi="宋体"/>
                <w:kern w:val="0"/>
                <w:sz w:val="24"/>
              </w:rPr>
              <w:t>6)为保障后续可扩展性，提供不小于1000TB的存储虚拟化授权（开具原厂盖章证明）。</w:t>
            </w:r>
          </w:p>
          <w:p>
            <w:pPr>
              <w:jc w:val="left"/>
              <w:textAlignment w:val="auto"/>
              <w:rPr>
                <w:rStyle w:val="13"/>
                <w:rFonts w:ascii="宋体" w:hAnsi="宋体"/>
                <w:kern w:val="0"/>
                <w:sz w:val="24"/>
              </w:rPr>
            </w:pPr>
            <w:r>
              <w:rPr>
                <w:rStyle w:val="13"/>
                <w:rFonts w:ascii="宋体" w:hAnsi="宋体"/>
                <w:kern w:val="0"/>
                <w:sz w:val="24"/>
              </w:rPr>
              <w:t>7)为保证产品的安全可靠性，厂商具备国家信息安全漏洞共享平台CNVD技术组认证(提供证书复印件)；</w:t>
            </w:r>
          </w:p>
          <w:p>
            <w:pPr>
              <w:jc w:val="left"/>
              <w:textAlignment w:val="auto"/>
              <w:rPr>
                <w:rStyle w:val="13"/>
                <w:rFonts w:ascii="宋体" w:hAnsi="宋体"/>
                <w:kern w:val="0"/>
                <w:sz w:val="24"/>
              </w:rPr>
            </w:pPr>
            <w:r>
              <w:rPr>
                <w:rStyle w:val="13"/>
                <w:rFonts w:ascii="宋体" w:hAnsi="宋体"/>
                <w:kern w:val="0"/>
                <w:sz w:val="24"/>
              </w:rPr>
              <w:t>8)厂商应是CNCERT网络安全应急服务支撑单位（国家级）（提供证书复印件）</w:t>
            </w:r>
          </w:p>
          <w:p>
            <w:pPr>
              <w:jc w:val="left"/>
              <w:textAlignment w:val="auto"/>
              <w:rPr>
                <w:rStyle w:val="13"/>
                <w:rFonts w:ascii="宋体" w:hAnsi="宋体"/>
                <w:kern w:val="0"/>
                <w:sz w:val="24"/>
              </w:rPr>
            </w:pPr>
            <w:r>
              <w:rPr>
                <w:rStyle w:val="13"/>
                <w:rFonts w:ascii="宋体" w:hAnsi="宋体"/>
                <w:kern w:val="0"/>
                <w:sz w:val="24"/>
              </w:rPr>
              <w:t>9)提供五年软件升级服务，提供项目授权和服务承诺函；</w:t>
            </w:r>
          </w:p>
        </w:tc>
        <w:tc>
          <w:tcPr>
            <w:tcW w:w="696" w:type="dxa"/>
            <w:tcBorders>
              <w:top w:val="single" w:color="000000" w:sz="4" w:space="0"/>
              <w:left w:val="single" w:color="000000" w:sz="4" w:space="0"/>
              <w:bottom w:val="single" w:color="000000" w:sz="4" w:space="0"/>
              <w:right w:val="single" w:color="000000" w:sz="4" w:space="0"/>
            </w:tcBorders>
            <w:vAlign w:val="center"/>
          </w:tcPr>
          <w:p>
            <w:pPr>
              <w:jc w:val="center"/>
              <w:textAlignment w:val="auto"/>
              <w:rPr>
                <w:rStyle w:val="13"/>
                <w:rFonts w:ascii="宋体" w:hAnsi="宋体"/>
                <w:kern w:val="0"/>
                <w:sz w:val="24"/>
              </w:rPr>
            </w:pPr>
            <w:r>
              <w:rPr>
                <w:rStyle w:val="13"/>
                <w:rFonts w:ascii="宋体" w:hAnsi="宋体"/>
                <w:kern w:val="0"/>
                <w:sz w:val="24"/>
              </w:rPr>
              <w:t>4CPU授权</w:t>
            </w:r>
          </w:p>
        </w:tc>
        <w:tc>
          <w:tcPr>
            <w:tcW w:w="1234"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r>
              <w:rPr>
                <w:rStyle w:val="13"/>
                <w:rFonts w:ascii="宋体" w:hAnsi="宋体"/>
                <w:kern w:val="0"/>
                <w:sz w:val="24"/>
              </w:rPr>
              <w:t>通过软件将2台X86服务器的本机硬盘、SSD缓存盘虚拟成1台高速、两倍冗余、18TB可用容量的分布式存储。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numPr>
                <w:ilvl w:val="0"/>
                <w:numId w:val="17"/>
              </w:numPr>
              <w:ind w:left="0"/>
              <w:jc w:val="center"/>
              <w:textAlignment w:val="auto"/>
              <w:rPr>
                <w:rStyle w:val="13"/>
                <w:rFonts w:ascii="宋体" w:hAnsi="宋体"/>
                <w:kern w:val="0"/>
                <w:sz w:val="24"/>
              </w:rPr>
            </w:pPr>
          </w:p>
        </w:tc>
        <w:tc>
          <w:tcPr>
            <w:tcW w:w="564" w:type="dxa"/>
            <w:tcBorders>
              <w:top w:val="single" w:color="000000" w:sz="4" w:space="0"/>
              <w:left w:val="single" w:color="000000" w:sz="4" w:space="0"/>
              <w:bottom w:val="single" w:color="000000" w:sz="4" w:space="0"/>
              <w:right w:val="single" w:color="000000" w:sz="4" w:space="0"/>
            </w:tcBorders>
            <w:vAlign w:val="center"/>
          </w:tcPr>
          <w:p>
            <w:pPr>
              <w:jc w:val="center"/>
              <w:textAlignment w:val="auto"/>
              <w:rPr>
                <w:rStyle w:val="13"/>
                <w:rFonts w:ascii="宋体" w:hAnsi="宋体"/>
                <w:b/>
                <w:kern w:val="0"/>
                <w:sz w:val="24"/>
              </w:rPr>
            </w:pPr>
            <w:r>
              <w:rPr>
                <w:rStyle w:val="13"/>
                <w:rFonts w:ascii="宋体" w:hAnsi="宋体"/>
                <w:b/>
                <w:kern w:val="0"/>
                <w:sz w:val="24"/>
              </w:rPr>
              <w:t>万兆交换机</w:t>
            </w:r>
          </w:p>
        </w:tc>
        <w:tc>
          <w:tcPr>
            <w:tcW w:w="5422"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r>
              <w:rPr>
                <w:rStyle w:val="13"/>
                <w:rFonts w:ascii="宋体" w:hAnsi="宋体"/>
                <w:kern w:val="0"/>
                <w:sz w:val="24"/>
              </w:rPr>
              <w:t>1)交换容量≥1.44Tbps，包转发率≥1071Mpps，满足全端口线速转发；</w:t>
            </w:r>
          </w:p>
          <w:p>
            <w:pPr>
              <w:jc w:val="left"/>
              <w:textAlignment w:val="auto"/>
              <w:rPr>
                <w:rStyle w:val="13"/>
                <w:rFonts w:ascii="宋体" w:hAnsi="宋体"/>
                <w:kern w:val="0"/>
                <w:sz w:val="24"/>
              </w:rPr>
            </w:pPr>
            <w:r>
              <w:rPr>
                <w:rStyle w:val="13"/>
                <w:rFonts w:ascii="宋体" w:hAnsi="宋体"/>
                <w:kern w:val="0"/>
                <w:sz w:val="24"/>
              </w:rPr>
              <w:t>2)提供万兆光口≥48个，40G端口≥6个，支持第三方厂商AOC线缆接入；</w:t>
            </w:r>
          </w:p>
          <w:p>
            <w:pPr>
              <w:jc w:val="left"/>
              <w:textAlignment w:val="auto"/>
              <w:rPr>
                <w:rStyle w:val="13"/>
                <w:rFonts w:ascii="宋体" w:hAnsi="宋体"/>
                <w:kern w:val="0"/>
                <w:sz w:val="24"/>
              </w:rPr>
            </w:pPr>
            <w:r>
              <w:rPr>
                <w:rStyle w:val="13"/>
                <w:rFonts w:ascii="宋体" w:hAnsi="宋体"/>
                <w:kern w:val="0"/>
                <w:sz w:val="24"/>
              </w:rPr>
              <w:t>3)电源风扇等关键部件冗余设计，单部件运行不会影响交换机性能；</w:t>
            </w:r>
          </w:p>
          <w:p>
            <w:pPr>
              <w:jc w:val="left"/>
              <w:textAlignment w:val="auto"/>
              <w:rPr>
                <w:rStyle w:val="13"/>
                <w:rFonts w:ascii="宋体" w:hAnsi="宋体"/>
                <w:kern w:val="0"/>
                <w:sz w:val="24"/>
              </w:rPr>
            </w:pPr>
            <w:r>
              <w:rPr>
                <w:rStyle w:val="13"/>
                <w:rFonts w:ascii="宋体" w:hAnsi="宋体"/>
                <w:kern w:val="0"/>
                <w:sz w:val="24"/>
              </w:rPr>
              <w:t>4)支持持静态路由、RIP、OSPF、BGP等路由协议；支持IPv4/IPv6双栈路由协议，支持ECMP路由≥16条；</w:t>
            </w:r>
          </w:p>
          <w:p>
            <w:pPr>
              <w:jc w:val="left"/>
              <w:textAlignment w:val="auto"/>
              <w:rPr>
                <w:rStyle w:val="13"/>
                <w:rFonts w:ascii="宋体" w:hAnsi="宋体"/>
                <w:kern w:val="0"/>
                <w:sz w:val="24"/>
              </w:rPr>
            </w:pPr>
            <w:r>
              <w:rPr>
                <w:rStyle w:val="13"/>
                <w:rFonts w:ascii="宋体" w:hAnsi="宋体"/>
                <w:kern w:val="0"/>
                <w:sz w:val="24"/>
              </w:rPr>
              <w:t>5)支持LACP（IEEE 802.3ad）、MSTP（IEEE 802.1s）、端口安全等功能；</w:t>
            </w:r>
          </w:p>
          <w:p>
            <w:pPr>
              <w:jc w:val="left"/>
              <w:textAlignment w:val="auto"/>
              <w:rPr>
                <w:rStyle w:val="13"/>
                <w:rFonts w:ascii="宋体" w:hAnsi="宋体"/>
                <w:kern w:val="0"/>
                <w:sz w:val="24"/>
              </w:rPr>
            </w:pPr>
            <w:r>
              <w:rPr>
                <w:rStyle w:val="13"/>
                <w:rFonts w:ascii="宋体" w:hAnsi="宋体"/>
                <w:kern w:val="0"/>
                <w:sz w:val="24"/>
              </w:rPr>
              <w:t>6)支持控制平面多虚一的技术，能够将多台交换机虚拟化为一台逻辑设备；</w:t>
            </w:r>
          </w:p>
          <w:p>
            <w:pPr>
              <w:jc w:val="left"/>
              <w:textAlignment w:val="auto"/>
              <w:rPr>
                <w:rStyle w:val="13"/>
                <w:rFonts w:ascii="宋体" w:hAnsi="宋体"/>
                <w:kern w:val="0"/>
                <w:sz w:val="24"/>
              </w:rPr>
            </w:pPr>
            <w:r>
              <w:rPr>
                <w:rStyle w:val="13"/>
                <w:rFonts w:ascii="宋体" w:hAnsi="宋体"/>
                <w:kern w:val="0"/>
                <w:sz w:val="24"/>
              </w:rPr>
              <w:t>7)支持模块化的QoS配置方式，支持优先级映射、流量监管、流量整形、接口限速、拥塞避免、拥塞管理、流量统计等技术，支持支持基于接口、IP和VLAN应用QoS策略；</w:t>
            </w:r>
          </w:p>
          <w:p>
            <w:pPr>
              <w:jc w:val="left"/>
              <w:textAlignment w:val="auto"/>
              <w:rPr>
                <w:rStyle w:val="13"/>
                <w:rFonts w:ascii="宋体" w:hAnsi="宋体"/>
                <w:kern w:val="0"/>
                <w:sz w:val="24"/>
              </w:rPr>
            </w:pPr>
            <w:r>
              <w:rPr>
                <w:rStyle w:val="13"/>
                <w:rFonts w:ascii="宋体" w:hAnsi="宋体"/>
                <w:kern w:val="0"/>
                <w:sz w:val="24"/>
              </w:rPr>
              <w:t>8)VXLAN EVPN完整功能，支持VXLAN Bridging与VXLAN Routing功能；</w:t>
            </w:r>
          </w:p>
          <w:p>
            <w:pPr>
              <w:jc w:val="left"/>
              <w:textAlignment w:val="auto"/>
              <w:rPr>
                <w:rStyle w:val="13"/>
                <w:rFonts w:ascii="宋体" w:hAnsi="宋体"/>
                <w:b/>
                <w:kern w:val="0"/>
                <w:sz w:val="24"/>
              </w:rPr>
            </w:pPr>
            <w:r>
              <w:rPr>
                <w:rStyle w:val="13"/>
                <w:rFonts w:ascii="宋体" w:hAnsi="宋体"/>
                <w:kern w:val="0"/>
                <w:sz w:val="24"/>
              </w:rPr>
              <w:t>9)原厂三年质保。</w:t>
            </w:r>
          </w:p>
        </w:tc>
        <w:tc>
          <w:tcPr>
            <w:tcW w:w="696" w:type="dxa"/>
            <w:tcBorders>
              <w:top w:val="single" w:color="000000" w:sz="4" w:space="0"/>
              <w:left w:val="single" w:color="000000" w:sz="4" w:space="0"/>
              <w:bottom w:val="single" w:color="000000" w:sz="4" w:space="0"/>
              <w:right w:val="single" w:color="000000" w:sz="4" w:space="0"/>
            </w:tcBorders>
            <w:vAlign w:val="center"/>
          </w:tcPr>
          <w:p>
            <w:pPr>
              <w:jc w:val="center"/>
              <w:textAlignment w:val="auto"/>
              <w:rPr>
                <w:rStyle w:val="13"/>
                <w:rFonts w:ascii="宋体" w:hAnsi="宋体"/>
                <w:kern w:val="0"/>
                <w:sz w:val="24"/>
              </w:rPr>
            </w:pPr>
            <w:r>
              <w:rPr>
                <w:rStyle w:val="13"/>
                <w:rFonts w:ascii="宋体" w:hAnsi="宋体"/>
                <w:kern w:val="0"/>
                <w:sz w:val="24"/>
              </w:rPr>
              <w:t>2台</w:t>
            </w:r>
          </w:p>
        </w:tc>
        <w:tc>
          <w:tcPr>
            <w:tcW w:w="1234" w:type="dxa"/>
            <w:tcBorders>
              <w:top w:val="single" w:color="000000" w:sz="4" w:space="0"/>
              <w:left w:val="single" w:color="000000" w:sz="4" w:space="0"/>
              <w:bottom w:val="single" w:color="000000" w:sz="4" w:space="0"/>
              <w:right w:val="single" w:color="000000" w:sz="4" w:space="0"/>
            </w:tcBorders>
            <w:vAlign w:val="center"/>
          </w:tcPr>
          <w:p>
            <w:pPr>
              <w:jc w:val="left"/>
              <w:textAlignment w:val="auto"/>
              <w:rPr>
                <w:rStyle w:val="13"/>
                <w:rFonts w:ascii="宋体" w:hAnsi="宋体"/>
                <w:kern w:val="0"/>
                <w:sz w:val="24"/>
              </w:rPr>
            </w:pPr>
            <w:r>
              <w:rPr>
                <w:rStyle w:val="13"/>
                <w:rFonts w:ascii="宋体" w:hAnsi="宋体"/>
                <w:kern w:val="0"/>
                <w:sz w:val="24"/>
              </w:rPr>
              <w:t xml:space="preserve">用于连接超融合服务器 </w:t>
            </w:r>
          </w:p>
        </w:tc>
      </w:tr>
    </w:tbl>
    <w:p>
      <w:pPr>
        <w:spacing w:line="360" w:lineRule="auto"/>
        <w:textAlignment w:val="auto"/>
        <w:rPr>
          <w:rStyle w:val="13"/>
          <w:rFonts w:ascii="宋体" w:hAnsi="宋体"/>
          <w:sz w:val="24"/>
        </w:rPr>
      </w:pPr>
      <w:r>
        <w:rPr>
          <w:rStyle w:val="13"/>
          <w:rFonts w:ascii="宋体" w:hAnsi="宋体"/>
          <w:sz w:val="24"/>
        </w:rPr>
        <w:t>注：其它硬件（如卫生专网路由器、卫生专网防火墙、核心交换机、互联网路由器、互联网防火墙、网闸、应用负载均衡器、WEB防火墙、网页防篡改、数据库审计等）利旧。</w:t>
      </w:r>
    </w:p>
    <w:p>
      <w:pPr>
        <w:pStyle w:val="19"/>
        <w:tabs>
          <w:tab w:val="left" w:pos="2835"/>
        </w:tabs>
        <w:spacing w:before="0" w:after="0" w:line="360" w:lineRule="auto"/>
        <w:textAlignment w:val="auto"/>
        <w:rPr>
          <w:rStyle w:val="13"/>
          <w:rFonts w:ascii="宋体" w:hAnsi="宋体" w:eastAsia="宋体" w:cs="宋体"/>
          <w:b/>
          <w:bCs/>
          <w:sz w:val="24"/>
          <w:szCs w:val="24"/>
        </w:rPr>
      </w:pPr>
      <w:r>
        <w:rPr>
          <w:rStyle w:val="13"/>
          <w:rFonts w:ascii="宋体" w:hAnsi="宋体" w:eastAsia="宋体" w:cs="宋体"/>
          <w:b/>
          <w:bCs/>
          <w:sz w:val="24"/>
          <w:szCs w:val="24"/>
        </w:rPr>
        <w:t>其他要求</w:t>
      </w:r>
    </w:p>
    <w:p>
      <w:pPr>
        <w:pStyle w:val="20"/>
        <w:spacing w:before="0" w:after="0" w:line="360" w:lineRule="auto"/>
        <w:textAlignment w:val="auto"/>
        <w:rPr>
          <w:rStyle w:val="13"/>
          <w:rFonts w:ascii="宋体" w:hAnsi="宋体"/>
          <w:sz w:val="24"/>
          <w:szCs w:val="24"/>
        </w:rPr>
      </w:pPr>
      <w:r>
        <w:rPr>
          <w:rStyle w:val="13"/>
          <w:rFonts w:ascii="宋体" w:hAnsi="宋体"/>
          <w:sz w:val="24"/>
          <w:szCs w:val="24"/>
        </w:rPr>
        <w:t>部署要求</w:t>
      </w:r>
    </w:p>
    <w:p>
      <w:pPr>
        <w:spacing w:line="360" w:lineRule="auto"/>
        <w:ind w:firstLine="560"/>
        <w:textAlignment w:val="auto"/>
        <w:rPr>
          <w:rStyle w:val="13"/>
          <w:rFonts w:ascii="宋体" w:hAnsi="宋体"/>
          <w:sz w:val="24"/>
        </w:rPr>
      </w:pPr>
      <w:r>
        <w:rPr>
          <w:rStyle w:val="13"/>
          <w:rFonts w:ascii="宋体" w:hAnsi="宋体"/>
          <w:sz w:val="24"/>
        </w:rPr>
        <w:t>本项目医学AI能力平台和人工智能应用系统采用本地化部署，部署在皮山县人民医院。互联网医疗平台采用本地化部署，</w:t>
      </w:r>
      <w:r>
        <w:rPr>
          <w:rFonts w:hint="eastAsia" w:ascii="宋体" w:hAnsi="宋体" w:cs="宋体"/>
          <w:sz w:val="24"/>
        </w:rPr>
        <w:t>部署地点由甲方指定</w:t>
      </w:r>
      <w:r>
        <w:rPr>
          <w:rStyle w:val="13"/>
          <w:rFonts w:ascii="宋体" w:hAnsi="宋体"/>
          <w:sz w:val="24"/>
        </w:rPr>
        <w:t>。多语言智能窗口话务系统、基层服务平台和综合监测平台采用公有云部署。</w:t>
      </w:r>
    </w:p>
    <w:p>
      <w:pPr>
        <w:pStyle w:val="20"/>
        <w:spacing w:before="0" w:after="0" w:line="400" w:lineRule="exact"/>
        <w:textAlignment w:val="auto"/>
        <w:rPr>
          <w:rStyle w:val="13"/>
          <w:rFonts w:ascii="宋体" w:hAnsi="宋体"/>
          <w:sz w:val="24"/>
          <w:szCs w:val="24"/>
        </w:rPr>
      </w:pPr>
      <w:r>
        <w:rPr>
          <w:rStyle w:val="13"/>
          <w:rFonts w:ascii="宋体" w:hAnsi="宋体"/>
          <w:sz w:val="24"/>
          <w:szCs w:val="24"/>
        </w:rPr>
        <w:t>标准规范要求</w:t>
      </w:r>
    </w:p>
    <w:p>
      <w:pPr>
        <w:spacing w:line="400" w:lineRule="exact"/>
        <w:ind w:firstLine="560"/>
        <w:textAlignment w:val="auto"/>
        <w:rPr>
          <w:rStyle w:val="13"/>
          <w:rFonts w:ascii="宋体" w:hAnsi="宋体"/>
          <w:sz w:val="24"/>
        </w:rPr>
      </w:pPr>
      <w:r>
        <w:rPr>
          <w:rStyle w:val="13"/>
          <w:rFonts w:ascii="宋体" w:hAnsi="宋体"/>
          <w:sz w:val="24"/>
        </w:rPr>
        <w:t>根据本项目特点，投标人需要提供必要的相关数据标准、接口规范等相关标准规范说明。</w:t>
      </w:r>
    </w:p>
    <w:p>
      <w:pPr>
        <w:pStyle w:val="20"/>
        <w:spacing w:before="0" w:after="0" w:line="400" w:lineRule="exact"/>
        <w:textAlignment w:val="auto"/>
        <w:rPr>
          <w:rStyle w:val="13"/>
          <w:rFonts w:ascii="宋体" w:hAnsi="宋体"/>
          <w:sz w:val="24"/>
          <w:szCs w:val="24"/>
        </w:rPr>
      </w:pPr>
      <w:r>
        <w:rPr>
          <w:rStyle w:val="13"/>
          <w:rFonts w:ascii="宋体" w:hAnsi="宋体"/>
          <w:sz w:val="24"/>
          <w:szCs w:val="24"/>
        </w:rPr>
        <w:t>售后服务</w:t>
      </w:r>
    </w:p>
    <w:p>
      <w:pPr>
        <w:spacing w:line="400" w:lineRule="exact"/>
        <w:ind w:firstLine="560"/>
        <w:textAlignment w:val="auto"/>
        <w:rPr>
          <w:rStyle w:val="13"/>
          <w:rFonts w:ascii="宋体" w:hAnsi="宋体"/>
          <w:sz w:val="24"/>
        </w:rPr>
      </w:pPr>
      <w:r>
        <w:rPr>
          <w:rStyle w:val="13"/>
          <w:rFonts w:ascii="宋体" w:hAnsi="宋体"/>
          <w:sz w:val="24"/>
        </w:rPr>
        <w:t>中标方必须保证系统运行的日常监控，及时发现和排除故障，提供7×24小时的售后服务。</w:t>
      </w:r>
    </w:p>
    <w:p>
      <w:pPr>
        <w:spacing w:line="400" w:lineRule="exact"/>
        <w:ind w:firstLine="560"/>
        <w:textAlignment w:val="auto"/>
        <w:rPr>
          <w:rStyle w:val="13"/>
          <w:rFonts w:ascii="宋体" w:hAnsi="宋体"/>
          <w:sz w:val="24"/>
        </w:rPr>
      </w:pPr>
      <w:r>
        <w:rPr>
          <w:rStyle w:val="13"/>
          <w:rFonts w:ascii="宋体" w:hAnsi="宋体"/>
          <w:sz w:val="24"/>
        </w:rPr>
        <w:t>在本项目实施及质保期内，必须及时响应用户，当故障发生后及时调查故障原因并修复，需保证其维护响应时限是电话实时响应，如无法远程解决问题，一般正常工作日6小时内到达现场，法定节假日48小时内到达现场，48小时内解决用户问题，直至满足最终验收指标和性能的要求。</w:t>
      </w:r>
    </w:p>
    <w:p>
      <w:pPr>
        <w:spacing w:line="400" w:lineRule="exact"/>
        <w:ind w:firstLine="560"/>
        <w:textAlignment w:val="auto"/>
        <w:rPr>
          <w:rStyle w:val="13"/>
          <w:rFonts w:ascii="宋体" w:hAnsi="宋体"/>
          <w:sz w:val="24"/>
        </w:rPr>
      </w:pPr>
      <w:r>
        <w:rPr>
          <w:rStyle w:val="13"/>
          <w:rFonts w:ascii="宋体" w:hAnsi="宋体"/>
          <w:sz w:val="24"/>
        </w:rPr>
        <w:t>在质保期内，中标方需要提供2人常驻采购方现场提供驻场服务。</w:t>
      </w:r>
    </w:p>
    <w:p>
      <w:pPr>
        <w:spacing w:line="400" w:lineRule="exact"/>
        <w:ind w:firstLine="560"/>
        <w:textAlignment w:val="auto"/>
        <w:rPr>
          <w:rStyle w:val="13"/>
          <w:rFonts w:ascii="宋体" w:hAnsi="宋体"/>
          <w:sz w:val="24"/>
        </w:rPr>
      </w:pPr>
      <w:r>
        <w:rPr>
          <w:rStyle w:val="13"/>
          <w:rFonts w:ascii="宋体" w:hAnsi="宋体"/>
          <w:sz w:val="24"/>
        </w:rPr>
        <w:t>在质保期内，中标方向采购方提供必要软件升级、调试服务。</w:t>
      </w:r>
    </w:p>
    <w:p>
      <w:pPr>
        <w:spacing w:line="400" w:lineRule="exact"/>
        <w:ind w:firstLine="560"/>
        <w:textAlignment w:val="auto"/>
        <w:rPr>
          <w:rStyle w:val="13"/>
          <w:rFonts w:ascii="宋体" w:hAnsi="宋体"/>
          <w:sz w:val="24"/>
        </w:rPr>
      </w:pPr>
      <w:r>
        <w:rPr>
          <w:rStyle w:val="13"/>
          <w:rFonts w:ascii="宋体" w:hAnsi="宋体"/>
          <w:sz w:val="24"/>
        </w:rPr>
        <w:t>在质保期结束前，须进行一次全面检查，任何缺陷必须由中标方负责调试完善，在完善之后，项目实施方应将缺陷原因、完善内容、完成及恢复正常的时间和日期等报告给业主。</w:t>
      </w:r>
    </w:p>
    <w:p>
      <w:pPr>
        <w:spacing w:line="400" w:lineRule="exact"/>
        <w:ind w:firstLine="560"/>
        <w:textAlignment w:val="auto"/>
        <w:rPr>
          <w:rStyle w:val="13"/>
          <w:rFonts w:ascii="宋体" w:hAnsi="宋体"/>
          <w:sz w:val="24"/>
        </w:rPr>
      </w:pPr>
      <w:r>
        <w:rPr>
          <w:rStyle w:val="13"/>
          <w:rFonts w:ascii="宋体" w:hAnsi="宋体"/>
          <w:sz w:val="24"/>
        </w:rPr>
        <w:t>在线教育培训与管理平台免费升级服务：每年新增的免费、公开病例内容会免费平移到云平台，实现病例的不断更新和病例库的增长。</w:t>
      </w:r>
    </w:p>
    <w:p>
      <w:pPr>
        <w:spacing w:line="400" w:lineRule="exact"/>
        <w:ind w:firstLine="560"/>
        <w:textAlignment w:val="auto"/>
        <w:rPr>
          <w:rStyle w:val="13"/>
          <w:rFonts w:ascii="宋体" w:hAnsi="宋体"/>
          <w:sz w:val="24"/>
        </w:rPr>
      </w:pPr>
      <w:r>
        <w:rPr>
          <w:rStyle w:val="13"/>
          <w:rFonts w:ascii="宋体" w:hAnsi="宋体"/>
          <w:sz w:val="24"/>
        </w:rPr>
        <w:t>质保期满后，维保费用由双方另行友好商议决定，每年维保费最高不超过本合同项目总价的10%，维保服务购买按相应政府采购流程。</w:t>
      </w:r>
    </w:p>
    <w:p>
      <w:pPr>
        <w:pStyle w:val="20"/>
        <w:spacing w:before="0" w:after="0" w:line="400" w:lineRule="exact"/>
        <w:textAlignment w:val="auto"/>
        <w:rPr>
          <w:rStyle w:val="13"/>
          <w:rFonts w:ascii="宋体" w:hAnsi="宋体"/>
          <w:sz w:val="24"/>
          <w:szCs w:val="24"/>
        </w:rPr>
      </w:pPr>
      <w:r>
        <w:rPr>
          <w:rStyle w:val="13"/>
          <w:rFonts w:ascii="宋体" w:hAnsi="宋体"/>
          <w:sz w:val="24"/>
          <w:szCs w:val="24"/>
        </w:rPr>
        <w:t>系统培训</w:t>
      </w:r>
    </w:p>
    <w:p>
      <w:pPr>
        <w:spacing w:line="400" w:lineRule="exact"/>
        <w:ind w:firstLine="560"/>
        <w:textAlignment w:val="auto"/>
        <w:rPr>
          <w:rStyle w:val="13"/>
          <w:rFonts w:ascii="宋体" w:hAnsi="宋体"/>
          <w:sz w:val="24"/>
        </w:rPr>
      </w:pPr>
      <w:r>
        <w:rPr>
          <w:rStyle w:val="13"/>
          <w:rFonts w:ascii="宋体" w:hAnsi="宋体"/>
          <w:sz w:val="24"/>
        </w:rPr>
        <w:t>中标方需要针对所投产品提供完备的培训方案和课程；</w:t>
      </w:r>
    </w:p>
    <w:p>
      <w:pPr>
        <w:spacing w:line="400" w:lineRule="exact"/>
        <w:ind w:firstLine="560"/>
        <w:textAlignment w:val="auto"/>
        <w:rPr>
          <w:rStyle w:val="13"/>
          <w:rFonts w:ascii="宋体" w:hAnsi="宋体"/>
          <w:sz w:val="24"/>
        </w:rPr>
      </w:pPr>
      <w:r>
        <w:rPr>
          <w:rStyle w:val="13"/>
          <w:rFonts w:ascii="宋体" w:hAnsi="宋体"/>
          <w:sz w:val="24"/>
        </w:rPr>
        <w:t>2.1培训内容应针对软硬设备的开发和管理、运行与维护管理、用户使用等分类进行。通过培训、应各类用户能独立进行相应应用与管理、故障处理、日常维护等工作，确保系统能正常安全运行。</w:t>
      </w:r>
    </w:p>
    <w:p>
      <w:pPr>
        <w:spacing w:line="400" w:lineRule="exact"/>
        <w:ind w:firstLine="560"/>
        <w:textAlignment w:val="auto"/>
        <w:rPr>
          <w:rStyle w:val="13"/>
          <w:rFonts w:ascii="宋体" w:hAnsi="宋体"/>
          <w:sz w:val="24"/>
        </w:rPr>
      </w:pPr>
      <w:r>
        <w:rPr>
          <w:rStyle w:val="13"/>
          <w:rFonts w:ascii="宋体" w:hAnsi="宋体"/>
          <w:sz w:val="24"/>
        </w:rPr>
        <w:t>2.2在实施前提出培训计划，计划包括培训项目、对象、内容和方式等详细内容。</w:t>
      </w:r>
    </w:p>
    <w:p>
      <w:pPr>
        <w:spacing w:line="400" w:lineRule="exact"/>
        <w:ind w:firstLine="560"/>
        <w:textAlignment w:val="auto"/>
        <w:rPr>
          <w:rStyle w:val="13"/>
          <w:rFonts w:ascii="宋体" w:hAnsi="宋体"/>
          <w:sz w:val="24"/>
        </w:rPr>
      </w:pPr>
      <w:r>
        <w:rPr>
          <w:rStyle w:val="13"/>
          <w:rFonts w:ascii="宋体" w:hAnsi="宋体"/>
          <w:sz w:val="24"/>
        </w:rPr>
        <w:t>2.3培训人员必须是中标方的正式雇员或专业的授权培训机构雇员。</w:t>
      </w:r>
    </w:p>
    <w:p>
      <w:pPr>
        <w:spacing w:line="400" w:lineRule="exact"/>
        <w:ind w:firstLine="560"/>
        <w:textAlignment w:val="auto"/>
        <w:rPr>
          <w:rStyle w:val="13"/>
          <w:rFonts w:ascii="宋体" w:hAnsi="宋体"/>
          <w:sz w:val="24"/>
        </w:rPr>
      </w:pPr>
      <w:r>
        <w:rPr>
          <w:rStyle w:val="13"/>
          <w:rFonts w:ascii="宋体" w:hAnsi="宋体"/>
          <w:sz w:val="24"/>
        </w:rPr>
        <w:t>2.4.培训内容：对系统管理与维护的技术人员进行培训，保证系统管理与维护人员能对系统及客户端常见的一般性问题进行及时有效的处理，保障系统持续稳定运行。</w:t>
      </w:r>
    </w:p>
    <w:p>
      <w:pPr>
        <w:spacing w:line="400" w:lineRule="exact"/>
        <w:ind w:firstLine="560"/>
        <w:textAlignment w:val="auto"/>
        <w:rPr>
          <w:rStyle w:val="13"/>
          <w:rFonts w:ascii="宋体" w:hAnsi="宋体"/>
          <w:sz w:val="24"/>
        </w:rPr>
      </w:pPr>
      <w:r>
        <w:rPr>
          <w:rStyle w:val="13"/>
          <w:rFonts w:ascii="宋体" w:hAnsi="宋体"/>
          <w:sz w:val="24"/>
        </w:rPr>
        <w:t>2.5.培训内容包括：</w:t>
      </w:r>
    </w:p>
    <w:p>
      <w:pPr>
        <w:spacing w:line="400" w:lineRule="exact"/>
        <w:ind w:firstLine="560"/>
        <w:textAlignment w:val="auto"/>
        <w:rPr>
          <w:rStyle w:val="13"/>
          <w:rFonts w:ascii="宋体" w:hAnsi="宋体"/>
          <w:sz w:val="24"/>
        </w:rPr>
      </w:pPr>
      <w:r>
        <w:rPr>
          <w:rStyle w:val="13"/>
          <w:rFonts w:ascii="宋体" w:hAnsi="宋体"/>
          <w:sz w:val="24"/>
        </w:rPr>
        <w:t>（1）一般性的系统故障诊断、定位和排除等日常维护方法；</w:t>
      </w:r>
    </w:p>
    <w:p>
      <w:pPr>
        <w:spacing w:line="400" w:lineRule="exact"/>
        <w:ind w:firstLine="560"/>
        <w:textAlignment w:val="auto"/>
        <w:rPr>
          <w:rStyle w:val="13"/>
          <w:rFonts w:ascii="宋体" w:hAnsi="宋体"/>
          <w:sz w:val="24"/>
        </w:rPr>
      </w:pPr>
      <w:r>
        <w:rPr>
          <w:rStyle w:val="13"/>
          <w:rFonts w:ascii="宋体" w:hAnsi="宋体"/>
          <w:sz w:val="24"/>
        </w:rPr>
        <w:t>（2）系统的初始化和主要参数的设定；</w:t>
      </w:r>
    </w:p>
    <w:p>
      <w:pPr>
        <w:spacing w:line="400" w:lineRule="exact"/>
        <w:ind w:firstLine="560"/>
        <w:textAlignment w:val="auto"/>
        <w:rPr>
          <w:rStyle w:val="13"/>
          <w:rFonts w:ascii="宋体" w:hAnsi="宋体"/>
          <w:sz w:val="24"/>
        </w:rPr>
      </w:pPr>
      <w:r>
        <w:rPr>
          <w:rStyle w:val="13"/>
          <w:rFonts w:ascii="宋体" w:hAnsi="宋体"/>
          <w:sz w:val="24"/>
        </w:rPr>
        <w:t>（3）应用软件安装与调试方法；</w:t>
      </w:r>
    </w:p>
    <w:p>
      <w:pPr>
        <w:spacing w:line="400" w:lineRule="exact"/>
        <w:ind w:firstLine="560"/>
        <w:textAlignment w:val="auto"/>
        <w:rPr>
          <w:rStyle w:val="13"/>
          <w:rFonts w:ascii="宋体" w:hAnsi="宋体"/>
          <w:sz w:val="24"/>
        </w:rPr>
      </w:pPr>
      <w:r>
        <w:rPr>
          <w:rStyle w:val="13"/>
          <w:rFonts w:ascii="宋体" w:hAnsi="宋体"/>
          <w:sz w:val="24"/>
        </w:rPr>
        <w:t>（4）硬件设备安装与调试方法；</w:t>
      </w:r>
    </w:p>
    <w:p>
      <w:pPr>
        <w:spacing w:line="400" w:lineRule="exact"/>
        <w:ind w:firstLine="560"/>
        <w:textAlignment w:val="auto"/>
        <w:rPr>
          <w:rStyle w:val="13"/>
          <w:rFonts w:ascii="宋体" w:hAnsi="宋体"/>
          <w:sz w:val="24"/>
        </w:rPr>
      </w:pPr>
      <w:r>
        <w:rPr>
          <w:rStyle w:val="13"/>
          <w:rFonts w:ascii="宋体" w:hAnsi="宋体"/>
          <w:sz w:val="24"/>
        </w:rPr>
        <w:t>（5）系统在使用过程中常见问题的处理。</w:t>
      </w:r>
    </w:p>
    <w:p>
      <w:pPr>
        <w:spacing w:line="400" w:lineRule="exact"/>
        <w:ind w:firstLine="560"/>
        <w:textAlignment w:val="auto"/>
        <w:rPr>
          <w:rStyle w:val="13"/>
          <w:rFonts w:ascii="宋体" w:hAnsi="宋体"/>
          <w:sz w:val="24"/>
        </w:rPr>
      </w:pPr>
      <w:r>
        <w:rPr>
          <w:rStyle w:val="13"/>
          <w:rFonts w:ascii="宋体" w:hAnsi="宋体"/>
          <w:sz w:val="24"/>
        </w:rPr>
        <w:t>（6）每次培训后提供《培训记录》与《培训手册》，并现场检验和确认培训效果，保证培训内容均被培训对象所接受并可独立维护和使用。</w:t>
      </w:r>
    </w:p>
    <w:p>
      <w:pPr>
        <w:pStyle w:val="19"/>
        <w:tabs>
          <w:tab w:val="left" w:pos="2835"/>
        </w:tabs>
        <w:spacing w:before="0" w:after="0" w:line="400" w:lineRule="exact"/>
        <w:textAlignment w:val="auto"/>
        <w:rPr>
          <w:rStyle w:val="13"/>
          <w:rFonts w:ascii="宋体" w:hAnsi="宋体" w:eastAsia="宋体" w:cs="宋体"/>
          <w:b/>
          <w:bCs/>
          <w:sz w:val="24"/>
          <w:szCs w:val="24"/>
        </w:rPr>
      </w:pPr>
      <w:r>
        <w:rPr>
          <w:rStyle w:val="13"/>
          <w:rFonts w:ascii="宋体" w:hAnsi="宋体" w:eastAsia="宋体" w:cs="宋体"/>
          <w:b/>
          <w:bCs/>
          <w:sz w:val="24"/>
          <w:szCs w:val="24"/>
        </w:rPr>
        <w:t>建设周期</w:t>
      </w:r>
      <w:bookmarkStart w:id="0" w:name="_GoBack"/>
      <w:bookmarkEnd w:id="0"/>
    </w:p>
    <w:p>
      <w:pPr>
        <w:spacing w:line="400" w:lineRule="exact"/>
        <w:ind w:firstLine="560"/>
        <w:textAlignment w:val="auto"/>
        <w:rPr>
          <w:rStyle w:val="13"/>
          <w:rFonts w:ascii="宋体" w:hAnsi="宋体"/>
          <w:sz w:val="24"/>
        </w:rPr>
      </w:pPr>
      <w:r>
        <w:rPr>
          <w:rStyle w:val="13"/>
          <w:rFonts w:ascii="宋体" w:hAnsi="宋体"/>
          <w:sz w:val="24"/>
        </w:rPr>
        <w:t>本项目要求自合同签订之日起12个月内完成。</w:t>
      </w:r>
    </w:p>
    <w:p>
      <w:pPr>
        <w:pStyle w:val="19"/>
        <w:tabs>
          <w:tab w:val="left" w:pos="2835"/>
        </w:tabs>
        <w:spacing w:before="0" w:after="0" w:line="400" w:lineRule="exact"/>
        <w:textAlignment w:val="auto"/>
        <w:rPr>
          <w:rStyle w:val="13"/>
          <w:rFonts w:ascii="宋体" w:hAnsi="宋体" w:eastAsia="宋体" w:cs="宋体"/>
          <w:b/>
          <w:bCs/>
          <w:sz w:val="24"/>
          <w:szCs w:val="24"/>
        </w:rPr>
      </w:pPr>
      <w:r>
        <w:rPr>
          <w:rStyle w:val="13"/>
          <w:rFonts w:ascii="宋体" w:hAnsi="宋体" w:eastAsia="宋体" w:cs="宋体"/>
          <w:b/>
          <w:bCs/>
          <w:sz w:val="24"/>
          <w:szCs w:val="24"/>
        </w:rPr>
        <w:t>补充说明</w:t>
      </w:r>
    </w:p>
    <w:p>
      <w:pPr>
        <w:spacing w:line="400" w:lineRule="exact"/>
        <w:ind w:firstLine="560"/>
        <w:textAlignment w:val="auto"/>
        <w:rPr>
          <w:rStyle w:val="13"/>
          <w:rFonts w:ascii="宋体" w:hAnsi="宋体"/>
          <w:sz w:val="24"/>
        </w:rPr>
      </w:pPr>
      <w:r>
        <w:rPr>
          <w:rStyle w:val="13"/>
          <w:rFonts w:ascii="宋体" w:hAnsi="宋体"/>
          <w:sz w:val="24"/>
        </w:rPr>
        <w:t>无。</w:t>
      </w:r>
    </w:p>
    <w:p>
      <w:pPr>
        <w:pStyle w:val="18"/>
        <w:spacing w:line="400" w:lineRule="exact"/>
        <w:textAlignment w:val="auto"/>
        <w:rPr>
          <w:rStyle w:val="13"/>
          <w:rFonts w:ascii="宋体" w:hAnsi="宋体"/>
          <w:b/>
          <w:sz w:val="24"/>
          <w:szCs w:val="24"/>
        </w:rPr>
      </w:pPr>
      <w:r>
        <w:rPr>
          <w:rStyle w:val="13"/>
          <w:rFonts w:ascii="宋体" w:hAnsi="宋体"/>
          <w:b/>
          <w:sz w:val="24"/>
          <w:szCs w:val="24"/>
        </w:rPr>
        <w:t>商务条款</w:t>
      </w:r>
    </w:p>
    <w:p>
      <w:pPr>
        <w:pStyle w:val="19"/>
        <w:tabs>
          <w:tab w:val="left" w:pos="2835"/>
        </w:tabs>
        <w:spacing w:before="0" w:after="0" w:line="400" w:lineRule="exact"/>
        <w:textAlignment w:val="auto"/>
        <w:rPr>
          <w:rStyle w:val="13"/>
          <w:rFonts w:ascii="宋体" w:hAnsi="宋体" w:eastAsia="宋体" w:cs="宋体"/>
          <w:b/>
          <w:bCs/>
          <w:sz w:val="24"/>
          <w:szCs w:val="24"/>
        </w:rPr>
      </w:pPr>
      <w:r>
        <w:rPr>
          <w:rStyle w:val="13"/>
          <w:rFonts w:ascii="宋体" w:hAnsi="宋体" w:eastAsia="宋体" w:cs="宋体"/>
          <w:b/>
          <w:bCs/>
          <w:sz w:val="24"/>
          <w:szCs w:val="24"/>
        </w:rPr>
        <w:t>维保期</w:t>
      </w:r>
    </w:p>
    <w:p>
      <w:pPr>
        <w:spacing w:line="400" w:lineRule="exact"/>
        <w:ind w:firstLine="560"/>
        <w:textAlignment w:val="auto"/>
        <w:rPr>
          <w:rStyle w:val="13"/>
          <w:rFonts w:ascii="宋体" w:hAnsi="宋体"/>
          <w:sz w:val="24"/>
        </w:rPr>
      </w:pPr>
      <w:r>
        <w:rPr>
          <w:rStyle w:val="13"/>
          <w:rFonts w:hint="eastAsia" w:ascii="宋体" w:hAnsi="宋体"/>
          <w:sz w:val="24"/>
        </w:rPr>
        <w:t>中标方对软件产品提供一年的免费质保期，在线教育培训与管理平台服务期一年，对于后台硬件产品提供三年免费质保期，对终端硬件产品提供一年的免费质保期，免费维保期自该产品通过采购方验收合格之日起计。</w:t>
      </w:r>
    </w:p>
    <w:p>
      <w:pPr>
        <w:spacing w:line="400" w:lineRule="exact"/>
        <w:ind w:firstLine="560"/>
        <w:textAlignment w:val="auto"/>
        <w:rPr>
          <w:rStyle w:val="13"/>
          <w:rFonts w:ascii="宋体" w:hAnsi="宋体"/>
          <w:sz w:val="24"/>
        </w:rPr>
      </w:pPr>
    </w:p>
    <w:p>
      <w:pPr>
        <w:pStyle w:val="19"/>
        <w:tabs>
          <w:tab w:val="left" w:pos="2835"/>
        </w:tabs>
        <w:spacing w:before="0" w:after="0" w:line="400" w:lineRule="exact"/>
        <w:textAlignment w:val="auto"/>
        <w:rPr>
          <w:rStyle w:val="13"/>
          <w:rFonts w:ascii="宋体" w:hAnsi="宋体" w:eastAsia="宋体" w:cs="宋体"/>
          <w:b/>
          <w:bCs/>
          <w:sz w:val="24"/>
          <w:szCs w:val="24"/>
        </w:rPr>
      </w:pPr>
      <w:r>
        <w:rPr>
          <w:rStyle w:val="13"/>
          <w:rFonts w:ascii="宋体" w:hAnsi="宋体" w:eastAsia="宋体" w:cs="宋体"/>
          <w:b/>
          <w:bCs/>
          <w:sz w:val="24"/>
          <w:szCs w:val="24"/>
        </w:rPr>
        <w:t>交付期、交付方式及交付地点</w:t>
      </w:r>
    </w:p>
    <w:p>
      <w:pPr>
        <w:spacing w:line="400" w:lineRule="exact"/>
        <w:ind w:firstLine="560"/>
        <w:textAlignment w:val="auto"/>
        <w:rPr>
          <w:rStyle w:val="13"/>
          <w:rFonts w:ascii="宋体" w:hAnsi="宋体"/>
          <w:sz w:val="24"/>
        </w:rPr>
      </w:pPr>
      <w:r>
        <w:rPr>
          <w:rStyle w:val="13"/>
          <w:rFonts w:ascii="宋体" w:hAnsi="宋体"/>
          <w:sz w:val="24"/>
        </w:rPr>
        <w:t>1.交付期：自合同签订之日起12个月内完成。</w:t>
      </w:r>
    </w:p>
    <w:p>
      <w:pPr>
        <w:spacing w:line="400" w:lineRule="exact"/>
        <w:ind w:firstLine="560"/>
        <w:textAlignment w:val="auto"/>
        <w:rPr>
          <w:rStyle w:val="13"/>
          <w:rFonts w:ascii="宋体" w:hAnsi="宋体"/>
          <w:sz w:val="24"/>
        </w:rPr>
      </w:pPr>
      <w:r>
        <w:rPr>
          <w:rStyle w:val="13"/>
          <w:rFonts w:ascii="宋体" w:hAnsi="宋体"/>
          <w:sz w:val="24"/>
        </w:rPr>
        <w:t>2.交付方式：现场交付。</w:t>
      </w:r>
    </w:p>
    <w:p>
      <w:pPr>
        <w:spacing w:line="400" w:lineRule="exact"/>
        <w:ind w:firstLine="560"/>
        <w:textAlignment w:val="auto"/>
        <w:rPr>
          <w:rStyle w:val="13"/>
          <w:rFonts w:ascii="宋体" w:hAnsi="宋体"/>
          <w:sz w:val="24"/>
        </w:rPr>
      </w:pPr>
      <w:r>
        <w:rPr>
          <w:rStyle w:val="13"/>
          <w:rFonts w:ascii="宋体" w:hAnsi="宋体"/>
          <w:sz w:val="24"/>
        </w:rPr>
        <w:t>3.交付地点：和田地区皮山县。</w:t>
      </w:r>
    </w:p>
    <w:p>
      <w:pPr>
        <w:pStyle w:val="19"/>
        <w:tabs>
          <w:tab w:val="left" w:pos="2835"/>
        </w:tabs>
        <w:spacing w:before="0" w:after="0" w:line="400" w:lineRule="exact"/>
        <w:textAlignment w:val="auto"/>
        <w:rPr>
          <w:rStyle w:val="13"/>
          <w:rFonts w:ascii="宋体" w:hAnsi="宋体" w:eastAsia="宋体" w:cs="宋体"/>
          <w:b/>
          <w:bCs/>
          <w:sz w:val="24"/>
          <w:szCs w:val="24"/>
        </w:rPr>
      </w:pPr>
      <w:r>
        <w:rPr>
          <w:rStyle w:val="13"/>
          <w:rFonts w:ascii="宋体" w:hAnsi="宋体" w:eastAsia="宋体" w:cs="宋体"/>
          <w:b/>
          <w:bCs/>
          <w:sz w:val="24"/>
          <w:szCs w:val="24"/>
        </w:rPr>
        <w:t>付款条件</w:t>
      </w:r>
    </w:p>
    <w:p>
      <w:pPr>
        <w:pStyle w:val="19"/>
        <w:tabs>
          <w:tab w:val="left" w:pos="2835"/>
        </w:tabs>
        <w:spacing w:before="0" w:after="0" w:line="400" w:lineRule="exact"/>
        <w:textAlignment w:val="auto"/>
        <w:rPr>
          <w:rStyle w:val="13"/>
          <w:rFonts w:hint="eastAsia" w:ascii="宋体" w:hAnsi="宋体" w:eastAsia="宋体" w:cs="宋体"/>
          <w:sz w:val="24"/>
        </w:rPr>
      </w:pPr>
      <w:r>
        <w:rPr>
          <w:rStyle w:val="13"/>
          <w:rFonts w:hint="eastAsia" w:ascii="宋体" w:hAnsi="宋体" w:eastAsia="宋体" w:cs="宋体"/>
          <w:sz w:val="24"/>
        </w:rPr>
        <w:t>交货地点：业主指定地点（皮山县卫生健康委员会指定）</w:t>
      </w:r>
    </w:p>
    <w:p>
      <w:pPr>
        <w:pStyle w:val="19"/>
        <w:tabs>
          <w:tab w:val="left" w:pos="2835"/>
        </w:tabs>
        <w:spacing w:before="0" w:after="0" w:line="400" w:lineRule="exact"/>
        <w:textAlignment w:val="auto"/>
        <w:rPr>
          <w:rStyle w:val="13"/>
          <w:rFonts w:hint="eastAsia" w:ascii="宋体" w:hAnsi="宋体" w:eastAsia="宋体" w:cs="宋体"/>
          <w:sz w:val="24"/>
        </w:rPr>
      </w:pPr>
      <w:r>
        <w:rPr>
          <w:rStyle w:val="13"/>
          <w:rFonts w:hint="eastAsia" w:ascii="宋体" w:hAnsi="宋体" w:eastAsia="宋体" w:cs="宋体"/>
          <w:sz w:val="24"/>
        </w:rPr>
        <w:t>交付期：自合同签订之日起12个月内完成。</w:t>
      </w:r>
    </w:p>
    <w:p>
      <w:pPr>
        <w:pStyle w:val="19"/>
        <w:tabs>
          <w:tab w:val="left" w:pos="2835"/>
        </w:tabs>
        <w:spacing w:before="0" w:after="0" w:line="400" w:lineRule="exact"/>
        <w:textAlignment w:val="auto"/>
        <w:rPr>
          <w:rStyle w:val="13"/>
          <w:rFonts w:hint="eastAsia" w:ascii="宋体" w:hAnsi="宋体" w:eastAsia="宋体" w:cs="宋体"/>
          <w:sz w:val="24"/>
        </w:rPr>
      </w:pPr>
      <w:r>
        <w:rPr>
          <w:rStyle w:val="13"/>
          <w:rFonts w:hint="eastAsia" w:ascii="宋体" w:hAnsi="宋体" w:eastAsia="宋体" w:cs="宋体"/>
          <w:sz w:val="24"/>
        </w:rPr>
        <w:t>交付方式：本次皮山县AI+紧密型医共体项目建设内容包含软件部分和硬件部分，付款方式如下：</w:t>
      </w:r>
    </w:p>
    <w:p>
      <w:pPr>
        <w:pStyle w:val="19"/>
        <w:tabs>
          <w:tab w:val="left" w:pos="2835"/>
        </w:tabs>
        <w:spacing w:before="0" w:after="0" w:line="400" w:lineRule="exact"/>
        <w:textAlignment w:val="auto"/>
        <w:rPr>
          <w:rStyle w:val="13"/>
          <w:rFonts w:hint="eastAsia" w:ascii="宋体" w:hAnsi="宋体" w:eastAsia="宋体" w:cs="宋体"/>
          <w:sz w:val="24"/>
        </w:rPr>
      </w:pPr>
      <w:r>
        <w:rPr>
          <w:rStyle w:val="13"/>
          <w:rFonts w:hint="eastAsia" w:ascii="宋体" w:hAnsi="宋体" w:eastAsia="宋体" w:cs="宋体"/>
          <w:sz w:val="24"/>
        </w:rPr>
        <w:t>1)合同硬件到货后7个工作日内付合同额的5%；</w:t>
      </w:r>
    </w:p>
    <w:p>
      <w:pPr>
        <w:pStyle w:val="19"/>
        <w:tabs>
          <w:tab w:val="left" w:pos="2835"/>
        </w:tabs>
        <w:spacing w:before="0" w:after="0" w:line="400" w:lineRule="exact"/>
        <w:textAlignment w:val="auto"/>
        <w:rPr>
          <w:rStyle w:val="13"/>
          <w:rFonts w:hint="eastAsia" w:ascii="宋体" w:hAnsi="宋体" w:eastAsia="宋体" w:cs="宋体"/>
          <w:sz w:val="24"/>
        </w:rPr>
      </w:pPr>
      <w:r>
        <w:rPr>
          <w:rStyle w:val="13"/>
          <w:rFonts w:hint="eastAsia" w:ascii="宋体" w:hAnsi="宋体" w:eastAsia="宋体" w:cs="宋体"/>
          <w:sz w:val="24"/>
        </w:rPr>
        <w:t>2)硬件安装完毕且系统安装调试完毕，7个工作日内支付合同额45%；</w:t>
      </w:r>
    </w:p>
    <w:p>
      <w:pPr>
        <w:pStyle w:val="19"/>
        <w:tabs>
          <w:tab w:val="left" w:pos="2835"/>
        </w:tabs>
        <w:spacing w:before="0" w:after="0" w:line="400" w:lineRule="exact"/>
        <w:textAlignment w:val="auto"/>
        <w:rPr>
          <w:rStyle w:val="13"/>
          <w:rFonts w:hint="eastAsia" w:ascii="宋体" w:hAnsi="宋体" w:eastAsia="宋体" w:cs="宋体"/>
          <w:sz w:val="24"/>
        </w:rPr>
      </w:pPr>
      <w:r>
        <w:rPr>
          <w:rStyle w:val="13"/>
          <w:rFonts w:hint="eastAsia" w:ascii="宋体" w:hAnsi="宋体" w:eastAsia="宋体" w:cs="宋体"/>
          <w:sz w:val="24"/>
        </w:rPr>
        <w:t>3)验收合格7个工作日内支付软件合同额的40%；</w:t>
      </w:r>
    </w:p>
    <w:p>
      <w:pPr>
        <w:pStyle w:val="19"/>
        <w:tabs>
          <w:tab w:val="left" w:pos="2835"/>
        </w:tabs>
        <w:spacing w:before="0" w:after="0" w:line="400" w:lineRule="exact"/>
        <w:textAlignment w:val="auto"/>
        <w:rPr>
          <w:rStyle w:val="13"/>
          <w:rFonts w:hint="eastAsia" w:ascii="宋体" w:hAnsi="宋体" w:eastAsia="宋体" w:cs="宋体"/>
          <w:sz w:val="24"/>
        </w:rPr>
      </w:pPr>
      <w:r>
        <w:rPr>
          <w:rStyle w:val="13"/>
          <w:rFonts w:hint="eastAsia" w:ascii="宋体" w:hAnsi="宋体" w:eastAsia="宋体" w:cs="宋体"/>
          <w:sz w:val="24"/>
        </w:rPr>
        <w:t>4)质保期结束以后，7个工作日内支付软件合同额的10%质保金；</w:t>
      </w:r>
    </w:p>
    <w:p>
      <w:pPr>
        <w:pStyle w:val="19"/>
        <w:tabs>
          <w:tab w:val="left" w:pos="2835"/>
        </w:tabs>
        <w:spacing w:before="0" w:after="0" w:line="400" w:lineRule="exact"/>
        <w:textAlignment w:val="auto"/>
        <w:rPr>
          <w:rStyle w:val="13"/>
          <w:rFonts w:hint="eastAsia" w:ascii="宋体" w:hAnsi="宋体" w:eastAsia="宋体" w:cs="宋体"/>
          <w:sz w:val="24"/>
        </w:rPr>
      </w:pPr>
      <w:r>
        <w:rPr>
          <w:rStyle w:val="13"/>
          <w:rFonts w:hint="eastAsia" w:ascii="宋体" w:hAnsi="宋体" w:eastAsia="宋体" w:cs="宋体"/>
          <w:sz w:val="24"/>
        </w:rPr>
        <w:t>每次付款，供应商均需要提供真实、合法、有效的等额发票。</w:t>
      </w:r>
    </w:p>
    <w:p>
      <w:pPr>
        <w:pStyle w:val="19"/>
        <w:tabs>
          <w:tab w:val="left" w:pos="2835"/>
        </w:tabs>
        <w:spacing w:before="0" w:after="0" w:line="400" w:lineRule="exact"/>
        <w:textAlignment w:val="auto"/>
        <w:rPr>
          <w:rStyle w:val="13"/>
          <w:rFonts w:ascii="宋体" w:hAnsi="宋体" w:eastAsia="宋体" w:cs="宋体"/>
          <w:b/>
          <w:bCs/>
          <w:sz w:val="24"/>
          <w:szCs w:val="24"/>
        </w:rPr>
      </w:pPr>
      <w:r>
        <w:rPr>
          <w:rStyle w:val="13"/>
          <w:rFonts w:ascii="宋体" w:hAnsi="宋体" w:eastAsia="宋体" w:cs="宋体"/>
          <w:b/>
          <w:bCs/>
          <w:sz w:val="24"/>
          <w:szCs w:val="24"/>
        </w:rPr>
        <w:t>备品及耗材要求</w:t>
      </w:r>
    </w:p>
    <w:p>
      <w:pPr>
        <w:spacing w:line="400" w:lineRule="exact"/>
        <w:ind w:firstLine="560"/>
        <w:textAlignment w:val="auto"/>
        <w:rPr>
          <w:rStyle w:val="13"/>
          <w:rFonts w:ascii="宋体" w:hAnsi="宋体"/>
          <w:sz w:val="24"/>
        </w:rPr>
      </w:pPr>
      <w:r>
        <w:rPr>
          <w:rStyle w:val="13"/>
          <w:rFonts w:ascii="宋体" w:hAnsi="宋体"/>
          <w:sz w:val="24"/>
        </w:rPr>
        <w:t>按照采购方要求在规定时间内解决问题。</w:t>
      </w:r>
    </w:p>
    <w:p>
      <w:pPr>
        <w:pStyle w:val="20"/>
        <w:spacing w:line="240" w:lineRule="auto"/>
        <w:rPr>
          <w:rStyle w:val="13"/>
          <w:rFonts w:ascii="宋体" w:hAnsi="宋体"/>
          <w:b/>
          <w:color w:val="000000"/>
          <w:sz w:val="30"/>
          <w:szCs w:val="30"/>
        </w:rPr>
      </w:pPr>
    </w:p>
    <w:p>
      <w:pPr>
        <w:rPr>
          <w:rStyle w:val="13"/>
          <w:rFonts w:ascii="宋体" w:hAnsi="宋体"/>
          <w:b/>
          <w:color w:val="000000"/>
          <w:sz w:val="30"/>
          <w:szCs w:val="30"/>
        </w:rPr>
      </w:pPr>
    </w:p>
    <w:p>
      <w:pPr>
        <w:pStyle w:val="2"/>
      </w:pPr>
    </w:p>
    <w:p>
      <w:pPr>
        <w:rPr>
          <w:rStyle w:val="13"/>
          <w:rFonts w:ascii="宋体" w:hAnsi="宋体"/>
          <w:b/>
          <w:color w:val="000000"/>
          <w:sz w:val="30"/>
          <w:szCs w:val="30"/>
        </w:rPr>
      </w:pPr>
    </w:p>
    <w:p>
      <w:pPr>
        <w:pStyle w:val="2"/>
        <w:rPr>
          <w:rStyle w:val="13"/>
        </w:rPr>
      </w:pPr>
    </w:p>
    <w:p>
      <w:pPr>
        <w:jc w:val="center"/>
        <w:rPr>
          <w:rStyle w:val="13"/>
          <w:rFonts w:ascii="宋体"/>
          <w:b/>
          <w:color w:val="000000"/>
          <w:sz w:val="32"/>
          <w:szCs w:val="32"/>
        </w:rPr>
      </w:pPr>
      <w:r>
        <w:rPr>
          <w:rStyle w:val="13"/>
          <w:rFonts w:ascii="宋体" w:hAnsi="宋体"/>
          <w:b/>
          <w:color w:val="000000"/>
          <w:sz w:val="32"/>
          <w:szCs w:val="32"/>
        </w:rPr>
        <w:t>第四部分  采购合同(范本)</w:t>
      </w:r>
    </w:p>
    <w:p>
      <w:pPr>
        <w:spacing w:line="440" w:lineRule="exact"/>
        <w:jc w:val="center"/>
        <w:rPr>
          <w:rStyle w:val="13"/>
          <w:rFonts w:ascii="宋体" w:hAnsi="宋体"/>
          <w:color w:val="000000"/>
          <w:sz w:val="24"/>
        </w:rPr>
      </w:pPr>
    </w:p>
    <w:p>
      <w:pPr>
        <w:spacing w:line="440" w:lineRule="exact"/>
        <w:jc w:val="center"/>
        <w:rPr>
          <w:rStyle w:val="13"/>
          <w:rFonts w:ascii="宋体" w:hAnsi="宋体"/>
          <w:color w:val="000000"/>
          <w:sz w:val="24"/>
        </w:rPr>
      </w:pPr>
    </w:p>
    <w:p>
      <w:pPr>
        <w:spacing w:line="440" w:lineRule="exact"/>
        <w:rPr>
          <w:rStyle w:val="13"/>
          <w:rFonts w:ascii="宋体" w:hAnsi="宋体"/>
          <w:color w:val="000000"/>
          <w:sz w:val="24"/>
        </w:rPr>
      </w:pPr>
    </w:p>
    <w:p>
      <w:pPr>
        <w:spacing w:line="440" w:lineRule="exact"/>
        <w:jc w:val="center"/>
        <w:rPr>
          <w:rStyle w:val="13"/>
          <w:rFonts w:ascii="宋体" w:hAnsi="宋体"/>
          <w:color w:val="000000"/>
          <w:sz w:val="24"/>
        </w:rPr>
      </w:pPr>
      <w:r>
        <w:rPr>
          <w:rStyle w:val="13"/>
          <w:rFonts w:ascii="宋体" w:hAnsi="宋体"/>
          <w:color w:val="000000"/>
          <w:sz w:val="24"/>
        </w:rPr>
        <w:t>政府采购合同参考范本</w:t>
      </w:r>
    </w:p>
    <w:p>
      <w:pPr>
        <w:spacing w:line="440" w:lineRule="exact"/>
        <w:jc w:val="center"/>
        <w:rPr>
          <w:rStyle w:val="13"/>
          <w:rFonts w:ascii="宋体" w:hAnsi="宋体"/>
          <w:color w:val="000000"/>
          <w:sz w:val="24"/>
        </w:rPr>
      </w:pPr>
    </w:p>
    <w:p>
      <w:pPr>
        <w:spacing w:line="440" w:lineRule="exact"/>
        <w:jc w:val="center"/>
        <w:rPr>
          <w:rStyle w:val="13"/>
          <w:rFonts w:ascii="宋体" w:hAnsi="宋体"/>
          <w:color w:val="000000"/>
          <w:sz w:val="24"/>
        </w:rPr>
      </w:pPr>
    </w:p>
    <w:p>
      <w:pPr>
        <w:spacing w:line="440" w:lineRule="exact"/>
        <w:jc w:val="center"/>
        <w:rPr>
          <w:rStyle w:val="13"/>
          <w:rFonts w:ascii="宋体" w:hAnsi="宋体"/>
          <w:color w:val="000000"/>
          <w:sz w:val="24"/>
        </w:rPr>
      </w:pPr>
    </w:p>
    <w:p>
      <w:pPr>
        <w:spacing w:line="440" w:lineRule="exact"/>
        <w:rPr>
          <w:rStyle w:val="13"/>
          <w:rFonts w:ascii="宋体" w:hAnsi="宋体"/>
          <w:color w:val="000000"/>
          <w:sz w:val="24"/>
        </w:rPr>
      </w:pPr>
    </w:p>
    <w:p>
      <w:pPr>
        <w:spacing w:line="440" w:lineRule="exact"/>
        <w:jc w:val="center"/>
        <w:rPr>
          <w:rStyle w:val="13"/>
          <w:rFonts w:ascii="宋体" w:hAnsi="宋体"/>
          <w:color w:val="000000"/>
          <w:sz w:val="24"/>
        </w:rPr>
      </w:pPr>
    </w:p>
    <w:p>
      <w:pPr>
        <w:spacing w:line="440" w:lineRule="exact"/>
        <w:jc w:val="center"/>
        <w:rPr>
          <w:rStyle w:val="13"/>
          <w:rFonts w:ascii="宋体" w:hAnsi="宋体"/>
          <w:color w:val="000000"/>
          <w:sz w:val="24"/>
        </w:rPr>
      </w:pPr>
      <w:r>
        <w:rPr>
          <w:rStyle w:val="13"/>
          <w:rFonts w:ascii="宋体" w:hAnsi="宋体"/>
          <w:color w:val="000000"/>
          <w:sz w:val="24"/>
        </w:rPr>
        <w:t>（货物类）</w:t>
      </w:r>
    </w:p>
    <w:p>
      <w:pPr>
        <w:spacing w:line="440" w:lineRule="exact"/>
        <w:jc w:val="center"/>
        <w:rPr>
          <w:rStyle w:val="13"/>
          <w:rFonts w:ascii="宋体" w:hAnsi="宋体"/>
          <w:color w:val="000000"/>
          <w:sz w:val="24"/>
        </w:rPr>
      </w:pPr>
    </w:p>
    <w:p>
      <w:pPr>
        <w:spacing w:line="440" w:lineRule="exact"/>
        <w:jc w:val="center"/>
        <w:rPr>
          <w:rStyle w:val="13"/>
          <w:rFonts w:ascii="宋体" w:hAnsi="宋体"/>
          <w:color w:val="000000"/>
          <w:sz w:val="24"/>
        </w:rPr>
      </w:pPr>
    </w:p>
    <w:p>
      <w:pPr>
        <w:pStyle w:val="2"/>
      </w:pPr>
    </w:p>
    <w:p>
      <w:pPr>
        <w:spacing w:line="440" w:lineRule="exact"/>
        <w:jc w:val="center"/>
        <w:rPr>
          <w:rStyle w:val="13"/>
          <w:rFonts w:ascii="宋体" w:hAnsi="宋体"/>
          <w:color w:val="000000"/>
          <w:sz w:val="24"/>
        </w:rPr>
      </w:pPr>
    </w:p>
    <w:p>
      <w:pPr>
        <w:spacing w:line="440" w:lineRule="exact"/>
        <w:jc w:val="center"/>
        <w:rPr>
          <w:rStyle w:val="13"/>
          <w:rFonts w:ascii="宋体" w:hAnsi="宋体"/>
          <w:color w:val="000000"/>
          <w:sz w:val="24"/>
        </w:rPr>
      </w:pPr>
      <w:r>
        <w:rPr>
          <w:rStyle w:val="13"/>
          <w:rFonts w:ascii="宋体" w:hAnsi="宋体"/>
          <w:color w:val="000000"/>
          <w:sz w:val="24"/>
        </w:rPr>
        <w:t>第一部分 合同书</w:t>
      </w:r>
    </w:p>
    <w:p>
      <w:pPr>
        <w:spacing w:line="440" w:lineRule="exact"/>
        <w:jc w:val="center"/>
        <w:rPr>
          <w:rStyle w:val="13"/>
          <w:rFonts w:ascii="宋体" w:hAnsi="宋体"/>
          <w:color w:val="000000"/>
          <w:sz w:val="24"/>
        </w:rPr>
      </w:pPr>
    </w:p>
    <w:p>
      <w:pPr>
        <w:spacing w:line="440" w:lineRule="exact"/>
        <w:jc w:val="center"/>
        <w:rPr>
          <w:rStyle w:val="13"/>
          <w:rFonts w:ascii="宋体" w:hAnsi="宋体"/>
          <w:color w:val="000000"/>
          <w:sz w:val="24"/>
        </w:rPr>
      </w:pPr>
    </w:p>
    <w:p>
      <w:pPr>
        <w:spacing w:line="440" w:lineRule="exact"/>
        <w:jc w:val="center"/>
        <w:rPr>
          <w:rStyle w:val="13"/>
          <w:rFonts w:ascii="宋体" w:hAnsi="宋体"/>
          <w:color w:val="000000"/>
          <w:sz w:val="24"/>
        </w:rPr>
      </w:pPr>
    </w:p>
    <w:p>
      <w:pPr>
        <w:spacing w:line="440" w:lineRule="exact"/>
        <w:jc w:val="left"/>
        <w:rPr>
          <w:rStyle w:val="13"/>
          <w:rFonts w:ascii="宋体" w:hAnsi="宋体"/>
          <w:color w:val="000000"/>
          <w:sz w:val="24"/>
          <w:u w:val="single"/>
        </w:rPr>
      </w:pPr>
      <w:r>
        <w:rPr>
          <w:rStyle w:val="13"/>
          <w:rFonts w:ascii="宋体" w:hAnsi="宋体"/>
          <w:color w:val="000000"/>
          <w:sz w:val="24"/>
        </w:rPr>
        <w:t>项目名称：</w:t>
      </w:r>
      <w:r>
        <w:rPr>
          <w:rStyle w:val="13"/>
          <w:rFonts w:ascii="宋体" w:hAnsi="宋体"/>
          <w:color w:val="000000"/>
          <w:sz w:val="24"/>
          <w:u w:val="single"/>
        </w:rPr>
        <w:t xml:space="preserve">                   </w:t>
      </w:r>
    </w:p>
    <w:p>
      <w:pPr>
        <w:spacing w:line="440" w:lineRule="exact"/>
        <w:jc w:val="center"/>
        <w:rPr>
          <w:rStyle w:val="13"/>
          <w:rFonts w:ascii="宋体" w:hAnsi="宋体"/>
          <w:color w:val="000000"/>
          <w:sz w:val="24"/>
        </w:rPr>
      </w:pPr>
    </w:p>
    <w:p>
      <w:pPr>
        <w:spacing w:line="440" w:lineRule="exact"/>
        <w:jc w:val="center"/>
        <w:rPr>
          <w:rStyle w:val="13"/>
          <w:rFonts w:ascii="宋体" w:hAnsi="宋体"/>
          <w:color w:val="000000"/>
          <w:sz w:val="24"/>
        </w:rPr>
      </w:pPr>
    </w:p>
    <w:p>
      <w:pPr>
        <w:spacing w:line="440" w:lineRule="exact"/>
        <w:jc w:val="center"/>
        <w:rPr>
          <w:rStyle w:val="13"/>
          <w:rFonts w:ascii="宋体" w:hAnsi="宋体"/>
          <w:color w:val="000000"/>
          <w:sz w:val="24"/>
        </w:rPr>
      </w:pPr>
    </w:p>
    <w:p>
      <w:pPr>
        <w:spacing w:line="440" w:lineRule="exact"/>
        <w:rPr>
          <w:rStyle w:val="13"/>
          <w:rFonts w:ascii="宋体" w:hAnsi="宋体"/>
          <w:color w:val="000000"/>
          <w:sz w:val="24"/>
          <w:u w:val="single"/>
        </w:rPr>
      </w:pPr>
      <w:r>
        <w:rPr>
          <w:rStyle w:val="13"/>
          <w:rFonts w:ascii="宋体" w:hAnsi="宋体"/>
          <w:color w:val="000000"/>
          <w:sz w:val="24"/>
        </w:rPr>
        <w:t>甲方：</w:t>
      </w:r>
      <w:r>
        <w:rPr>
          <w:rStyle w:val="13"/>
          <w:rFonts w:ascii="宋体" w:hAnsi="宋体"/>
          <w:color w:val="000000"/>
          <w:sz w:val="24"/>
          <w:u w:val="single"/>
        </w:rPr>
        <w:t xml:space="preserve">               </w:t>
      </w:r>
    </w:p>
    <w:p>
      <w:pPr>
        <w:spacing w:line="440" w:lineRule="exact"/>
        <w:jc w:val="center"/>
        <w:rPr>
          <w:rStyle w:val="13"/>
          <w:rFonts w:ascii="宋体" w:hAnsi="宋体"/>
          <w:color w:val="000000"/>
          <w:sz w:val="24"/>
        </w:rPr>
      </w:pPr>
    </w:p>
    <w:p>
      <w:pPr>
        <w:spacing w:line="440" w:lineRule="exact"/>
        <w:rPr>
          <w:rStyle w:val="13"/>
          <w:rFonts w:ascii="宋体" w:hAnsi="宋体"/>
          <w:color w:val="000000"/>
          <w:sz w:val="24"/>
          <w:u w:val="single"/>
        </w:rPr>
      </w:pPr>
      <w:r>
        <w:rPr>
          <w:rStyle w:val="13"/>
          <w:rFonts w:ascii="宋体" w:hAnsi="宋体"/>
          <w:color w:val="000000"/>
          <w:sz w:val="24"/>
        </w:rPr>
        <w:t>乙方：</w:t>
      </w:r>
      <w:r>
        <w:rPr>
          <w:rStyle w:val="13"/>
          <w:rFonts w:ascii="宋体" w:hAnsi="宋体"/>
          <w:color w:val="000000"/>
          <w:sz w:val="24"/>
          <w:u w:val="single"/>
        </w:rPr>
        <w:t xml:space="preserve">                  </w:t>
      </w:r>
    </w:p>
    <w:p>
      <w:pPr>
        <w:spacing w:line="440" w:lineRule="exact"/>
        <w:jc w:val="center"/>
        <w:rPr>
          <w:rStyle w:val="13"/>
          <w:rFonts w:ascii="宋体" w:hAnsi="宋体"/>
          <w:color w:val="000000"/>
          <w:sz w:val="24"/>
        </w:rPr>
      </w:pPr>
    </w:p>
    <w:p>
      <w:pPr>
        <w:spacing w:line="440" w:lineRule="exact"/>
        <w:rPr>
          <w:rStyle w:val="13"/>
          <w:rFonts w:ascii="宋体" w:hAnsi="宋体"/>
          <w:color w:val="000000"/>
          <w:sz w:val="24"/>
          <w:u w:val="single"/>
        </w:rPr>
      </w:pPr>
      <w:r>
        <w:rPr>
          <w:rStyle w:val="13"/>
          <w:rFonts w:ascii="宋体" w:hAnsi="宋体"/>
          <w:color w:val="000000"/>
          <w:sz w:val="24"/>
        </w:rPr>
        <w:t>签订地：</w:t>
      </w:r>
      <w:r>
        <w:rPr>
          <w:rStyle w:val="13"/>
          <w:rFonts w:ascii="宋体" w:hAnsi="宋体"/>
          <w:color w:val="000000"/>
          <w:sz w:val="24"/>
          <w:u w:val="single"/>
        </w:rPr>
        <w:t xml:space="preserve">                    </w:t>
      </w:r>
    </w:p>
    <w:p>
      <w:pPr>
        <w:spacing w:line="440" w:lineRule="exact"/>
        <w:jc w:val="center"/>
        <w:rPr>
          <w:rStyle w:val="13"/>
          <w:rFonts w:ascii="宋体" w:hAnsi="宋体"/>
          <w:color w:val="000000"/>
          <w:sz w:val="24"/>
        </w:rPr>
      </w:pPr>
    </w:p>
    <w:p>
      <w:pPr>
        <w:spacing w:line="440" w:lineRule="exact"/>
        <w:rPr>
          <w:rStyle w:val="13"/>
          <w:rFonts w:ascii="宋体" w:hAnsi="宋体"/>
          <w:color w:val="000000"/>
          <w:sz w:val="24"/>
        </w:rPr>
      </w:pPr>
      <w:r>
        <w:rPr>
          <w:rStyle w:val="13"/>
          <w:rFonts w:ascii="宋体" w:hAnsi="宋体"/>
          <w:color w:val="000000"/>
          <w:sz w:val="24"/>
        </w:rPr>
        <w:t>签订日期：               年       月       日</w:t>
      </w:r>
    </w:p>
    <w:p>
      <w:pPr>
        <w:spacing w:line="440" w:lineRule="exact"/>
        <w:jc w:val="center"/>
        <w:rPr>
          <w:rStyle w:val="13"/>
          <w:rFonts w:ascii="宋体" w:hAnsi="宋体"/>
          <w:color w:val="000000"/>
          <w:sz w:val="24"/>
        </w:rPr>
        <w:sectPr>
          <w:footerReference r:id="rId7" w:type="default"/>
          <w:pgSz w:w="11907" w:h="16840"/>
          <w:pgMar w:top="1474" w:right="1814" w:bottom="1474" w:left="1814" w:header="851" w:footer="851" w:gutter="0"/>
          <w:pgNumType w:start="1"/>
          <w:cols w:space="425" w:num="1"/>
          <w:docGrid w:linePitch="462" w:charSpace="0"/>
        </w:sectPr>
      </w:pPr>
    </w:p>
    <w:p>
      <w:pPr>
        <w:spacing w:line="440" w:lineRule="exact"/>
        <w:jc w:val="center"/>
        <w:rPr>
          <w:rStyle w:val="13"/>
          <w:rFonts w:ascii="宋体" w:hAnsi="宋体"/>
          <w:color w:val="000000"/>
          <w:sz w:val="24"/>
        </w:rPr>
      </w:pPr>
      <w:r>
        <w:rPr>
          <w:rStyle w:val="13"/>
          <w:rFonts w:ascii="宋体" w:hAnsi="宋体"/>
          <w:color w:val="000000"/>
          <w:sz w:val="24"/>
          <w:lang w:val="zh-CN"/>
        </w:rPr>
        <w:t xml:space="preserve">        年    月    日</w:t>
      </w:r>
      <w:r>
        <w:rPr>
          <w:rStyle w:val="13"/>
          <w:rFonts w:ascii="宋体" w:hAnsi="宋体"/>
          <w:color w:val="000000"/>
          <w:sz w:val="24"/>
        </w:rPr>
        <w:t>，   （采购人名称）   以   （政府采购方式）  对   （同前页项目名称）   项目进行了采购。经   （相关评定主体名称）   评定，   （中标供应商名称）为该项目中标供应商。现于中标通知书发出之日起7个工作日内，按照采购文件确定的事项签订本合同。</w:t>
      </w:r>
    </w:p>
    <w:p>
      <w:pPr>
        <w:spacing w:line="440" w:lineRule="exact"/>
        <w:rPr>
          <w:rStyle w:val="13"/>
          <w:rFonts w:ascii="宋体" w:hAnsi="宋体"/>
          <w:color w:val="000000"/>
          <w:sz w:val="24"/>
        </w:rPr>
      </w:pPr>
      <w:r>
        <w:rPr>
          <w:rStyle w:val="13"/>
          <w:rFonts w:ascii="宋体" w:hAnsi="宋体"/>
          <w:color w:val="000000"/>
          <w:sz w:val="24"/>
          <w:lang w:val="zh-CN"/>
        </w:rPr>
        <w:t>根据《中华人民共和国合同法》、《中华人民共和国政府采购法》等相关法律法规之规定，按照平等、自愿、公平和诚实信用的原则，经</w:t>
      </w:r>
      <w:r>
        <w:rPr>
          <w:rStyle w:val="13"/>
          <w:rFonts w:ascii="宋体" w:hAnsi="宋体"/>
          <w:color w:val="000000"/>
          <w:sz w:val="24"/>
        </w:rPr>
        <w:t xml:space="preserve">   （采购人名称）   </w:t>
      </w:r>
      <w:r>
        <w:rPr>
          <w:rStyle w:val="13"/>
          <w:rFonts w:ascii="宋体" w:hAnsi="宋体"/>
          <w:color w:val="000000"/>
          <w:sz w:val="24"/>
          <w:lang w:val="zh-CN"/>
        </w:rPr>
        <w:t>(以下简称：甲方)和</w:t>
      </w:r>
      <w:r>
        <w:rPr>
          <w:rStyle w:val="13"/>
          <w:rFonts w:ascii="宋体" w:hAnsi="宋体"/>
          <w:color w:val="000000"/>
          <w:sz w:val="24"/>
        </w:rPr>
        <w:t xml:space="preserve">   （中标供应商名称）   </w:t>
      </w:r>
      <w:r>
        <w:rPr>
          <w:rStyle w:val="13"/>
          <w:rFonts w:ascii="宋体" w:hAnsi="宋体"/>
          <w:color w:val="000000"/>
          <w:sz w:val="24"/>
          <w:lang w:val="zh-CN"/>
        </w:rPr>
        <w:t>(以下简称：乙方)协商一致，约定以下合同</w:t>
      </w:r>
      <w:r>
        <w:rPr>
          <w:rStyle w:val="13"/>
          <w:rFonts w:ascii="宋体" w:hAnsi="宋体"/>
          <w:color w:val="000000"/>
          <w:sz w:val="24"/>
        </w:rPr>
        <w:t>条款，以兹共同遵守、全面履行。</w:t>
      </w:r>
    </w:p>
    <w:p>
      <w:pPr>
        <w:spacing w:line="440" w:lineRule="exact"/>
        <w:rPr>
          <w:rStyle w:val="13"/>
          <w:rFonts w:ascii="宋体" w:hAnsi="宋体"/>
          <w:color w:val="000000"/>
          <w:sz w:val="24"/>
        </w:rPr>
      </w:pPr>
      <w:r>
        <w:rPr>
          <w:rStyle w:val="13"/>
          <w:rFonts w:ascii="宋体" w:hAnsi="宋体"/>
          <w:color w:val="000000"/>
          <w:sz w:val="24"/>
        </w:rPr>
        <w:t>1.1 合同组成部分</w:t>
      </w:r>
    </w:p>
    <w:p>
      <w:pPr>
        <w:spacing w:line="440" w:lineRule="exact"/>
        <w:rPr>
          <w:rStyle w:val="13"/>
          <w:rFonts w:ascii="宋体" w:hAnsi="宋体"/>
          <w:color w:val="000000"/>
          <w:sz w:val="24"/>
        </w:rPr>
      </w:pPr>
      <w:r>
        <w:rPr>
          <w:rStyle w:val="13"/>
          <w:rFonts w:ascii="宋体" w:hAnsi="宋体"/>
          <w:color w:val="000000"/>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440" w:lineRule="exact"/>
        <w:rPr>
          <w:rStyle w:val="13"/>
          <w:rFonts w:ascii="宋体" w:hAnsi="宋体"/>
          <w:color w:val="000000"/>
          <w:sz w:val="24"/>
        </w:rPr>
      </w:pPr>
      <w:r>
        <w:rPr>
          <w:rStyle w:val="13"/>
          <w:rFonts w:ascii="宋体" w:hAnsi="宋体"/>
          <w:color w:val="000000"/>
          <w:sz w:val="24"/>
        </w:rPr>
        <w:t>1.1.1 本合同及其补充合同、变更协议；</w:t>
      </w:r>
    </w:p>
    <w:p>
      <w:pPr>
        <w:spacing w:line="440" w:lineRule="exact"/>
        <w:rPr>
          <w:rStyle w:val="13"/>
          <w:rFonts w:ascii="宋体" w:hAnsi="宋体"/>
          <w:color w:val="000000"/>
          <w:sz w:val="24"/>
        </w:rPr>
      </w:pPr>
      <w:r>
        <w:rPr>
          <w:rStyle w:val="13"/>
          <w:rFonts w:ascii="宋体" w:hAnsi="宋体"/>
          <w:color w:val="000000"/>
          <w:sz w:val="24"/>
        </w:rPr>
        <w:t>1.1.2 中标通知书；</w:t>
      </w:r>
    </w:p>
    <w:p>
      <w:pPr>
        <w:spacing w:line="440" w:lineRule="exact"/>
        <w:rPr>
          <w:rStyle w:val="13"/>
          <w:rFonts w:ascii="宋体" w:hAnsi="宋体"/>
          <w:color w:val="000000"/>
          <w:sz w:val="24"/>
        </w:rPr>
      </w:pPr>
      <w:r>
        <w:rPr>
          <w:rStyle w:val="13"/>
          <w:rFonts w:ascii="宋体" w:hAnsi="宋体"/>
          <w:color w:val="000000"/>
          <w:sz w:val="24"/>
        </w:rPr>
        <w:t>1.1.3 投标文件（含澄清或者说明文件）；</w:t>
      </w:r>
    </w:p>
    <w:p>
      <w:pPr>
        <w:spacing w:line="440" w:lineRule="exact"/>
        <w:rPr>
          <w:rStyle w:val="13"/>
          <w:rFonts w:ascii="宋体" w:hAnsi="宋体"/>
          <w:color w:val="000000"/>
          <w:sz w:val="24"/>
        </w:rPr>
      </w:pPr>
      <w:r>
        <w:rPr>
          <w:rStyle w:val="13"/>
          <w:rFonts w:ascii="宋体" w:hAnsi="宋体"/>
          <w:color w:val="000000"/>
          <w:sz w:val="24"/>
        </w:rPr>
        <w:t>1.1.4 招标文件（含澄清或者修改文件）；</w:t>
      </w:r>
    </w:p>
    <w:p>
      <w:pPr>
        <w:spacing w:line="440" w:lineRule="exact"/>
        <w:rPr>
          <w:rStyle w:val="13"/>
          <w:rFonts w:ascii="宋体" w:hAnsi="宋体"/>
          <w:color w:val="000000"/>
          <w:sz w:val="24"/>
        </w:rPr>
      </w:pPr>
      <w:r>
        <w:rPr>
          <w:rStyle w:val="13"/>
          <w:rFonts w:ascii="宋体" w:hAnsi="宋体"/>
          <w:color w:val="000000"/>
          <w:sz w:val="24"/>
        </w:rPr>
        <w:t>1.1.5 其他相关采购文件。</w:t>
      </w:r>
    </w:p>
    <w:p>
      <w:pPr>
        <w:spacing w:line="440" w:lineRule="exact"/>
        <w:rPr>
          <w:rStyle w:val="13"/>
          <w:rFonts w:ascii="宋体" w:hAnsi="宋体"/>
          <w:color w:val="000000"/>
          <w:sz w:val="24"/>
        </w:rPr>
      </w:pPr>
      <w:r>
        <w:rPr>
          <w:rStyle w:val="13"/>
          <w:rFonts w:ascii="宋体" w:hAnsi="宋体"/>
          <w:color w:val="000000"/>
          <w:sz w:val="24"/>
        </w:rPr>
        <w:t>1.2 货物</w:t>
      </w:r>
    </w:p>
    <w:p>
      <w:pPr>
        <w:spacing w:line="440" w:lineRule="exact"/>
        <w:rPr>
          <w:rStyle w:val="13"/>
          <w:rFonts w:ascii="宋体" w:hAnsi="宋体"/>
          <w:color w:val="000000"/>
          <w:sz w:val="24"/>
        </w:rPr>
      </w:pPr>
      <w:r>
        <w:rPr>
          <w:rStyle w:val="13"/>
          <w:rFonts w:ascii="宋体" w:hAnsi="宋体"/>
          <w:color w:val="000000"/>
          <w:sz w:val="24"/>
        </w:rPr>
        <w:t>1.2.1 货物名称：                                                ；</w:t>
      </w:r>
    </w:p>
    <w:p>
      <w:pPr>
        <w:spacing w:line="440" w:lineRule="exact"/>
        <w:rPr>
          <w:rStyle w:val="13"/>
          <w:rFonts w:ascii="宋体" w:hAnsi="宋体"/>
          <w:color w:val="000000"/>
          <w:sz w:val="24"/>
        </w:rPr>
      </w:pPr>
      <w:r>
        <w:rPr>
          <w:rStyle w:val="13"/>
          <w:rFonts w:ascii="宋体" w:hAnsi="宋体"/>
          <w:color w:val="000000"/>
          <w:sz w:val="24"/>
        </w:rPr>
        <w:t>1.2.2 货物数量：                                                ；</w:t>
      </w:r>
    </w:p>
    <w:p>
      <w:pPr>
        <w:spacing w:line="440" w:lineRule="exact"/>
        <w:rPr>
          <w:rStyle w:val="13"/>
          <w:rFonts w:ascii="宋体" w:hAnsi="宋体"/>
          <w:color w:val="000000"/>
          <w:sz w:val="24"/>
        </w:rPr>
      </w:pPr>
      <w:r>
        <w:rPr>
          <w:rStyle w:val="13"/>
          <w:rFonts w:ascii="宋体" w:hAnsi="宋体"/>
          <w:color w:val="000000"/>
          <w:sz w:val="24"/>
        </w:rPr>
        <w:t>1.2.3 货物质量：　　　　　　　　　                      　      。</w:t>
      </w:r>
    </w:p>
    <w:p>
      <w:pPr>
        <w:spacing w:line="440" w:lineRule="exact"/>
        <w:rPr>
          <w:rStyle w:val="13"/>
          <w:rFonts w:ascii="宋体" w:hAnsi="宋体"/>
          <w:color w:val="000000"/>
          <w:sz w:val="24"/>
        </w:rPr>
      </w:pPr>
      <w:r>
        <w:rPr>
          <w:rStyle w:val="13"/>
          <w:rFonts w:ascii="宋体" w:hAnsi="宋体"/>
          <w:color w:val="000000"/>
          <w:sz w:val="24"/>
        </w:rPr>
        <w:t>1.3 价款</w:t>
      </w:r>
    </w:p>
    <w:p>
      <w:pPr>
        <w:spacing w:line="440" w:lineRule="exact"/>
        <w:rPr>
          <w:rStyle w:val="13"/>
          <w:rFonts w:ascii="宋体" w:hAnsi="宋体"/>
          <w:color w:val="000000"/>
          <w:sz w:val="24"/>
        </w:rPr>
      </w:pPr>
      <w:r>
        <w:rPr>
          <w:rStyle w:val="13"/>
          <w:rFonts w:ascii="宋体" w:hAnsi="宋体"/>
          <w:color w:val="000000"/>
          <w:sz w:val="24"/>
        </w:rPr>
        <w:t>本合同总价为：￥           元（大写：                 元人民币）。</w:t>
      </w:r>
    </w:p>
    <w:p>
      <w:pPr>
        <w:spacing w:line="440" w:lineRule="exact"/>
        <w:rPr>
          <w:rStyle w:val="13"/>
          <w:color w:val="000000"/>
        </w:rPr>
      </w:pPr>
      <w:r>
        <w:rPr>
          <w:rStyle w:val="13"/>
          <w:rFonts w:ascii="宋体" w:hAnsi="宋体"/>
          <w:color w:val="000000"/>
          <w:sz w:val="24"/>
        </w:rPr>
        <w:t>分项价格及参数：</w:t>
      </w:r>
    </w:p>
    <w:tbl>
      <w:tblPr>
        <w:tblStyle w:val="10"/>
        <w:tblW w:w="924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2"/>
        <w:gridCol w:w="555"/>
        <w:gridCol w:w="1106"/>
        <w:gridCol w:w="409"/>
        <w:gridCol w:w="495"/>
        <w:gridCol w:w="547"/>
        <w:gridCol w:w="914"/>
        <w:gridCol w:w="818"/>
        <w:gridCol w:w="736"/>
        <w:gridCol w:w="437"/>
        <w:gridCol w:w="681"/>
        <w:gridCol w:w="723"/>
        <w:gridCol w:w="736"/>
        <w:gridCol w:w="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3"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3"/>
                <w:rFonts w:ascii="宋体" w:hAnsi="宋体"/>
                <w:color w:val="000000"/>
                <w:sz w:val="24"/>
              </w:rPr>
            </w:pPr>
            <w:r>
              <w:rPr>
                <w:rStyle w:val="13"/>
                <w:rFonts w:ascii="宋体" w:hAnsi="宋体"/>
                <w:b/>
                <w:color w:val="000000"/>
                <w:kern w:val="0"/>
                <w:sz w:val="20"/>
                <w:szCs w:val="20"/>
              </w:rPr>
              <w:t>序号</w:t>
            </w:r>
          </w:p>
        </w:tc>
        <w:tc>
          <w:tcPr>
            <w:tcW w:w="5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3"/>
                <w:rFonts w:ascii="宋体" w:hAnsi="宋体"/>
                <w:color w:val="000000"/>
                <w:sz w:val="24"/>
              </w:rPr>
            </w:pPr>
            <w:r>
              <w:rPr>
                <w:rStyle w:val="13"/>
                <w:rFonts w:ascii="宋体" w:hAnsi="宋体"/>
                <w:b/>
                <w:color w:val="000000"/>
                <w:kern w:val="0"/>
                <w:sz w:val="20"/>
                <w:szCs w:val="20"/>
              </w:rPr>
              <w:t>名称</w:t>
            </w:r>
          </w:p>
        </w:tc>
        <w:tc>
          <w:tcPr>
            <w:tcW w:w="110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3"/>
                <w:rFonts w:ascii="宋体" w:hAnsi="宋体"/>
                <w:color w:val="000000"/>
                <w:sz w:val="24"/>
              </w:rPr>
            </w:pPr>
            <w:r>
              <w:rPr>
                <w:rStyle w:val="13"/>
                <w:rFonts w:ascii="宋体" w:hAnsi="宋体"/>
                <w:b/>
                <w:color w:val="000000"/>
                <w:kern w:val="0"/>
                <w:sz w:val="20"/>
                <w:szCs w:val="20"/>
              </w:rPr>
              <w:t>安装（交付）地点</w:t>
            </w:r>
          </w:p>
        </w:tc>
        <w:tc>
          <w:tcPr>
            <w:tcW w:w="40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3"/>
                <w:rFonts w:ascii="宋体" w:hAnsi="宋体"/>
                <w:color w:val="000000"/>
                <w:sz w:val="24"/>
              </w:rPr>
            </w:pPr>
            <w:r>
              <w:rPr>
                <w:rStyle w:val="13"/>
                <w:rFonts w:ascii="宋体" w:hAnsi="宋体"/>
                <w:b/>
                <w:color w:val="000000"/>
                <w:kern w:val="0"/>
                <w:sz w:val="20"/>
                <w:szCs w:val="20"/>
              </w:rPr>
              <w:t>数量</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3"/>
                <w:rFonts w:ascii="宋体" w:hAnsi="宋体"/>
                <w:color w:val="000000"/>
                <w:sz w:val="24"/>
              </w:rPr>
            </w:pPr>
            <w:r>
              <w:rPr>
                <w:rStyle w:val="13"/>
                <w:rFonts w:ascii="宋体" w:hAnsi="宋体"/>
                <w:b/>
                <w:color w:val="000000"/>
                <w:kern w:val="0"/>
                <w:sz w:val="20"/>
                <w:szCs w:val="20"/>
              </w:rPr>
              <w:t>单位</w:t>
            </w:r>
          </w:p>
        </w:tc>
        <w:tc>
          <w:tcPr>
            <w:tcW w:w="54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3"/>
                <w:rFonts w:ascii="宋体" w:hAnsi="宋体"/>
                <w:color w:val="000000"/>
                <w:sz w:val="24"/>
              </w:rPr>
            </w:pPr>
            <w:r>
              <w:rPr>
                <w:rStyle w:val="13"/>
                <w:rFonts w:ascii="宋体" w:hAnsi="宋体"/>
                <w:b/>
                <w:color w:val="000000"/>
                <w:kern w:val="0"/>
                <w:sz w:val="20"/>
                <w:szCs w:val="20"/>
              </w:rPr>
              <w:t>规格</w:t>
            </w:r>
          </w:p>
        </w:tc>
        <w:tc>
          <w:tcPr>
            <w:tcW w:w="9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3"/>
                <w:rFonts w:ascii="宋体" w:hAnsi="宋体"/>
                <w:color w:val="000000"/>
                <w:sz w:val="24"/>
              </w:rPr>
            </w:pPr>
            <w:r>
              <w:rPr>
                <w:rStyle w:val="13"/>
                <w:rFonts w:ascii="宋体" w:hAnsi="宋体"/>
                <w:b/>
                <w:color w:val="000000"/>
                <w:kern w:val="0"/>
                <w:sz w:val="20"/>
                <w:szCs w:val="20"/>
              </w:rPr>
              <w:t>单价（元）</w:t>
            </w:r>
          </w:p>
        </w:tc>
        <w:tc>
          <w:tcPr>
            <w:tcW w:w="81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3"/>
                <w:rFonts w:ascii="宋体" w:hAnsi="宋体"/>
                <w:color w:val="000000"/>
                <w:sz w:val="24"/>
              </w:rPr>
            </w:pPr>
            <w:r>
              <w:rPr>
                <w:rStyle w:val="13"/>
                <w:rFonts w:ascii="宋体" w:hAnsi="宋体"/>
                <w:b/>
                <w:color w:val="000000"/>
                <w:kern w:val="0"/>
                <w:sz w:val="20"/>
                <w:szCs w:val="20"/>
              </w:rPr>
              <w:t>合计（元）</w:t>
            </w:r>
          </w:p>
        </w:tc>
        <w:tc>
          <w:tcPr>
            <w:tcW w:w="7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3"/>
                <w:rFonts w:ascii="宋体" w:hAnsi="宋体"/>
                <w:color w:val="000000"/>
                <w:sz w:val="24"/>
              </w:rPr>
            </w:pPr>
            <w:r>
              <w:rPr>
                <w:rStyle w:val="13"/>
                <w:rFonts w:ascii="宋体" w:hAnsi="宋体"/>
                <w:color w:val="000000"/>
                <w:sz w:val="24"/>
              </w:rPr>
              <w:t>品牌</w:t>
            </w:r>
          </w:p>
        </w:tc>
        <w:tc>
          <w:tcPr>
            <w:tcW w:w="43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3"/>
                <w:rFonts w:ascii="宋体" w:hAnsi="宋体"/>
                <w:b/>
                <w:color w:val="000000"/>
                <w:kern w:val="0"/>
                <w:sz w:val="20"/>
                <w:szCs w:val="20"/>
              </w:rPr>
            </w:pPr>
            <w:r>
              <w:rPr>
                <w:rStyle w:val="13"/>
                <w:rFonts w:ascii="宋体" w:hAnsi="宋体"/>
                <w:b/>
                <w:color w:val="000000"/>
                <w:kern w:val="0"/>
                <w:sz w:val="20"/>
                <w:szCs w:val="20"/>
              </w:rPr>
              <w:t>产地</w:t>
            </w:r>
          </w:p>
        </w:tc>
        <w:tc>
          <w:tcPr>
            <w:tcW w:w="68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3"/>
                <w:rFonts w:ascii="宋体" w:hAnsi="宋体"/>
                <w:b/>
                <w:color w:val="000000"/>
                <w:kern w:val="0"/>
                <w:sz w:val="20"/>
                <w:szCs w:val="20"/>
              </w:rPr>
            </w:pPr>
            <w:r>
              <w:rPr>
                <w:rStyle w:val="13"/>
                <w:rFonts w:ascii="宋体" w:hAnsi="宋体"/>
                <w:b/>
                <w:color w:val="000000"/>
                <w:kern w:val="0"/>
                <w:sz w:val="20"/>
                <w:szCs w:val="20"/>
              </w:rPr>
              <w:t>交货期</w:t>
            </w:r>
          </w:p>
        </w:tc>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3"/>
                <w:rFonts w:ascii="宋体" w:hAnsi="宋体"/>
                <w:b/>
                <w:color w:val="000000"/>
                <w:kern w:val="0"/>
                <w:sz w:val="20"/>
                <w:szCs w:val="20"/>
              </w:rPr>
            </w:pPr>
            <w:r>
              <w:rPr>
                <w:rStyle w:val="13"/>
                <w:rFonts w:ascii="宋体" w:hAnsi="宋体"/>
                <w:b/>
                <w:color w:val="000000"/>
                <w:kern w:val="0"/>
                <w:sz w:val="20"/>
                <w:szCs w:val="20"/>
              </w:rPr>
              <w:t>质保期</w:t>
            </w:r>
          </w:p>
        </w:tc>
        <w:tc>
          <w:tcPr>
            <w:tcW w:w="7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3"/>
                <w:rFonts w:ascii="宋体" w:hAnsi="宋体"/>
                <w:b/>
                <w:color w:val="000000"/>
                <w:kern w:val="0"/>
                <w:sz w:val="20"/>
                <w:szCs w:val="20"/>
              </w:rPr>
            </w:pPr>
            <w:r>
              <w:rPr>
                <w:rStyle w:val="13"/>
                <w:rFonts w:ascii="宋体" w:hAnsi="宋体"/>
                <w:b/>
                <w:color w:val="000000"/>
                <w:kern w:val="0"/>
                <w:sz w:val="20"/>
                <w:szCs w:val="20"/>
              </w:rPr>
              <w:t>备注</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3"/>
                <w:rFonts w:ascii="宋体" w:hAnsi="宋体"/>
                <w:b/>
                <w:color w:val="000000"/>
                <w:kern w:val="0"/>
                <w:sz w:val="20"/>
                <w:szCs w:val="20"/>
              </w:rPr>
            </w:pPr>
            <w:r>
              <w:rPr>
                <w:rStyle w:val="13"/>
                <w:rFonts w:ascii="宋体" w:hAnsi="宋体"/>
                <w:b/>
                <w:color w:val="000000"/>
                <w:kern w:val="0"/>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1"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rPr>
                <w:rStyle w:val="13"/>
                <w:rFonts w:ascii="宋体" w:hAnsi="宋体"/>
                <w:color w:val="000000"/>
                <w:sz w:val="24"/>
              </w:rPr>
            </w:pPr>
          </w:p>
        </w:tc>
        <w:tc>
          <w:tcPr>
            <w:tcW w:w="555" w:type="dxa"/>
            <w:tcBorders>
              <w:top w:val="single" w:color="000000" w:sz="4" w:space="0"/>
              <w:left w:val="single" w:color="000000" w:sz="4" w:space="0"/>
              <w:bottom w:val="single" w:color="000000" w:sz="4" w:space="0"/>
              <w:right w:val="single" w:color="000000" w:sz="4" w:space="0"/>
            </w:tcBorders>
            <w:vAlign w:val="center"/>
          </w:tcPr>
          <w:p>
            <w:pPr>
              <w:rPr>
                <w:rStyle w:val="13"/>
                <w:rFonts w:ascii="宋体" w:hAnsi="宋体"/>
                <w:color w:val="000000"/>
                <w:sz w:val="24"/>
              </w:rPr>
            </w:pPr>
          </w:p>
        </w:tc>
        <w:tc>
          <w:tcPr>
            <w:tcW w:w="1106" w:type="dxa"/>
            <w:tcBorders>
              <w:top w:val="single" w:color="000000" w:sz="4" w:space="0"/>
              <w:left w:val="single" w:color="000000" w:sz="4" w:space="0"/>
              <w:bottom w:val="single" w:color="000000" w:sz="4" w:space="0"/>
              <w:right w:val="single" w:color="000000" w:sz="4" w:space="0"/>
            </w:tcBorders>
            <w:vAlign w:val="center"/>
          </w:tcPr>
          <w:p>
            <w:pPr>
              <w:rPr>
                <w:rStyle w:val="13"/>
                <w:rFonts w:ascii="宋体" w:hAnsi="宋体"/>
                <w:color w:val="000000"/>
                <w:sz w:val="24"/>
              </w:rPr>
            </w:pPr>
          </w:p>
        </w:tc>
        <w:tc>
          <w:tcPr>
            <w:tcW w:w="409" w:type="dxa"/>
            <w:tcBorders>
              <w:top w:val="single" w:color="000000" w:sz="4" w:space="0"/>
              <w:left w:val="single" w:color="000000" w:sz="4" w:space="0"/>
              <w:bottom w:val="single" w:color="000000" w:sz="4" w:space="0"/>
              <w:right w:val="single" w:color="000000" w:sz="4" w:space="0"/>
            </w:tcBorders>
            <w:vAlign w:val="center"/>
          </w:tcPr>
          <w:p>
            <w:pPr>
              <w:rPr>
                <w:rStyle w:val="13"/>
                <w:rFonts w:ascii="宋体" w:hAnsi="宋体"/>
                <w:color w:val="000000"/>
                <w:sz w:val="24"/>
              </w:rPr>
            </w:pPr>
          </w:p>
        </w:tc>
        <w:tc>
          <w:tcPr>
            <w:tcW w:w="495" w:type="dxa"/>
            <w:tcBorders>
              <w:top w:val="single" w:color="000000" w:sz="4" w:space="0"/>
              <w:left w:val="single" w:color="000000" w:sz="4" w:space="0"/>
              <w:bottom w:val="single" w:color="000000" w:sz="4" w:space="0"/>
              <w:right w:val="single" w:color="000000" w:sz="4" w:space="0"/>
            </w:tcBorders>
            <w:vAlign w:val="center"/>
          </w:tcPr>
          <w:p>
            <w:pPr>
              <w:rPr>
                <w:rStyle w:val="13"/>
                <w:rFonts w:ascii="宋体" w:hAnsi="宋体"/>
                <w:color w:val="000000"/>
                <w:sz w:val="24"/>
              </w:rPr>
            </w:pPr>
          </w:p>
        </w:tc>
        <w:tc>
          <w:tcPr>
            <w:tcW w:w="547" w:type="dxa"/>
            <w:tcBorders>
              <w:top w:val="single" w:color="000000" w:sz="4" w:space="0"/>
              <w:left w:val="single" w:color="000000" w:sz="4" w:space="0"/>
              <w:bottom w:val="single" w:color="000000" w:sz="4" w:space="0"/>
              <w:right w:val="single" w:color="000000" w:sz="4" w:space="0"/>
            </w:tcBorders>
            <w:vAlign w:val="center"/>
          </w:tcPr>
          <w:p>
            <w:pPr>
              <w:rPr>
                <w:rStyle w:val="13"/>
                <w:rFonts w:ascii="宋体" w:hAnsi="宋体"/>
                <w:color w:val="000000"/>
                <w:sz w:val="24"/>
              </w:rPr>
            </w:pPr>
          </w:p>
        </w:tc>
        <w:tc>
          <w:tcPr>
            <w:tcW w:w="914" w:type="dxa"/>
            <w:tcBorders>
              <w:top w:val="single" w:color="000000" w:sz="4" w:space="0"/>
              <w:left w:val="single" w:color="000000" w:sz="4" w:space="0"/>
              <w:bottom w:val="single" w:color="000000" w:sz="4" w:space="0"/>
              <w:right w:val="single" w:color="000000" w:sz="4" w:space="0"/>
            </w:tcBorders>
            <w:vAlign w:val="center"/>
          </w:tcPr>
          <w:p>
            <w:pPr>
              <w:rPr>
                <w:rStyle w:val="13"/>
                <w:rFonts w:ascii="宋体" w:hAnsi="宋体"/>
                <w:color w:val="000000"/>
                <w:sz w:val="24"/>
              </w:rPr>
            </w:pPr>
          </w:p>
        </w:tc>
        <w:tc>
          <w:tcPr>
            <w:tcW w:w="818" w:type="dxa"/>
            <w:tcBorders>
              <w:top w:val="single" w:color="000000" w:sz="4" w:space="0"/>
              <w:left w:val="single" w:color="000000" w:sz="4" w:space="0"/>
              <w:bottom w:val="single" w:color="000000" w:sz="4" w:space="0"/>
              <w:right w:val="single" w:color="000000" w:sz="4" w:space="0"/>
            </w:tcBorders>
            <w:vAlign w:val="center"/>
          </w:tcPr>
          <w:p>
            <w:pPr>
              <w:rPr>
                <w:rStyle w:val="13"/>
                <w:rFonts w:ascii="宋体" w:hAnsi="宋体"/>
                <w:color w:val="000000"/>
                <w:sz w:val="24"/>
              </w:rPr>
            </w:pPr>
          </w:p>
        </w:tc>
        <w:tc>
          <w:tcPr>
            <w:tcW w:w="736" w:type="dxa"/>
            <w:tcBorders>
              <w:top w:val="single" w:color="000000" w:sz="4" w:space="0"/>
              <w:left w:val="single" w:color="000000" w:sz="4" w:space="0"/>
              <w:bottom w:val="single" w:color="000000" w:sz="4" w:space="0"/>
              <w:right w:val="single" w:color="000000" w:sz="4" w:space="0"/>
            </w:tcBorders>
            <w:vAlign w:val="center"/>
          </w:tcPr>
          <w:p>
            <w:pPr>
              <w:rPr>
                <w:rStyle w:val="13"/>
                <w:rFonts w:ascii="宋体" w:hAnsi="宋体"/>
                <w:color w:val="000000"/>
                <w:sz w:val="24"/>
              </w:rPr>
            </w:pPr>
          </w:p>
        </w:tc>
        <w:tc>
          <w:tcPr>
            <w:tcW w:w="437" w:type="dxa"/>
            <w:tcBorders>
              <w:top w:val="single" w:color="000000" w:sz="4" w:space="0"/>
              <w:left w:val="single" w:color="000000" w:sz="4" w:space="0"/>
              <w:bottom w:val="single" w:color="000000" w:sz="4" w:space="0"/>
              <w:right w:val="single" w:color="000000" w:sz="4" w:space="0"/>
            </w:tcBorders>
            <w:vAlign w:val="center"/>
          </w:tcPr>
          <w:p>
            <w:pPr>
              <w:rPr>
                <w:rStyle w:val="13"/>
                <w:rFonts w:ascii="宋体" w:hAnsi="宋体"/>
                <w:color w:val="000000"/>
                <w:sz w:val="24"/>
              </w:rPr>
            </w:pPr>
          </w:p>
        </w:tc>
        <w:tc>
          <w:tcPr>
            <w:tcW w:w="681" w:type="dxa"/>
            <w:tcBorders>
              <w:top w:val="single" w:color="000000" w:sz="4" w:space="0"/>
              <w:left w:val="single" w:color="000000" w:sz="4" w:space="0"/>
              <w:bottom w:val="single" w:color="000000" w:sz="4" w:space="0"/>
              <w:right w:val="single" w:color="000000" w:sz="4" w:space="0"/>
            </w:tcBorders>
            <w:vAlign w:val="center"/>
          </w:tcPr>
          <w:p>
            <w:pPr>
              <w:rPr>
                <w:rStyle w:val="13"/>
                <w:rFonts w:ascii="宋体" w:hAnsi="宋体"/>
                <w:color w:val="000000"/>
                <w:sz w:val="24"/>
              </w:rPr>
            </w:pPr>
          </w:p>
        </w:tc>
        <w:tc>
          <w:tcPr>
            <w:tcW w:w="723" w:type="dxa"/>
            <w:tcBorders>
              <w:top w:val="single" w:color="000000" w:sz="4" w:space="0"/>
              <w:left w:val="single" w:color="000000" w:sz="4" w:space="0"/>
              <w:bottom w:val="single" w:color="000000" w:sz="4" w:space="0"/>
              <w:right w:val="single" w:color="000000" w:sz="4" w:space="0"/>
            </w:tcBorders>
            <w:vAlign w:val="center"/>
          </w:tcPr>
          <w:p>
            <w:pPr>
              <w:rPr>
                <w:rStyle w:val="13"/>
                <w:rFonts w:ascii="宋体" w:hAnsi="宋体"/>
                <w:color w:val="000000"/>
                <w:sz w:val="24"/>
              </w:rPr>
            </w:pPr>
          </w:p>
        </w:tc>
        <w:tc>
          <w:tcPr>
            <w:tcW w:w="736" w:type="dxa"/>
            <w:tcBorders>
              <w:top w:val="single" w:color="000000" w:sz="4" w:space="0"/>
              <w:left w:val="single" w:color="000000" w:sz="4" w:space="0"/>
              <w:bottom w:val="single" w:color="000000" w:sz="4" w:space="0"/>
              <w:right w:val="single" w:color="000000" w:sz="4" w:space="0"/>
            </w:tcBorders>
            <w:vAlign w:val="center"/>
          </w:tcPr>
          <w:p>
            <w:pPr>
              <w:rPr>
                <w:rStyle w:val="13"/>
                <w:rFonts w:ascii="宋体" w:hAnsi="宋体"/>
                <w:color w:val="000000"/>
                <w:sz w:val="24"/>
              </w:rPr>
            </w:pPr>
          </w:p>
        </w:tc>
        <w:tc>
          <w:tcPr>
            <w:tcW w:w="600" w:type="dxa"/>
            <w:tcBorders>
              <w:top w:val="single" w:color="000000" w:sz="4" w:space="0"/>
              <w:left w:val="single" w:color="000000" w:sz="4" w:space="0"/>
              <w:bottom w:val="single" w:color="000000" w:sz="4" w:space="0"/>
              <w:right w:val="single" w:color="000000" w:sz="4" w:space="0"/>
            </w:tcBorders>
            <w:vAlign w:val="center"/>
          </w:tcPr>
          <w:p>
            <w:pPr>
              <w:rPr>
                <w:rStyle w:val="13"/>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22"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rPr>
                <w:rStyle w:val="13"/>
                <w:rFonts w:ascii="宋体" w:hAnsi="宋体"/>
                <w:color w:val="000000"/>
                <w:sz w:val="24"/>
              </w:rPr>
            </w:pPr>
          </w:p>
        </w:tc>
        <w:tc>
          <w:tcPr>
            <w:tcW w:w="555" w:type="dxa"/>
            <w:tcBorders>
              <w:top w:val="single" w:color="000000" w:sz="4" w:space="0"/>
              <w:left w:val="single" w:color="000000" w:sz="4" w:space="0"/>
              <w:bottom w:val="single" w:color="000000" w:sz="4" w:space="0"/>
              <w:right w:val="single" w:color="000000" w:sz="4" w:space="0"/>
            </w:tcBorders>
            <w:vAlign w:val="center"/>
          </w:tcPr>
          <w:p>
            <w:pPr>
              <w:rPr>
                <w:rStyle w:val="13"/>
                <w:rFonts w:ascii="宋体" w:hAnsi="宋体"/>
                <w:color w:val="000000"/>
                <w:sz w:val="24"/>
              </w:rPr>
            </w:pPr>
          </w:p>
        </w:tc>
        <w:tc>
          <w:tcPr>
            <w:tcW w:w="1106" w:type="dxa"/>
            <w:tcBorders>
              <w:top w:val="single" w:color="000000" w:sz="4" w:space="0"/>
              <w:left w:val="single" w:color="000000" w:sz="4" w:space="0"/>
              <w:bottom w:val="single" w:color="000000" w:sz="4" w:space="0"/>
              <w:right w:val="single" w:color="000000" w:sz="4" w:space="0"/>
            </w:tcBorders>
            <w:vAlign w:val="center"/>
          </w:tcPr>
          <w:p>
            <w:pPr>
              <w:rPr>
                <w:rStyle w:val="13"/>
                <w:rFonts w:ascii="宋体" w:hAnsi="宋体"/>
                <w:color w:val="000000"/>
                <w:sz w:val="24"/>
              </w:rPr>
            </w:pPr>
          </w:p>
        </w:tc>
        <w:tc>
          <w:tcPr>
            <w:tcW w:w="409" w:type="dxa"/>
            <w:tcBorders>
              <w:top w:val="single" w:color="000000" w:sz="4" w:space="0"/>
              <w:left w:val="single" w:color="000000" w:sz="4" w:space="0"/>
              <w:bottom w:val="single" w:color="000000" w:sz="4" w:space="0"/>
              <w:right w:val="single" w:color="000000" w:sz="4" w:space="0"/>
            </w:tcBorders>
            <w:vAlign w:val="center"/>
          </w:tcPr>
          <w:p>
            <w:pPr>
              <w:rPr>
                <w:rStyle w:val="13"/>
                <w:rFonts w:ascii="宋体" w:hAnsi="宋体"/>
                <w:color w:val="000000"/>
                <w:sz w:val="24"/>
              </w:rPr>
            </w:pPr>
          </w:p>
        </w:tc>
        <w:tc>
          <w:tcPr>
            <w:tcW w:w="495" w:type="dxa"/>
            <w:tcBorders>
              <w:top w:val="single" w:color="000000" w:sz="4" w:space="0"/>
              <w:left w:val="single" w:color="000000" w:sz="4" w:space="0"/>
              <w:bottom w:val="single" w:color="000000" w:sz="4" w:space="0"/>
              <w:right w:val="single" w:color="000000" w:sz="4" w:space="0"/>
            </w:tcBorders>
            <w:vAlign w:val="center"/>
          </w:tcPr>
          <w:p>
            <w:pPr>
              <w:rPr>
                <w:rStyle w:val="13"/>
                <w:rFonts w:ascii="宋体" w:hAnsi="宋体"/>
                <w:color w:val="000000"/>
                <w:sz w:val="24"/>
              </w:rPr>
            </w:pPr>
          </w:p>
        </w:tc>
        <w:tc>
          <w:tcPr>
            <w:tcW w:w="547" w:type="dxa"/>
            <w:tcBorders>
              <w:top w:val="single" w:color="000000" w:sz="4" w:space="0"/>
              <w:left w:val="single" w:color="000000" w:sz="4" w:space="0"/>
              <w:bottom w:val="single" w:color="000000" w:sz="4" w:space="0"/>
              <w:right w:val="single" w:color="000000" w:sz="4" w:space="0"/>
            </w:tcBorders>
            <w:vAlign w:val="center"/>
          </w:tcPr>
          <w:p>
            <w:pPr>
              <w:rPr>
                <w:rStyle w:val="13"/>
                <w:rFonts w:ascii="宋体" w:hAnsi="宋体"/>
                <w:color w:val="000000"/>
                <w:sz w:val="24"/>
              </w:rPr>
            </w:pPr>
          </w:p>
        </w:tc>
        <w:tc>
          <w:tcPr>
            <w:tcW w:w="914" w:type="dxa"/>
            <w:tcBorders>
              <w:top w:val="single" w:color="000000" w:sz="4" w:space="0"/>
              <w:left w:val="single" w:color="000000" w:sz="4" w:space="0"/>
              <w:bottom w:val="single" w:color="000000" w:sz="4" w:space="0"/>
              <w:right w:val="single" w:color="000000" w:sz="4" w:space="0"/>
            </w:tcBorders>
            <w:vAlign w:val="center"/>
          </w:tcPr>
          <w:p>
            <w:pPr>
              <w:rPr>
                <w:rStyle w:val="13"/>
                <w:rFonts w:ascii="宋体" w:hAnsi="宋体"/>
                <w:color w:val="000000"/>
                <w:sz w:val="24"/>
              </w:rPr>
            </w:pPr>
          </w:p>
        </w:tc>
        <w:tc>
          <w:tcPr>
            <w:tcW w:w="818" w:type="dxa"/>
            <w:tcBorders>
              <w:top w:val="single" w:color="000000" w:sz="4" w:space="0"/>
              <w:left w:val="single" w:color="000000" w:sz="4" w:space="0"/>
              <w:bottom w:val="single" w:color="000000" w:sz="4" w:space="0"/>
              <w:right w:val="single" w:color="000000" w:sz="4" w:space="0"/>
            </w:tcBorders>
            <w:vAlign w:val="center"/>
          </w:tcPr>
          <w:p>
            <w:pPr>
              <w:rPr>
                <w:rStyle w:val="13"/>
                <w:rFonts w:ascii="宋体" w:hAnsi="宋体"/>
                <w:color w:val="000000"/>
                <w:sz w:val="24"/>
              </w:rPr>
            </w:pPr>
          </w:p>
        </w:tc>
        <w:tc>
          <w:tcPr>
            <w:tcW w:w="736" w:type="dxa"/>
            <w:tcBorders>
              <w:top w:val="single" w:color="000000" w:sz="4" w:space="0"/>
              <w:left w:val="single" w:color="000000" w:sz="4" w:space="0"/>
              <w:bottom w:val="single" w:color="000000" w:sz="4" w:space="0"/>
              <w:right w:val="single" w:color="000000" w:sz="4" w:space="0"/>
            </w:tcBorders>
            <w:vAlign w:val="center"/>
          </w:tcPr>
          <w:p>
            <w:pPr>
              <w:rPr>
                <w:rStyle w:val="13"/>
                <w:rFonts w:ascii="宋体" w:hAnsi="宋体"/>
                <w:color w:val="000000"/>
                <w:sz w:val="24"/>
              </w:rPr>
            </w:pPr>
          </w:p>
        </w:tc>
        <w:tc>
          <w:tcPr>
            <w:tcW w:w="437" w:type="dxa"/>
            <w:tcBorders>
              <w:top w:val="single" w:color="000000" w:sz="4" w:space="0"/>
              <w:left w:val="single" w:color="000000" w:sz="4" w:space="0"/>
              <w:bottom w:val="single" w:color="000000" w:sz="4" w:space="0"/>
              <w:right w:val="single" w:color="000000" w:sz="4" w:space="0"/>
            </w:tcBorders>
            <w:vAlign w:val="center"/>
          </w:tcPr>
          <w:p>
            <w:pPr>
              <w:rPr>
                <w:rStyle w:val="13"/>
                <w:rFonts w:ascii="宋体" w:hAnsi="宋体"/>
                <w:color w:val="000000"/>
                <w:sz w:val="24"/>
              </w:rPr>
            </w:pPr>
          </w:p>
        </w:tc>
        <w:tc>
          <w:tcPr>
            <w:tcW w:w="681" w:type="dxa"/>
            <w:tcBorders>
              <w:top w:val="single" w:color="000000" w:sz="4" w:space="0"/>
              <w:left w:val="single" w:color="000000" w:sz="4" w:space="0"/>
              <w:bottom w:val="single" w:color="000000" w:sz="4" w:space="0"/>
              <w:right w:val="single" w:color="000000" w:sz="4" w:space="0"/>
            </w:tcBorders>
            <w:vAlign w:val="center"/>
          </w:tcPr>
          <w:p>
            <w:pPr>
              <w:rPr>
                <w:rStyle w:val="13"/>
                <w:rFonts w:ascii="宋体" w:hAnsi="宋体"/>
                <w:color w:val="000000"/>
                <w:sz w:val="24"/>
              </w:rPr>
            </w:pPr>
          </w:p>
        </w:tc>
        <w:tc>
          <w:tcPr>
            <w:tcW w:w="723" w:type="dxa"/>
            <w:tcBorders>
              <w:top w:val="single" w:color="000000" w:sz="4" w:space="0"/>
              <w:left w:val="single" w:color="000000" w:sz="4" w:space="0"/>
              <w:bottom w:val="single" w:color="000000" w:sz="4" w:space="0"/>
              <w:right w:val="single" w:color="000000" w:sz="4" w:space="0"/>
            </w:tcBorders>
            <w:vAlign w:val="center"/>
          </w:tcPr>
          <w:p>
            <w:pPr>
              <w:rPr>
                <w:rStyle w:val="13"/>
                <w:rFonts w:ascii="宋体" w:hAnsi="宋体"/>
                <w:color w:val="000000"/>
                <w:sz w:val="24"/>
              </w:rPr>
            </w:pPr>
          </w:p>
        </w:tc>
        <w:tc>
          <w:tcPr>
            <w:tcW w:w="736" w:type="dxa"/>
            <w:tcBorders>
              <w:top w:val="single" w:color="000000" w:sz="4" w:space="0"/>
              <w:left w:val="single" w:color="000000" w:sz="4" w:space="0"/>
              <w:bottom w:val="single" w:color="000000" w:sz="4" w:space="0"/>
              <w:right w:val="single" w:color="000000" w:sz="4" w:space="0"/>
            </w:tcBorders>
            <w:vAlign w:val="center"/>
          </w:tcPr>
          <w:p>
            <w:pPr>
              <w:rPr>
                <w:rStyle w:val="13"/>
                <w:rFonts w:ascii="宋体" w:hAnsi="宋体"/>
                <w:color w:val="000000"/>
                <w:sz w:val="24"/>
              </w:rPr>
            </w:pPr>
          </w:p>
        </w:tc>
        <w:tc>
          <w:tcPr>
            <w:tcW w:w="600" w:type="dxa"/>
            <w:tcBorders>
              <w:top w:val="single" w:color="000000" w:sz="4" w:space="0"/>
              <w:left w:val="single" w:color="000000" w:sz="4" w:space="0"/>
              <w:bottom w:val="single" w:color="000000" w:sz="4" w:space="0"/>
              <w:right w:val="single" w:color="000000" w:sz="4" w:space="0"/>
            </w:tcBorders>
            <w:vAlign w:val="center"/>
          </w:tcPr>
          <w:p>
            <w:pPr>
              <w:rPr>
                <w:rStyle w:val="13"/>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22"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rPr>
                <w:rStyle w:val="13"/>
                <w:rFonts w:ascii="宋体" w:hAnsi="宋体"/>
                <w:color w:val="000000"/>
                <w:sz w:val="24"/>
              </w:rPr>
            </w:pPr>
          </w:p>
        </w:tc>
        <w:tc>
          <w:tcPr>
            <w:tcW w:w="555" w:type="dxa"/>
            <w:tcBorders>
              <w:top w:val="single" w:color="000000" w:sz="4" w:space="0"/>
              <w:left w:val="single" w:color="000000" w:sz="4" w:space="0"/>
              <w:bottom w:val="single" w:color="000000" w:sz="4" w:space="0"/>
              <w:right w:val="single" w:color="000000" w:sz="4" w:space="0"/>
            </w:tcBorders>
            <w:vAlign w:val="center"/>
          </w:tcPr>
          <w:p>
            <w:pPr>
              <w:rPr>
                <w:rStyle w:val="13"/>
                <w:rFonts w:ascii="宋体" w:hAnsi="宋体"/>
                <w:color w:val="000000"/>
                <w:sz w:val="24"/>
              </w:rPr>
            </w:pPr>
          </w:p>
        </w:tc>
        <w:tc>
          <w:tcPr>
            <w:tcW w:w="1106" w:type="dxa"/>
            <w:tcBorders>
              <w:top w:val="single" w:color="000000" w:sz="4" w:space="0"/>
              <w:left w:val="single" w:color="000000" w:sz="4" w:space="0"/>
              <w:bottom w:val="single" w:color="000000" w:sz="4" w:space="0"/>
              <w:right w:val="single" w:color="000000" w:sz="4" w:space="0"/>
            </w:tcBorders>
            <w:vAlign w:val="center"/>
          </w:tcPr>
          <w:p>
            <w:pPr>
              <w:rPr>
                <w:rStyle w:val="13"/>
                <w:rFonts w:ascii="宋体" w:hAnsi="宋体"/>
                <w:color w:val="000000"/>
                <w:sz w:val="24"/>
              </w:rPr>
            </w:pPr>
          </w:p>
        </w:tc>
        <w:tc>
          <w:tcPr>
            <w:tcW w:w="409" w:type="dxa"/>
            <w:tcBorders>
              <w:top w:val="single" w:color="000000" w:sz="4" w:space="0"/>
              <w:left w:val="single" w:color="000000" w:sz="4" w:space="0"/>
              <w:bottom w:val="single" w:color="000000" w:sz="4" w:space="0"/>
              <w:right w:val="single" w:color="000000" w:sz="4" w:space="0"/>
            </w:tcBorders>
            <w:vAlign w:val="center"/>
          </w:tcPr>
          <w:p>
            <w:pPr>
              <w:rPr>
                <w:rStyle w:val="13"/>
                <w:rFonts w:ascii="宋体" w:hAnsi="宋体"/>
                <w:color w:val="000000"/>
                <w:sz w:val="24"/>
              </w:rPr>
            </w:pPr>
          </w:p>
        </w:tc>
        <w:tc>
          <w:tcPr>
            <w:tcW w:w="495" w:type="dxa"/>
            <w:tcBorders>
              <w:top w:val="single" w:color="000000" w:sz="4" w:space="0"/>
              <w:left w:val="single" w:color="000000" w:sz="4" w:space="0"/>
              <w:bottom w:val="single" w:color="000000" w:sz="4" w:space="0"/>
              <w:right w:val="single" w:color="000000" w:sz="4" w:space="0"/>
            </w:tcBorders>
            <w:vAlign w:val="center"/>
          </w:tcPr>
          <w:p>
            <w:pPr>
              <w:rPr>
                <w:rStyle w:val="13"/>
                <w:rFonts w:ascii="宋体" w:hAnsi="宋体"/>
                <w:color w:val="000000"/>
                <w:sz w:val="24"/>
              </w:rPr>
            </w:pPr>
          </w:p>
        </w:tc>
        <w:tc>
          <w:tcPr>
            <w:tcW w:w="547" w:type="dxa"/>
            <w:tcBorders>
              <w:top w:val="single" w:color="000000" w:sz="4" w:space="0"/>
              <w:left w:val="single" w:color="000000" w:sz="4" w:space="0"/>
              <w:bottom w:val="single" w:color="000000" w:sz="4" w:space="0"/>
              <w:right w:val="single" w:color="000000" w:sz="4" w:space="0"/>
            </w:tcBorders>
            <w:vAlign w:val="center"/>
          </w:tcPr>
          <w:p>
            <w:pPr>
              <w:rPr>
                <w:rStyle w:val="13"/>
                <w:rFonts w:ascii="宋体" w:hAnsi="宋体"/>
                <w:color w:val="000000"/>
                <w:sz w:val="24"/>
              </w:rPr>
            </w:pPr>
          </w:p>
        </w:tc>
        <w:tc>
          <w:tcPr>
            <w:tcW w:w="914" w:type="dxa"/>
            <w:tcBorders>
              <w:top w:val="single" w:color="000000" w:sz="4" w:space="0"/>
              <w:left w:val="single" w:color="000000" w:sz="4" w:space="0"/>
              <w:bottom w:val="single" w:color="000000" w:sz="4" w:space="0"/>
              <w:right w:val="single" w:color="000000" w:sz="4" w:space="0"/>
            </w:tcBorders>
            <w:vAlign w:val="center"/>
          </w:tcPr>
          <w:p>
            <w:pPr>
              <w:rPr>
                <w:rStyle w:val="13"/>
                <w:rFonts w:ascii="宋体" w:hAnsi="宋体"/>
                <w:color w:val="000000"/>
                <w:sz w:val="24"/>
              </w:rPr>
            </w:pPr>
          </w:p>
        </w:tc>
        <w:tc>
          <w:tcPr>
            <w:tcW w:w="818" w:type="dxa"/>
            <w:tcBorders>
              <w:top w:val="single" w:color="000000" w:sz="4" w:space="0"/>
              <w:left w:val="single" w:color="000000" w:sz="4" w:space="0"/>
              <w:bottom w:val="single" w:color="000000" w:sz="4" w:space="0"/>
              <w:right w:val="single" w:color="000000" w:sz="4" w:space="0"/>
            </w:tcBorders>
            <w:vAlign w:val="center"/>
          </w:tcPr>
          <w:p>
            <w:pPr>
              <w:rPr>
                <w:rStyle w:val="13"/>
                <w:rFonts w:ascii="宋体" w:hAnsi="宋体"/>
                <w:color w:val="000000"/>
                <w:sz w:val="24"/>
              </w:rPr>
            </w:pPr>
          </w:p>
        </w:tc>
        <w:tc>
          <w:tcPr>
            <w:tcW w:w="736" w:type="dxa"/>
            <w:tcBorders>
              <w:top w:val="single" w:color="000000" w:sz="4" w:space="0"/>
              <w:left w:val="single" w:color="000000" w:sz="4" w:space="0"/>
              <w:bottom w:val="single" w:color="000000" w:sz="4" w:space="0"/>
              <w:right w:val="single" w:color="000000" w:sz="4" w:space="0"/>
            </w:tcBorders>
            <w:vAlign w:val="center"/>
          </w:tcPr>
          <w:p>
            <w:pPr>
              <w:rPr>
                <w:rStyle w:val="13"/>
                <w:rFonts w:ascii="宋体" w:hAnsi="宋体"/>
                <w:color w:val="000000"/>
                <w:sz w:val="24"/>
              </w:rPr>
            </w:pPr>
          </w:p>
        </w:tc>
        <w:tc>
          <w:tcPr>
            <w:tcW w:w="437" w:type="dxa"/>
            <w:tcBorders>
              <w:top w:val="single" w:color="000000" w:sz="4" w:space="0"/>
              <w:left w:val="single" w:color="000000" w:sz="4" w:space="0"/>
              <w:bottom w:val="single" w:color="000000" w:sz="4" w:space="0"/>
              <w:right w:val="single" w:color="000000" w:sz="4" w:space="0"/>
            </w:tcBorders>
            <w:vAlign w:val="center"/>
          </w:tcPr>
          <w:p>
            <w:pPr>
              <w:rPr>
                <w:rStyle w:val="13"/>
                <w:rFonts w:ascii="宋体" w:hAnsi="宋体"/>
                <w:color w:val="000000"/>
                <w:sz w:val="24"/>
              </w:rPr>
            </w:pPr>
          </w:p>
        </w:tc>
        <w:tc>
          <w:tcPr>
            <w:tcW w:w="681" w:type="dxa"/>
            <w:tcBorders>
              <w:top w:val="single" w:color="000000" w:sz="4" w:space="0"/>
              <w:left w:val="single" w:color="000000" w:sz="4" w:space="0"/>
              <w:bottom w:val="single" w:color="000000" w:sz="4" w:space="0"/>
              <w:right w:val="single" w:color="000000" w:sz="4" w:space="0"/>
            </w:tcBorders>
            <w:vAlign w:val="center"/>
          </w:tcPr>
          <w:p>
            <w:pPr>
              <w:rPr>
                <w:rStyle w:val="13"/>
                <w:rFonts w:ascii="宋体" w:hAnsi="宋体"/>
                <w:color w:val="000000"/>
                <w:sz w:val="24"/>
              </w:rPr>
            </w:pPr>
          </w:p>
        </w:tc>
        <w:tc>
          <w:tcPr>
            <w:tcW w:w="723" w:type="dxa"/>
            <w:tcBorders>
              <w:top w:val="single" w:color="000000" w:sz="4" w:space="0"/>
              <w:left w:val="single" w:color="000000" w:sz="4" w:space="0"/>
              <w:bottom w:val="single" w:color="000000" w:sz="4" w:space="0"/>
              <w:right w:val="single" w:color="000000" w:sz="4" w:space="0"/>
            </w:tcBorders>
            <w:vAlign w:val="center"/>
          </w:tcPr>
          <w:p>
            <w:pPr>
              <w:rPr>
                <w:rStyle w:val="13"/>
                <w:rFonts w:ascii="宋体" w:hAnsi="宋体"/>
                <w:color w:val="000000"/>
                <w:sz w:val="24"/>
              </w:rPr>
            </w:pPr>
          </w:p>
        </w:tc>
        <w:tc>
          <w:tcPr>
            <w:tcW w:w="736" w:type="dxa"/>
            <w:tcBorders>
              <w:top w:val="single" w:color="000000" w:sz="4" w:space="0"/>
              <w:left w:val="single" w:color="000000" w:sz="4" w:space="0"/>
              <w:bottom w:val="single" w:color="000000" w:sz="4" w:space="0"/>
              <w:right w:val="single" w:color="000000" w:sz="4" w:space="0"/>
            </w:tcBorders>
            <w:vAlign w:val="center"/>
          </w:tcPr>
          <w:p>
            <w:pPr>
              <w:rPr>
                <w:rStyle w:val="13"/>
                <w:rFonts w:ascii="宋体" w:hAnsi="宋体"/>
                <w:color w:val="000000"/>
                <w:sz w:val="24"/>
              </w:rPr>
            </w:pPr>
          </w:p>
        </w:tc>
        <w:tc>
          <w:tcPr>
            <w:tcW w:w="600" w:type="dxa"/>
            <w:tcBorders>
              <w:top w:val="single" w:color="000000" w:sz="4" w:space="0"/>
              <w:left w:val="single" w:color="000000" w:sz="4" w:space="0"/>
              <w:bottom w:val="single" w:color="000000" w:sz="4" w:space="0"/>
              <w:right w:val="single" w:color="000000" w:sz="4" w:space="0"/>
            </w:tcBorders>
            <w:vAlign w:val="center"/>
          </w:tcPr>
          <w:p>
            <w:pPr>
              <w:rPr>
                <w:rStyle w:val="13"/>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22" w:hRule="atLeast"/>
        </w:trPr>
        <w:tc>
          <w:tcPr>
            <w:tcW w:w="7190" w:type="dxa"/>
            <w:gridSpan w:val="11"/>
            <w:tcBorders>
              <w:top w:val="single" w:color="000000" w:sz="4" w:space="0"/>
              <w:left w:val="single" w:color="000000" w:sz="4" w:space="0"/>
              <w:bottom w:val="single" w:color="000000" w:sz="4" w:space="0"/>
              <w:right w:val="single" w:color="000000" w:sz="4" w:space="0"/>
            </w:tcBorders>
            <w:vAlign w:val="center"/>
          </w:tcPr>
          <w:p>
            <w:pPr>
              <w:rPr>
                <w:rStyle w:val="13"/>
                <w:rFonts w:ascii="宋体" w:hAnsi="宋体"/>
                <w:color w:val="000000"/>
                <w:sz w:val="24"/>
              </w:rPr>
            </w:pPr>
            <w:r>
              <w:rPr>
                <w:rStyle w:val="13"/>
                <w:rFonts w:ascii="宋体" w:hAnsi="宋体"/>
                <w:color w:val="000000"/>
                <w:sz w:val="24"/>
              </w:rPr>
              <w:t>投标总报价（人民币大写）：                  ￥：</w:t>
            </w:r>
          </w:p>
        </w:tc>
        <w:tc>
          <w:tcPr>
            <w:tcW w:w="723" w:type="dxa"/>
            <w:tcBorders>
              <w:top w:val="single" w:color="000000" w:sz="4" w:space="0"/>
              <w:left w:val="single" w:color="000000" w:sz="4" w:space="0"/>
              <w:bottom w:val="single" w:color="000000" w:sz="4" w:space="0"/>
              <w:right w:val="single" w:color="000000" w:sz="4" w:space="0"/>
            </w:tcBorders>
            <w:vAlign w:val="center"/>
          </w:tcPr>
          <w:p>
            <w:pPr>
              <w:rPr>
                <w:rStyle w:val="13"/>
                <w:rFonts w:ascii="宋体" w:hAnsi="宋体"/>
                <w:color w:val="000000"/>
                <w:sz w:val="24"/>
              </w:rPr>
            </w:pPr>
          </w:p>
        </w:tc>
        <w:tc>
          <w:tcPr>
            <w:tcW w:w="736" w:type="dxa"/>
            <w:tcBorders>
              <w:top w:val="single" w:color="000000" w:sz="4" w:space="0"/>
              <w:left w:val="single" w:color="000000" w:sz="4" w:space="0"/>
              <w:bottom w:val="single" w:color="000000" w:sz="4" w:space="0"/>
              <w:right w:val="single" w:color="000000" w:sz="4" w:space="0"/>
            </w:tcBorders>
            <w:vAlign w:val="center"/>
          </w:tcPr>
          <w:p>
            <w:pPr>
              <w:rPr>
                <w:rStyle w:val="13"/>
                <w:rFonts w:ascii="宋体" w:hAnsi="宋体"/>
                <w:color w:val="000000"/>
                <w:sz w:val="24"/>
              </w:rPr>
            </w:pPr>
          </w:p>
        </w:tc>
        <w:tc>
          <w:tcPr>
            <w:tcW w:w="600" w:type="dxa"/>
            <w:tcBorders>
              <w:top w:val="single" w:color="000000" w:sz="4" w:space="0"/>
              <w:left w:val="single" w:color="000000" w:sz="4" w:space="0"/>
              <w:bottom w:val="single" w:color="000000" w:sz="4" w:space="0"/>
              <w:right w:val="single" w:color="000000" w:sz="4" w:space="0"/>
            </w:tcBorders>
            <w:vAlign w:val="center"/>
          </w:tcPr>
          <w:p>
            <w:pPr>
              <w:rPr>
                <w:rStyle w:val="13"/>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22" w:hRule="atLeast"/>
        </w:trPr>
        <w:tc>
          <w:tcPr>
            <w:tcW w:w="7190" w:type="dxa"/>
            <w:gridSpan w:val="11"/>
            <w:tcBorders>
              <w:top w:val="single" w:color="000000" w:sz="4" w:space="0"/>
              <w:left w:val="single" w:color="000000" w:sz="4" w:space="0"/>
              <w:bottom w:val="single" w:color="000000" w:sz="4" w:space="0"/>
              <w:right w:val="single" w:color="000000" w:sz="4" w:space="0"/>
            </w:tcBorders>
            <w:vAlign w:val="center"/>
          </w:tcPr>
          <w:p>
            <w:pPr>
              <w:rPr>
                <w:rStyle w:val="13"/>
                <w:rFonts w:ascii="宋体" w:hAnsi="宋体"/>
                <w:color w:val="000000"/>
                <w:sz w:val="24"/>
              </w:rPr>
            </w:pPr>
            <w:r>
              <w:rPr>
                <w:rStyle w:val="13"/>
                <w:rFonts w:ascii="宋体" w:hAnsi="宋体"/>
                <w:color w:val="000000"/>
                <w:sz w:val="24"/>
              </w:rPr>
              <w:t>优惠条款：</w:t>
            </w:r>
          </w:p>
        </w:tc>
        <w:tc>
          <w:tcPr>
            <w:tcW w:w="723" w:type="dxa"/>
            <w:tcBorders>
              <w:top w:val="single" w:color="000000" w:sz="4" w:space="0"/>
              <w:left w:val="single" w:color="000000" w:sz="4" w:space="0"/>
              <w:bottom w:val="single" w:color="000000" w:sz="4" w:space="0"/>
              <w:right w:val="single" w:color="000000" w:sz="4" w:space="0"/>
            </w:tcBorders>
            <w:vAlign w:val="center"/>
          </w:tcPr>
          <w:p>
            <w:pPr>
              <w:rPr>
                <w:rStyle w:val="13"/>
                <w:rFonts w:ascii="宋体" w:hAnsi="宋体"/>
                <w:color w:val="000000"/>
                <w:sz w:val="24"/>
              </w:rPr>
            </w:pPr>
          </w:p>
        </w:tc>
        <w:tc>
          <w:tcPr>
            <w:tcW w:w="736" w:type="dxa"/>
            <w:tcBorders>
              <w:top w:val="single" w:color="000000" w:sz="4" w:space="0"/>
              <w:left w:val="single" w:color="000000" w:sz="4" w:space="0"/>
              <w:bottom w:val="single" w:color="000000" w:sz="4" w:space="0"/>
              <w:right w:val="single" w:color="000000" w:sz="4" w:space="0"/>
            </w:tcBorders>
            <w:vAlign w:val="center"/>
          </w:tcPr>
          <w:p>
            <w:pPr>
              <w:rPr>
                <w:rStyle w:val="13"/>
                <w:rFonts w:ascii="宋体" w:hAnsi="宋体"/>
                <w:color w:val="000000"/>
                <w:sz w:val="24"/>
              </w:rPr>
            </w:pPr>
          </w:p>
        </w:tc>
        <w:tc>
          <w:tcPr>
            <w:tcW w:w="600" w:type="dxa"/>
            <w:tcBorders>
              <w:top w:val="single" w:color="000000" w:sz="4" w:space="0"/>
              <w:left w:val="single" w:color="000000" w:sz="4" w:space="0"/>
              <w:bottom w:val="single" w:color="000000" w:sz="4" w:space="0"/>
              <w:right w:val="single" w:color="000000" w:sz="4" w:space="0"/>
            </w:tcBorders>
            <w:vAlign w:val="center"/>
          </w:tcPr>
          <w:p>
            <w:pPr>
              <w:rPr>
                <w:rStyle w:val="13"/>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22" w:hRule="atLeast"/>
        </w:trPr>
        <w:tc>
          <w:tcPr>
            <w:tcW w:w="7190" w:type="dxa"/>
            <w:gridSpan w:val="11"/>
            <w:tcBorders>
              <w:top w:val="single" w:color="000000" w:sz="4" w:space="0"/>
              <w:left w:val="single" w:color="000000" w:sz="4" w:space="0"/>
              <w:bottom w:val="single" w:color="000000" w:sz="4" w:space="0"/>
              <w:right w:val="single" w:color="000000" w:sz="4" w:space="0"/>
            </w:tcBorders>
            <w:vAlign w:val="center"/>
          </w:tcPr>
          <w:p>
            <w:pPr>
              <w:rPr>
                <w:rStyle w:val="13"/>
                <w:rFonts w:ascii="宋体" w:hAnsi="宋体"/>
                <w:color w:val="000000"/>
                <w:sz w:val="24"/>
              </w:rPr>
            </w:pPr>
            <w:r>
              <w:rPr>
                <w:rStyle w:val="13"/>
                <w:rFonts w:ascii="宋体" w:hAnsi="宋体"/>
                <w:color w:val="000000"/>
                <w:sz w:val="24"/>
              </w:rPr>
              <w:t>其它：</w:t>
            </w:r>
          </w:p>
        </w:tc>
        <w:tc>
          <w:tcPr>
            <w:tcW w:w="723" w:type="dxa"/>
            <w:tcBorders>
              <w:top w:val="single" w:color="000000" w:sz="4" w:space="0"/>
              <w:left w:val="single" w:color="000000" w:sz="4" w:space="0"/>
              <w:bottom w:val="single" w:color="000000" w:sz="4" w:space="0"/>
              <w:right w:val="single" w:color="000000" w:sz="4" w:space="0"/>
            </w:tcBorders>
            <w:vAlign w:val="center"/>
          </w:tcPr>
          <w:p>
            <w:pPr>
              <w:rPr>
                <w:rStyle w:val="13"/>
                <w:rFonts w:ascii="宋体" w:hAnsi="宋体"/>
                <w:color w:val="000000"/>
                <w:sz w:val="24"/>
              </w:rPr>
            </w:pPr>
          </w:p>
        </w:tc>
        <w:tc>
          <w:tcPr>
            <w:tcW w:w="736" w:type="dxa"/>
            <w:tcBorders>
              <w:top w:val="single" w:color="000000" w:sz="4" w:space="0"/>
              <w:left w:val="single" w:color="000000" w:sz="4" w:space="0"/>
              <w:bottom w:val="single" w:color="000000" w:sz="4" w:space="0"/>
              <w:right w:val="single" w:color="000000" w:sz="4" w:space="0"/>
            </w:tcBorders>
            <w:vAlign w:val="center"/>
          </w:tcPr>
          <w:p>
            <w:pPr>
              <w:rPr>
                <w:rStyle w:val="13"/>
                <w:rFonts w:ascii="宋体" w:hAnsi="宋体"/>
                <w:color w:val="000000"/>
                <w:sz w:val="24"/>
              </w:rPr>
            </w:pPr>
          </w:p>
        </w:tc>
        <w:tc>
          <w:tcPr>
            <w:tcW w:w="600" w:type="dxa"/>
            <w:tcBorders>
              <w:top w:val="single" w:color="000000" w:sz="4" w:space="0"/>
              <w:left w:val="single" w:color="000000" w:sz="4" w:space="0"/>
              <w:bottom w:val="single" w:color="000000" w:sz="4" w:space="0"/>
              <w:right w:val="single" w:color="000000" w:sz="4" w:space="0"/>
            </w:tcBorders>
            <w:vAlign w:val="center"/>
          </w:tcPr>
          <w:p>
            <w:pPr>
              <w:rPr>
                <w:rStyle w:val="13"/>
                <w:rFonts w:ascii="宋体" w:hAnsi="宋体"/>
                <w:color w:val="000000"/>
                <w:sz w:val="24"/>
              </w:rPr>
            </w:pPr>
          </w:p>
        </w:tc>
      </w:tr>
    </w:tbl>
    <w:p>
      <w:pPr>
        <w:spacing w:line="440" w:lineRule="exact"/>
        <w:rPr>
          <w:rStyle w:val="13"/>
          <w:color w:val="000000"/>
        </w:rPr>
      </w:pPr>
    </w:p>
    <w:p>
      <w:pPr>
        <w:spacing w:line="440" w:lineRule="exact"/>
        <w:rPr>
          <w:rStyle w:val="13"/>
          <w:rFonts w:ascii="宋体" w:hAnsi="宋体"/>
          <w:color w:val="000000"/>
          <w:sz w:val="24"/>
        </w:rPr>
        <w:sectPr>
          <w:headerReference r:id="rId9" w:type="first"/>
          <w:footerReference r:id="rId12" w:type="first"/>
          <w:headerReference r:id="rId8" w:type="default"/>
          <w:footerReference r:id="rId10" w:type="default"/>
          <w:footerReference r:id="rId11" w:type="even"/>
          <w:pgSz w:w="11906" w:h="16838"/>
          <w:pgMar w:top="1361" w:right="1489" w:bottom="1361" w:left="1797" w:header="851" w:footer="992" w:gutter="0"/>
          <w:cols w:space="425" w:num="1"/>
          <w:titlePg/>
          <w:docGrid w:type="lines" w:linePitch="312" w:charSpace="0"/>
        </w:sectPr>
      </w:pPr>
      <w:r>
        <w:rPr>
          <w:rStyle w:val="13"/>
          <w:rFonts w:ascii="宋体" w:hAnsi="宋体"/>
          <w:color w:val="000000"/>
          <w:sz w:val="24"/>
        </w:rPr>
        <w:t>1.4 付款方式和发票开具方</w:t>
      </w:r>
    </w:p>
    <w:p>
      <w:pPr>
        <w:spacing w:line="440" w:lineRule="exact"/>
        <w:rPr>
          <w:rStyle w:val="13"/>
          <w:rFonts w:ascii="宋体" w:hAnsi="宋体"/>
          <w:color w:val="000000"/>
          <w:sz w:val="24"/>
        </w:rPr>
      </w:pPr>
      <w:r>
        <w:rPr>
          <w:rStyle w:val="13"/>
          <w:rFonts w:ascii="宋体" w:hAnsi="宋体"/>
          <w:color w:val="000000"/>
          <w:sz w:val="24"/>
        </w:rPr>
        <w:t>1.4.1 付款方式：                                                ；</w:t>
      </w:r>
    </w:p>
    <w:p>
      <w:pPr>
        <w:spacing w:line="440" w:lineRule="exact"/>
        <w:rPr>
          <w:rStyle w:val="13"/>
          <w:rFonts w:ascii="宋体" w:hAnsi="宋体"/>
          <w:color w:val="000000"/>
          <w:sz w:val="24"/>
        </w:rPr>
      </w:pPr>
      <w:r>
        <w:rPr>
          <w:rStyle w:val="13"/>
          <w:rFonts w:ascii="宋体" w:hAnsi="宋体"/>
          <w:color w:val="000000"/>
          <w:sz w:val="24"/>
        </w:rPr>
        <w:t>1.4.2 发票开具方式：                                            。</w:t>
      </w:r>
    </w:p>
    <w:p>
      <w:pPr>
        <w:spacing w:line="440" w:lineRule="exact"/>
        <w:rPr>
          <w:rStyle w:val="13"/>
          <w:rFonts w:ascii="宋体" w:hAnsi="宋体"/>
          <w:color w:val="000000"/>
          <w:sz w:val="24"/>
        </w:rPr>
      </w:pPr>
      <w:r>
        <w:rPr>
          <w:rStyle w:val="13"/>
          <w:rFonts w:ascii="宋体" w:hAnsi="宋体"/>
          <w:color w:val="000000"/>
          <w:sz w:val="24"/>
        </w:rPr>
        <w:t>1.5 货物交付期限、地点和方式</w:t>
      </w:r>
    </w:p>
    <w:p>
      <w:pPr>
        <w:spacing w:line="440" w:lineRule="exact"/>
        <w:rPr>
          <w:rStyle w:val="13"/>
          <w:rFonts w:ascii="宋体" w:hAnsi="宋体"/>
          <w:color w:val="000000"/>
          <w:sz w:val="24"/>
        </w:rPr>
      </w:pPr>
      <w:r>
        <w:rPr>
          <w:rStyle w:val="13"/>
          <w:rFonts w:ascii="宋体" w:hAnsi="宋体"/>
          <w:color w:val="000000"/>
          <w:sz w:val="24"/>
        </w:rPr>
        <w:t>1.5.1 交付期限：                                                ；</w:t>
      </w:r>
    </w:p>
    <w:p>
      <w:pPr>
        <w:spacing w:line="440" w:lineRule="exact"/>
        <w:rPr>
          <w:rStyle w:val="13"/>
          <w:rFonts w:ascii="宋体" w:hAnsi="宋体"/>
          <w:color w:val="000000"/>
          <w:sz w:val="24"/>
        </w:rPr>
      </w:pPr>
      <w:r>
        <w:rPr>
          <w:rStyle w:val="13"/>
          <w:rFonts w:ascii="宋体" w:hAnsi="宋体"/>
          <w:color w:val="000000"/>
          <w:sz w:val="24"/>
        </w:rPr>
        <w:t>1.5.2 交付地点：                                                ；</w:t>
      </w:r>
    </w:p>
    <w:p>
      <w:pPr>
        <w:spacing w:line="440" w:lineRule="exact"/>
        <w:rPr>
          <w:rStyle w:val="13"/>
          <w:rFonts w:ascii="宋体" w:hAnsi="宋体"/>
          <w:color w:val="000000"/>
          <w:sz w:val="24"/>
        </w:rPr>
      </w:pPr>
      <w:r>
        <w:rPr>
          <w:rStyle w:val="13"/>
          <w:rFonts w:ascii="宋体" w:hAnsi="宋体"/>
          <w:color w:val="000000"/>
          <w:sz w:val="24"/>
        </w:rPr>
        <w:t>1.5.3 交付方式：　　　　　　　　　                      　      。</w:t>
      </w:r>
    </w:p>
    <w:p>
      <w:pPr>
        <w:spacing w:line="440" w:lineRule="exact"/>
        <w:rPr>
          <w:rStyle w:val="13"/>
          <w:rFonts w:ascii="宋体" w:hAnsi="宋体"/>
          <w:color w:val="000000"/>
          <w:sz w:val="24"/>
        </w:rPr>
      </w:pPr>
      <w:r>
        <w:rPr>
          <w:rStyle w:val="13"/>
          <w:rFonts w:ascii="宋体" w:hAnsi="宋体"/>
          <w:color w:val="000000"/>
          <w:sz w:val="24"/>
        </w:rPr>
        <w:t>1.6 违约责任</w:t>
      </w:r>
    </w:p>
    <w:p>
      <w:pPr>
        <w:spacing w:line="440" w:lineRule="exact"/>
        <w:rPr>
          <w:rStyle w:val="13"/>
          <w:rFonts w:ascii="宋体" w:hAnsi="宋体"/>
          <w:color w:val="000000"/>
          <w:sz w:val="24"/>
        </w:rPr>
      </w:pPr>
      <w:r>
        <w:rPr>
          <w:rStyle w:val="13"/>
          <w:rFonts w:ascii="宋体" w:hAnsi="宋体"/>
          <w:color w:val="000000"/>
          <w:sz w:val="24"/>
        </w:rPr>
        <w:t>1.6.1 除不可抗力外，如果乙方没有按照本合同约定的期限、地点和方式交付货物，那么甲方可要求乙方支付违约金，违约金按每迟延交付货物一日的应交付而未交付货物价格的    %计算，最高限额为本合同总价的     %；迟延交付货物的违约金计算数额达到前述最高限额之日起，甲方有权在要求乙方支付违约金的同时，书面通知乙方解除本合同；</w:t>
      </w:r>
    </w:p>
    <w:p>
      <w:pPr>
        <w:spacing w:line="440" w:lineRule="exact"/>
        <w:rPr>
          <w:rStyle w:val="13"/>
          <w:rFonts w:ascii="宋体" w:hAnsi="宋体"/>
          <w:color w:val="000000"/>
          <w:sz w:val="24"/>
        </w:rPr>
      </w:pPr>
      <w:r>
        <w:rPr>
          <w:rStyle w:val="13"/>
          <w:rFonts w:ascii="宋体" w:hAnsi="宋体"/>
          <w:color w:val="000000"/>
          <w:sz w:val="24"/>
        </w:rPr>
        <w:t>1.6.2 除不可抗力外，如果甲方没有按照本合同约定的付款方式付款，那么乙方可要求甲方支付违约金，违约金按每迟延付款一日的应付而未付款的    %计算，最高限额为本合同总价的     %；迟延付款的违约金计算数额达到前述最高限额之日起，乙方有权在要求甲方支付违约金的同时，书面通知甲方解除本合同；</w:t>
      </w:r>
    </w:p>
    <w:p>
      <w:pPr>
        <w:spacing w:line="440" w:lineRule="exact"/>
        <w:rPr>
          <w:rStyle w:val="13"/>
          <w:rFonts w:ascii="宋体" w:hAnsi="宋体"/>
          <w:color w:val="000000"/>
          <w:sz w:val="24"/>
        </w:rPr>
      </w:pPr>
      <w:r>
        <w:rPr>
          <w:rStyle w:val="13"/>
          <w:rFonts w:ascii="宋体" w:hAnsi="宋体"/>
          <w:color w:val="000000"/>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440" w:lineRule="exact"/>
        <w:rPr>
          <w:rStyle w:val="13"/>
          <w:rFonts w:ascii="宋体" w:hAnsi="宋体"/>
          <w:color w:val="000000"/>
          <w:sz w:val="24"/>
        </w:rPr>
      </w:pPr>
      <w:r>
        <w:rPr>
          <w:rStyle w:val="13"/>
          <w:rFonts w:ascii="宋体" w:hAnsi="宋体"/>
          <w:color w:val="000000"/>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440" w:lineRule="exact"/>
        <w:rPr>
          <w:rStyle w:val="13"/>
          <w:rFonts w:ascii="宋体" w:hAnsi="宋体"/>
          <w:color w:val="000000"/>
          <w:sz w:val="24"/>
        </w:rPr>
      </w:pPr>
      <w:r>
        <w:rPr>
          <w:rStyle w:val="13"/>
          <w:rFonts w:ascii="宋体" w:hAnsi="宋体"/>
          <w:color w:val="000000"/>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440" w:lineRule="exact"/>
        <w:rPr>
          <w:rStyle w:val="13"/>
          <w:rFonts w:ascii="宋体" w:hAnsi="宋体"/>
          <w:color w:val="000000"/>
          <w:sz w:val="24"/>
        </w:rPr>
      </w:pPr>
      <w:r>
        <w:rPr>
          <w:rStyle w:val="13"/>
          <w:rFonts w:ascii="宋体" w:hAnsi="宋体"/>
          <w:color w:val="000000"/>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440" w:lineRule="exact"/>
        <w:rPr>
          <w:rStyle w:val="13"/>
          <w:rFonts w:ascii="宋体" w:hAnsi="宋体"/>
          <w:color w:val="000000"/>
          <w:sz w:val="24"/>
        </w:rPr>
      </w:pPr>
      <w:r>
        <w:rPr>
          <w:rStyle w:val="13"/>
          <w:rFonts w:ascii="宋体" w:hAnsi="宋体"/>
          <w:color w:val="000000"/>
          <w:sz w:val="24"/>
        </w:rPr>
        <w:t>1.7 合同争议的解决</w:t>
      </w:r>
    </w:p>
    <w:p>
      <w:pPr>
        <w:spacing w:line="440" w:lineRule="exact"/>
        <w:rPr>
          <w:rStyle w:val="13"/>
          <w:rFonts w:ascii="宋体" w:hAnsi="宋体"/>
          <w:color w:val="000000"/>
          <w:sz w:val="24"/>
        </w:rPr>
      </w:pPr>
      <w:r>
        <w:rPr>
          <w:rStyle w:val="13"/>
          <w:rFonts w:ascii="宋体" w:hAnsi="宋体"/>
          <w:color w:val="000000"/>
          <w:sz w:val="24"/>
        </w:rPr>
        <w:t>本合同履行过程中发生的任何争议，双方当事人均可通过和解或者调解解决；不愿和解、调解或者和解、调解不成的，可以选择下列第    种方式解决：</w:t>
      </w:r>
    </w:p>
    <w:p>
      <w:pPr>
        <w:spacing w:line="440" w:lineRule="exact"/>
        <w:rPr>
          <w:rStyle w:val="13"/>
          <w:rFonts w:ascii="宋体" w:hAnsi="宋体"/>
          <w:color w:val="000000"/>
          <w:sz w:val="24"/>
        </w:rPr>
      </w:pPr>
      <w:r>
        <w:rPr>
          <w:rStyle w:val="13"/>
          <w:rFonts w:ascii="宋体" w:hAnsi="宋体"/>
          <w:color w:val="000000"/>
          <w:sz w:val="24"/>
        </w:rPr>
        <w:t>1.7.1 将争议提交              仲裁委员会依申请仲裁时其现行有效的仲裁规则裁决；</w:t>
      </w:r>
    </w:p>
    <w:p>
      <w:pPr>
        <w:spacing w:line="440" w:lineRule="exact"/>
        <w:rPr>
          <w:rStyle w:val="13"/>
          <w:rFonts w:ascii="宋体" w:hAnsi="宋体"/>
          <w:color w:val="000000"/>
          <w:sz w:val="24"/>
        </w:rPr>
      </w:pPr>
      <w:r>
        <w:rPr>
          <w:rStyle w:val="13"/>
          <w:rFonts w:ascii="宋体" w:hAnsi="宋体"/>
          <w:color w:val="000000"/>
          <w:sz w:val="24"/>
        </w:rPr>
        <w:t>1.7.2 向   （被告住所地、合同履行地、合同签订地、原告住所地、标的物所在地等与争议有实际联系的地点中选出的人民法院名称）    人民法院起诉。</w:t>
      </w:r>
    </w:p>
    <w:p>
      <w:pPr>
        <w:spacing w:line="440" w:lineRule="exact"/>
        <w:rPr>
          <w:rStyle w:val="13"/>
          <w:rFonts w:ascii="宋体" w:hAnsi="宋体"/>
          <w:color w:val="000000"/>
          <w:sz w:val="24"/>
        </w:rPr>
      </w:pPr>
      <w:r>
        <w:rPr>
          <w:rStyle w:val="13"/>
          <w:rFonts w:ascii="宋体" w:hAnsi="宋体"/>
          <w:color w:val="000000"/>
          <w:sz w:val="24"/>
        </w:rPr>
        <w:t>1.8 合同生效</w:t>
      </w:r>
    </w:p>
    <w:p>
      <w:pPr>
        <w:spacing w:line="440" w:lineRule="exact"/>
        <w:rPr>
          <w:rStyle w:val="13"/>
          <w:rFonts w:ascii="宋体" w:hAnsi="宋体"/>
          <w:color w:val="000000"/>
          <w:sz w:val="24"/>
        </w:rPr>
      </w:pPr>
      <w:r>
        <w:rPr>
          <w:rStyle w:val="13"/>
          <w:rFonts w:ascii="宋体" w:hAnsi="宋体"/>
          <w:color w:val="000000"/>
          <w:sz w:val="24"/>
        </w:rPr>
        <w:t>本合同自双方当事人盖章或者签字时生效。</w:t>
      </w:r>
    </w:p>
    <w:p>
      <w:pPr>
        <w:spacing w:line="440" w:lineRule="exact"/>
        <w:rPr>
          <w:rStyle w:val="13"/>
          <w:rFonts w:ascii="宋体" w:hAnsi="宋体"/>
          <w:color w:val="000000"/>
          <w:sz w:val="24"/>
          <w:lang w:val="zh-CN"/>
        </w:rPr>
      </w:pPr>
    </w:p>
    <w:p>
      <w:pPr>
        <w:spacing w:line="440" w:lineRule="exact"/>
        <w:rPr>
          <w:rStyle w:val="13"/>
          <w:rFonts w:ascii="宋体" w:hAnsi="宋体"/>
          <w:color w:val="000000"/>
          <w:sz w:val="24"/>
          <w:lang w:val="zh-CN"/>
        </w:rPr>
      </w:pPr>
      <w:r>
        <w:rPr>
          <w:rStyle w:val="13"/>
          <w:rFonts w:ascii="宋体" w:hAnsi="宋体"/>
          <w:color w:val="000000"/>
          <w:sz w:val="24"/>
          <w:lang w:val="zh-CN"/>
        </w:rPr>
        <w:t>甲方：                                   乙方：</w:t>
      </w:r>
    </w:p>
    <w:p>
      <w:pPr>
        <w:spacing w:line="440" w:lineRule="exact"/>
        <w:rPr>
          <w:rStyle w:val="13"/>
          <w:rFonts w:ascii="宋体" w:hAnsi="宋体"/>
          <w:color w:val="000000"/>
          <w:sz w:val="24"/>
          <w:lang w:val="zh-CN"/>
        </w:rPr>
      </w:pPr>
      <w:r>
        <w:rPr>
          <w:rStyle w:val="13"/>
          <w:rFonts w:ascii="宋体" w:hAnsi="宋体"/>
          <w:color w:val="000000"/>
          <w:sz w:val="24"/>
          <w:lang w:val="zh-CN"/>
        </w:rPr>
        <w:t>统一社会信用代码：                       统一社会信用代码或身份证号码：</w:t>
      </w:r>
    </w:p>
    <w:p>
      <w:pPr>
        <w:spacing w:line="440" w:lineRule="exact"/>
        <w:rPr>
          <w:rStyle w:val="13"/>
          <w:rFonts w:ascii="宋体" w:hAnsi="宋体"/>
          <w:color w:val="000000"/>
          <w:sz w:val="24"/>
          <w:lang w:val="zh-CN"/>
        </w:rPr>
      </w:pPr>
      <w:r>
        <w:rPr>
          <w:rStyle w:val="13"/>
          <w:rFonts w:ascii="宋体" w:hAnsi="宋体"/>
          <w:color w:val="000000"/>
          <w:sz w:val="24"/>
          <w:lang w:val="zh-CN"/>
        </w:rPr>
        <w:t>住所：                                   住所：</w:t>
      </w:r>
    </w:p>
    <w:p>
      <w:pPr>
        <w:spacing w:line="440" w:lineRule="exact"/>
        <w:rPr>
          <w:rStyle w:val="13"/>
          <w:rFonts w:ascii="宋体" w:hAnsi="宋体"/>
          <w:color w:val="000000"/>
          <w:sz w:val="24"/>
          <w:lang w:val="zh-CN"/>
        </w:rPr>
      </w:pPr>
      <w:r>
        <w:rPr>
          <w:rStyle w:val="13"/>
          <w:rFonts w:ascii="宋体" w:hAnsi="宋体"/>
          <w:color w:val="000000"/>
          <w:sz w:val="24"/>
          <w:lang w:val="zh-CN"/>
        </w:rPr>
        <w:t>法定代表人或                             法定代表人</w:t>
      </w:r>
    </w:p>
    <w:p>
      <w:pPr>
        <w:spacing w:line="440" w:lineRule="exact"/>
        <w:rPr>
          <w:rStyle w:val="13"/>
          <w:rFonts w:ascii="宋体" w:hAnsi="宋体"/>
          <w:color w:val="000000"/>
          <w:sz w:val="24"/>
          <w:lang w:val="zh-CN"/>
        </w:rPr>
      </w:pPr>
      <w:r>
        <w:rPr>
          <w:rStyle w:val="13"/>
          <w:rFonts w:ascii="宋体" w:hAnsi="宋体"/>
          <w:color w:val="000000"/>
          <w:sz w:val="24"/>
          <w:lang w:val="zh-CN"/>
        </w:rPr>
        <w:t xml:space="preserve">授权代表（签字）：                        或授权代表（签字）: </w:t>
      </w:r>
    </w:p>
    <w:p>
      <w:pPr>
        <w:spacing w:line="440" w:lineRule="exact"/>
        <w:rPr>
          <w:rStyle w:val="13"/>
          <w:rFonts w:ascii="宋体" w:hAnsi="宋体"/>
          <w:color w:val="000000"/>
          <w:sz w:val="24"/>
          <w:lang w:val="zh-CN"/>
        </w:rPr>
      </w:pPr>
      <w:r>
        <w:rPr>
          <w:rStyle w:val="13"/>
          <w:rFonts w:ascii="宋体" w:hAnsi="宋体"/>
          <w:color w:val="000000"/>
          <w:sz w:val="24"/>
          <w:lang w:val="zh-CN"/>
        </w:rPr>
        <w:t>联系人：                                 联系人：</w:t>
      </w:r>
    </w:p>
    <w:p>
      <w:pPr>
        <w:spacing w:line="440" w:lineRule="exact"/>
        <w:rPr>
          <w:rStyle w:val="13"/>
          <w:rFonts w:ascii="宋体" w:hAnsi="宋体"/>
          <w:color w:val="000000"/>
          <w:sz w:val="24"/>
          <w:lang w:val="zh-CN"/>
        </w:rPr>
      </w:pPr>
      <w:r>
        <w:rPr>
          <w:rStyle w:val="13"/>
          <w:rFonts w:ascii="宋体" w:hAnsi="宋体"/>
          <w:color w:val="000000"/>
          <w:sz w:val="24"/>
          <w:lang w:val="zh-CN"/>
        </w:rPr>
        <w:t>约定送达地址：                           约定送达地址：</w:t>
      </w:r>
    </w:p>
    <w:p>
      <w:pPr>
        <w:spacing w:line="440" w:lineRule="exact"/>
        <w:rPr>
          <w:rStyle w:val="13"/>
          <w:rFonts w:ascii="宋体" w:hAnsi="宋体"/>
          <w:color w:val="000000"/>
          <w:sz w:val="24"/>
          <w:lang w:val="zh-CN"/>
        </w:rPr>
      </w:pPr>
      <w:r>
        <w:rPr>
          <w:rStyle w:val="13"/>
          <w:rFonts w:ascii="宋体" w:hAnsi="宋体"/>
          <w:color w:val="000000"/>
          <w:sz w:val="24"/>
          <w:lang w:val="zh-CN"/>
        </w:rPr>
        <w:t>邮政编码：                               邮政编码：</w:t>
      </w:r>
    </w:p>
    <w:p>
      <w:pPr>
        <w:spacing w:line="440" w:lineRule="exact"/>
        <w:rPr>
          <w:rStyle w:val="13"/>
          <w:rFonts w:ascii="宋体" w:hAnsi="宋体"/>
          <w:color w:val="000000"/>
          <w:sz w:val="24"/>
          <w:lang w:val="zh-CN"/>
        </w:rPr>
      </w:pPr>
      <w:r>
        <w:rPr>
          <w:rStyle w:val="13"/>
          <w:rFonts w:ascii="宋体" w:hAnsi="宋体"/>
          <w:color w:val="000000"/>
          <w:sz w:val="24"/>
          <w:lang w:val="zh-CN"/>
        </w:rPr>
        <w:t xml:space="preserve">电话:                                    电话: </w:t>
      </w:r>
    </w:p>
    <w:p>
      <w:pPr>
        <w:spacing w:line="440" w:lineRule="exact"/>
        <w:rPr>
          <w:rStyle w:val="13"/>
          <w:rFonts w:ascii="宋体" w:hAnsi="宋体"/>
          <w:color w:val="000000"/>
          <w:sz w:val="24"/>
          <w:lang w:val="zh-CN"/>
        </w:rPr>
      </w:pPr>
      <w:r>
        <w:rPr>
          <w:rStyle w:val="13"/>
          <w:rFonts w:ascii="宋体" w:hAnsi="宋体"/>
          <w:color w:val="000000"/>
          <w:sz w:val="24"/>
          <w:lang w:val="zh-CN"/>
        </w:rPr>
        <w:t>传真:                                    传真:</w:t>
      </w:r>
    </w:p>
    <w:p>
      <w:pPr>
        <w:spacing w:line="440" w:lineRule="exact"/>
        <w:rPr>
          <w:rStyle w:val="13"/>
          <w:rFonts w:ascii="宋体" w:hAnsi="宋体"/>
          <w:color w:val="000000"/>
          <w:sz w:val="24"/>
        </w:rPr>
      </w:pPr>
      <w:r>
        <w:rPr>
          <w:rStyle w:val="13"/>
          <w:rFonts w:ascii="宋体" w:hAnsi="宋体"/>
          <w:color w:val="000000"/>
          <w:sz w:val="24"/>
          <w:lang w:val="zh-CN"/>
        </w:rPr>
        <w:t>电子邮箱：                               电子邮箱：</w:t>
      </w:r>
    </w:p>
    <w:p>
      <w:pPr>
        <w:spacing w:line="440" w:lineRule="exact"/>
        <w:rPr>
          <w:rStyle w:val="13"/>
          <w:rFonts w:ascii="宋体" w:hAnsi="宋体"/>
          <w:color w:val="000000"/>
          <w:sz w:val="24"/>
        </w:rPr>
      </w:pPr>
      <w:r>
        <w:rPr>
          <w:rStyle w:val="13"/>
          <w:rFonts w:ascii="宋体" w:hAnsi="宋体"/>
          <w:color w:val="000000"/>
          <w:sz w:val="24"/>
        </w:rPr>
        <w:t xml:space="preserve">开户银行：                               开户银行： </w:t>
      </w:r>
    </w:p>
    <w:p>
      <w:pPr>
        <w:spacing w:line="440" w:lineRule="exact"/>
        <w:rPr>
          <w:rStyle w:val="13"/>
          <w:rFonts w:ascii="宋体" w:hAnsi="宋体"/>
          <w:color w:val="000000"/>
          <w:sz w:val="24"/>
        </w:rPr>
      </w:pPr>
      <w:r>
        <w:rPr>
          <w:rStyle w:val="13"/>
          <w:rFonts w:ascii="宋体" w:hAnsi="宋体"/>
          <w:color w:val="000000"/>
          <w:sz w:val="24"/>
        </w:rPr>
        <w:t xml:space="preserve">开户名称：                               开户名称： </w:t>
      </w:r>
    </w:p>
    <w:p>
      <w:pPr>
        <w:spacing w:line="440" w:lineRule="exact"/>
        <w:rPr>
          <w:rStyle w:val="13"/>
          <w:rFonts w:ascii="宋体" w:hAnsi="宋体"/>
          <w:color w:val="000000"/>
          <w:sz w:val="24"/>
        </w:rPr>
      </w:pPr>
      <w:r>
        <w:rPr>
          <w:rStyle w:val="13"/>
          <w:rFonts w:ascii="宋体" w:hAnsi="宋体"/>
          <w:color w:val="000000"/>
          <w:sz w:val="24"/>
        </w:rPr>
        <w:t>开户账号：</w:t>
      </w:r>
      <w:r>
        <w:rPr>
          <w:rStyle w:val="13"/>
          <w:rFonts w:ascii="宋体" w:hAnsi="宋体"/>
          <w:color w:val="000000"/>
          <w:sz w:val="24"/>
          <w:lang w:val="zh-CN"/>
        </w:rPr>
        <w:t xml:space="preserve">                               </w:t>
      </w:r>
      <w:r>
        <w:rPr>
          <w:rStyle w:val="13"/>
          <w:rFonts w:ascii="宋体" w:hAnsi="宋体"/>
          <w:color w:val="000000"/>
          <w:sz w:val="24"/>
        </w:rPr>
        <w:t>开户账号：</w:t>
      </w:r>
    </w:p>
    <w:p>
      <w:pPr>
        <w:spacing w:line="440" w:lineRule="exact"/>
        <w:rPr>
          <w:rStyle w:val="13"/>
          <w:rFonts w:ascii="宋体" w:hAnsi="宋体"/>
          <w:color w:val="000000"/>
          <w:sz w:val="24"/>
        </w:rPr>
      </w:pPr>
    </w:p>
    <w:p>
      <w:pPr>
        <w:spacing w:line="440" w:lineRule="exact"/>
        <w:jc w:val="center"/>
        <w:rPr>
          <w:rStyle w:val="13"/>
          <w:rFonts w:ascii="宋体" w:hAnsi="宋体"/>
          <w:color w:val="000000"/>
          <w:sz w:val="24"/>
        </w:rPr>
      </w:pPr>
      <w:r>
        <w:rPr>
          <w:rStyle w:val="13"/>
          <w:rFonts w:ascii="宋体" w:hAnsi="宋体"/>
          <w:color w:val="000000"/>
          <w:sz w:val="24"/>
        </w:rPr>
        <w:t>第二部分 合同一般条款</w:t>
      </w:r>
    </w:p>
    <w:p>
      <w:pPr>
        <w:spacing w:line="440" w:lineRule="exact"/>
        <w:rPr>
          <w:rStyle w:val="13"/>
          <w:rFonts w:ascii="宋体" w:hAnsi="宋体"/>
          <w:color w:val="000000"/>
          <w:sz w:val="24"/>
        </w:rPr>
      </w:pPr>
      <w:r>
        <w:rPr>
          <w:rStyle w:val="13"/>
          <w:rFonts w:ascii="宋体" w:hAnsi="宋体"/>
          <w:color w:val="000000"/>
          <w:sz w:val="24"/>
        </w:rPr>
        <w:t>2.1 定义</w:t>
      </w:r>
    </w:p>
    <w:p>
      <w:pPr>
        <w:spacing w:line="440" w:lineRule="exact"/>
        <w:rPr>
          <w:rStyle w:val="13"/>
          <w:rFonts w:ascii="宋体" w:hAnsi="宋体"/>
          <w:color w:val="000000"/>
          <w:sz w:val="24"/>
        </w:rPr>
      </w:pPr>
      <w:r>
        <w:rPr>
          <w:rStyle w:val="13"/>
          <w:rFonts w:ascii="宋体" w:hAnsi="宋体"/>
          <w:color w:val="000000"/>
          <w:sz w:val="24"/>
        </w:rPr>
        <w:t>本合同中的下列词语应按以下内容进行解释：</w:t>
      </w:r>
    </w:p>
    <w:p>
      <w:pPr>
        <w:spacing w:line="440" w:lineRule="exact"/>
        <w:rPr>
          <w:rStyle w:val="13"/>
          <w:rFonts w:ascii="宋体" w:hAnsi="宋体"/>
          <w:color w:val="000000"/>
          <w:sz w:val="24"/>
        </w:rPr>
      </w:pPr>
      <w:r>
        <w:rPr>
          <w:rStyle w:val="13"/>
          <w:rFonts w:ascii="宋体" w:hAnsi="宋体"/>
          <w:color w:val="000000"/>
          <w:sz w:val="24"/>
        </w:rPr>
        <w:t>2.1.1 “合同”系指采购人和中标供应商签订的载明双方当事人所达成的协议，并包括所有的附件、附录和构成合同的其他文件。</w:t>
      </w:r>
    </w:p>
    <w:p>
      <w:pPr>
        <w:spacing w:line="440" w:lineRule="exact"/>
        <w:rPr>
          <w:rStyle w:val="13"/>
          <w:rFonts w:ascii="宋体" w:hAnsi="宋体"/>
          <w:color w:val="000000"/>
          <w:sz w:val="24"/>
        </w:rPr>
      </w:pPr>
      <w:r>
        <w:rPr>
          <w:rStyle w:val="13"/>
          <w:rFonts w:ascii="宋体" w:hAnsi="宋体"/>
          <w:color w:val="000000"/>
          <w:sz w:val="24"/>
        </w:rPr>
        <w:t>2.1.2 “合同价”系指根据合同约定，中标供应商在完全履行合同义务后，采购人应支付给中标供应商的价格。</w:t>
      </w:r>
    </w:p>
    <w:p>
      <w:pPr>
        <w:spacing w:line="440" w:lineRule="exact"/>
        <w:rPr>
          <w:rStyle w:val="13"/>
          <w:rFonts w:ascii="宋体" w:hAnsi="宋体"/>
          <w:color w:val="000000"/>
          <w:sz w:val="24"/>
        </w:rPr>
      </w:pPr>
      <w:r>
        <w:rPr>
          <w:rStyle w:val="13"/>
          <w:rFonts w:ascii="宋体" w:hAnsi="宋体"/>
          <w:color w:val="000000"/>
          <w:sz w:val="24"/>
        </w:rPr>
        <w:t>2.1.3 “货物”系指中标供应商根据合同约定应向采购人交付的一切各种形态和种类的物品，包括原材料、燃料、设备、机械、仪表、备件、计算机软件、产品等，并包括工具、手册等其他相关资料。</w:t>
      </w:r>
    </w:p>
    <w:p>
      <w:pPr>
        <w:spacing w:line="440" w:lineRule="exact"/>
        <w:rPr>
          <w:rStyle w:val="13"/>
          <w:rFonts w:ascii="宋体" w:hAnsi="宋体"/>
          <w:color w:val="000000"/>
          <w:sz w:val="24"/>
        </w:rPr>
      </w:pPr>
      <w:r>
        <w:rPr>
          <w:rStyle w:val="13"/>
          <w:rFonts w:ascii="宋体" w:hAnsi="宋体"/>
          <w:color w:val="000000"/>
          <w:sz w:val="24"/>
        </w:rPr>
        <w:t>2.1.4 “甲方”系指与中标供应商签署合同的采购人；采购人委托采购代理机构代表其与乙方签订合同的，采购人的授权委托书作为合同附件。</w:t>
      </w:r>
    </w:p>
    <w:p>
      <w:pPr>
        <w:spacing w:line="440" w:lineRule="exact"/>
        <w:rPr>
          <w:rStyle w:val="13"/>
          <w:rFonts w:ascii="宋体" w:hAnsi="宋体"/>
          <w:color w:val="000000"/>
          <w:sz w:val="24"/>
        </w:rPr>
      </w:pPr>
      <w:r>
        <w:rPr>
          <w:rStyle w:val="13"/>
          <w:rFonts w:ascii="宋体" w:hAnsi="宋体"/>
          <w:color w:val="000000"/>
          <w:sz w:val="24"/>
        </w:rPr>
        <w:t>2.1.5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440" w:lineRule="exact"/>
        <w:rPr>
          <w:rStyle w:val="13"/>
          <w:rFonts w:ascii="宋体" w:hAnsi="宋体"/>
          <w:color w:val="000000"/>
          <w:sz w:val="24"/>
        </w:rPr>
      </w:pPr>
      <w:r>
        <w:rPr>
          <w:rStyle w:val="13"/>
          <w:rFonts w:ascii="宋体" w:hAnsi="宋体"/>
          <w:color w:val="000000"/>
          <w:sz w:val="24"/>
        </w:rPr>
        <w:t>2.1.6 “现场”系指合同约定货物将要运至或者安装的地点。</w:t>
      </w:r>
    </w:p>
    <w:p>
      <w:pPr>
        <w:spacing w:line="440" w:lineRule="exact"/>
        <w:rPr>
          <w:rStyle w:val="13"/>
          <w:rFonts w:ascii="宋体" w:hAnsi="宋体"/>
          <w:color w:val="000000"/>
          <w:sz w:val="24"/>
        </w:rPr>
      </w:pPr>
      <w:r>
        <w:rPr>
          <w:rStyle w:val="13"/>
          <w:rFonts w:ascii="宋体" w:hAnsi="宋体"/>
          <w:color w:val="000000"/>
          <w:sz w:val="24"/>
        </w:rPr>
        <w:t>2.2 技术规范</w:t>
      </w:r>
    </w:p>
    <w:p>
      <w:pPr>
        <w:spacing w:line="440" w:lineRule="exact"/>
        <w:rPr>
          <w:rStyle w:val="13"/>
          <w:rFonts w:ascii="宋体" w:hAnsi="宋体"/>
          <w:color w:val="000000"/>
          <w:sz w:val="24"/>
        </w:rPr>
      </w:pPr>
      <w:r>
        <w:rPr>
          <w:rStyle w:val="13"/>
          <w:rFonts w:ascii="宋体" w:hAnsi="宋体"/>
          <w:color w:val="000000"/>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440" w:lineRule="exact"/>
        <w:rPr>
          <w:rStyle w:val="13"/>
          <w:rFonts w:ascii="宋体" w:hAnsi="宋体"/>
          <w:color w:val="000000"/>
          <w:sz w:val="24"/>
        </w:rPr>
      </w:pPr>
      <w:r>
        <w:rPr>
          <w:rStyle w:val="13"/>
          <w:rFonts w:ascii="宋体" w:hAnsi="宋体"/>
          <w:color w:val="000000"/>
          <w:sz w:val="24"/>
        </w:rPr>
        <w:t>2.3 知识产权</w:t>
      </w:r>
    </w:p>
    <w:p>
      <w:pPr>
        <w:spacing w:line="440" w:lineRule="exact"/>
        <w:rPr>
          <w:rStyle w:val="13"/>
          <w:rFonts w:ascii="宋体" w:hAnsi="宋体"/>
          <w:color w:val="000000"/>
          <w:sz w:val="24"/>
        </w:rPr>
      </w:pPr>
      <w:r>
        <w:rPr>
          <w:rStyle w:val="13"/>
          <w:rFonts w:ascii="宋体" w:hAnsi="宋体"/>
          <w:color w:val="000000"/>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440" w:lineRule="exact"/>
        <w:rPr>
          <w:rStyle w:val="13"/>
          <w:rFonts w:ascii="宋体" w:hAnsi="宋体"/>
          <w:color w:val="000000"/>
          <w:sz w:val="24"/>
        </w:rPr>
      </w:pPr>
      <w:r>
        <w:rPr>
          <w:rStyle w:val="13"/>
          <w:rFonts w:ascii="宋体" w:hAnsi="宋体"/>
          <w:color w:val="000000"/>
          <w:sz w:val="24"/>
        </w:rPr>
        <w:t>2.3.2具有知识产权的计算机软件等货物的知识产权归属，详见合同专用条款。</w:t>
      </w:r>
    </w:p>
    <w:p>
      <w:pPr>
        <w:spacing w:line="440" w:lineRule="exact"/>
        <w:rPr>
          <w:rStyle w:val="13"/>
          <w:rFonts w:ascii="宋体" w:hAnsi="宋体"/>
          <w:color w:val="000000"/>
          <w:sz w:val="24"/>
        </w:rPr>
      </w:pPr>
      <w:r>
        <w:rPr>
          <w:rStyle w:val="13"/>
          <w:rFonts w:ascii="宋体" w:hAnsi="宋体"/>
          <w:color w:val="000000"/>
          <w:sz w:val="24"/>
        </w:rPr>
        <w:t>2.4 包装和装运</w:t>
      </w:r>
    </w:p>
    <w:p>
      <w:pPr>
        <w:spacing w:line="440" w:lineRule="exact"/>
        <w:rPr>
          <w:rStyle w:val="13"/>
          <w:rFonts w:ascii="宋体" w:hAnsi="宋体"/>
          <w:color w:val="000000"/>
          <w:sz w:val="24"/>
        </w:rPr>
      </w:pPr>
      <w:r>
        <w:rPr>
          <w:rStyle w:val="13"/>
          <w:rFonts w:ascii="宋体" w:hAnsi="宋体"/>
          <w:color w:val="000000"/>
          <w:sz w:val="24"/>
        </w:rPr>
        <w:t>2.4.1除合同专用条款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440" w:lineRule="exact"/>
        <w:rPr>
          <w:rStyle w:val="13"/>
          <w:rFonts w:ascii="宋体" w:hAnsi="宋体"/>
          <w:color w:val="000000"/>
          <w:sz w:val="24"/>
        </w:rPr>
      </w:pPr>
      <w:r>
        <w:rPr>
          <w:rStyle w:val="13"/>
          <w:rFonts w:ascii="宋体" w:hAnsi="宋体"/>
          <w:color w:val="000000"/>
          <w:sz w:val="24"/>
        </w:rPr>
        <w:t>2.4.2 装运货物的要求和通知，详见合同专用条款。</w:t>
      </w:r>
    </w:p>
    <w:p>
      <w:pPr>
        <w:spacing w:line="440" w:lineRule="exact"/>
        <w:rPr>
          <w:rStyle w:val="13"/>
          <w:rFonts w:ascii="宋体" w:hAnsi="宋体"/>
          <w:color w:val="000000"/>
          <w:sz w:val="24"/>
        </w:rPr>
      </w:pPr>
      <w:r>
        <w:rPr>
          <w:rStyle w:val="13"/>
          <w:rFonts w:ascii="宋体" w:hAnsi="宋体"/>
          <w:color w:val="000000"/>
          <w:sz w:val="24"/>
        </w:rPr>
        <w:t>2.5 履约检查和问题反馈</w:t>
      </w:r>
    </w:p>
    <w:p>
      <w:pPr>
        <w:spacing w:line="440" w:lineRule="exact"/>
        <w:rPr>
          <w:rStyle w:val="13"/>
          <w:rFonts w:ascii="宋体" w:hAnsi="宋体"/>
          <w:color w:val="000000"/>
          <w:sz w:val="24"/>
        </w:rPr>
      </w:pPr>
      <w:r>
        <w:rPr>
          <w:rStyle w:val="13"/>
          <w:rFonts w:ascii="宋体" w:hAnsi="宋体"/>
          <w:color w:val="000000"/>
          <w:sz w:val="24"/>
        </w:rPr>
        <w:t>2.5.1甲方有权在其认为必要时，对乙方是否能够按照合同约定交付货物进行履约检查，以确保乙方所交付的货物能够依约满足甲方之项目需求，但不得因履约检查妨碍乙方的正常工作，乙方应予积极配合；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440" w:lineRule="exact"/>
        <w:rPr>
          <w:rStyle w:val="13"/>
          <w:rFonts w:ascii="宋体" w:hAnsi="宋体"/>
          <w:color w:val="000000"/>
          <w:sz w:val="24"/>
        </w:rPr>
      </w:pPr>
      <w:r>
        <w:rPr>
          <w:rStyle w:val="13"/>
          <w:rFonts w:ascii="宋体" w:hAnsi="宋体"/>
          <w:color w:val="000000"/>
          <w:sz w:val="24"/>
        </w:rPr>
        <w:t>2.5.2 合同履行期间，甲方有权将履行过程中出现的问题反馈给乙方，双方当事人应以书面形式约定需要完善和改进的内容。</w:t>
      </w:r>
    </w:p>
    <w:p>
      <w:pPr>
        <w:spacing w:line="440" w:lineRule="exact"/>
        <w:rPr>
          <w:rStyle w:val="13"/>
          <w:rFonts w:ascii="宋体" w:hAnsi="宋体"/>
          <w:color w:val="000000"/>
          <w:sz w:val="24"/>
        </w:rPr>
      </w:pPr>
      <w:r>
        <w:rPr>
          <w:rStyle w:val="13"/>
          <w:rFonts w:ascii="宋体" w:hAnsi="宋体"/>
          <w:color w:val="000000"/>
          <w:sz w:val="24"/>
        </w:rPr>
        <w:t>2.6 结算方式和付款条件</w:t>
      </w:r>
    </w:p>
    <w:p>
      <w:pPr>
        <w:spacing w:line="440" w:lineRule="exact"/>
        <w:rPr>
          <w:rStyle w:val="13"/>
          <w:rFonts w:ascii="宋体" w:hAnsi="宋体"/>
          <w:color w:val="000000"/>
          <w:sz w:val="24"/>
        </w:rPr>
      </w:pPr>
      <w:r>
        <w:rPr>
          <w:rStyle w:val="13"/>
          <w:rFonts w:ascii="宋体" w:hAnsi="宋体"/>
          <w:color w:val="000000"/>
          <w:sz w:val="24"/>
        </w:rPr>
        <w:t>详见合同专用条款。</w:t>
      </w:r>
    </w:p>
    <w:p>
      <w:pPr>
        <w:spacing w:line="440" w:lineRule="exact"/>
        <w:rPr>
          <w:rStyle w:val="13"/>
          <w:rFonts w:ascii="宋体" w:hAnsi="宋体"/>
          <w:color w:val="000000"/>
          <w:sz w:val="24"/>
        </w:rPr>
      </w:pPr>
      <w:r>
        <w:rPr>
          <w:rStyle w:val="13"/>
          <w:rFonts w:ascii="宋体" w:hAnsi="宋体"/>
          <w:color w:val="000000"/>
          <w:sz w:val="24"/>
        </w:rPr>
        <w:t>2.7 技术资料和保密义务</w:t>
      </w:r>
    </w:p>
    <w:p>
      <w:pPr>
        <w:spacing w:line="440" w:lineRule="exact"/>
        <w:rPr>
          <w:rStyle w:val="13"/>
          <w:rFonts w:ascii="宋体" w:hAnsi="宋体"/>
          <w:color w:val="000000"/>
          <w:sz w:val="24"/>
        </w:rPr>
      </w:pPr>
      <w:r>
        <w:rPr>
          <w:rStyle w:val="13"/>
          <w:rFonts w:ascii="宋体" w:hAnsi="宋体"/>
          <w:color w:val="000000"/>
          <w:sz w:val="24"/>
        </w:rPr>
        <w:t>2.7.1 乙方有权依据合同约定和项目需要，向甲方了解有关情况，调阅有关资料等，甲方应予积极配合；</w:t>
      </w:r>
    </w:p>
    <w:p>
      <w:pPr>
        <w:spacing w:line="440" w:lineRule="exact"/>
        <w:rPr>
          <w:rStyle w:val="13"/>
          <w:rFonts w:ascii="宋体" w:hAnsi="宋体"/>
          <w:color w:val="000000"/>
          <w:sz w:val="24"/>
        </w:rPr>
      </w:pPr>
      <w:r>
        <w:rPr>
          <w:rStyle w:val="13"/>
          <w:rFonts w:ascii="宋体" w:hAnsi="宋体"/>
          <w:color w:val="000000"/>
          <w:sz w:val="24"/>
        </w:rPr>
        <w:t>2.7.2 乙方有义务妥善保管和保护由甲方提供的前款信息和资料等；</w:t>
      </w:r>
    </w:p>
    <w:p>
      <w:pPr>
        <w:spacing w:line="440" w:lineRule="exact"/>
        <w:rPr>
          <w:rStyle w:val="13"/>
          <w:rFonts w:ascii="宋体" w:hAnsi="宋体"/>
          <w:color w:val="000000"/>
          <w:sz w:val="24"/>
        </w:rPr>
      </w:pPr>
      <w:r>
        <w:rPr>
          <w:rStyle w:val="13"/>
          <w:rFonts w:ascii="宋体" w:hAnsi="宋体"/>
          <w:color w:val="000000"/>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440" w:lineRule="exact"/>
        <w:rPr>
          <w:rStyle w:val="13"/>
          <w:rFonts w:ascii="宋体" w:hAnsi="宋体"/>
          <w:color w:val="000000"/>
          <w:sz w:val="24"/>
        </w:rPr>
      </w:pPr>
      <w:r>
        <w:rPr>
          <w:rStyle w:val="13"/>
          <w:rFonts w:ascii="宋体" w:hAnsi="宋体"/>
          <w:color w:val="000000"/>
          <w:sz w:val="24"/>
        </w:rPr>
        <w:t>2.8 质量保证</w:t>
      </w:r>
    </w:p>
    <w:p>
      <w:pPr>
        <w:spacing w:line="440" w:lineRule="exact"/>
        <w:rPr>
          <w:rStyle w:val="13"/>
          <w:rFonts w:ascii="宋体" w:hAnsi="宋体"/>
          <w:color w:val="000000"/>
          <w:sz w:val="24"/>
        </w:rPr>
      </w:pPr>
      <w:r>
        <w:rPr>
          <w:rStyle w:val="13"/>
          <w:rFonts w:ascii="宋体" w:hAnsi="宋体"/>
          <w:color w:val="000000"/>
          <w:sz w:val="24"/>
        </w:rPr>
        <w:t>2.8.1 乙方应建立和完善履行合同的内部质量保证体系，并提供相关内部规章制度给甲方，以便甲方进行监督检查；</w:t>
      </w:r>
    </w:p>
    <w:p>
      <w:pPr>
        <w:spacing w:line="440" w:lineRule="exact"/>
        <w:rPr>
          <w:rStyle w:val="13"/>
          <w:rFonts w:ascii="宋体" w:hAnsi="宋体"/>
          <w:color w:val="000000"/>
          <w:sz w:val="24"/>
        </w:rPr>
      </w:pPr>
      <w:r>
        <w:rPr>
          <w:rStyle w:val="13"/>
          <w:rFonts w:ascii="宋体" w:hAnsi="宋体"/>
          <w:color w:val="000000"/>
          <w:sz w:val="24"/>
        </w:rPr>
        <w:t>2.8.2 乙方应保证履行合同的人员数量和素质、软件和硬件设备的配置、场地、环境和设施等满足全面履行合同的要求，并应接受甲方的监督检查。</w:t>
      </w:r>
    </w:p>
    <w:p>
      <w:pPr>
        <w:spacing w:line="440" w:lineRule="exact"/>
        <w:rPr>
          <w:rStyle w:val="13"/>
          <w:rFonts w:ascii="宋体" w:hAnsi="宋体"/>
          <w:color w:val="000000"/>
          <w:sz w:val="24"/>
        </w:rPr>
      </w:pPr>
      <w:r>
        <w:rPr>
          <w:rStyle w:val="13"/>
          <w:rFonts w:ascii="宋体" w:hAnsi="宋体"/>
          <w:color w:val="000000"/>
          <w:sz w:val="24"/>
        </w:rPr>
        <w:t>2.9 货物的风险负担</w:t>
      </w:r>
    </w:p>
    <w:p>
      <w:pPr>
        <w:spacing w:line="440" w:lineRule="exact"/>
        <w:rPr>
          <w:rStyle w:val="13"/>
          <w:rFonts w:ascii="宋体" w:hAnsi="宋体"/>
          <w:color w:val="000000"/>
          <w:sz w:val="24"/>
        </w:rPr>
      </w:pPr>
      <w:r>
        <w:rPr>
          <w:rStyle w:val="13"/>
          <w:rFonts w:ascii="宋体" w:hAnsi="宋体"/>
          <w:color w:val="000000"/>
          <w:sz w:val="24"/>
        </w:rPr>
        <w:t>货物或者在途货物或者交付给第一承运人后的货物毁损、灭失的风险负担详见合同专用条款。</w:t>
      </w:r>
    </w:p>
    <w:p>
      <w:pPr>
        <w:spacing w:line="440" w:lineRule="exact"/>
        <w:rPr>
          <w:rStyle w:val="13"/>
          <w:rFonts w:ascii="宋体" w:hAnsi="宋体"/>
          <w:color w:val="000000"/>
          <w:sz w:val="24"/>
        </w:rPr>
      </w:pPr>
      <w:r>
        <w:rPr>
          <w:rStyle w:val="13"/>
          <w:rFonts w:ascii="宋体" w:hAnsi="宋体"/>
          <w:color w:val="000000"/>
          <w:sz w:val="24"/>
        </w:rPr>
        <w:t>2.10 延迟交货</w:t>
      </w:r>
    </w:p>
    <w:p>
      <w:pPr>
        <w:spacing w:line="440" w:lineRule="exact"/>
        <w:rPr>
          <w:rStyle w:val="13"/>
          <w:rFonts w:ascii="宋体" w:hAnsi="宋体"/>
          <w:color w:val="000000"/>
          <w:sz w:val="24"/>
        </w:rPr>
      </w:pPr>
      <w:r>
        <w:rPr>
          <w:rStyle w:val="13"/>
          <w:rFonts w:ascii="宋体" w:hAnsi="宋体"/>
          <w:color w:val="000000"/>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440" w:lineRule="exact"/>
        <w:rPr>
          <w:rStyle w:val="13"/>
          <w:rFonts w:ascii="宋体" w:hAnsi="宋体"/>
          <w:color w:val="000000"/>
          <w:sz w:val="24"/>
        </w:rPr>
      </w:pPr>
      <w:r>
        <w:rPr>
          <w:rStyle w:val="13"/>
          <w:rFonts w:ascii="宋体" w:hAnsi="宋体"/>
          <w:color w:val="000000"/>
          <w:sz w:val="24"/>
        </w:rPr>
        <w:t>2.11 合同变更</w:t>
      </w:r>
    </w:p>
    <w:p>
      <w:pPr>
        <w:spacing w:line="440" w:lineRule="exact"/>
        <w:rPr>
          <w:rStyle w:val="13"/>
          <w:rFonts w:ascii="宋体" w:hAnsi="宋体"/>
          <w:color w:val="000000"/>
          <w:sz w:val="24"/>
        </w:rPr>
      </w:pPr>
      <w:r>
        <w:rPr>
          <w:rStyle w:val="13"/>
          <w:rFonts w:ascii="宋体" w:hAnsi="宋体"/>
          <w:color w:val="000000"/>
          <w:sz w:val="24"/>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440" w:lineRule="exact"/>
        <w:rPr>
          <w:rStyle w:val="13"/>
          <w:rFonts w:ascii="宋体" w:hAnsi="宋体"/>
          <w:color w:val="000000"/>
          <w:sz w:val="24"/>
        </w:rPr>
      </w:pPr>
      <w:r>
        <w:rPr>
          <w:rStyle w:val="13"/>
          <w:rFonts w:ascii="宋体" w:hAnsi="宋体"/>
          <w:color w:val="000000"/>
          <w:sz w:val="24"/>
        </w:rPr>
        <w:t>2.11.2 合同继续履行将损害国家利益和社会公共利益的，双方当事人应当以书面形式变更合同。有过错的一方应当承担赔偿责任，双方当事人都有过错的，各自承担相应的责任。</w:t>
      </w:r>
    </w:p>
    <w:p>
      <w:pPr>
        <w:spacing w:line="440" w:lineRule="exact"/>
        <w:rPr>
          <w:rStyle w:val="13"/>
          <w:rFonts w:ascii="宋体" w:hAnsi="宋体"/>
          <w:color w:val="000000"/>
          <w:sz w:val="24"/>
        </w:rPr>
      </w:pPr>
      <w:r>
        <w:rPr>
          <w:rStyle w:val="13"/>
          <w:rFonts w:ascii="宋体" w:hAnsi="宋体"/>
          <w:color w:val="000000"/>
          <w:sz w:val="24"/>
        </w:rPr>
        <w:t>2.12 合同转让和分包</w:t>
      </w:r>
    </w:p>
    <w:p>
      <w:pPr>
        <w:spacing w:line="440" w:lineRule="exact"/>
        <w:rPr>
          <w:rStyle w:val="13"/>
          <w:rFonts w:ascii="宋体" w:hAnsi="宋体"/>
          <w:color w:val="000000"/>
          <w:sz w:val="24"/>
        </w:rPr>
      </w:pPr>
      <w:r>
        <w:rPr>
          <w:rStyle w:val="13"/>
          <w:rFonts w:ascii="宋体" w:hAnsi="宋体"/>
          <w:color w:val="000000"/>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440" w:lineRule="exact"/>
        <w:rPr>
          <w:rStyle w:val="13"/>
          <w:rFonts w:ascii="宋体" w:hAnsi="宋体"/>
          <w:color w:val="000000"/>
          <w:sz w:val="24"/>
        </w:rPr>
      </w:pPr>
      <w:r>
        <w:rPr>
          <w:rStyle w:val="13"/>
          <w:rFonts w:ascii="宋体" w:hAnsi="宋体"/>
          <w:color w:val="000000"/>
          <w:sz w:val="24"/>
        </w:rPr>
        <w:t>2.13 不可抗力</w:t>
      </w:r>
    </w:p>
    <w:p>
      <w:pPr>
        <w:spacing w:line="440" w:lineRule="exact"/>
        <w:rPr>
          <w:rStyle w:val="13"/>
          <w:rFonts w:ascii="宋体" w:hAnsi="宋体"/>
          <w:color w:val="000000"/>
          <w:sz w:val="24"/>
        </w:rPr>
      </w:pPr>
      <w:r>
        <w:rPr>
          <w:rStyle w:val="13"/>
          <w:rFonts w:ascii="宋体" w:hAnsi="宋体"/>
          <w:color w:val="000000"/>
          <w:sz w:val="24"/>
        </w:rPr>
        <w:t>2.13.1如果任何一方遭遇法律规定的不可抗力，致使合同履行受阻时，履行合同的期限应予延长，延长的期限应相当于不可抗力所影响的时间；</w:t>
      </w:r>
    </w:p>
    <w:p>
      <w:pPr>
        <w:spacing w:line="440" w:lineRule="exact"/>
        <w:rPr>
          <w:rStyle w:val="13"/>
          <w:rFonts w:ascii="宋体" w:hAnsi="宋体"/>
          <w:color w:val="000000"/>
          <w:sz w:val="24"/>
        </w:rPr>
      </w:pPr>
      <w:r>
        <w:rPr>
          <w:rStyle w:val="13"/>
          <w:rFonts w:ascii="宋体" w:hAnsi="宋体"/>
          <w:color w:val="000000"/>
          <w:sz w:val="24"/>
        </w:rPr>
        <w:t>2.13.2 因不可抗力致使不能实现合同目的的，当事人可以解除合同；</w:t>
      </w:r>
    </w:p>
    <w:p>
      <w:pPr>
        <w:spacing w:line="440" w:lineRule="exact"/>
        <w:rPr>
          <w:rStyle w:val="13"/>
          <w:rFonts w:ascii="宋体" w:hAnsi="宋体"/>
          <w:color w:val="000000"/>
          <w:sz w:val="24"/>
        </w:rPr>
      </w:pPr>
      <w:r>
        <w:rPr>
          <w:rStyle w:val="13"/>
          <w:rFonts w:ascii="宋体" w:hAnsi="宋体"/>
          <w:color w:val="000000"/>
          <w:sz w:val="24"/>
        </w:rPr>
        <w:t>2.13.3 因不可抗力致使合同有变更必要的，双方当事人应在合同专用条款约定时间内以书面形式变更合同；</w:t>
      </w:r>
    </w:p>
    <w:p>
      <w:pPr>
        <w:spacing w:line="440" w:lineRule="exact"/>
        <w:rPr>
          <w:rStyle w:val="13"/>
          <w:rFonts w:ascii="宋体" w:hAnsi="宋体"/>
          <w:color w:val="000000"/>
          <w:sz w:val="24"/>
        </w:rPr>
      </w:pPr>
      <w:r>
        <w:rPr>
          <w:rStyle w:val="13"/>
          <w:rFonts w:ascii="宋体" w:hAnsi="宋体"/>
          <w:color w:val="000000"/>
          <w:sz w:val="24"/>
        </w:rPr>
        <w:t>2.13.4受不可抗力影响的一方在不可抗力发生后，应在合同专用条款约定时间内以书面形式通知对方当事人，并在合同专用条款约定时间内，将有关部门出具的证明文件送达对方当事人。</w:t>
      </w:r>
    </w:p>
    <w:p>
      <w:pPr>
        <w:spacing w:line="440" w:lineRule="exact"/>
        <w:rPr>
          <w:rStyle w:val="13"/>
          <w:rFonts w:ascii="宋体" w:hAnsi="宋体"/>
          <w:color w:val="000000"/>
          <w:sz w:val="24"/>
        </w:rPr>
      </w:pPr>
      <w:r>
        <w:rPr>
          <w:rStyle w:val="13"/>
          <w:rFonts w:ascii="宋体" w:hAnsi="宋体"/>
          <w:color w:val="000000"/>
          <w:sz w:val="24"/>
        </w:rPr>
        <w:t>2.14 税费</w:t>
      </w:r>
    </w:p>
    <w:p>
      <w:pPr>
        <w:spacing w:line="440" w:lineRule="exact"/>
        <w:rPr>
          <w:rStyle w:val="13"/>
          <w:rFonts w:ascii="宋体" w:hAnsi="宋体"/>
          <w:color w:val="000000"/>
          <w:sz w:val="24"/>
        </w:rPr>
      </w:pPr>
      <w:r>
        <w:rPr>
          <w:rStyle w:val="13"/>
          <w:rFonts w:ascii="宋体" w:hAnsi="宋体"/>
          <w:color w:val="000000"/>
          <w:sz w:val="24"/>
        </w:rPr>
        <w:t>与合同有关的一切税费，均按照中华人民共和国法律的相关规定。</w:t>
      </w:r>
    </w:p>
    <w:p>
      <w:pPr>
        <w:spacing w:line="440" w:lineRule="exact"/>
        <w:rPr>
          <w:rStyle w:val="13"/>
          <w:rFonts w:ascii="宋体" w:hAnsi="宋体"/>
          <w:color w:val="000000"/>
          <w:sz w:val="24"/>
        </w:rPr>
      </w:pPr>
      <w:r>
        <w:rPr>
          <w:rStyle w:val="13"/>
          <w:rFonts w:ascii="宋体" w:hAnsi="宋体"/>
          <w:color w:val="000000"/>
          <w:sz w:val="24"/>
        </w:rPr>
        <w:t>2.15 乙方破产</w:t>
      </w:r>
    </w:p>
    <w:p>
      <w:pPr>
        <w:spacing w:line="440" w:lineRule="exact"/>
        <w:rPr>
          <w:rStyle w:val="13"/>
          <w:rFonts w:ascii="宋体" w:hAnsi="宋体"/>
          <w:color w:val="000000"/>
          <w:sz w:val="24"/>
        </w:rPr>
      </w:pPr>
      <w:r>
        <w:rPr>
          <w:rStyle w:val="13"/>
          <w:rFonts w:ascii="宋体" w:hAnsi="宋体"/>
          <w:color w:val="000000"/>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440" w:lineRule="exact"/>
        <w:rPr>
          <w:rStyle w:val="13"/>
          <w:rFonts w:ascii="宋体" w:hAnsi="宋体"/>
          <w:color w:val="000000"/>
          <w:sz w:val="24"/>
        </w:rPr>
      </w:pPr>
      <w:r>
        <w:rPr>
          <w:rStyle w:val="13"/>
          <w:rFonts w:ascii="宋体" w:hAnsi="宋体"/>
          <w:color w:val="000000"/>
          <w:sz w:val="24"/>
        </w:rPr>
        <w:t>2.16 合同中止、终止</w:t>
      </w:r>
    </w:p>
    <w:p>
      <w:pPr>
        <w:spacing w:line="440" w:lineRule="exact"/>
        <w:rPr>
          <w:rStyle w:val="13"/>
          <w:rFonts w:ascii="宋体" w:hAnsi="宋体"/>
          <w:color w:val="000000"/>
          <w:sz w:val="24"/>
        </w:rPr>
      </w:pPr>
      <w:r>
        <w:rPr>
          <w:rStyle w:val="13"/>
          <w:rFonts w:ascii="宋体" w:hAnsi="宋体"/>
          <w:color w:val="000000"/>
          <w:sz w:val="24"/>
        </w:rPr>
        <w:t>2.16.1 双方当事人不得擅自中止或者终止合同；</w:t>
      </w:r>
    </w:p>
    <w:p>
      <w:pPr>
        <w:spacing w:line="440" w:lineRule="exact"/>
        <w:rPr>
          <w:rStyle w:val="13"/>
          <w:rFonts w:ascii="宋体" w:hAnsi="宋体"/>
          <w:color w:val="000000"/>
          <w:sz w:val="24"/>
        </w:rPr>
      </w:pPr>
      <w:r>
        <w:rPr>
          <w:rStyle w:val="13"/>
          <w:rFonts w:ascii="宋体" w:hAnsi="宋体"/>
          <w:color w:val="000000"/>
          <w:sz w:val="24"/>
        </w:rPr>
        <w:t>2.16.2合同继续履行将损害国家利益和社会公共利益的，双方当事人应当中止或者终止合同。有过错的一方应当承担赔偿责任，双方当事人都有过错的，各自承担相应的责任。</w:t>
      </w:r>
    </w:p>
    <w:p>
      <w:pPr>
        <w:spacing w:line="440" w:lineRule="exact"/>
        <w:rPr>
          <w:rStyle w:val="13"/>
          <w:rFonts w:ascii="宋体" w:hAnsi="宋体"/>
          <w:color w:val="000000"/>
          <w:sz w:val="24"/>
        </w:rPr>
      </w:pPr>
      <w:r>
        <w:rPr>
          <w:rStyle w:val="13"/>
          <w:rFonts w:ascii="宋体" w:hAnsi="宋体"/>
          <w:color w:val="000000"/>
          <w:sz w:val="24"/>
        </w:rPr>
        <w:t>2.17 检验和验收</w:t>
      </w:r>
    </w:p>
    <w:p>
      <w:pPr>
        <w:spacing w:line="440" w:lineRule="exact"/>
        <w:rPr>
          <w:rStyle w:val="13"/>
          <w:rFonts w:ascii="宋体" w:hAnsi="宋体"/>
          <w:color w:val="000000"/>
          <w:sz w:val="24"/>
        </w:rPr>
      </w:pPr>
      <w:r>
        <w:rPr>
          <w:rStyle w:val="13"/>
          <w:rFonts w:ascii="宋体" w:hAnsi="宋体"/>
          <w:color w:val="000000"/>
          <w:sz w:val="24"/>
        </w:rPr>
        <w:t>2.17.1货物交付前，乙方应对货物的质量、数量等方面进行详细、全面的检验，并向甲方出具证明货物符合合同约定的文件；货物交付时，乙方在合同专用条款约定时间内组织验收，并可依法邀请相关方参加，验收应出具验收书。</w:t>
      </w:r>
    </w:p>
    <w:p>
      <w:pPr>
        <w:spacing w:line="440" w:lineRule="exact"/>
        <w:rPr>
          <w:rStyle w:val="13"/>
          <w:rFonts w:ascii="宋体" w:hAnsi="宋体"/>
          <w:color w:val="000000"/>
          <w:sz w:val="24"/>
        </w:rPr>
      </w:pPr>
      <w:r>
        <w:rPr>
          <w:rStyle w:val="13"/>
          <w:rFonts w:ascii="宋体" w:hAnsi="宋体"/>
          <w:color w:val="000000"/>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440" w:lineRule="exact"/>
        <w:rPr>
          <w:rStyle w:val="13"/>
          <w:rFonts w:ascii="宋体" w:hAnsi="宋体"/>
          <w:color w:val="000000"/>
          <w:sz w:val="24"/>
        </w:rPr>
      </w:pPr>
      <w:r>
        <w:rPr>
          <w:rStyle w:val="13"/>
          <w:rFonts w:ascii="宋体" w:hAnsi="宋体"/>
          <w:color w:val="000000"/>
          <w:sz w:val="24"/>
        </w:rPr>
        <w:t>2.17.3 检验和验收标准、程序等具体内容以及前述验收书的效力详见合同专用条款。</w:t>
      </w:r>
    </w:p>
    <w:p>
      <w:pPr>
        <w:spacing w:line="440" w:lineRule="exact"/>
        <w:rPr>
          <w:rStyle w:val="13"/>
          <w:rFonts w:ascii="宋体" w:hAnsi="宋体"/>
          <w:color w:val="000000"/>
          <w:sz w:val="24"/>
        </w:rPr>
      </w:pPr>
      <w:r>
        <w:rPr>
          <w:rStyle w:val="13"/>
          <w:rFonts w:ascii="宋体" w:hAnsi="宋体"/>
          <w:color w:val="000000"/>
          <w:sz w:val="24"/>
        </w:rPr>
        <w:t>2.18 通知和送达</w:t>
      </w:r>
    </w:p>
    <w:p>
      <w:pPr>
        <w:spacing w:line="440" w:lineRule="exact"/>
        <w:rPr>
          <w:rStyle w:val="13"/>
          <w:rFonts w:ascii="宋体" w:hAnsi="宋体"/>
          <w:color w:val="000000"/>
          <w:sz w:val="24"/>
        </w:rPr>
      </w:pPr>
      <w:r>
        <w:rPr>
          <w:rStyle w:val="13"/>
          <w:rFonts w:ascii="宋体" w:hAnsi="宋体"/>
          <w:color w:val="000000"/>
          <w:sz w:val="24"/>
        </w:rPr>
        <w:t>2.18.1 任何一方因履行合同而以合同第一部分尾部所列明的发出</w:t>
      </w:r>
      <w:r>
        <w:rPr>
          <w:rStyle w:val="13"/>
          <w:rFonts w:hint="eastAsia" w:ascii="宋体" w:hAnsi="宋体"/>
          <w:color w:val="000000"/>
          <w:sz w:val="24"/>
        </w:rPr>
        <w:t xml:space="preserve">   </w:t>
      </w:r>
      <w:r>
        <w:rPr>
          <w:rStyle w:val="13"/>
          <w:rFonts w:ascii="宋体" w:hAnsi="宋体"/>
          <w:color w:val="000000"/>
          <w:sz w:val="24"/>
        </w:rPr>
        <w:t>的所有通知、文件、材料，均视为已向对方当事人送达；任何一方变更上述送达方式或者地址的，应于   个工作日内书面通知对方当事人，在对方当事人收到有关变更通知之前，变更前的约定送达方式或者地址仍视为有效。</w:t>
      </w:r>
    </w:p>
    <w:p>
      <w:pPr>
        <w:spacing w:line="400" w:lineRule="exact"/>
        <w:rPr>
          <w:rStyle w:val="13"/>
          <w:rFonts w:ascii="宋体" w:hAnsi="宋体"/>
          <w:color w:val="000000"/>
          <w:sz w:val="24"/>
        </w:rPr>
      </w:pPr>
      <w:r>
        <w:rPr>
          <w:rStyle w:val="13"/>
          <w:rFonts w:ascii="宋体" w:hAnsi="宋体"/>
          <w:color w:val="000000"/>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p>
    <w:p>
      <w:pPr>
        <w:spacing w:line="400" w:lineRule="exact"/>
        <w:rPr>
          <w:rStyle w:val="13"/>
          <w:rFonts w:ascii="宋体" w:hAnsi="宋体"/>
          <w:color w:val="000000"/>
          <w:sz w:val="24"/>
        </w:rPr>
      </w:pPr>
      <w:r>
        <w:rPr>
          <w:rStyle w:val="13"/>
          <w:rFonts w:ascii="宋体" w:hAnsi="宋体"/>
          <w:color w:val="000000"/>
          <w:sz w:val="24"/>
        </w:rPr>
        <w:t>2.19 计量单位</w:t>
      </w:r>
    </w:p>
    <w:p>
      <w:pPr>
        <w:spacing w:line="400" w:lineRule="exact"/>
        <w:rPr>
          <w:rStyle w:val="13"/>
          <w:rFonts w:ascii="宋体" w:hAnsi="宋体"/>
          <w:color w:val="000000"/>
          <w:sz w:val="24"/>
        </w:rPr>
      </w:pPr>
      <w:r>
        <w:rPr>
          <w:rStyle w:val="13"/>
          <w:rFonts w:ascii="宋体" w:hAnsi="宋体"/>
          <w:color w:val="000000"/>
          <w:sz w:val="24"/>
        </w:rPr>
        <w:t>除技术规范中另有规定外,合同的计量单位均使用国家法定计量单位。</w:t>
      </w:r>
    </w:p>
    <w:p>
      <w:pPr>
        <w:spacing w:line="400" w:lineRule="exact"/>
        <w:rPr>
          <w:rStyle w:val="13"/>
          <w:rFonts w:ascii="宋体" w:hAnsi="宋体"/>
          <w:color w:val="000000"/>
          <w:sz w:val="24"/>
        </w:rPr>
      </w:pPr>
      <w:r>
        <w:rPr>
          <w:rStyle w:val="13"/>
          <w:rFonts w:ascii="宋体" w:hAnsi="宋体"/>
          <w:color w:val="000000"/>
          <w:sz w:val="24"/>
        </w:rPr>
        <w:t>2.20 合同使用的文字和适用的法律</w:t>
      </w:r>
    </w:p>
    <w:p>
      <w:pPr>
        <w:spacing w:line="400" w:lineRule="exact"/>
        <w:rPr>
          <w:rStyle w:val="13"/>
          <w:rFonts w:ascii="宋体" w:hAnsi="宋体"/>
          <w:color w:val="000000"/>
          <w:sz w:val="24"/>
        </w:rPr>
      </w:pPr>
      <w:r>
        <w:rPr>
          <w:rStyle w:val="13"/>
          <w:rFonts w:ascii="宋体" w:hAnsi="宋体"/>
          <w:color w:val="000000"/>
          <w:sz w:val="24"/>
        </w:rPr>
        <w:t>2.20.1 合同使用汉语书就、变更和解释；</w:t>
      </w:r>
    </w:p>
    <w:p>
      <w:pPr>
        <w:spacing w:line="400" w:lineRule="exact"/>
        <w:rPr>
          <w:rStyle w:val="13"/>
          <w:rFonts w:ascii="宋体" w:hAnsi="宋体"/>
          <w:color w:val="000000"/>
          <w:sz w:val="24"/>
        </w:rPr>
      </w:pPr>
      <w:r>
        <w:rPr>
          <w:rStyle w:val="13"/>
          <w:rFonts w:ascii="宋体" w:hAnsi="宋体"/>
          <w:color w:val="000000"/>
          <w:sz w:val="24"/>
        </w:rPr>
        <w:t>2.20.2 合同适用中华人民共和国法律。</w:t>
      </w:r>
    </w:p>
    <w:p>
      <w:pPr>
        <w:spacing w:line="400" w:lineRule="exact"/>
        <w:rPr>
          <w:rStyle w:val="13"/>
          <w:rFonts w:ascii="宋体" w:hAnsi="宋体"/>
          <w:color w:val="000000"/>
          <w:sz w:val="24"/>
        </w:rPr>
      </w:pPr>
      <w:r>
        <w:rPr>
          <w:rStyle w:val="13"/>
          <w:rFonts w:ascii="宋体" w:hAnsi="宋体"/>
          <w:color w:val="000000"/>
          <w:sz w:val="24"/>
        </w:rPr>
        <w:t>2.21 履约保证金</w:t>
      </w:r>
    </w:p>
    <w:p>
      <w:pPr>
        <w:spacing w:line="400" w:lineRule="exact"/>
        <w:rPr>
          <w:rStyle w:val="13"/>
          <w:rFonts w:ascii="宋体" w:hAnsi="宋体"/>
          <w:color w:val="000000"/>
          <w:sz w:val="24"/>
        </w:rPr>
      </w:pPr>
      <w:r>
        <w:rPr>
          <w:rStyle w:val="13"/>
          <w:rFonts w:ascii="宋体" w:hAnsi="宋体"/>
          <w:color w:val="000000"/>
          <w:sz w:val="24"/>
        </w:rPr>
        <w:t>2.21.1 采购文件要求乙方提交履约保证金的，乙方应按合同专用条款约定的方式，以支票、汇票、本票或者金融机构、担保机构出具的保函等非现金形式，提交不超过合同价</w:t>
      </w:r>
      <w:r>
        <w:rPr>
          <w:rStyle w:val="13"/>
          <w:rFonts w:hint="eastAsia" w:ascii="宋体" w:hAnsi="宋体"/>
          <w:color w:val="000000"/>
          <w:sz w:val="24"/>
          <w:lang w:val="en-US" w:eastAsia="zh-CN"/>
        </w:rPr>
        <w:t>10</w:t>
      </w:r>
      <w:r>
        <w:rPr>
          <w:rStyle w:val="13"/>
          <w:rFonts w:ascii="宋体" w:hAnsi="宋体"/>
          <w:color w:val="000000"/>
          <w:sz w:val="24"/>
        </w:rPr>
        <w:t>%的履约保证金；</w:t>
      </w:r>
    </w:p>
    <w:p>
      <w:pPr>
        <w:spacing w:line="400" w:lineRule="exact"/>
        <w:rPr>
          <w:rStyle w:val="13"/>
          <w:rFonts w:ascii="宋体" w:hAnsi="宋体"/>
          <w:color w:val="000000"/>
          <w:sz w:val="24"/>
        </w:rPr>
      </w:pPr>
      <w:r>
        <w:rPr>
          <w:rStyle w:val="13"/>
          <w:rFonts w:ascii="宋体" w:hAnsi="宋体"/>
          <w:color w:val="000000"/>
          <w:sz w:val="24"/>
        </w:rPr>
        <w:t>2.21.2  履约保证金在合同专用条款约定期间内或者货物质量保证期内不予退还或者应完全有效，前述约定期间届满或者货物质量保证期届满之日起  个工作日内，甲方应将履约保证金退还乙方；</w:t>
      </w:r>
    </w:p>
    <w:p>
      <w:pPr>
        <w:spacing w:line="400" w:lineRule="exact"/>
        <w:rPr>
          <w:rStyle w:val="13"/>
          <w:rFonts w:ascii="宋体" w:hAnsi="宋体"/>
          <w:color w:val="000000"/>
          <w:sz w:val="24"/>
        </w:rPr>
      </w:pPr>
      <w:r>
        <w:rPr>
          <w:rStyle w:val="13"/>
          <w:rFonts w:ascii="宋体" w:hAnsi="宋体"/>
          <w:color w:val="000000"/>
          <w:sz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400" w:lineRule="exact"/>
        <w:rPr>
          <w:rStyle w:val="13"/>
          <w:rFonts w:ascii="宋体" w:hAnsi="宋体"/>
          <w:color w:val="000000"/>
          <w:sz w:val="24"/>
        </w:rPr>
      </w:pPr>
      <w:r>
        <w:rPr>
          <w:rStyle w:val="13"/>
          <w:rFonts w:ascii="宋体" w:hAnsi="宋体"/>
          <w:color w:val="000000"/>
          <w:sz w:val="24"/>
        </w:rPr>
        <w:t>2.22 合同份数</w:t>
      </w:r>
    </w:p>
    <w:p>
      <w:pPr>
        <w:spacing w:line="400" w:lineRule="exact"/>
        <w:rPr>
          <w:rStyle w:val="13"/>
          <w:rFonts w:ascii="宋体" w:hAnsi="宋体"/>
          <w:color w:val="000000"/>
          <w:sz w:val="24"/>
        </w:rPr>
      </w:pPr>
      <w:r>
        <w:rPr>
          <w:rStyle w:val="13"/>
          <w:rFonts w:ascii="宋体" w:hAnsi="宋体"/>
          <w:color w:val="000000"/>
          <w:sz w:val="24"/>
        </w:rPr>
        <w:t>合同份数按合同专用条款规定，每份均具有同等法律效力。</w:t>
      </w:r>
    </w:p>
    <w:p>
      <w:pPr>
        <w:spacing w:line="440" w:lineRule="exact"/>
        <w:jc w:val="center"/>
        <w:rPr>
          <w:rStyle w:val="13"/>
          <w:rFonts w:ascii="宋体" w:hAnsi="宋体"/>
          <w:color w:val="000000"/>
          <w:sz w:val="24"/>
        </w:rPr>
      </w:pPr>
      <w:r>
        <w:rPr>
          <w:rStyle w:val="13"/>
          <w:rFonts w:ascii="宋体" w:hAnsi="宋体"/>
          <w:color w:val="000000"/>
          <w:sz w:val="24"/>
        </w:rPr>
        <w:t>第三部分  合同专用条款</w:t>
      </w:r>
    </w:p>
    <w:p>
      <w:pPr>
        <w:spacing w:line="440" w:lineRule="exact"/>
        <w:rPr>
          <w:rStyle w:val="13"/>
          <w:rFonts w:ascii="宋体" w:hAnsi="宋体"/>
          <w:color w:val="000000"/>
          <w:sz w:val="24"/>
        </w:rPr>
      </w:pPr>
      <w:r>
        <w:rPr>
          <w:rStyle w:val="13"/>
          <w:rFonts w:ascii="宋体" w:hAnsi="宋体"/>
          <w:color w:val="000000"/>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0"/>
        <w:tblW w:w="84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1"/>
        <w:gridCol w:w="76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1" w:hRule="atLeast"/>
          <w:jc w:val="center"/>
        </w:trPr>
        <w:tc>
          <w:tcPr>
            <w:tcW w:w="801" w:type="dxa"/>
            <w:tcBorders>
              <w:top w:val="single" w:color="000000" w:sz="6" w:space="0"/>
              <w:left w:val="single" w:color="000000" w:sz="4" w:space="0"/>
              <w:bottom w:val="single" w:color="000000" w:sz="6" w:space="0"/>
              <w:right w:val="single" w:color="000000" w:sz="6" w:space="0"/>
            </w:tcBorders>
            <w:vAlign w:val="center"/>
          </w:tcPr>
          <w:p>
            <w:pPr>
              <w:spacing w:line="440" w:lineRule="exact"/>
              <w:rPr>
                <w:rStyle w:val="13"/>
                <w:rFonts w:ascii="宋体" w:hAnsi="宋体"/>
                <w:color w:val="000000"/>
                <w:sz w:val="24"/>
              </w:rPr>
            </w:pPr>
            <w:r>
              <w:rPr>
                <w:rStyle w:val="13"/>
                <w:rFonts w:ascii="宋体" w:hAnsi="宋体"/>
                <w:color w:val="000000"/>
                <w:sz w:val="24"/>
              </w:rPr>
              <w:t>条款号</w:t>
            </w:r>
          </w:p>
        </w:tc>
        <w:tc>
          <w:tcPr>
            <w:tcW w:w="7633" w:type="dxa"/>
            <w:tcBorders>
              <w:top w:val="single" w:color="000000" w:sz="6" w:space="0"/>
              <w:left w:val="single" w:color="000000" w:sz="6" w:space="0"/>
              <w:bottom w:val="single" w:color="000000" w:sz="6" w:space="0"/>
              <w:right w:val="single" w:color="000000" w:sz="6" w:space="0"/>
            </w:tcBorders>
            <w:vAlign w:val="center"/>
          </w:tcPr>
          <w:p>
            <w:pPr>
              <w:spacing w:line="440" w:lineRule="exact"/>
              <w:rPr>
                <w:rStyle w:val="13"/>
                <w:rFonts w:ascii="宋体" w:hAnsi="宋体"/>
                <w:color w:val="000000"/>
                <w:sz w:val="24"/>
              </w:rPr>
            </w:pPr>
            <w:r>
              <w:rPr>
                <w:rStyle w:val="13"/>
                <w:rFonts w:ascii="宋体" w:hAnsi="宋体"/>
                <w:color w:val="000000"/>
                <w:sz w:val="24"/>
              </w:rPr>
              <w:t>约定内容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 w:hRule="atLeast"/>
          <w:jc w:val="center"/>
        </w:trPr>
        <w:tc>
          <w:tcPr>
            <w:tcW w:w="801" w:type="dxa"/>
            <w:tcBorders>
              <w:top w:val="single" w:color="000000" w:sz="6" w:space="0"/>
              <w:left w:val="single" w:color="000000" w:sz="4" w:space="0"/>
              <w:bottom w:val="single" w:color="000000" w:sz="6" w:space="0"/>
              <w:right w:val="single" w:color="000000" w:sz="6" w:space="0"/>
            </w:tcBorders>
            <w:vAlign w:val="center"/>
          </w:tcPr>
          <w:p>
            <w:pPr>
              <w:spacing w:line="440" w:lineRule="exact"/>
              <w:rPr>
                <w:rStyle w:val="13"/>
                <w:rFonts w:ascii="宋体" w:hAnsi="宋体"/>
                <w:color w:val="000000"/>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pacing w:line="440" w:lineRule="exact"/>
              <w:rPr>
                <w:rStyle w:val="13"/>
                <w:rFonts w:ascii="宋体" w:hAnsi="宋体"/>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jc w:val="center"/>
        </w:trPr>
        <w:tc>
          <w:tcPr>
            <w:tcW w:w="801" w:type="dxa"/>
            <w:tcBorders>
              <w:top w:val="single" w:color="000000" w:sz="6" w:space="0"/>
              <w:left w:val="single" w:color="000000" w:sz="4" w:space="0"/>
              <w:bottom w:val="single" w:color="000000" w:sz="6" w:space="0"/>
              <w:right w:val="single" w:color="000000" w:sz="6" w:space="0"/>
            </w:tcBorders>
            <w:vAlign w:val="center"/>
          </w:tcPr>
          <w:p>
            <w:pPr>
              <w:spacing w:line="440" w:lineRule="exact"/>
              <w:rPr>
                <w:rStyle w:val="13"/>
                <w:rFonts w:ascii="宋体" w:hAnsi="宋体"/>
                <w:color w:val="000000"/>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pacing w:line="440" w:lineRule="exact"/>
              <w:rPr>
                <w:rStyle w:val="13"/>
                <w:rFonts w:ascii="宋体" w:hAnsi="宋体"/>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jc w:val="center"/>
        </w:trPr>
        <w:tc>
          <w:tcPr>
            <w:tcW w:w="801" w:type="dxa"/>
            <w:tcBorders>
              <w:top w:val="single" w:color="000000" w:sz="6" w:space="0"/>
              <w:left w:val="single" w:color="000000" w:sz="4" w:space="0"/>
              <w:bottom w:val="single" w:color="000000" w:sz="6" w:space="0"/>
              <w:right w:val="single" w:color="000000" w:sz="6" w:space="0"/>
            </w:tcBorders>
            <w:vAlign w:val="center"/>
          </w:tcPr>
          <w:p>
            <w:pPr>
              <w:spacing w:line="440" w:lineRule="exact"/>
              <w:rPr>
                <w:rStyle w:val="13"/>
                <w:rFonts w:ascii="宋体" w:hAnsi="宋体"/>
                <w:color w:val="000000"/>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pacing w:line="440" w:lineRule="exact"/>
              <w:rPr>
                <w:rStyle w:val="13"/>
                <w:rFonts w:ascii="宋体" w:hAnsi="宋体"/>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jc w:val="center"/>
        </w:trPr>
        <w:tc>
          <w:tcPr>
            <w:tcW w:w="801" w:type="dxa"/>
            <w:tcBorders>
              <w:top w:val="single" w:color="000000" w:sz="6" w:space="0"/>
              <w:left w:val="single" w:color="000000" w:sz="4" w:space="0"/>
              <w:bottom w:val="single" w:color="000000" w:sz="6" w:space="0"/>
              <w:right w:val="single" w:color="000000" w:sz="6" w:space="0"/>
            </w:tcBorders>
            <w:vAlign w:val="center"/>
          </w:tcPr>
          <w:p>
            <w:pPr>
              <w:spacing w:line="440" w:lineRule="exact"/>
              <w:rPr>
                <w:rStyle w:val="13"/>
                <w:rFonts w:ascii="宋体" w:hAnsi="宋体"/>
                <w:color w:val="000000"/>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pacing w:line="440" w:lineRule="exact"/>
              <w:rPr>
                <w:rStyle w:val="13"/>
                <w:rFonts w:ascii="宋体" w:hAnsi="宋体"/>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jc w:val="center"/>
        </w:trPr>
        <w:tc>
          <w:tcPr>
            <w:tcW w:w="801" w:type="dxa"/>
            <w:tcBorders>
              <w:top w:val="single" w:color="000000" w:sz="6" w:space="0"/>
              <w:left w:val="single" w:color="000000" w:sz="4" w:space="0"/>
              <w:bottom w:val="single" w:color="000000" w:sz="6" w:space="0"/>
              <w:right w:val="single" w:color="000000" w:sz="6" w:space="0"/>
            </w:tcBorders>
            <w:vAlign w:val="center"/>
          </w:tcPr>
          <w:p>
            <w:pPr>
              <w:spacing w:line="440" w:lineRule="exact"/>
              <w:rPr>
                <w:rStyle w:val="13"/>
                <w:rFonts w:ascii="宋体" w:hAnsi="宋体"/>
                <w:color w:val="000000"/>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pacing w:line="440" w:lineRule="exact"/>
              <w:rPr>
                <w:rStyle w:val="13"/>
                <w:rFonts w:ascii="宋体" w:hAnsi="宋体"/>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jc w:val="center"/>
        </w:trPr>
        <w:tc>
          <w:tcPr>
            <w:tcW w:w="801" w:type="dxa"/>
            <w:tcBorders>
              <w:top w:val="single" w:color="000000" w:sz="6" w:space="0"/>
              <w:left w:val="single" w:color="000000" w:sz="4" w:space="0"/>
              <w:bottom w:val="single" w:color="000000" w:sz="6" w:space="0"/>
              <w:right w:val="single" w:color="000000" w:sz="6" w:space="0"/>
            </w:tcBorders>
            <w:vAlign w:val="center"/>
          </w:tcPr>
          <w:p>
            <w:pPr>
              <w:spacing w:line="440" w:lineRule="exact"/>
              <w:rPr>
                <w:rStyle w:val="13"/>
                <w:rFonts w:ascii="宋体" w:hAnsi="宋体"/>
                <w:color w:val="000000"/>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pacing w:line="440" w:lineRule="exact"/>
              <w:rPr>
                <w:rStyle w:val="13"/>
                <w:rFonts w:ascii="宋体" w:hAnsi="宋体"/>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jc w:val="center"/>
        </w:trPr>
        <w:tc>
          <w:tcPr>
            <w:tcW w:w="801" w:type="dxa"/>
            <w:tcBorders>
              <w:top w:val="single" w:color="000000" w:sz="6" w:space="0"/>
              <w:left w:val="single" w:color="000000" w:sz="4" w:space="0"/>
              <w:bottom w:val="single" w:color="000000" w:sz="6" w:space="0"/>
              <w:right w:val="single" w:color="000000" w:sz="6" w:space="0"/>
            </w:tcBorders>
            <w:vAlign w:val="center"/>
          </w:tcPr>
          <w:p>
            <w:pPr>
              <w:spacing w:line="440" w:lineRule="exact"/>
              <w:rPr>
                <w:rStyle w:val="13"/>
                <w:rFonts w:ascii="宋体" w:hAnsi="宋体"/>
                <w:color w:val="000000"/>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pacing w:line="440" w:lineRule="exact"/>
              <w:rPr>
                <w:rStyle w:val="13"/>
                <w:rFonts w:ascii="宋体" w:hAnsi="宋体"/>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jc w:val="center"/>
        </w:trPr>
        <w:tc>
          <w:tcPr>
            <w:tcW w:w="801" w:type="dxa"/>
            <w:tcBorders>
              <w:top w:val="single" w:color="000000" w:sz="6" w:space="0"/>
              <w:left w:val="single" w:color="000000" w:sz="4" w:space="0"/>
              <w:bottom w:val="single" w:color="000000" w:sz="6" w:space="0"/>
              <w:right w:val="single" w:color="000000" w:sz="6" w:space="0"/>
            </w:tcBorders>
            <w:vAlign w:val="center"/>
          </w:tcPr>
          <w:p>
            <w:pPr>
              <w:spacing w:line="440" w:lineRule="exact"/>
              <w:rPr>
                <w:rStyle w:val="13"/>
                <w:rFonts w:ascii="宋体" w:hAnsi="宋体"/>
                <w:color w:val="000000"/>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pacing w:line="440" w:lineRule="exact"/>
              <w:rPr>
                <w:rStyle w:val="13"/>
                <w:rFonts w:ascii="宋体" w:hAnsi="宋体"/>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jc w:val="center"/>
        </w:trPr>
        <w:tc>
          <w:tcPr>
            <w:tcW w:w="801" w:type="dxa"/>
            <w:tcBorders>
              <w:top w:val="single" w:color="000000" w:sz="6" w:space="0"/>
              <w:left w:val="single" w:color="000000" w:sz="4" w:space="0"/>
              <w:bottom w:val="single" w:color="000000" w:sz="6" w:space="0"/>
              <w:right w:val="single" w:color="000000" w:sz="6" w:space="0"/>
            </w:tcBorders>
            <w:vAlign w:val="center"/>
          </w:tcPr>
          <w:p>
            <w:pPr>
              <w:spacing w:line="440" w:lineRule="exact"/>
              <w:rPr>
                <w:rStyle w:val="13"/>
                <w:rFonts w:ascii="宋体" w:hAnsi="宋体"/>
                <w:color w:val="000000"/>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pacing w:line="440" w:lineRule="exact"/>
              <w:rPr>
                <w:rStyle w:val="13"/>
                <w:rFonts w:ascii="宋体" w:hAnsi="宋体"/>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jc w:val="center"/>
        </w:trPr>
        <w:tc>
          <w:tcPr>
            <w:tcW w:w="801" w:type="dxa"/>
            <w:tcBorders>
              <w:top w:val="single" w:color="000000" w:sz="6" w:space="0"/>
              <w:left w:val="single" w:color="000000" w:sz="4" w:space="0"/>
              <w:bottom w:val="single" w:color="000000" w:sz="6" w:space="0"/>
              <w:right w:val="single" w:color="000000" w:sz="6" w:space="0"/>
            </w:tcBorders>
            <w:vAlign w:val="center"/>
          </w:tcPr>
          <w:p>
            <w:pPr>
              <w:spacing w:line="440" w:lineRule="exact"/>
              <w:rPr>
                <w:rStyle w:val="13"/>
                <w:rFonts w:ascii="宋体" w:hAnsi="宋体"/>
                <w:color w:val="000000"/>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pacing w:line="440" w:lineRule="exact"/>
              <w:rPr>
                <w:rStyle w:val="13"/>
                <w:rFonts w:ascii="宋体" w:hAnsi="宋体"/>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jc w:val="center"/>
        </w:trPr>
        <w:tc>
          <w:tcPr>
            <w:tcW w:w="801" w:type="dxa"/>
            <w:tcBorders>
              <w:top w:val="single" w:color="000000" w:sz="6" w:space="0"/>
              <w:left w:val="single" w:color="000000" w:sz="4" w:space="0"/>
              <w:bottom w:val="single" w:color="000000" w:sz="6" w:space="0"/>
              <w:right w:val="single" w:color="000000" w:sz="6" w:space="0"/>
            </w:tcBorders>
            <w:vAlign w:val="center"/>
          </w:tcPr>
          <w:p>
            <w:pPr>
              <w:spacing w:line="440" w:lineRule="exact"/>
              <w:rPr>
                <w:rStyle w:val="13"/>
                <w:rFonts w:ascii="宋体" w:hAnsi="宋体"/>
                <w:color w:val="000000"/>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pacing w:line="440" w:lineRule="exact"/>
              <w:rPr>
                <w:rStyle w:val="13"/>
                <w:rFonts w:ascii="宋体" w:hAnsi="宋体"/>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jc w:val="center"/>
        </w:trPr>
        <w:tc>
          <w:tcPr>
            <w:tcW w:w="801" w:type="dxa"/>
            <w:tcBorders>
              <w:top w:val="single" w:color="000000" w:sz="6" w:space="0"/>
              <w:left w:val="single" w:color="000000" w:sz="4" w:space="0"/>
              <w:bottom w:val="single" w:color="000000" w:sz="6" w:space="0"/>
              <w:right w:val="single" w:color="000000" w:sz="6" w:space="0"/>
            </w:tcBorders>
            <w:vAlign w:val="center"/>
          </w:tcPr>
          <w:p>
            <w:pPr>
              <w:spacing w:line="440" w:lineRule="exact"/>
              <w:rPr>
                <w:rStyle w:val="13"/>
                <w:rFonts w:ascii="宋体" w:hAnsi="宋体"/>
                <w:color w:val="000000"/>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pacing w:line="440" w:lineRule="exact"/>
              <w:rPr>
                <w:rStyle w:val="13"/>
                <w:rFonts w:ascii="宋体" w:hAnsi="宋体"/>
                <w:color w:val="000000"/>
                <w:sz w:val="24"/>
              </w:rPr>
            </w:pPr>
          </w:p>
        </w:tc>
      </w:tr>
    </w:tbl>
    <w:p>
      <w:pPr>
        <w:jc w:val="center"/>
        <w:rPr>
          <w:rStyle w:val="13"/>
          <w:rFonts w:ascii="宋体" w:hAnsi="宋体"/>
          <w:b/>
          <w:color w:val="000000"/>
          <w:sz w:val="32"/>
          <w:szCs w:val="32"/>
        </w:rPr>
      </w:pPr>
    </w:p>
    <w:p>
      <w:pPr>
        <w:jc w:val="both"/>
        <w:rPr>
          <w:rStyle w:val="13"/>
          <w:rFonts w:ascii="宋体" w:hAnsi="宋体"/>
          <w:b/>
          <w:color w:val="000000"/>
          <w:sz w:val="32"/>
          <w:szCs w:val="32"/>
        </w:rPr>
      </w:pPr>
    </w:p>
    <w:p>
      <w:pPr>
        <w:pStyle w:val="2"/>
      </w:pPr>
    </w:p>
    <w:p>
      <w:pPr>
        <w:jc w:val="center"/>
        <w:rPr>
          <w:rStyle w:val="13"/>
        </w:rPr>
      </w:pPr>
      <w:r>
        <w:rPr>
          <w:rStyle w:val="13"/>
          <w:rFonts w:ascii="宋体" w:hAnsi="宋体"/>
          <w:b/>
          <w:color w:val="000000"/>
          <w:sz w:val="32"/>
          <w:szCs w:val="32"/>
        </w:rPr>
        <w:t>第五部分  投标文件内容及格式</w:t>
      </w:r>
    </w:p>
    <w:p>
      <w:pPr>
        <w:jc w:val="center"/>
        <w:rPr>
          <w:rStyle w:val="13"/>
        </w:rPr>
      </w:pPr>
    </w:p>
    <w:p>
      <w:pPr>
        <w:pStyle w:val="18"/>
        <w:numPr>
          <w:ilvl w:val="0"/>
          <w:numId w:val="0"/>
        </w:numPr>
        <w:jc w:val="center"/>
        <w:rPr>
          <w:rStyle w:val="13"/>
          <w:rFonts w:ascii="宋体" w:hAnsi="宋体"/>
          <w:b/>
          <w:sz w:val="28"/>
          <w:szCs w:val="28"/>
        </w:rPr>
      </w:pPr>
      <w:r>
        <w:rPr>
          <w:rStyle w:val="13"/>
          <w:rFonts w:ascii="宋体" w:hAnsi="宋体"/>
          <w:b/>
          <w:sz w:val="28"/>
          <w:szCs w:val="28"/>
        </w:rPr>
        <w:t>投标文件格式</w:t>
      </w:r>
    </w:p>
    <w:tbl>
      <w:tblPr>
        <w:tblStyle w:val="10"/>
        <w:tblpPr w:leftFromText="180" w:rightFromText="180" w:vertAnchor="text" w:horzAnchor="page" w:tblpX="9124" w:tblpY="11"/>
        <w:tblW w:w="7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b/>
              </w:rPr>
            </w:pPr>
            <w:r>
              <w:rPr>
                <w:rStyle w:val="13"/>
                <w:rFonts w:ascii="宋体" w:hAnsi="宋体"/>
                <w:b/>
                <w:sz w:val="24"/>
              </w:rPr>
              <w:t>正本</w:t>
            </w:r>
          </w:p>
        </w:tc>
      </w:tr>
    </w:tbl>
    <w:p>
      <w:pPr>
        <w:rPr>
          <w:rStyle w:val="13"/>
          <w:rFonts w:ascii="宋体" w:hAnsi="宋体"/>
        </w:rPr>
      </w:pPr>
      <w:r>
        <w:rPr>
          <w:rStyle w:val="13"/>
          <w:rFonts w:ascii="宋体" w:hAnsi="宋体"/>
        </w:rPr>
        <w:t xml:space="preserve">                                                                        </w:t>
      </w:r>
    </w:p>
    <w:p>
      <w:pPr>
        <w:rPr>
          <w:rStyle w:val="13"/>
          <w:rFonts w:ascii="宋体" w:hAnsi="宋体"/>
        </w:rPr>
      </w:pPr>
    </w:p>
    <w:p>
      <w:pPr>
        <w:pStyle w:val="20"/>
        <w:rPr>
          <w:rStyle w:val="13"/>
        </w:rPr>
      </w:pPr>
    </w:p>
    <w:p>
      <w:pPr>
        <w:rPr>
          <w:rStyle w:val="13"/>
          <w:rFonts w:ascii="宋体" w:hAnsi="宋体"/>
        </w:rPr>
      </w:pPr>
    </w:p>
    <w:p>
      <w:pPr>
        <w:ind w:firstLine="480" w:firstLineChars="200"/>
        <w:rPr>
          <w:rStyle w:val="13"/>
          <w:rFonts w:ascii="宋体" w:hAnsi="宋体"/>
          <w:sz w:val="24"/>
        </w:rPr>
      </w:pPr>
      <w:r>
        <w:rPr>
          <w:rStyle w:val="13"/>
          <w:rFonts w:ascii="宋体" w:hAnsi="宋体"/>
          <w:sz w:val="24"/>
          <w:u w:val="single"/>
        </w:rPr>
        <w:t xml:space="preserve">                                                      </w:t>
      </w:r>
      <w:r>
        <w:rPr>
          <w:rStyle w:val="13"/>
          <w:rFonts w:ascii="宋体" w:hAnsi="宋体"/>
          <w:sz w:val="24"/>
        </w:rPr>
        <w:t>（项目名称）</w:t>
      </w:r>
    </w:p>
    <w:p>
      <w:pPr>
        <w:rPr>
          <w:rStyle w:val="13"/>
          <w:rFonts w:ascii="宋体" w:hAnsi="宋体"/>
          <w:sz w:val="24"/>
        </w:rPr>
      </w:pPr>
    </w:p>
    <w:p>
      <w:pPr>
        <w:rPr>
          <w:rStyle w:val="13"/>
          <w:rFonts w:ascii="宋体" w:hAnsi="宋体"/>
          <w:sz w:val="24"/>
          <w:u w:val="single"/>
        </w:rPr>
      </w:pPr>
      <w:r>
        <w:rPr>
          <w:rStyle w:val="13"/>
          <w:rFonts w:ascii="宋体" w:hAnsi="宋体"/>
          <w:sz w:val="24"/>
        </w:rPr>
        <w:t xml:space="preserve">       招标文件编号：</w:t>
      </w:r>
      <w:r>
        <w:rPr>
          <w:rStyle w:val="13"/>
          <w:rFonts w:ascii="宋体" w:hAnsi="宋体"/>
          <w:sz w:val="24"/>
          <w:u w:val="single"/>
        </w:rPr>
        <w:t xml:space="preserve">                               </w:t>
      </w:r>
    </w:p>
    <w:p>
      <w:pPr>
        <w:rPr>
          <w:rStyle w:val="13"/>
          <w:rFonts w:ascii="宋体" w:hAnsi="宋体"/>
          <w:sz w:val="24"/>
        </w:rPr>
      </w:pPr>
    </w:p>
    <w:p>
      <w:pPr>
        <w:rPr>
          <w:rStyle w:val="13"/>
          <w:rFonts w:ascii="宋体" w:hAnsi="宋体"/>
          <w:sz w:val="32"/>
          <w:szCs w:val="32"/>
        </w:rPr>
      </w:pPr>
    </w:p>
    <w:p>
      <w:pPr>
        <w:rPr>
          <w:rStyle w:val="13"/>
          <w:rFonts w:ascii="宋体" w:hAnsi="宋体"/>
          <w:sz w:val="32"/>
          <w:szCs w:val="32"/>
        </w:rPr>
      </w:pPr>
    </w:p>
    <w:p>
      <w:pPr>
        <w:rPr>
          <w:rStyle w:val="13"/>
          <w:rFonts w:ascii="宋体" w:hAnsi="宋体"/>
          <w:sz w:val="28"/>
          <w:szCs w:val="28"/>
        </w:rPr>
      </w:pPr>
    </w:p>
    <w:p>
      <w:pPr>
        <w:jc w:val="center"/>
        <w:rPr>
          <w:rStyle w:val="13"/>
          <w:rFonts w:ascii="宋体" w:hAnsi="宋体"/>
          <w:b/>
          <w:sz w:val="36"/>
          <w:szCs w:val="36"/>
        </w:rPr>
      </w:pPr>
      <w:r>
        <w:rPr>
          <w:rStyle w:val="13"/>
          <w:rFonts w:ascii="宋体" w:hAnsi="宋体"/>
          <w:b/>
          <w:sz w:val="36"/>
          <w:szCs w:val="36"/>
        </w:rPr>
        <w:t>投  标  文  件</w:t>
      </w:r>
    </w:p>
    <w:p>
      <w:pPr>
        <w:rPr>
          <w:rStyle w:val="13"/>
          <w:rFonts w:ascii="宋体" w:hAnsi="宋体"/>
          <w:b/>
          <w:sz w:val="32"/>
          <w:szCs w:val="32"/>
        </w:rPr>
      </w:pPr>
    </w:p>
    <w:p>
      <w:pPr>
        <w:rPr>
          <w:rStyle w:val="13"/>
          <w:rFonts w:ascii="宋体" w:hAnsi="宋体"/>
          <w:b/>
          <w:sz w:val="32"/>
          <w:szCs w:val="32"/>
        </w:rPr>
      </w:pPr>
    </w:p>
    <w:p>
      <w:pPr>
        <w:rPr>
          <w:rStyle w:val="13"/>
          <w:rFonts w:ascii="宋体" w:hAnsi="宋体"/>
          <w:b/>
          <w:sz w:val="32"/>
          <w:szCs w:val="32"/>
        </w:rPr>
      </w:pPr>
    </w:p>
    <w:p>
      <w:pPr>
        <w:rPr>
          <w:rStyle w:val="13"/>
          <w:rFonts w:ascii="宋体" w:hAnsi="宋体"/>
          <w:b/>
          <w:sz w:val="32"/>
          <w:szCs w:val="32"/>
        </w:rPr>
      </w:pPr>
    </w:p>
    <w:p>
      <w:pPr>
        <w:rPr>
          <w:rStyle w:val="13"/>
          <w:rFonts w:ascii="宋体" w:hAnsi="宋体"/>
          <w:sz w:val="24"/>
        </w:rPr>
      </w:pPr>
      <w:r>
        <w:rPr>
          <w:rStyle w:val="13"/>
          <w:rFonts w:ascii="宋体" w:hAnsi="宋体"/>
          <w:b/>
        </w:rPr>
        <w:t xml:space="preserve">       </w:t>
      </w:r>
      <w:r>
        <w:rPr>
          <w:rStyle w:val="13"/>
          <w:rFonts w:ascii="宋体" w:hAnsi="宋体"/>
          <w:b/>
          <w:sz w:val="24"/>
        </w:rPr>
        <w:t xml:space="preserve">  </w:t>
      </w:r>
      <w:r>
        <w:rPr>
          <w:rStyle w:val="13"/>
          <w:rFonts w:ascii="宋体" w:hAnsi="宋体"/>
          <w:sz w:val="24"/>
        </w:rPr>
        <w:t>投标人：</w:t>
      </w:r>
      <w:r>
        <w:rPr>
          <w:rStyle w:val="13"/>
          <w:rFonts w:ascii="宋体" w:hAnsi="宋体"/>
          <w:sz w:val="24"/>
          <w:u w:val="single"/>
        </w:rPr>
        <w:t xml:space="preserve">                                  </w:t>
      </w:r>
      <w:r>
        <w:rPr>
          <w:rStyle w:val="13"/>
          <w:rFonts w:ascii="宋体" w:hAnsi="宋体"/>
          <w:sz w:val="24"/>
        </w:rPr>
        <w:t>（单位公章）</w:t>
      </w:r>
    </w:p>
    <w:p>
      <w:pPr>
        <w:rPr>
          <w:rStyle w:val="13"/>
          <w:rFonts w:ascii="宋体" w:hAnsi="宋体"/>
          <w:sz w:val="24"/>
        </w:rPr>
      </w:pPr>
    </w:p>
    <w:p>
      <w:pPr>
        <w:rPr>
          <w:rStyle w:val="13"/>
          <w:rFonts w:ascii="宋体" w:hAnsi="宋体"/>
          <w:sz w:val="24"/>
        </w:rPr>
      </w:pPr>
      <w:r>
        <w:rPr>
          <w:rStyle w:val="13"/>
          <w:rFonts w:ascii="宋体" w:hAnsi="宋体"/>
          <w:sz w:val="24"/>
        </w:rPr>
        <w:t xml:space="preserve">        法定代表人：</w:t>
      </w:r>
      <w:r>
        <w:rPr>
          <w:rStyle w:val="13"/>
          <w:rFonts w:ascii="宋体" w:hAnsi="宋体"/>
          <w:sz w:val="24"/>
          <w:u w:val="single"/>
        </w:rPr>
        <w:t xml:space="preserve">                              </w:t>
      </w:r>
      <w:r>
        <w:rPr>
          <w:rStyle w:val="13"/>
          <w:rFonts w:ascii="宋体" w:hAnsi="宋体"/>
          <w:sz w:val="24"/>
        </w:rPr>
        <w:t>（签字或盖章）</w:t>
      </w:r>
    </w:p>
    <w:p>
      <w:pPr>
        <w:rPr>
          <w:rStyle w:val="13"/>
          <w:rFonts w:ascii="宋体" w:hAnsi="宋体"/>
          <w:sz w:val="24"/>
        </w:rPr>
      </w:pPr>
    </w:p>
    <w:p>
      <w:pPr>
        <w:rPr>
          <w:rStyle w:val="13"/>
          <w:rFonts w:ascii="宋体" w:hAnsi="宋体"/>
          <w:sz w:val="24"/>
        </w:rPr>
      </w:pPr>
    </w:p>
    <w:p>
      <w:pPr>
        <w:rPr>
          <w:rStyle w:val="13"/>
          <w:rFonts w:ascii="宋体" w:hAnsi="宋体"/>
          <w:sz w:val="24"/>
        </w:rPr>
      </w:pPr>
    </w:p>
    <w:p>
      <w:pPr>
        <w:rPr>
          <w:rStyle w:val="13"/>
          <w:rFonts w:ascii="宋体" w:hAnsi="宋体"/>
          <w:sz w:val="24"/>
        </w:rPr>
      </w:pPr>
    </w:p>
    <w:p>
      <w:pPr>
        <w:rPr>
          <w:rStyle w:val="13"/>
          <w:rFonts w:ascii="宋体" w:hAnsi="宋体"/>
          <w:sz w:val="24"/>
        </w:rPr>
      </w:pPr>
      <w:r>
        <w:rPr>
          <w:rStyle w:val="13"/>
          <w:rFonts w:ascii="宋体" w:hAnsi="宋体"/>
          <w:sz w:val="24"/>
        </w:rPr>
        <w:t xml:space="preserve">                             年      月      日</w:t>
      </w:r>
    </w:p>
    <w:p>
      <w:pPr>
        <w:spacing w:line="360" w:lineRule="auto"/>
        <w:rPr>
          <w:rStyle w:val="13"/>
          <w:rFonts w:ascii="宋体" w:hAnsi="宋体"/>
          <w:sz w:val="24"/>
        </w:rPr>
      </w:pPr>
    </w:p>
    <w:p>
      <w:pPr>
        <w:jc w:val="center"/>
        <w:rPr>
          <w:rStyle w:val="13"/>
          <w:rFonts w:ascii="宋体" w:hAnsi="宋体"/>
          <w:b/>
          <w:bCs/>
          <w:color w:val="000000"/>
          <w:sz w:val="28"/>
          <w:szCs w:val="28"/>
        </w:rPr>
      </w:pPr>
      <w:r>
        <w:rPr>
          <w:rStyle w:val="13"/>
          <w:rFonts w:ascii="宋体" w:hAnsi="宋体"/>
        </w:rPr>
        <w:br w:type="page"/>
      </w:r>
      <w:r>
        <w:rPr>
          <w:rStyle w:val="13"/>
          <w:rFonts w:ascii="宋体" w:hAnsi="宋体"/>
          <w:b/>
          <w:bCs/>
          <w:color w:val="000000"/>
          <w:sz w:val="28"/>
          <w:szCs w:val="28"/>
        </w:rPr>
        <w:t>目   录</w:t>
      </w:r>
    </w:p>
    <w:p>
      <w:pPr>
        <w:rPr>
          <w:rStyle w:val="13"/>
          <w:rFonts w:ascii="宋体" w:hAnsi="宋体"/>
          <w:color w:val="000000"/>
          <w:sz w:val="24"/>
        </w:rPr>
      </w:pPr>
      <w:r>
        <w:rPr>
          <w:rStyle w:val="13"/>
          <w:rFonts w:ascii="宋体" w:hAnsi="宋体"/>
          <w:color w:val="000000"/>
          <w:sz w:val="24"/>
        </w:rPr>
        <w:t>一、投标书</w:t>
      </w:r>
    </w:p>
    <w:p>
      <w:pPr>
        <w:rPr>
          <w:rStyle w:val="13"/>
          <w:rFonts w:ascii="宋体" w:hAnsi="宋体"/>
          <w:color w:val="000000"/>
          <w:sz w:val="24"/>
        </w:rPr>
      </w:pPr>
      <w:r>
        <w:rPr>
          <w:rStyle w:val="13"/>
          <w:rFonts w:ascii="宋体" w:hAnsi="宋体"/>
          <w:color w:val="000000"/>
          <w:sz w:val="24"/>
        </w:rPr>
        <w:t>二、投标一览表</w:t>
      </w:r>
    </w:p>
    <w:p>
      <w:pPr>
        <w:rPr>
          <w:rStyle w:val="13"/>
          <w:rFonts w:ascii="宋体" w:hAnsi="宋体"/>
          <w:color w:val="000000"/>
          <w:sz w:val="24"/>
        </w:rPr>
      </w:pPr>
      <w:r>
        <w:rPr>
          <w:rStyle w:val="13"/>
          <w:rFonts w:ascii="宋体" w:hAnsi="宋体"/>
          <w:color w:val="000000"/>
          <w:sz w:val="24"/>
        </w:rPr>
        <w:t>三、投标货物报价表</w:t>
      </w:r>
    </w:p>
    <w:p>
      <w:pPr>
        <w:rPr>
          <w:rStyle w:val="13"/>
          <w:rFonts w:ascii="宋体" w:hAnsi="宋体"/>
          <w:color w:val="000000"/>
          <w:sz w:val="24"/>
        </w:rPr>
      </w:pPr>
      <w:r>
        <w:rPr>
          <w:rStyle w:val="13"/>
          <w:rFonts w:ascii="宋体" w:hAnsi="宋体"/>
          <w:color w:val="000000"/>
          <w:sz w:val="24"/>
        </w:rPr>
        <w:t>四、技术规格功能要求偏离表</w:t>
      </w:r>
    </w:p>
    <w:p>
      <w:pPr>
        <w:rPr>
          <w:rStyle w:val="13"/>
          <w:rFonts w:ascii="宋体" w:hAnsi="宋体"/>
          <w:color w:val="000000"/>
          <w:sz w:val="24"/>
        </w:rPr>
      </w:pPr>
      <w:r>
        <w:rPr>
          <w:rStyle w:val="13"/>
          <w:rFonts w:ascii="宋体" w:hAnsi="宋体"/>
          <w:color w:val="000000"/>
          <w:sz w:val="24"/>
        </w:rPr>
        <w:t>五、商务条款偏离表</w:t>
      </w:r>
    </w:p>
    <w:p>
      <w:pPr>
        <w:rPr>
          <w:rStyle w:val="13"/>
          <w:rFonts w:ascii="宋体" w:hAnsi="宋体"/>
          <w:color w:val="000000"/>
          <w:sz w:val="24"/>
        </w:rPr>
      </w:pPr>
      <w:r>
        <w:rPr>
          <w:rStyle w:val="13"/>
          <w:rFonts w:ascii="宋体" w:hAnsi="宋体"/>
          <w:color w:val="000000"/>
          <w:sz w:val="24"/>
        </w:rPr>
        <w:t>六、银行转账回执单复印件</w:t>
      </w:r>
    </w:p>
    <w:p>
      <w:pPr>
        <w:rPr>
          <w:rStyle w:val="13"/>
          <w:rFonts w:ascii="宋体" w:hAnsi="宋体"/>
          <w:color w:val="000000"/>
          <w:sz w:val="24"/>
        </w:rPr>
      </w:pPr>
      <w:r>
        <w:rPr>
          <w:rStyle w:val="13"/>
          <w:rFonts w:ascii="宋体" w:hAnsi="宋体"/>
          <w:color w:val="000000"/>
          <w:sz w:val="24"/>
        </w:rPr>
        <w:t>七、《政府采购法》第二十二条规定</w:t>
      </w:r>
    </w:p>
    <w:p>
      <w:pPr>
        <w:rPr>
          <w:rStyle w:val="13"/>
          <w:rFonts w:ascii="宋体" w:hAnsi="宋体"/>
          <w:color w:val="000000"/>
          <w:sz w:val="24"/>
        </w:rPr>
      </w:pPr>
      <w:r>
        <w:rPr>
          <w:rStyle w:val="13"/>
          <w:rFonts w:ascii="宋体" w:hAnsi="宋体"/>
          <w:color w:val="000000"/>
          <w:sz w:val="24"/>
        </w:rPr>
        <w:t>八、投标方的资格声明</w:t>
      </w:r>
    </w:p>
    <w:p>
      <w:pPr>
        <w:rPr>
          <w:rStyle w:val="13"/>
          <w:rFonts w:ascii="宋体" w:hAnsi="宋体"/>
          <w:color w:val="000000"/>
          <w:sz w:val="24"/>
        </w:rPr>
      </w:pPr>
      <w:r>
        <w:rPr>
          <w:rStyle w:val="13"/>
          <w:rFonts w:ascii="宋体" w:hAnsi="宋体"/>
          <w:color w:val="000000"/>
          <w:sz w:val="24"/>
        </w:rPr>
        <w:t>九、法人营业执照</w:t>
      </w:r>
    </w:p>
    <w:p>
      <w:pPr>
        <w:rPr>
          <w:rStyle w:val="13"/>
          <w:rFonts w:ascii="宋体" w:hAnsi="宋体"/>
          <w:color w:val="000000"/>
          <w:sz w:val="24"/>
          <w:szCs w:val="22"/>
        </w:rPr>
      </w:pPr>
      <w:r>
        <w:rPr>
          <w:rStyle w:val="13"/>
          <w:rFonts w:ascii="宋体" w:hAnsi="宋体"/>
          <w:color w:val="000000"/>
          <w:sz w:val="24"/>
          <w:szCs w:val="22"/>
        </w:rPr>
        <w:t>十、法定代表人证明书</w:t>
      </w:r>
    </w:p>
    <w:p>
      <w:pPr>
        <w:rPr>
          <w:rStyle w:val="13"/>
          <w:rFonts w:hint="eastAsia" w:ascii="宋体" w:hAnsi="宋体"/>
          <w:color w:val="000000"/>
          <w:sz w:val="24"/>
          <w:szCs w:val="22"/>
        </w:rPr>
      </w:pPr>
      <w:r>
        <w:rPr>
          <w:rStyle w:val="13"/>
          <w:rFonts w:ascii="宋体" w:hAnsi="宋体"/>
          <w:color w:val="000000"/>
          <w:sz w:val="24"/>
          <w:szCs w:val="22"/>
        </w:rPr>
        <w:t>十一、法定代表人授权书，</w:t>
      </w:r>
      <w:r>
        <w:rPr>
          <w:rStyle w:val="13"/>
          <w:rFonts w:hint="eastAsia" w:ascii="宋体" w:hAnsi="宋体"/>
          <w:color w:val="000000"/>
          <w:sz w:val="24"/>
          <w:szCs w:val="22"/>
        </w:rPr>
        <w:t>被委托人必须是投标单位正式员工，需提供社保部门出具最少提供近一个月的缴纳社保证明（社保缴费凭证及个人明细表）；</w:t>
      </w:r>
    </w:p>
    <w:p>
      <w:pPr>
        <w:rPr>
          <w:rStyle w:val="13"/>
          <w:rFonts w:ascii="宋体" w:hAnsi="宋体"/>
          <w:color w:val="000000"/>
          <w:sz w:val="24"/>
          <w:szCs w:val="22"/>
        </w:rPr>
      </w:pPr>
      <w:r>
        <w:rPr>
          <w:rStyle w:val="13"/>
          <w:rFonts w:ascii="宋体" w:hAnsi="宋体"/>
          <w:color w:val="000000"/>
          <w:sz w:val="24"/>
          <w:szCs w:val="22"/>
        </w:rPr>
        <w:t>十二、人员配置表</w:t>
      </w:r>
    </w:p>
    <w:p>
      <w:pPr>
        <w:rPr>
          <w:rStyle w:val="13"/>
          <w:rFonts w:ascii="宋体" w:hAnsi="宋体"/>
          <w:color w:val="000000"/>
          <w:sz w:val="24"/>
          <w:szCs w:val="22"/>
        </w:rPr>
      </w:pPr>
      <w:r>
        <w:rPr>
          <w:rStyle w:val="13"/>
          <w:rFonts w:ascii="宋体" w:hAnsi="宋体"/>
          <w:color w:val="000000"/>
          <w:sz w:val="24"/>
          <w:szCs w:val="22"/>
        </w:rPr>
        <w:t>十三、近三年类似业绩情况表及相关证明</w:t>
      </w:r>
    </w:p>
    <w:p>
      <w:pPr>
        <w:rPr>
          <w:rStyle w:val="13"/>
          <w:rFonts w:ascii="宋体" w:hAnsi="宋体"/>
          <w:color w:val="000000"/>
          <w:sz w:val="24"/>
          <w:szCs w:val="22"/>
        </w:rPr>
      </w:pPr>
      <w:r>
        <w:rPr>
          <w:rStyle w:val="13"/>
          <w:rFonts w:ascii="宋体" w:hAnsi="宋体"/>
          <w:color w:val="000000"/>
          <w:sz w:val="24"/>
          <w:szCs w:val="22"/>
        </w:rPr>
        <w:t>十四、质量保证书</w:t>
      </w:r>
    </w:p>
    <w:p>
      <w:pPr>
        <w:rPr>
          <w:rStyle w:val="13"/>
          <w:rFonts w:ascii="宋体" w:hAnsi="宋体"/>
          <w:color w:val="000000"/>
          <w:sz w:val="24"/>
          <w:szCs w:val="22"/>
        </w:rPr>
      </w:pPr>
      <w:r>
        <w:rPr>
          <w:rStyle w:val="13"/>
          <w:rFonts w:ascii="宋体" w:hAnsi="宋体"/>
          <w:color w:val="000000"/>
          <w:sz w:val="24"/>
          <w:szCs w:val="22"/>
        </w:rPr>
        <w:t>十五、售后服务承诺书</w:t>
      </w:r>
    </w:p>
    <w:p>
      <w:pPr>
        <w:rPr>
          <w:rStyle w:val="13"/>
          <w:rFonts w:ascii="宋体" w:hAnsi="宋体"/>
          <w:color w:val="000000"/>
          <w:sz w:val="24"/>
          <w:szCs w:val="22"/>
        </w:rPr>
      </w:pPr>
      <w:r>
        <w:rPr>
          <w:rStyle w:val="13"/>
          <w:rFonts w:ascii="宋体" w:hAnsi="宋体"/>
          <w:color w:val="000000"/>
          <w:sz w:val="24"/>
          <w:szCs w:val="22"/>
        </w:rPr>
        <w:t>十六、项目实施方案</w:t>
      </w:r>
    </w:p>
    <w:p>
      <w:pPr>
        <w:rPr>
          <w:rStyle w:val="13"/>
          <w:rFonts w:ascii="宋体" w:hAnsi="宋体"/>
          <w:color w:val="000000"/>
          <w:sz w:val="24"/>
          <w:szCs w:val="22"/>
        </w:rPr>
      </w:pPr>
      <w:r>
        <w:rPr>
          <w:rStyle w:val="13"/>
          <w:rFonts w:ascii="宋体" w:hAnsi="宋体"/>
          <w:color w:val="000000"/>
          <w:sz w:val="24"/>
          <w:szCs w:val="22"/>
        </w:rPr>
        <w:t>十七、售后方案</w:t>
      </w:r>
    </w:p>
    <w:p>
      <w:pPr>
        <w:rPr>
          <w:rStyle w:val="13"/>
          <w:rFonts w:ascii="宋体" w:hAnsi="宋体"/>
          <w:color w:val="000000"/>
          <w:sz w:val="24"/>
          <w:szCs w:val="22"/>
        </w:rPr>
      </w:pPr>
      <w:r>
        <w:rPr>
          <w:rStyle w:val="13"/>
          <w:rFonts w:ascii="宋体" w:hAnsi="宋体"/>
          <w:color w:val="000000"/>
          <w:sz w:val="24"/>
          <w:szCs w:val="22"/>
        </w:rPr>
        <w:t>十八、投标人证明投标资格合格的相关证件证明的复印件</w:t>
      </w:r>
    </w:p>
    <w:p>
      <w:pPr>
        <w:rPr>
          <w:rStyle w:val="13"/>
          <w:rFonts w:ascii="宋体" w:hAnsi="宋体"/>
          <w:color w:val="000000"/>
          <w:sz w:val="24"/>
          <w:szCs w:val="22"/>
        </w:rPr>
      </w:pPr>
      <w:r>
        <w:rPr>
          <w:rStyle w:val="13"/>
          <w:rFonts w:ascii="宋体" w:hAnsi="宋体"/>
          <w:color w:val="000000"/>
          <w:sz w:val="24"/>
          <w:szCs w:val="22"/>
        </w:rPr>
        <w:t>十九、投标人证明货物合格的相关证件证明复印件</w:t>
      </w:r>
    </w:p>
    <w:p>
      <w:pPr>
        <w:rPr>
          <w:rStyle w:val="13"/>
          <w:rFonts w:ascii="宋体" w:hAnsi="宋体"/>
          <w:color w:val="000000"/>
          <w:sz w:val="24"/>
          <w:szCs w:val="22"/>
        </w:rPr>
      </w:pPr>
      <w:r>
        <w:rPr>
          <w:rStyle w:val="13"/>
          <w:rFonts w:ascii="宋体" w:hAnsi="宋体"/>
          <w:color w:val="000000"/>
          <w:sz w:val="24"/>
          <w:szCs w:val="22"/>
        </w:rPr>
        <w:t>二十、投标单位（供应商）反商业贿赂承诺书</w:t>
      </w:r>
    </w:p>
    <w:p>
      <w:pPr>
        <w:rPr>
          <w:rStyle w:val="13"/>
          <w:rFonts w:ascii="宋体" w:hAnsi="宋体"/>
          <w:color w:val="000000"/>
          <w:sz w:val="24"/>
          <w:szCs w:val="22"/>
        </w:rPr>
      </w:pPr>
      <w:r>
        <w:rPr>
          <w:rStyle w:val="13"/>
          <w:rFonts w:ascii="宋体" w:hAnsi="宋体"/>
          <w:color w:val="000000"/>
          <w:sz w:val="24"/>
          <w:szCs w:val="22"/>
        </w:rPr>
        <w:t>二十一、经年审合格的上年度会计报表（2018年）</w:t>
      </w:r>
    </w:p>
    <w:p>
      <w:pPr>
        <w:rPr>
          <w:rStyle w:val="13"/>
          <w:rFonts w:ascii="宋体" w:hAnsi="宋体"/>
          <w:color w:val="000000"/>
          <w:sz w:val="24"/>
          <w:szCs w:val="22"/>
        </w:rPr>
      </w:pPr>
      <w:r>
        <w:rPr>
          <w:rStyle w:val="13"/>
          <w:rFonts w:ascii="宋体" w:hAnsi="宋体"/>
          <w:color w:val="000000"/>
          <w:sz w:val="24"/>
          <w:szCs w:val="22"/>
        </w:rPr>
        <w:t>二十二、其它必须的资料及有利于投标的资料</w:t>
      </w:r>
    </w:p>
    <w:p>
      <w:pPr>
        <w:rPr>
          <w:rStyle w:val="13"/>
          <w:rFonts w:ascii="宋体" w:hAnsi="宋体"/>
          <w:color w:val="000000"/>
          <w:sz w:val="24"/>
        </w:rPr>
      </w:pPr>
    </w:p>
    <w:p>
      <w:pPr>
        <w:rPr>
          <w:rStyle w:val="13"/>
          <w:rFonts w:ascii="宋体" w:hAnsi="宋体"/>
          <w:b/>
          <w:bCs/>
          <w:color w:val="000000"/>
          <w:sz w:val="24"/>
        </w:rPr>
      </w:pPr>
      <w:r>
        <w:rPr>
          <w:rFonts w:ascii="宋体" w:hAnsi="宋体" w:eastAsia="宋体" w:cs="宋体"/>
          <w:sz w:val="24"/>
          <w:szCs w:val="24"/>
        </w:rPr>
        <w:t>注：1、投标人应按本目录以A4纸提供相应材料。</w:t>
      </w:r>
      <w:r>
        <w:rPr>
          <w:rFonts w:ascii="宋体" w:hAnsi="宋体" w:eastAsia="宋体" w:cs="宋体"/>
          <w:sz w:val="24"/>
          <w:szCs w:val="24"/>
        </w:rPr>
        <w:br w:type="textWrapping"/>
      </w:r>
      <w:r>
        <w:rPr>
          <w:rFonts w:ascii="宋体" w:hAnsi="宋体" w:eastAsia="宋体" w:cs="宋体"/>
          <w:sz w:val="24"/>
          <w:szCs w:val="24"/>
        </w:rPr>
        <w:t>2、投标文件必须制作有目录和页码。</w:t>
      </w:r>
    </w:p>
    <w:p>
      <w:pPr>
        <w:pStyle w:val="20"/>
        <w:rPr>
          <w:rStyle w:val="13"/>
        </w:rPr>
      </w:pPr>
    </w:p>
    <w:p>
      <w:pPr>
        <w:rPr>
          <w:rStyle w:val="13"/>
        </w:rPr>
      </w:pPr>
    </w:p>
    <w:p>
      <w:pPr>
        <w:pStyle w:val="20"/>
        <w:rPr>
          <w:rStyle w:val="13"/>
        </w:rPr>
      </w:pPr>
    </w:p>
    <w:p>
      <w:pPr>
        <w:rPr>
          <w:rStyle w:val="13"/>
        </w:rPr>
      </w:pPr>
    </w:p>
    <w:p>
      <w:pPr>
        <w:pStyle w:val="20"/>
        <w:rPr>
          <w:rStyle w:val="13"/>
        </w:rPr>
      </w:pPr>
    </w:p>
    <w:p>
      <w:pPr>
        <w:rPr>
          <w:rStyle w:val="13"/>
        </w:rPr>
      </w:pPr>
    </w:p>
    <w:p>
      <w:pPr>
        <w:pStyle w:val="19"/>
        <w:jc w:val="center"/>
        <w:rPr>
          <w:rStyle w:val="13"/>
          <w:rFonts w:ascii="宋体" w:hAnsi="宋体" w:cs="宋体"/>
          <w:b/>
          <w:bCs/>
        </w:rPr>
      </w:pPr>
      <w:r>
        <w:rPr>
          <w:rStyle w:val="13"/>
          <w:rFonts w:ascii="宋体" w:hAnsi="宋体" w:cs="宋体"/>
          <w:b/>
          <w:bCs/>
          <w:sz w:val="28"/>
          <w:szCs w:val="28"/>
        </w:rPr>
        <w:t>一、投 标 书</w:t>
      </w:r>
    </w:p>
    <w:p>
      <w:pPr>
        <w:keepNext w:val="0"/>
        <w:keepLines w:val="0"/>
        <w:pageBreakBefore w:val="0"/>
        <w:widowControl/>
        <w:kinsoku/>
        <w:wordWrap/>
        <w:overflowPunct/>
        <w:topLinePunct w:val="0"/>
        <w:autoSpaceDE/>
        <w:autoSpaceDN/>
        <w:bidi w:val="0"/>
        <w:adjustRightInd/>
        <w:snapToGrid/>
        <w:spacing w:line="420" w:lineRule="exact"/>
        <w:textAlignment w:val="baseline"/>
        <w:rPr>
          <w:rStyle w:val="13"/>
          <w:rFonts w:ascii="宋体" w:hAnsi="宋体"/>
          <w:sz w:val="24"/>
        </w:rPr>
      </w:pPr>
      <w:r>
        <w:rPr>
          <w:rStyle w:val="13"/>
          <w:rFonts w:ascii="宋体" w:hAnsi="宋体"/>
          <w:sz w:val="24"/>
        </w:rPr>
        <w:t>致</w:t>
      </w:r>
      <w:r>
        <w:rPr>
          <w:rStyle w:val="13"/>
          <w:rFonts w:ascii="宋体" w:hAnsi="宋体"/>
          <w:sz w:val="24"/>
          <w:u w:val="single"/>
        </w:rPr>
        <w:t xml:space="preserve">    （招标单位）</w:t>
      </w:r>
      <w:r>
        <w:rPr>
          <w:rStyle w:val="13"/>
          <w:rFonts w:ascii="宋体" w:hAnsi="宋体"/>
          <w:sz w:val="24"/>
        </w:rPr>
        <w:t>：</w:t>
      </w:r>
    </w:p>
    <w:p>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baseline"/>
        <w:rPr>
          <w:rStyle w:val="13"/>
          <w:rFonts w:ascii="宋体" w:hAnsi="宋体"/>
          <w:sz w:val="24"/>
        </w:rPr>
      </w:pPr>
      <w:r>
        <w:rPr>
          <w:rStyle w:val="13"/>
          <w:rFonts w:ascii="宋体" w:hAnsi="宋体"/>
          <w:sz w:val="24"/>
        </w:rPr>
        <w:t xml:space="preserve"> 收到你们的</w:t>
      </w:r>
      <w:r>
        <w:rPr>
          <w:rStyle w:val="13"/>
          <w:rFonts w:ascii="宋体" w:hAnsi="宋体"/>
          <w:sz w:val="24"/>
          <w:u w:val="single"/>
        </w:rPr>
        <w:t xml:space="preserve">        （项目名称）</w:t>
      </w:r>
      <w:r>
        <w:rPr>
          <w:rStyle w:val="13"/>
          <w:rFonts w:ascii="宋体" w:hAnsi="宋体"/>
          <w:sz w:val="24"/>
        </w:rPr>
        <w:t>招标文件，经认真研究，我们决定参加投标。</w:t>
      </w:r>
    </w:p>
    <w:p>
      <w:pPr>
        <w:keepNext w:val="0"/>
        <w:keepLines w:val="0"/>
        <w:pageBreakBefore w:val="0"/>
        <w:widowControl/>
        <w:numPr>
          <w:ilvl w:val="0"/>
          <w:numId w:val="18"/>
        </w:numPr>
        <w:kinsoku/>
        <w:wordWrap/>
        <w:overflowPunct/>
        <w:topLinePunct w:val="0"/>
        <w:autoSpaceDE/>
        <w:autoSpaceDN/>
        <w:bidi w:val="0"/>
        <w:adjustRightInd/>
        <w:snapToGrid/>
        <w:spacing w:line="420" w:lineRule="exact"/>
        <w:textAlignment w:val="baseline"/>
        <w:rPr>
          <w:rStyle w:val="13"/>
          <w:rFonts w:ascii="宋体" w:hAnsi="宋体"/>
          <w:sz w:val="24"/>
          <w:u w:val="single"/>
        </w:rPr>
      </w:pPr>
      <w:r>
        <w:rPr>
          <w:rStyle w:val="13"/>
          <w:rFonts w:ascii="宋体" w:hAnsi="宋体"/>
          <w:sz w:val="24"/>
        </w:rPr>
        <w:t>按照招标文件中的一切要求，提供招标的货物、</w:t>
      </w:r>
      <w:r>
        <w:rPr>
          <w:rStyle w:val="13"/>
          <w:sz w:val="24"/>
        </w:rPr>
        <w:t>运输、装卸、验收、</w:t>
      </w:r>
      <w:r>
        <w:rPr>
          <w:rStyle w:val="13"/>
          <w:rFonts w:ascii="宋体" w:hAnsi="宋体"/>
          <w:kern w:val="0"/>
          <w:sz w:val="24"/>
        </w:rPr>
        <w:t>开具发票和相关售后等服务</w:t>
      </w:r>
      <w:r>
        <w:rPr>
          <w:rStyle w:val="13"/>
          <w:rFonts w:ascii="宋体" w:hAnsi="宋体"/>
          <w:sz w:val="24"/>
        </w:rPr>
        <w:t>。总价为￥：</w:t>
      </w:r>
      <w:r>
        <w:rPr>
          <w:rStyle w:val="13"/>
          <w:rFonts w:ascii="宋体" w:hAnsi="宋体"/>
          <w:sz w:val="24"/>
          <w:u w:val="single"/>
        </w:rPr>
        <w:t xml:space="preserve">          </w:t>
      </w:r>
      <w:r>
        <w:rPr>
          <w:rStyle w:val="13"/>
          <w:rFonts w:ascii="宋体" w:hAnsi="宋体"/>
          <w:sz w:val="24"/>
        </w:rPr>
        <w:t>元（用阿拉伯数字书写）人民币大写</w:t>
      </w:r>
      <w:r>
        <w:rPr>
          <w:rStyle w:val="13"/>
          <w:rFonts w:ascii="宋体" w:hAnsi="宋体"/>
          <w:sz w:val="24"/>
          <w:u w:val="single"/>
        </w:rPr>
        <w:t xml:space="preserve">           </w:t>
      </w:r>
      <w:r>
        <w:rPr>
          <w:rStyle w:val="13"/>
          <w:rFonts w:ascii="宋体" w:hAnsi="宋体"/>
          <w:sz w:val="24"/>
        </w:rPr>
        <w:t>，明细见投标报价表。</w:t>
      </w:r>
    </w:p>
    <w:p>
      <w:pPr>
        <w:keepNext w:val="0"/>
        <w:keepLines w:val="0"/>
        <w:pageBreakBefore w:val="0"/>
        <w:widowControl/>
        <w:numPr>
          <w:ilvl w:val="0"/>
          <w:numId w:val="18"/>
        </w:numPr>
        <w:kinsoku/>
        <w:wordWrap/>
        <w:overflowPunct/>
        <w:topLinePunct w:val="0"/>
        <w:autoSpaceDE/>
        <w:autoSpaceDN/>
        <w:bidi w:val="0"/>
        <w:adjustRightInd/>
        <w:snapToGrid/>
        <w:spacing w:line="420" w:lineRule="exact"/>
        <w:textAlignment w:val="baseline"/>
        <w:rPr>
          <w:rStyle w:val="13"/>
          <w:rFonts w:ascii="宋体" w:hAnsi="宋体"/>
          <w:sz w:val="24"/>
        </w:rPr>
      </w:pPr>
      <w:r>
        <w:rPr>
          <w:rStyle w:val="13"/>
          <w:rFonts w:ascii="宋体" w:hAnsi="宋体"/>
          <w:sz w:val="24"/>
        </w:rPr>
        <w:t>如果我们的投标书被接受，我们将履行招标文件中规定的每一项义务和要求，按期、按质、按量完成交货。</w:t>
      </w:r>
    </w:p>
    <w:p>
      <w:pPr>
        <w:keepNext w:val="0"/>
        <w:keepLines w:val="0"/>
        <w:pageBreakBefore w:val="0"/>
        <w:widowControl/>
        <w:numPr>
          <w:ilvl w:val="0"/>
          <w:numId w:val="18"/>
        </w:numPr>
        <w:kinsoku/>
        <w:wordWrap/>
        <w:overflowPunct/>
        <w:topLinePunct w:val="0"/>
        <w:autoSpaceDE/>
        <w:autoSpaceDN/>
        <w:bidi w:val="0"/>
        <w:adjustRightInd/>
        <w:snapToGrid/>
        <w:spacing w:line="420" w:lineRule="exact"/>
        <w:textAlignment w:val="baseline"/>
        <w:rPr>
          <w:rStyle w:val="13"/>
          <w:rFonts w:ascii="宋体" w:hAnsi="宋体"/>
          <w:sz w:val="24"/>
        </w:rPr>
      </w:pPr>
      <w:r>
        <w:rPr>
          <w:rStyle w:val="13"/>
          <w:rFonts w:ascii="宋体" w:hAnsi="宋体"/>
          <w:sz w:val="24"/>
        </w:rPr>
        <w:t>我们同意按招标文件的规定，本标书的有效期为开标后</w:t>
      </w:r>
      <w:r>
        <w:rPr>
          <w:rStyle w:val="13"/>
          <w:rFonts w:ascii="宋体" w:hAnsi="宋体"/>
          <w:sz w:val="24"/>
          <w:u w:val="single"/>
        </w:rPr>
        <w:t xml:space="preserve">    </w:t>
      </w:r>
      <w:r>
        <w:rPr>
          <w:rStyle w:val="13"/>
          <w:rFonts w:ascii="宋体" w:hAnsi="宋体"/>
          <w:sz w:val="24"/>
        </w:rPr>
        <w:t>天。</w:t>
      </w:r>
    </w:p>
    <w:p>
      <w:pPr>
        <w:keepNext w:val="0"/>
        <w:keepLines w:val="0"/>
        <w:pageBreakBefore w:val="0"/>
        <w:widowControl/>
        <w:numPr>
          <w:ilvl w:val="0"/>
          <w:numId w:val="18"/>
        </w:numPr>
        <w:kinsoku/>
        <w:wordWrap/>
        <w:overflowPunct/>
        <w:topLinePunct w:val="0"/>
        <w:autoSpaceDE/>
        <w:autoSpaceDN/>
        <w:bidi w:val="0"/>
        <w:adjustRightInd/>
        <w:snapToGrid/>
        <w:spacing w:line="420" w:lineRule="exact"/>
        <w:textAlignment w:val="baseline"/>
        <w:rPr>
          <w:rStyle w:val="13"/>
          <w:rFonts w:ascii="宋体" w:hAnsi="宋体"/>
          <w:sz w:val="24"/>
        </w:rPr>
      </w:pPr>
      <w:r>
        <w:rPr>
          <w:rStyle w:val="13"/>
          <w:rFonts w:ascii="宋体" w:hAnsi="宋体"/>
          <w:sz w:val="24"/>
        </w:rPr>
        <w:t>我们愿意提供招标人在招标文件中要求的所有资料。</w:t>
      </w:r>
    </w:p>
    <w:p>
      <w:pPr>
        <w:keepNext w:val="0"/>
        <w:keepLines w:val="0"/>
        <w:pageBreakBefore w:val="0"/>
        <w:widowControl/>
        <w:numPr>
          <w:ilvl w:val="0"/>
          <w:numId w:val="18"/>
        </w:numPr>
        <w:kinsoku/>
        <w:wordWrap/>
        <w:overflowPunct/>
        <w:topLinePunct w:val="0"/>
        <w:autoSpaceDE/>
        <w:autoSpaceDN/>
        <w:bidi w:val="0"/>
        <w:adjustRightInd/>
        <w:snapToGrid/>
        <w:spacing w:line="420" w:lineRule="exact"/>
        <w:textAlignment w:val="baseline"/>
        <w:rPr>
          <w:rStyle w:val="13"/>
          <w:rFonts w:ascii="宋体" w:hAnsi="宋体"/>
          <w:sz w:val="24"/>
        </w:rPr>
      </w:pPr>
      <w:r>
        <w:rPr>
          <w:rStyle w:val="13"/>
          <w:rFonts w:ascii="宋体" w:hAnsi="宋体"/>
          <w:sz w:val="24"/>
        </w:rPr>
        <w:t>我们认为你们有选择或拒绝任何投标者中标的权利。我们理解，最低报价不是中标的唯一条件。</w:t>
      </w:r>
    </w:p>
    <w:p>
      <w:pPr>
        <w:keepNext w:val="0"/>
        <w:keepLines w:val="0"/>
        <w:pageBreakBefore w:val="0"/>
        <w:widowControl/>
        <w:numPr>
          <w:ilvl w:val="0"/>
          <w:numId w:val="18"/>
        </w:numPr>
        <w:kinsoku/>
        <w:wordWrap/>
        <w:overflowPunct/>
        <w:topLinePunct w:val="0"/>
        <w:autoSpaceDE/>
        <w:autoSpaceDN/>
        <w:bidi w:val="0"/>
        <w:adjustRightInd/>
        <w:snapToGrid/>
        <w:spacing w:line="420" w:lineRule="exact"/>
        <w:textAlignment w:val="baseline"/>
        <w:rPr>
          <w:rStyle w:val="13"/>
          <w:rFonts w:ascii="宋体" w:hAnsi="宋体"/>
          <w:sz w:val="24"/>
        </w:rPr>
      </w:pPr>
      <w:r>
        <w:rPr>
          <w:rStyle w:val="13"/>
          <w:rFonts w:ascii="宋体" w:hAnsi="宋体"/>
          <w:sz w:val="24"/>
        </w:rPr>
        <w:t>我们愿意按合同履行自己的全部责任。</w:t>
      </w:r>
    </w:p>
    <w:p>
      <w:pPr>
        <w:keepNext w:val="0"/>
        <w:keepLines w:val="0"/>
        <w:pageBreakBefore w:val="0"/>
        <w:widowControl/>
        <w:numPr>
          <w:ilvl w:val="0"/>
          <w:numId w:val="18"/>
        </w:numPr>
        <w:kinsoku/>
        <w:wordWrap/>
        <w:overflowPunct/>
        <w:topLinePunct w:val="0"/>
        <w:autoSpaceDE/>
        <w:autoSpaceDN/>
        <w:bidi w:val="0"/>
        <w:adjustRightInd/>
        <w:snapToGrid/>
        <w:spacing w:line="420" w:lineRule="exact"/>
        <w:textAlignment w:val="baseline"/>
        <w:rPr>
          <w:rStyle w:val="13"/>
          <w:rFonts w:ascii="宋体" w:hAnsi="宋体"/>
          <w:sz w:val="24"/>
        </w:rPr>
      </w:pPr>
      <w:r>
        <w:rPr>
          <w:rStyle w:val="13"/>
          <w:rFonts w:ascii="宋体" w:hAnsi="宋体"/>
          <w:sz w:val="24"/>
        </w:rPr>
        <w:t>我们愿意遵守国家有关规定和招标文件中规定的收费标准，承付中标服务费。</w:t>
      </w:r>
    </w:p>
    <w:p>
      <w:pPr>
        <w:keepNext w:val="0"/>
        <w:keepLines w:val="0"/>
        <w:pageBreakBefore w:val="0"/>
        <w:widowControl/>
        <w:numPr>
          <w:ilvl w:val="0"/>
          <w:numId w:val="18"/>
        </w:numPr>
        <w:kinsoku/>
        <w:wordWrap/>
        <w:overflowPunct/>
        <w:topLinePunct w:val="0"/>
        <w:autoSpaceDE/>
        <w:autoSpaceDN/>
        <w:bidi w:val="0"/>
        <w:adjustRightInd/>
        <w:snapToGrid/>
        <w:spacing w:line="420" w:lineRule="exact"/>
        <w:textAlignment w:val="baseline"/>
        <w:rPr>
          <w:rStyle w:val="13"/>
          <w:rFonts w:ascii="宋体" w:hAnsi="宋体"/>
          <w:sz w:val="24"/>
        </w:rPr>
      </w:pPr>
      <w:r>
        <w:rPr>
          <w:rStyle w:val="13"/>
          <w:rFonts w:ascii="宋体" w:hAnsi="宋体"/>
          <w:sz w:val="24"/>
        </w:rPr>
        <w:t>该项投标在开标后全过程中保持有效，不做任何更改和变动。</w:t>
      </w:r>
    </w:p>
    <w:p>
      <w:pPr>
        <w:keepNext w:val="0"/>
        <w:keepLines w:val="0"/>
        <w:pageBreakBefore w:val="0"/>
        <w:widowControl/>
        <w:numPr>
          <w:ilvl w:val="0"/>
          <w:numId w:val="18"/>
        </w:numPr>
        <w:kinsoku/>
        <w:wordWrap/>
        <w:overflowPunct/>
        <w:topLinePunct w:val="0"/>
        <w:autoSpaceDE/>
        <w:autoSpaceDN/>
        <w:bidi w:val="0"/>
        <w:adjustRightInd/>
        <w:snapToGrid/>
        <w:spacing w:line="420" w:lineRule="exact"/>
        <w:textAlignment w:val="baseline"/>
        <w:rPr>
          <w:rStyle w:val="13"/>
          <w:rFonts w:ascii="宋体" w:hAnsi="宋体"/>
          <w:sz w:val="24"/>
        </w:rPr>
      </w:pPr>
      <w:r>
        <w:rPr>
          <w:rStyle w:val="13"/>
          <w:rFonts w:ascii="宋体" w:hAnsi="宋体"/>
          <w:sz w:val="24"/>
        </w:rPr>
        <w:t>我们同意按招标文件规定，缴纳</w:t>
      </w:r>
      <w:r>
        <w:rPr>
          <w:rStyle w:val="13"/>
          <w:rFonts w:ascii="宋体" w:hAnsi="宋体"/>
          <w:sz w:val="24"/>
          <w:u w:val="single"/>
        </w:rPr>
        <w:t xml:space="preserve">         </w:t>
      </w:r>
      <w:r>
        <w:rPr>
          <w:rStyle w:val="13"/>
          <w:rFonts w:ascii="宋体" w:hAnsi="宋体"/>
          <w:sz w:val="24"/>
        </w:rPr>
        <w:t>元投标保证金。</w:t>
      </w:r>
    </w:p>
    <w:p>
      <w:pPr>
        <w:keepNext w:val="0"/>
        <w:keepLines w:val="0"/>
        <w:pageBreakBefore w:val="0"/>
        <w:widowControl/>
        <w:kinsoku/>
        <w:wordWrap/>
        <w:overflowPunct/>
        <w:topLinePunct w:val="0"/>
        <w:autoSpaceDE/>
        <w:autoSpaceDN/>
        <w:bidi w:val="0"/>
        <w:adjustRightInd/>
        <w:snapToGrid/>
        <w:spacing w:line="420" w:lineRule="exact"/>
        <w:ind w:left="721" w:leftChars="229" w:hanging="240" w:hangingChars="100"/>
        <w:textAlignment w:val="baseline"/>
        <w:rPr>
          <w:rStyle w:val="13"/>
          <w:rFonts w:ascii="宋体" w:hAnsi="宋体"/>
          <w:sz w:val="24"/>
        </w:rPr>
      </w:pPr>
      <w:r>
        <w:rPr>
          <w:rStyle w:val="13"/>
          <w:rFonts w:ascii="宋体" w:hAnsi="宋体"/>
          <w:sz w:val="24"/>
        </w:rPr>
        <w:t>10我们保证投标文件中的所有证件和内容真实有效，否则我们愿意承担一切法律责任。</w:t>
      </w:r>
    </w:p>
    <w:p>
      <w:pPr>
        <w:keepNext w:val="0"/>
        <w:keepLines w:val="0"/>
        <w:pageBreakBefore w:val="0"/>
        <w:widowControl/>
        <w:kinsoku/>
        <w:wordWrap/>
        <w:overflowPunct/>
        <w:topLinePunct w:val="0"/>
        <w:autoSpaceDE/>
        <w:autoSpaceDN/>
        <w:bidi w:val="0"/>
        <w:adjustRightInd/>
        <w:snapToGrid/>
        <w:spacing w:line="420" w:lineRule="exact"/>
        <w:ind w:left="480"/>
        <w:textAlignment w:val="baseline"/>
        <w:rPr>
          <w:rStyle w:val="13"/>
          <w:rFonts w:ascii="宋体" w:hAnsi="宋体"/>
          <w:sz w:val="24"/>
        </w:rPr>
      </w:pPr>
      <w:r>
        <w:rPr>
          <w:rStyle w:val="13"/>
          <w:rFonts w:ascii="宋体" w:hAnsi="宋体"/>
          <w:sz w:val="24"/>
        </w:rPr>
        <w:t>11、其他说明。</w:t>
      </w:r>
    </w:p>
    <w:p>
      <w:pPr>
        <w:keepNext w:val="0"/>
        <w:keepLines w:val="0"/>
        <w:pageBreakBefore w:val="0"/>
        <w:widowControl/>
        <w:kinsoku/>
        <w:wordWrap/>
        <w:overflowPunct/>
        <w:topLinePunct w:val="0"/>
        <w:autoSpaceDE/>
        <w:autoSpaceDN/>
        <w:bidi w:val="0"/>
        <w:adjustRightInd/>
        <w:snapToGrid/>
        <w:spacing w:line="420" w:lineRule="exact"/>
        <w:ind w:left="480"/>
        <w:textAlignment w:val="baseline"/>
        <w:rPr>
          <w:rStyle w:val="13"/>
          <w:rFonts w:ascii="宋体" w:hAnsi="宋体"/>
          <w:sz w:val="24"/>
        </w:rPr>
      </w:pPr>
      <w:r>
        <w:rPr>
          <w:rStyle w:val="13"/>
          <w:rFonts w:ascii="宋体" w:hAnsi="宋体"/>
          <w:sz w:val="24"/>
        </w:rPr>
        <w:t>12、所有有关本标书的函电，请按下列地址联系：</w:t>
      </w:r>
    </w:p>
    <w:p>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baseline"/>
        <w:rPr>
          <w:rStyle w:val="13"/>
          <w:rFonts w:ascii="宋体" w:hAnsi="宋体"/>
          <w:sz w:val="24"/>
        </w:rPr>
      </w:pPr>
      <w:r>
        <w:rPr>
          <w:rStyle w:val="13"/>
          <w:rFonts w:ascii="宋体" w:hAnsi="宋体"/>
          <w:sz w:val="24"/>
        </w:rPr>
        <w:t xml:space="preserve">投标单位(盖章) ：                       </w:t>
      </w:r>
    </w:p>
    <w:p>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baseline"/>
        <w:rPr>
          <w:rStyle w:val="13"/>
          <w:rFonts w:ascii="宋体" w:hAnsi="宋体"/>
          <w:sz w:val="24"/>
        </w:rPr>
      </w:pPr>
      <w:r>
        <w:rPr>
          <w:rStyle w:val="13"/>
          <w:rFonts w:ascii="宋体" w:hAnsi="宋体"/>
          <w:sz w:val="24"/>
        </w:rPr>
        <w:t>法定代表人或其授权委托人（签字或盖章）：</w:t>
      </w:r>
    </w:p>
    <w:p>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baseline"/>
        <w:rPr>
          <w:rStyle w:val="13"/>
          <w:rFonts w:ascii="宋体" w:hAnsi="宋体"/>
          <w:sz w:val="24"/>
        </w:rPr>
      </w:pPr>
      <w:r>
        <w:rPr>
          <w:rStyle w:val="13"/>
          <w:rFonts w:ascii="宋体" w:hAnsi="宋体"/>
          <w:sz w:val="24"/>
        </w:rPr>
        <w:t>地址：</w:t>
      </w:r>
    </w:p>
    <w:p>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baseline"/>
        <w:rPr>
          <w:rStyle w:val="13"/>
          <w:rFonts w:ascii="宋体" w:hAnsi="宋体"/>
          <w:sz w:val="24"/>
        </w:rPr>
      </w:pPr>
      <w:r>
        <w:rPr>
          <w:rStyle w:val="13"/>
          <w:rFonts w:ascii="宋体" w:hAnsi="宋体"/>
          <w:sz w:val="24"/>
        </w:rPr>
        <w:t>电话：</w:t>
      </w:r>
    </w:p>
    <w:p>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baseline"/>
        <w:rPr>
          <w:rStyle w:val="13"/>
          <w:rFonts w:ascii="宋体" w:hAnsi="宋体"/>
          <w:sz w:val="24"/>
        </w:rPr>
      </w:pPr>
      <w:r>
        <w:rPr>
          <w:rStyle w:val="13"/>
          <w:rFonts w:ascii="宋体" w:hAnsi="宋体"/>
          <w:sz w:val="24"/>
        </w:rPr>
        <w:t>电报挂号：</w:t>
      </w:r>
    </w:p>
    <w:p>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baseline"/>
        <w:rPr>
          <w:rStyle w:val="13"/>
          <w:rFonts w:ascii="宋体" w:hAnsi="宋体"/>
          <w:sz w:val="24"/>
        </w:rPr>
      </w:pPr>
      <w:r>
        <w:rPr>
          <w:rStyle w:val="13"/>
          <w:rFonts w:ascii="宋体" w:hAnsi="宋体"/>
          <w:sz w:val="24"/>
        </w:rPr>
        <w:t>传真：</w:t>
      </w:r>
    </w:p>
    <w:p>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baseline"/>
        <w:rPr>
          <w:rStyle w:val="13"/>
          <w:rFonts w:ascii="宋体" w:hAnsi="宋体"/>
          <w:sz w:val="24"/>
        </w:rPr>
      </w:pPr>
      <w:r>
        <w:rPr>
          <w:rStyle w:val="13"/>
          <w:rFonts w:ascii="宋体" w:hAnsi="宋体"/>
          <w:sz w:val="24"/>
        </w:rPr>
        <w:t>邮政编码：</w:t>
      </w:r>
    </w:p>
    <w:p>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baseline"/>
        <w:rPr>
          <w:rStyle w:val="13"/>
          <w:rFonts w:ascii="宋体" w:hAnsi="宋体"/>
          <w:sz w:val="24"/>
        </w:rPr>
      </w:pPr>
      <w:r>
        <w:rPr>
          <w:rStyle w:val="13"/>
          <w:rFonts w:ascii="宋体" w:hAnsi="宋体"/>
          <w:sz w:val="24"/>
        </w:rPr>
        <w:t>联系人：</w:t>
      </w:r>
    </w:p>
    <w:p>
      <w:pPr>
        <w:spacing w:line="440" w:lineRule="exact"/>
        <w:rPr>
          <w:rStyle w:val="13"/>
          <w:rFonts w:ascii="宋体" w:hAnsi="宋体"/>
          <w:sz w:val="24"/>
        </w:rPr>
      </w:pPr>
      <w:r>
        <w:rPr>
          <w:rStyle w:val="13"/>
          <w:rFonts w:ascii="宋体" w:hAnsi="宋体"/>
          <w:sz w:val="24"/>
        </w:rPr>
        <w:t xml:space="preserve">                                                     年     月     日</w:t>
      </w:r>
    </w:p>
    <w:p>
      <w:pPr>
        <w:pStyle w:val="19"/>
        <w:jc w:val="center"/>
        <w:rPr>
          <w:rStyle w:val="13"/>
          <w:rFonts w:ascii="宋体" w:hAnsi="宋体" w:cs="宋体"/>
          <w:b/>
          <w:bCs/>
          <w:sz w:val="28"/>
        </w:rPr>
      </w:pPr>
      <w:r>
        <w:rPr>
          <w:rStyle w:val="13"/>
          <w:rFonts w:ascii="宋体" w:hAnsi="宋体" w:cs="宋体"/>
          <w:b/>
          <w:bCs/>
          <w:sz w:val="28"/>
        </w:rPr>
        <w:t>二、投标一览表</w:t>
      </w:r>
    </w:p>
    <w:p>
      <w:pPr>
        <w:spacing w:line="360" w:lineRule="auto"/>
        <w:rPr>
          <w:rStyle w:val="13"/>
          <w:rFonts w:ascii="宋体" w:hAnsi="宋体"/>
          <w:sz w:val="24"/>
        </w:rPr>
      </w:pPr>
      <w:r>
        <w:rPr>
          <w:rStyle w:val="13"/>
          <w:rFonts w:ascii="宋体" w:hAnsi="宋体"/>
          <w:sz w:val="24"/>
        </w:rPr>
        <w:t>投标人名称：</w:t>
      </w:r>
    </w:p>
    <w:p>
      <w:pPr>
        <w:spacing w:line="360" w:lineRule="auto"/>
        <w:rPr>
          <w:rStyle w:val="13"/>
          <w:rFonts w:ascii="宋体" w:hAnsi="宋体"/>
          <w:sz w:val="24"/>
        </w:rPr>
      </w:pPr>
      <w:r>
        <w:rPr>
          <w:rStyle w:val="13"/>
          <w:rFonts w:ascii="宋体" w:hAnsi="宋体"/>
          <w:sz w:val="24"/>
        </w:rPr>
        <w:t>项目名称：                           招标编号：</w:t>
      </w:r>
    </w:p>
    <w:tbl>
      <w:tblPr>
        <w:tblStyle w:val="10"/>
        <w:tblpPr w:leftFromText="180" w:rightFromText="180" w:vertAnchor="text" w:horzAnchor="page" w:tblpX="1352" w:tblpY="306"/>
        <w:tblOverlap w:val="never"/>
        <w:tblW w:w="94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3"/>
        <w:gridCol w:w="1763"/>
        <w:gridCol w:w="1534"/>
        <w:gridCol w:w="1986"/>
        <w:gridCol w:w="1320"/>
        <w:gridCol w:w="12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653"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240" w:lineRule="atLeast"/>
              <w:jc w:val="center"/>
              <w:rPr>
                <w:rStyle w:val="13"/>
                <w:rFonts w:ascii="宋体" w:hAnsi="宋体"/>
                <w:sz w:val="24"/>
              </w:rPr>
            </w:pPr>
            <w:r>
              <w:rPr>
                <w:rStyle w:val="13"/>
                <w:rFonts w:hint="eastAsia" w:ascii="宋体" w:hAnsi="宋体"/>
                <w:sz w:val="24"/>
                <w:lang w:eastAsia="zh-CN"/>
              </w:rPr>
              <w:t>项目</w:t>
            </w:r>
            <w:r>
              <w:rPr>
                <w:rStyle w:val="13"/>
                <w:rFonts w:ascii="宋体" w:hAnsi="宋体"/>
                <w:sz w:val="24"/>
              </w:rPr>
              <w:t>名称</w:t>
            </w:r>
          </w:p>
        </w:tc>
        <w:tc>
          <w:tcPr>
            <w:tcW w:w="1763"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240" w:lineRule="atLeast"/>
              <w:jc w:val="center"/>
              <w:rPr>
                <w:rStyle w:val="13"/>
                <w:rFonts w:hint="eastAsia" w:ascii="宋体" w:hAnsi="宋体" w:eastAsia="宋体"/>
                <w:sz w:val="24"/>
                <w:lang w:eastAsia="zh-CN"/>
              </w:rPr>
            </w:pPr>
            <w:r>
              <w:rPr>
                <w:rStyle w:val="13"/>
                <w:rFonts w:hint="eastAsia" w:ascii="宋体" w:hAnsi="宋体"/>
                <w:sz w:val="24"/>
                <w:lang w:eastAsia="zh-CN"/>
              </w:rPr>
              <w:t>采购内容</w:t>
            </w:r>
          </w:p>
        </w:tc>
        <w:tc>
          <w:tcPr>
            <w:tcW w:w="1534"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240" w:lineRule="atLeast"/>
              <w:jc w:val="center"/>
              <w:rPr>
                <w:rStyle w:val="13"/>
                <w:rFonts w:ascii="宋体" w:hAnsi="宋体"/>
                <w:sz w:val="24"/>
              </w:rPr>
            </w:pPr>
            <w:r>
              <w:rPr>
                <w:rStyle w:val="13"/>
                <w:rFonts w:hint="eastAsia" w:ascii="宋体" w:hAnsi="宋体"/>
                <w:sz w:val="24"/>
                <w:lang w:eastAsia="zh-CN"/>
              </w:rPr>
              <w:t>投标</w:t>
            </w:r>
            <w:r>
              <w:rPr>
                <w:rStyle w:val="13"/>
                <w:rFonts w:ascii="宋体" w:hAnsi="宋体"/>
                <w:sz w:val="24"/>
              </w:rPr>
              <w:t>总价</w:t>
            </w:r>
          </w:p>
          <w:p>
            <w:pPr>
              <w:tabs>
                <w:tab w:val="left" w:pos="0"/>
              </w:tabs>
              <w:snapToGrid w:val="0"/>
              <w:spacing w:line="240" w:lineRule="atLeast"/>
              <w:jc w:val="center"/>
              <w:rPr>
                <w:rStyle w:val="13"/>
                <w:rFonts w:ascii="宋体" w:hAnsi="宋体"/>
                <w:sz w:val="24"/>
              </w:rPr>
            </w:pPr>
            <w:r>
              <w:rPr>
                <w:rStyle w:val="13"/>
                <w:rFonts w:ascii="宋体" w:hAnsi="宋体"/>
                <w:sz w:val="24"/>
              </w:rPr>
              <w:t>（元）</w:t>
            </w:r>
          </w:p>
        </w:tc>
        <w:tc>
          <w:tcPr>
            <w:tcW w:w="1986"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240" w:lineRule="atLeast"/>
              <w:jc w:val="center"/>
              <w:rPr>
                <w:rStyle w:val="13"/>
                <w:rFonts w:ascii="宋体" w:hAnsi="宋体"/>
                <w:sz w:val="24"/>
              </w:rPr>
            </w:pPr>
            <w:r>
              <w:rPr>
                <w:rStyle w:val="13"/>
                <w:rFonts w:hint="eastAsia" w:ascii="宋体" w:hAnsi="宋体"/>
                <w:sz w:val="24"/>
                <w:lang w:eastAsia="zh-CN"/>
              </w:rPr>
              <w:t>交付期（月）</w:t>
            </w:r>
          </w:p>
        </w:tc>
        <w:tc>
          <w:tcPr>
            <w:tcW w:w="1320"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240" w:lineRule="atLeast"/>
              <w:jc w:val="center"/>
              <w:rPr>
                <w:rStyle w:val="13"/>
                <w:rFonts w:hint="eastAsia" w:ascii="宋体" w:hAnsi="宋体" w:eastAsia="宋体"/>
                <w:sz w:val="24"/>
                <w:lang w:eastAsia="zh-CN"/>
              </w:rPr>
            </w:pPr>
            <w:r>
              <w:rPr>
                <w:rStyle w:val="13"/>
                <w:rFonts w:hint="eastAsia" w:ascii="宋体" w:hAnsi="宋体"/>
                <w:sz w:val="24"/>
                <w:lang w:eastAsia="zh-CN"/>
              </w:rPr>
              <w:t>投标保证金金额（元）</w:t>
            </w:r>
          </w:p>
        </w:tc>
        <w:tc>
          <w:tcPr>
            <w:tcW w:w="1221" w:type="dxa"/>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240" w:lineRule="atLeast"/>
              <w:jc w:val="center"/>
              <w:rPr>
                <w:rStyle w:val="13"/>
                <w:rFonts w:ascii="宋体" w:hAnsi="宋体"/>
                <w:sz w:val="24"/>
              </w:rPr>
            </w:pPr>
            <w:r>
              <w:rPr>
                <w:rStyle w:val="13"/>
                <w:rFonts w:ascii="宋体" w:hAnsi="宋体"/>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653"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c>
          <w:tcPr>
            <w:tcW w:w="1763"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c>
          <w:tcPr>
            <w:tcW w:w="1534"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c>
          <w:tcPr>
            <w:tcW w:w="1986"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c>
          <w:tcPr>
            <w:tcW w:w="1320"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c>
          <w:tcPr>
            <w:tcW w:w="1221"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653"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c>
          <w:tcPr>
            <w:tcW w:w="1763"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c>
          <w:tcPr>
            <w:tcW w:w="1534"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c>
          <w:tcPr>
            <w:tcW w:w="1986"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c>
          <w:tcPr>
            <w:tcW w:w="1320"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c>
          <w:tcPr>
            <w:tcW w:w="1221"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653"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c>
          <w:tcPr>
            <w:tcW w:w="1763"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c>
          <w:tcPr>
            <w:tcW w:w="1534"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c>
          <w:tcPr>
            <w:tcW w:w="1986"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c>
          <w:tcPr>
            <w:tcW w:w="1320"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c>
          <w:tcPr>
            <w:tcW w:w="1221"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653"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c>
          <w:tcPr>
            <w:tcW w:w="1763"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c>
          <w:tcPr>
            <w:tcW w:w="1534"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c>
          <w:tcPr>
            <w:tcW w:w="1986"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c>
          <w:tcPr>
            <w:tcW w:w="1320"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c>
          <w:tcPr>
            <w:tcW w:w="1221"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653"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c>
          <w:tcPr>
            <w:tcW w:w="1763"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c>
          <w:tcPr>
            <w:tcW w:w="1534"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c>
          <w:tcPr>
            <w:tcW w:w="1986"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c>
          <w:tcPr>
            <w:tcW w:w="1320"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c>
          <w:tcPr>
            <w:tcW w:w="1221"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653"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c>
          <w:tcPr>
            <w:tcW w:w="1763"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c>
          <w:tcPr>
            <w:tcW w:w="1534"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c>
          <w:tcPr>
            <w:tcW w:w="1986"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c>
          <w:tcPr>
            <w:tcW w:w="1320"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c>
          <w:tcPr>
            <w:tcW w:w="1221"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653"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c>
          <w:tcPr>
            <w:tcW w:w="1763"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c>
          <w:tcPr>
            <w:tcW w:w="1534"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c>
          <w:tcPr>
            <w:tcW w:w="1986"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c>
          <w:tcPr>
            <w:tcW w:w="1320"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c>
          <w:tcPr>
            <w:tcW w:w="1221"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653" w:type="dxa"/>
            <w:vMerge w:val="restart"/>
            <w:tcBorders>
              <w:top w:val="single" w:color="000000" w:sz="4" w:space="0"/>
              <w:left w:val="single" w:color="000000" w:sz="4" w:space="0"/>
              <w:bottom w:val="single" w:color="000000" w:sz="4" w:space="0"/>
              <w:right w:val="single" w:color="000000" w:sz="4" w:space="0"/>
            </w:tcBorders>
          </w:tcPr>
          <w:p>
            <w:pPr>
              <w:tabs>
                <w:tab w:val="left" w:pos="0"/>
              </w:tabs>
              <w:spacing w:line="240" w:lineRule="atLeast"/>
              <w:ind w:firstLine="120" w:firstLineChars="50"/>
              <w:rPr>
                <w:rStyle w:val="13"/>
                <w:rFonts w:ascii="宋体" w:hAnsi="宋体"/>
                <w:sz w:val="24"/>
              </w:rPr>
            </w:pPr>
            <w:r>
              <w:rPr>
                <w:rStyle w:val="13"/>
                <w:rFonts w:ascii="宋体" w:hAnsi="宋体"/>
                <w:sz w:val="24"/>
              </w:rPr>
              <w:t>总价：</w:t>
            </w:r>
          </w:p>
        </w:tc>
        <w:tc>
          <w:tcPr>
            <w:tcW w:w="7824" w:type="dxa"/>
            <w:gridSpan w:val="5"/>
            <w:tcBorders>
              <w:top w:val="single" w:color="000000" w:sz="4" w:space="0"/>
              <w:left w:val="single" w:color="000000" w:sz="4" w:space="0"/>
              <w:bottom w:val="single" w:color="000000" w:sz="4" w:space="0"/>
              <w:right w:val="single" w:color="000000" w:sz="4" w:space="0"/>
            </w:tcBorders>
          </w:tcPr>
          <w:p>
            <w:pPr>
              <w:tabs>
                <w:tab w:val="left" w:pos="0"/>
              </w:tabs>
              <w:spacing w:line="240" w:lineRule="atLeast"/>
              <w:rPr>
                <w:rStyle w:val="13"/>
                <w:rFonts w:ascii="宋体" w:hAnsi="宋体"/>
                <w:sz w:val="24"/>
              </w:rPr>
            </w:pPr>
            <w:r>
              <w:rPr>
                <w:rStyle w:val="13"/>
                <w:rFonts w:ascii="宋体" w:hAnsi="宋体"/>
                <w:sz w:val="24"/>
              </w:rPr>
              <w:t>（人民币小写）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653" w:type="dxa"/>
            <w:vMerge w:val="continue"/>
            <w:tcBorders>
              <w:top w:val="single" w:color="000000" w:sz="4" w:space="0"/>
              <w:left w:val="single" w:color="000000" w:sz="4" w:space="0"/>
              <w:bottom w:val="single" w:color="000000" w:sz="4" w:space="0"/>
              <w:right w:val="single" w:color="000000" w:sz="4" w:space="0"/>
            </w:tcBorders>
          </w:tcPr>
          <w:p>
            <w:pPr>
              <w:tabs>
                <w:tab w:val="left" w:pos="0"/>
              </w:tabs>
              <w:spacing w:line="240" w:lineRule="atLeast"/>
              <w:rPr>
                <w:rStyle w:val="13"/>
                <w:rFonts w:ascii="宋体" w:hAnsi="宋体"/>
                <w:sz w:val="24"/>
              </w:rPr>
            </w:pPr>
          </w:p>
        </w:tc>
        <w:tc>
          <w:tcPr>
            <w:tcW w:w="7824" w:type="dxa"/>
            <w:gridSpan w:val="5"/>
            <w:tcBorders>
              <w:top w:val="single" w:color="000000" w:sz="4" w:space="0"/>
              <w:left w:val="single" w:color="000000" w:sz="4" w:space="0"/>
              <w:bottom w:val="single" w:color="000000" w:sz="4" w:space="0"/>
              <w:right w:val="single" w:color="000000" w:sz="4" w:space="0"/>
            </w:tcBorders>
          </w:tcPr>
          <w:p>
            <w:pPr>
              <w:tabs>
                <w:tab w:val="left" w:pos="0"/>
              </w:tabs>
              <w:spacing w:line="240" w:lineRule="atLeast"/>
              <w:rPr>
                <w:rStyle w:val="13"/>
                <w:rFonts w:ascii="宋体" w:hAnsi="宋体"/>
                <w:sz w:val="24"/>
              </w:rPr>
            </w:pPr>
            <w:r>
              <w:rPr>
                <w:rStyle w:val="13"/>
                <w:rFonts w:ascii="宋体" w:hAnsi="宋体"/>
                <w:sz w:val="24"/>
              </w:rPr>
              <w:t>（人民币大写）</w:t>
            </w:r>
          </w:p>
        </w:tc>
      </w:tr>
    </w:tbl>
    <w:p>
      <w:pPr>
        <w:spacing w:line="360" w:lineRule="auto"/>
        <w:rPr>
          <w:rStyle w:val="13"/>
          <w:rFonts w:ascii="宋体" w:hAnsi="宋体"/>
          <w:sz w:val="24"/>
        </w:rPr>
      </w:pPr>
    </w:p>
    <w:p>
      <w:pPr>
        <w:spacing w:line="360" w:lineRule="auto"/>
        <w:ind w:firstLine="480" w:firstLineChars="200"/>
        <w:rPr>
          <w:rStyle w:val="13"/>
          <w:rFonts w:ascii="宋体" w:hAnsi="宋体"/>
          <w:sz w:val="24"/>
        </w:rPr>
      </w:pPr>
    </w:p>
    <w:p>
      <w:pPr>
        <w:spacing w:line="360" w:lineRule="auto"/>
        <w:rPr>
          <w:rStyle w:val="13"/>
          <w:rFonts w:ascii="宋体" w:hAnsi="宋体"/>
          <w:sz w:val="24"/>
          <w:u w:val="single"/>
        </w:rPr>
      </w:pPr>
      <w:r>
        <w:rPr>
          <w:rStyle w:val="13"/>
          <w:rFonts w:ascii="宋体" w:hAnsi="宋体"/>
          <w:sz w:val="24"/>
        </w:rPr>
        <w:t>注：1. 报价货币为人民币。</w:t>
      </w:r>
    </w:p>
    <w:p>
      <w:pPr>
        <w:numPr>
          <w:ilvl w:val="0"/>
          <w:numId w:val="19"/>
        </w:numPr>
        <w:spacing w:line="360" w:lineRule="auto"/>
        <w:rPr>
          <w:rStyle w:val="13"/>
          <w:rFonts w:ascii="宋体" w:hAnsi="宋体"/>
          <w:sz w:val="24"/>
        </w:rPr>
      </w:pPr>
      <w:r>
        <w:rPr>
          <w:rStyle w:val="13"/>
          <w:rFonts w:ascii="宋体" w:hAnsi="宋体"/>
          <w:sz w:val="24"/>
        </w:rPr>
        <w:t>投标一览表中投标总报价大小应写一致，如不一致以大写为准。</w:t>
      </w:r>
    </w:p>
    <w:p>
      <w:pPr>
        <w:numPr>
          <w:ilvl w:val="0"/>
          <w:numId w:val="19"/>
        </w:numPr>
        <w:spacing w:line="360" w:lineRule="auto"/>
        <w:rPr>
          <w:rStyle w:val="13"/>
          <w:rFonts w:ascii="宋体" w:hAnsi="宋体"/>
          <w:sz w:val="24"/>
        </w:rPr>
      </w:pPr>
      <w:r>
        <w:rPr>
          <w:rStyle w:val="13"/>
          <w:rFonts w:ascii="宋体" w:hAnsi="宋体"/>
          <w:sz w:val="24"/>
        </w:rPr>
        <w:t>以上报价含一切费用,是指货物经验收交付采购人使用的价格。</w:t>
      </w:r>
    </w:p>
    <w:p>
      <w:pPr>
        <w:numPr>
          <w:ilvl w:val="0"/>
          <w:numId w:val="19"/>
        </w:numPr>
        <w:spacing w:line="360" w:lineRule="auto"/>
        <w:rPr>
          <w:rStyle w:val="13"/>
          <w:rFonts w:ascii="宋体" w:hAnsi="宋体"/>
          <w:sz w:val="24"/>
        </w:rPr>
      </w:pPr>
      <w:r>
        <w:rPr>
          <w:rStyle w:val="13"/>
          <w:rFonts w:ascii="宋体" w:hAnsi="宋体"/>
          <w:sz w:val="24"/>
        </w:rPr>
        <w:t>此表需密封后单独提交。</w:t>
      </w:r>
    </w:p>
    <w:p>
      <w:pPr>
        <w:numPr>
          <w:ilvl w:val="0"/>
          <w:numId w:val="19"/>
        </w:numPr>
        <w:spacing w:line="360" w:lineRule="auto"/>
        <w:rPr>
          <w:rStyle w:val="13"/>
          <w:rFonts w:ascii="宋体" w:hAnsi="宋体"/>
          <w:color w:val="000000"/>
          <w:sz w:val="24"/>
          <w:szCs w:val="22"/>
        </w:rPr>
      </w:pPr>
      <w:r>
        <w:rPr>
          <w:rStyle w:val="13"/>
          <w:rFonts w:ascii="宋体" w:hAnsi="宋体"/>
          <w:color w:val="000000"/>
          <w:sz w:val="24"/>
          <w:szCs w:val="22"/>
        </w:rPr>
        <w:t>各投标企业总投标报价不得高于本项目招标控制价，超过本项目招标控制价的视为无效报价，做否决投标处理。</w:t>
      </w:r>
    </w:p>
    <w:p>
      <w:pPr>
        <w:spacing w:line="360" w:lineRule="auto"/>
        <w:rPr>
          <w:rStyle w:val="13"/>
          <w:rFonts w:ascii="宋体" w:hAnsi="宋体"/>
          <w:sz w:val="24"/>
        </w:rPr>
      </w:pPr>
      <w:r>
        <w:rPr>
          <w:rStyle w:val="13"/>
          <w:rFonts w:ascii="宋体" w:hAnsi="宋体"/>
          <w:sz w:val="24"/>
        </w:rPr>
        <w:t xml:space="preserve">    投标单位：（单位公章）</w:t>
      </w:r>
    </w:p>
    <w:p>
      <w:pPr>
        <w:spacing w:line="440" w:lineRule="exact"/>
        <w:ind w:firstLine="480" w:firstLineChars="200"/>
        <w:rPr>
          <w:rStyle w:val="13"/>
          <w:rFonts w:ascii="宋体" w:hAnsi="宋体"/>
          <w:sz w:val="24"/>
        </w:rPr>
      </w:pPr>
      <w:r>
        <w:rPr>
          <w:rStyle w:val="13"/>
          <w:rFonts w:ascii="宋体" w:hAnsi="宋体"/>
          <w:sz w:val="24"/>
        </w:rPr>
        <w:t>投标单位法定代表人或其授权委托人（签字或盖章）：</w:t>
      </w:r>
    </w:p>
    <w:p>
      <w:pPr>
        <w:spacing w:line="360" w:lineRule="auto"/>
        <w:ind w:firstLine="3360" w:firstLineChars="1400"/>
        <w:rPr>
          <w:rStyle w:val="13"/>
          <w:rFonts w:ascii="宋体" w:hAnsi="宋体"/>
          <w:sz w:val="24"/>
        </w:rPr>
      </w:pPr>
    </w:p>
    <w:p>
      <w:pPr>
        <w:spacing w:line="360" w:lineRule="auto"/>
        <w:ind w:firstLine="5040" w:firstLineChars="2100"/>
        <w:rPr>
          <w:rStyle w:val="13"/>
          <w:b/>
          <w:bCs/>
          <w:sz w:val="32"/>
          <w:szCs w:val="32"/>
        </w:rPr>
      </w:pPr>
      <w:r>
        <w:rPr>
          <w:rStyle w:val="13"/>
          <w:rFonts w:ascii="宋体" w:hAnsi="宋体"/>
          <w:sz w:val="24"/>
        </w:rPr>
        <w:t>年   月   日</w:t>
      </w:r>
    </w:p>
    <w:p>
      <w:pPr>
        <w:pStyle w:val="19"/>
        <w:jc w:val="center"/>
        <w:rPr>
          <w:rStyle w:val="13"/>
          <w:rFonts w:ascii="宋体" w:hAnsi="宋体" w:cs="宋体"/>
          <w:b/>
          <w:bCs/>
          <w:sz w:val="28"/>
        </w:rPr>
      </w:pPr>
      <w:r>
        <w:rPr>
          <w:rStyle w:val="13"/>
          <w:rFonts w:ascii="宋体" w:hAnsi="宋体" w:cs="宋体"/>
          <w:b/>
          <w:bCs/>
          <w:sz w:val="28"/>
        </w:rPr>
        <w:t>三、投标报价明细表</w:t>
      </w:r>
    </w:p>
    <w:p>
      <w:pPr>
        <w:spacing w:line="360" w:lineRule="auto"/>
        <w:rPr>
          <w:rStyle w:val="13"/>
          <w:rFonts w:ascii="宋体" w:hAnsi="宋体"/>
          <w:sz w:val="24"/>
        </w:rPr>
      </w:pPr>
      <w:r>
        <w:rPr>
          <w:rStyle w:val="13"/>
          <w:rFonts w:ascii="宋体" w:hAnsi="宋体"/>
          <w:sz w:val="24"/>
        </w:rPr>
        <w:t>投标人名称：                        招标编号：</w:t>
      </w:r>
    </w:p>
    <w:tbl>
      <w:tblPr>
        <w:tblStyle w:val="10"/>
        <w:tblW w:w="967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1"/>
        <w:gridCol w:w="1385"/>
        <w:gridCol w:w="1177"/>
        <w:gridCol w:w="1352"/>
        <w:gridCol w:w="1429"/>
        <w:gridCol w:w="1395"/>
        <w:gridCol w:w="18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360" w:lineRule="auto"/>
              <w:jc w:val="center"/>
              <w:rPr>
                <w:rStyle w:val="13"/>
                <w:rFonts w:ascii="宋体" w:hAnsi="宋体"/>
                <w:sz w:val="24"/>
              </w:rPr>
            </w:pPr>
            <w:r>
              <w:rPr>
                <w:rStyle w:val="13"/>
                <w:rFonts w:ascii="宋体" w:hAnsi="宋体"/>
                <w:sz w:val="24"/>
              </w:rPr>
              <w:t>序号</w:t>
            </w:r>
          </w:p>
        </w:tc>
        <w:tc>
          <w:tcPr>
            <w:tcW w:w="1385"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360" w:lineRule="auto"/>
              <w:jc w:val="center"/>
              <w:rPr>
                <w:rStyle w:val="13"/>
                <w:rFonts w:ascii="宋体" w:hAnsi="宋体"/>
                <w:sz w:val="24"/>
              </w:rPr>
            </w:pPr>
            <w:r>
              <w:rPr>
                <w:rStyle w:val="13"/>
                <w:rFonts w:ascii="宋体" w:hAnsi="宋体"/>
                <w:sz w:val="24"/>
              </w:rPr>
              <w:t>名称</w:t>
            </w:r>
          </w:p>
        </w:tc>
        <w:tc>
          <w:tcPr>
            <w:tcW w:w="1177"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360" w:lineRule="auto"/>
              <w:jc w:val="center"/>
              <w:rPr>
                <w:rStyle w:val="13"/>
                <w:rFonts w:ascii="宋体" w:hAnsi="宋体"/>
                <w:sz w:val="24"/>
              </w:rPr>
            </w:pPr>
            <w:r>
              <w:rPr>
                <w:rStyle w:val="13"/>
                <w:rFonts w:ascii="宋体" w:hAnsi="宋体"/>
                <w:sz w:val="24"/>
              </w:rPr>
              <w:t>规格型号</w:t>
            </w:r>
          </w:p>
        </w:tc>
        <w:tc>
          <w:tcPr>
            <w:tcW w:w="1352"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360" w:lineRule="auto"/>
              <w:jc w:val="center"/>
              <w:rPr>
                <w:rStyle w:val="13"/>
                <w:rFonts w:ascii="宋体" w:hAnsi="宋体"/>
                <w:sz w:val="24"/>
              </w:rPr>
            </w:pPr>
            <w:r>
              <w:rPr>
                <w:rStyle w:val="13"/>
                <w:rFonts w:ascii="宋体" w:hAnsi="宋体"/>
                <w:sz w:val="24"/>
              </w:rPr>
              <w:t>单价</w:t>
            </w:r>
          </w:p>
        </w:tc>
        <w:tc>
          <w:tcPr>
            <w:tcW w:w="1429"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360" w:lineRule="auto"/>
              <w:jc w:val="center"/>
              <w:rPr>
                <w:rStyle w:val="13"/>
                <w:rFonts w:ascii="宋体" w:hAnsi="宋体"/>
                <w:sz w:val="24"/>
              </w:rPr>
            </w:pPr>
            <w:r>
              <w:rPr>
                <w:rStyle w:val="13"/>
                <w:rFonts w:ascii="宋体" w:hAnsi="宋体"/>
                <w:sz w:val="24"/>
              </w:rPr>
              <w:t>数量</w:t>
            </w:r>
          </w:p>
        </w:tc>
        <w:tc>
          <w:tcPr>
            <w:tcW w:w="1395"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360" w:lineRule="auto"/>
              <w:jc w:val="center"/>
              <w:rPr>
                <w:rStyle w:val="13"/>
                <w:rFonts w:ascii="宋体" w:hAnsi="宋体"/>
                <w:sz w:val="24"/>
              </w:rPr>
            </w:pPr>
            <w:r>
              <w:rPr>
                <w:rStyle w:val="13"/>
                <w:rFonts w:ascii="宋体" w:hAnsi="宋体"/>
                <w:sz w:val="24"/>
              </w:rPr>
              <w:t>总价</w:t>
            </w:r>
          </w:p>
        </w:tc>
        <w:tc>
          <w:tcPr>
            <w:tcW w:w="1819"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360" w:lineRule="auto"/>
              <w:jc w:val="center"/>
              <w:rPr>
                <w:rStyle w:val="13"/>
                <w:rFonts w:ascii="宋体" w:hAnsi="宋体"/>
                <w:sz w:val="24"/>
              </w:rPr>
            </w:pPr>
            <w:r>
              <w:rPr>
                <w:rStyle w:val="13"/>
                <w:rFonts w:ascii="宋体" w:hAnsi="宋体"/>
                <w:sz w:val="24"/>
              </w:rPr>
              <w:t>备注</w:t>
            </w:r>
          </w:p>
          <w:p>
            <w:pPr>
              <w:tabs>
                <w:tab w:val="left" w:pos="0"/>
              </w:tabs>
              <w:spacing w:line="360" w:lineRule="auto"/>
              <w:jc w:val="center"/>
              <w:rPr>
                <w:rStyle w:val="13"/>
                <w:rFonts w:ascii="宋体" w:hAnsi="宋体"/>
                <w:sz w:val="24"/>
              </w:rPr>
            </w:pPr>
            <w:r>
              <w:rPr>
                <w:rStyle w:val="13"/>
                <w:rFonts w:ascii="宋体" w:hAnsi="宋体"/>
                <w:sz w:val="24"/>
              </w:rPr>
              <w:t>（品牌名称、产品参数、产地）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1121"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c>
          <w:tcPr>
            <w:tcW w:w="1385"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c>
          <w:tcPr>
            <w:tcW w:w="1177"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c>
          <w:tcPr>
            <w:tcW w:w="1352"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c>
          <w:tcPr>
            <w:tcW w:w="1429"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c>
          <w:tcPr>
            <w:tcW w:w="1395"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c>
          <w:tcPr>
            <w:tcW w:w="1819"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1121"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c>
          <w:tcPr>
            <w:tcW w:w="1385"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c>
          <w:tcPr>
            <w:tcW w:w="1177"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c>
          <w:tcPr>
            <w:tcW w:w="1352"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c>
          <w:tcPr>
            <w:tcW w:w="1429"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c>
          <w:tcPr>
            <w:tcW w:w="1395"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c>
          <w:tcPr>
            <w:tcW w:w="1819"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1121"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c>
          <w:tcPr>
            <w:tcW w:w="1385"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c>
          <w:tcPr>
            <w:tcW w:w="1177"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c>
          <w:tcPr>
            <w:tcW w:w="1352"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c>
          <w:tcPr>
            <w:tcW w:w="1429"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c>
          <w:tcPr>
            <w:tcW w:w="1395"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c>
          <w:tcPr>
            <w:tcW w:w="1819"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1121"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c>
          <w:tcPr>
            <w:tcW w:w="1385"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c>
          <w:tcPr>
            <w:tcW w:w="1177"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c>
          <w:tcPr>
            <w:tcW w:w="1352"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c>
          <w:tcPr>
            <w:tcW w:w="1429"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c>
          <w:tcPr>
            <w:tcW w:w="1395"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c>
          <w:tcPr>
            <w:tcW w:w="1819"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121"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c>
          <w:tcPr>
            <w:tcW w:w="1385"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c>
          <w:tcPr>
            <w:tcW w:w="1177"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c>
          <w:tcPr>
            <w:tcW w:w="1352"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c>
          <w:tcPr>
            <w:tcW w:w="1429"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c>
          <w:tcPr>
            <w:tcW w:w="1395"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c>
          <w:tcPr>
            <w:tcW w:w="1819" w:type="dxa"/>
            <w:tcBorders>
              <w:top w:val="single" w:color="000000" w:sz="4" w:space="0"/>
              <w:left w:val="single" w:color="000000" w:sz="4" w:space="0"/>
              <w:bottom w:val="single" w:color="000000" w:sz="4" w:space="0"/>
              <w:right w:val="single" w:color="000000" w:sz="4" w:space="0"/>
            </w:tcBorders>
          </w:tcPr>
          <w:p>
            <w:pPr>
              <w:spacing w:line="360" w:lineRule="auto"/>
              <w:rPr>
                <w:rStyle w:val="13"/>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line="360" w:lineRule="auto"/>
              <w:jc w:val="center"/>
              <w:rPr>
                <w:rStyle w:val="13"/>
                <w:rFonts w:ascii="宋体" w:hAnsi="宋体"/>
                <w:sz w:val="24"/>
              </w:rPr>
            </w:pPr>
            <w:r>
              <w:rPr>
                <w:rStyle w:val="13"/>
                <w:rFonts w:ascii="宋体" w:hAnsi="宋体"/>
                <w:sz w:val="24"/>
              </w:rPr>
              <w:t xml:space="preserve">总计（元） </w:t>
            </w:r>
          </w:p>
        </w:tc>
        <w:tc>
          <w:tcPr>
            <w:tcW w:w="8557" w:type="dxa"/>
            <w:gridSpan w:val="6"/>
            <w:tcBorders>
              <w:top w:val="single" w:color="000000" w:sz="4" w:space="0"/>
              <w:left w:val="single" w:color="000000" w:sz="4" w:space="0"/>
              <w:bottom w:val="single" w:color="000000" w:sz="4" w:space="0"/>
              <w:right w:val="single" w:color="000000" w:sz="4" w:space="0"/>
            </w:tcBorders>
            <w:vAlign w:val="center"/>
          </w:tcPr>
          <w:p>
            <w:pPr>
              <w:tabs>
                <w:tab w:val="left" w:pos="0"/>
              </w:tabs>
              <w:spacing w:line="360" w:lineRule="auto"/>
              <w:jc w:val="center"/>
              <w:rPr>
                <w:rStyle w:val="13"/>
                <w:rFonts w:ascii="宋体" w:hAnsi="宋体"/>
                <w:sz w:val="24"/>
              </w:rPr>
            </w:pPr>
          </w:p>
        </w:tc>
      </w:tr>
    </w:tbl>
    <w:p>
      <w:pPr>
        <w:spacing w:line="360" w:lineRule="auto"/>
        <w:ind w:firstLine="480" w:firstLineChars="200"/>
        <w:rPr>
          <w:rStyle w:val="13"/>
          <w:rFonts w:ascii="宋体" w:hAnsi="宋体"/>
          <w:sz w:val="24"/>
        </w:rPr>
      </w:pPr>
      <w:r>
        <w:rPr>
          <w:rStyle w:val="13"/>
          <w:rFonts w:ascii="宋体" w:hAnsi="宋体"/>
          <w:sz w:val="24"/>
        </w:rPr>
        <w:t>（此表可延长）</w:t>
      </w:r>
    </w:p>
    <w:p>
      <w:pPr>
        <w:spacing w:line="360" w:lineRule="auto"/>
        <w:ind w:firstLine="482" w:firstLineChars="200"/>
        <w:rPr>
          <w:rStyle w:val="13"/>
          <w:rFonts w:ascii="宋体" w:hAnsi="宋体"/>
          <w:b/>
          <w:sz w:val="24"/>
        </w:rPr>
      </w:pPr>
      <w:r>
        <w:rPr>
          <w:rStyle w:val="13"/>
          <w:rFonts w:ascii="宋体" w:hAnsi="宋体"/>
          <w:b/>
          <w:sz w:val="24"/>
        </w:rPr>
        <w:t>注：1.</w:t>
      </w:r>
      <w:r>
        <w:rPr>
          <w:rStyle w:val="13"/>
          <w:rFonts w:ascii="宋体" w:hAnsi="宋体"/>
          <w:sz w:val="24"/>
        </w:rPr>
        <w:t>如果按单价计算的结果与总价不一致，以单价为准修正总价</w:t>
      </w:r>
      <w:r>
        <w:rPr>
          <w:rStyle w:val="13"/>
          <w:rFonts w:ascii="宋体" w:hAnsi="宋体"/>
          <w:b/>
          <w:sz w:val="24"/>
        </w:rPr>
        <w:t>。</w:t>
      </w:r>
    </w:p>
    <w:p>
      <w:pPr>
        <w:spacing w:line="360" w:lineRule="auto"/>
        <w:ind w:firstLine="964" w:firstLineChars="400"/>
        <w:rPr>
          <w:rStyle w:val="13"/>
          <w:rFonts w:ascii="宋体" w:hAnsi="宋体"/>
          <w:sz w:val="24"/>
        </w:rPr>
      </w:pPr>
      <w:r>
        <w:rPr>
          <w:rStyle w:val="13"/>
          <w:rFonts w:ascii="宋体" w:hAnsi="宋体"/>
          <w:b/>
          <w:sz w:val="24"/>
        </w:rPr>
        <w:t>2.</w:t>
      </w:r>
      <w:r>
        <w:rPr>
          <w:rStyle w:val="13"/>
          <w:rFonts w:ascii="宋体" w:hAnsi="宋体"/>
          <w:sz w:val="24"/>
        </w:rPr>
        <w:t>货物详细技术性能应另页描述。</w:t>
      </w:r>
    </w:p>
    <w:p>
      <w:pPr>
        <w:spacing w:line="360" w:lineRule="auto"/>
        <w:ind w:firstLine="960" w:firstLineChars="400"/>
        <w:rPr>
          <w:rStyle w:val="13"/>
          <w:rFonts w:ascii="宋体" w:hAnsi="宋体"/>
          <w:sz w:val="24"/>
        </w:rPr>
      </w:pPr>
    </w:p>
    <w:p>
      <w:pPr>
        <w:spacing w:line="360" w:lineRule="auto"/>
        <w:ind w:firstLine="960" w:firstLineChars="400"/>
        <w:rPr>
          <w:rStyle w:val="13"/>
          <w:rFonts w:ascii="宋体" w:hAnsi="宋体"/>
          <w:sz w:val="24"/>
        </w:rPr>
      </w:pPr>
    </w:p>
    <w:p>
      <w:pPr>
        <w:spacing w:line="360" w:lineRule="auto"/>
        <w:ind w:firstLine="960" w:firstLineChars="400"/>
        <w:rPr>
          <w:rStyle w:val="13"/>
          <w:rFonts w:ascii="宋体" w:hAnsi="宋体"/>
          <w:sz w:val="24"/>
        </w:rPr>
      </w:pPr>
      <w:r>
        <w:rPr>
          <w:rStyle w:val="13"/>
          <w:rFonts w:ascii="宋体" w:hAnsi="宋体"/>
          <w:sz w:val="24"/>
        </w:rPr>
        <w:t>投标单位（公章）：</w:t>
      </w:r>
    </w:p>
    <w:p>
      <w:pPr>
        <w:spacing w:line="360" w:lineRule="auto"/>
        <w:ind w:firstLine="960" w:firstLineChars="400"/>
        <w:rPr>
          <w:rStyle w:val="13"/>
          <w:rFonts w:ascii="宋体" w:hAnsi="宋体"/>
          <w:sz w:val="24"/>
        </w:rPr>
      </w:pPr>
      <w:r>
        <w:rPr>
          <w:rStyle w:val="13"/>
          <w:rFonts w:ascii="宋体" w:hAnsi="宋体"/>
          <w:sz w:val="24"/>
        </w:rPr>
        <w:t>投标单位法定代表人或其授权委托人（签字或盖章）：</w:t>
      </w:r>
    </w:p>
    <w:p>
      <w:pPr>
        <w:spacing w:line="360" w:lineRule="auto"/>
        <w:ind w:firstLine="1200" w:firstLineChars="500"/>
        <w:rPr>
          <w:rStyle w:val="13"/>
          <w:rFonts w:ascii="宋体" w:hAnsi="宋体"/>
          <w:kern w:val="0"/>
          <w:sz w:val="28"/>
        </w:rPr>
      </w:pPr>
      <w:r>
        <w:rPr>
          <w:rStyle w:val="13"/>
          <w:rFonts w:ascii="宋体" w:hAnsi="宋体"/>
          <w:sz w:val="24"/>
        </w:rPr>
        <w:t>年   月   日</w:t>
      </w:r>
    </w:p>
    <w:p>
      <w:pPr>
        <w:rPr>
          <w:rStyle w:val="13"/>
        </w:rPr>
      </w:pPr>
    </w:p>
    <w:p>
      <w:pPr>
        <w:pStyle w:val="19"/>
        <w:jc w:val="center"/>
        <w:rPr>
          <w:rStyle w:val="13"/>
          <w:rFonts w:ascii="宋体" w:hAnsi="宋体" w:cs="宋体"/>
          <w:b/>
          <w:bCs/>
          <w:kern w:val="0"/>
          <w:sz w:val="28"/>
        </w:rPr>
      </w:pPr>
    </w:p>
    <w:p>
      <w:pPr>
        <w:rPr>
          <w:rStyle w:val="13"/>
          <w:rFonts w:ascii="宋体" w:hAnsi="宋体"/>
          <w:kern w:val="0"/>
          <w:sz w:val="28"/>
        </w:rPr>
      </w:pPr>
    </w:p>
    <w:p>
      <w:pPr>
        <w:rPr>
          <w:rStyle w:val="13"/>
        </w:rPr>
      </w:pPr>
    </w:p>
    <w:p>
      <w:pPr>
        <w:pStyle w:val="2"/>
        <w:rPr>
          <w:rStyle w:val="13"/>
        </w:rPr>
      </w:pPr>
    </w:p>
    <w:p>
      <w:pPr>
        <w:pStyle w:val="19"/>
        <w:jc w:val="center"/>
        <w:rPr>
          <w:rStyle w:val="13"/>
          <w:rFonts w:ascii="宋体" w:hAnsi="宋体" w:cs="宋体"/>
          <w:b/>
          <w:bCs/>
        </w:rPr>
      </w:pPr>
      <w:r>
        <w:rPr>
          <w:rStyle w:val="13"/>
          <w:rFonts w:ascii="宋体" w:hAnsi="宋体" w:cs="宋体"/>
          <w:b/>
          <w:bCs/>
          <w:kern w:val="0"/>
          <w:sz w:val="28"/>
        </w:rPr>
        <w:t>四、技术规格功能要求偏离表</w:t>
      </w:r>
    </w:p>
    <w:p>
      <w:pPr>
        <w:spacing w:line="360" w:lineRule="auto"/>
        <w:rPr>
          <w:rStyle w:val="13"/>
          <w:rFonts w:ascii="宋体" w:hAnsi="宋体"/>
          <w:sz w:val="24"/>
        </w:rPr>
      </w:pPr>
      <w:r>
        <w:rPr>
          <w:rStyle w:val="13"/>
          <w:rFonts w:ascii="宋体" w:hAnsi="宋体"/>
          <w:sz w:val="24"/>
        </w:rPr>
        <w:t>投标人名称：                       招标编号：</w:t>
      </w:r>
    </w:p>
    <w:tbl>
      <w:tblPr>
        <w:tblStyle w:val="10"/>
        <w:tblW w:w="912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2023"/>
        <w:gridCol w:w="1655"/>
        <w:gridCol w:w="1471"/>
        <w:gridCol w:w="1839"/>
        <w:gridCol w:w="12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sz w:val="24"/>
              </w:rPr>
            </w:pPr>
            <w:r>
              <w:rPr>
                <w:rStyle w:val="13"/>
                <w:rFonts w:ascii="宋体" w:hAnsi="宋体"/>
                <w:sz w:val="24"/>
              </w:rPr>
              <w:t>序号</w:t>
            </w:r>
          </w:p>
        </w:tc>
        <w:tc>
          <w:tcPr>
            <w:tcW w:w="2023"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sz w:val="24"/>
              </w:rPr>
            </w:pPr>
            <w:r>
              <w:rPr>
                <w:rStyle w:val="13"/>
                <w:rFonts w:ascii="宋体" w:hAnsi="宋体"/>
                <w:sz w:val="24"/>
              </w:rPr>
              <w:t>招标文件规格功能要求条目号</w:t>
            </w:r>
          </w:p>
        </w:tc>
        <w:tc>
          <w:tcPr>
            <w:tcW w:w="1655"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sz w:val="24"/>
              </w:rPr>
            </w:pPr>
            <w:r>
              <w:rPr>
                <w:rStyle w:val="13"/>
                <w:rFonts w:ascii="宋体" w:hAnsi="宋体"/>
                <w:sz w:val="24"/>
              </w:rPr>
              <w:t>招标文件</w:t>
            </w:r>
          </w:p>
          <w:p>
            <w:pPr>
              <w:jc w:val="center"/>
              <w:rPr>
                <w:rStyle w:val="13"/>
                <w:rFonts w:ascii="宋体" w:hAnsi="宋体"/>
                <w:sz w:val="24"/>
              </w:rPr>
            </w:pPr>
            <w:r>
              <w:rPr>
                <w:rStyle w:val="13"/>
                <w:rFonts w:ascii="宋体" w:hAnsi="宋体"/>
                <w:sz w:val="24"/>
              </w:rPr>
              <w:t>要求规格</w:t>
            </w: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sz w:val="24"/>
              </w:rPr>
            </w:pPr>
            <w:r>
              <w:rPr>
                <w:rStyle w:val="13"/>
                <w:rFonts w:ascii="宋体" w:hAnsi="宋体"/>
                <w:sz w:val="24"/>
              </w:rPr>
              <w:t>投标规格</w:t>
            </w:r>
          </w:p>
          <w:p>
            <w:pPr>
              <w:jc w:val="center"/>
              <w:rPr>
                <w:rStyle w:val="13"/>
                <w:rFonts w:ascii="宋体" w:hAnsi="宋体"/>
                <w:sz w:val="24"/>
              </w:rPr>
            </w:pPr>
            <w:r>
              <w:rPr>
                <w:rStyle w:val="13"/>
                <w:rFonts w:ascii="宋体" w:hAnsi="宋体"/>
                <w:sz w:val="24"/>
              </w:rPr>
              <w:t>功能</w:t>
            </w:r>
          </w:p>
        </w:tc>
        <w:tc>
          <w:tcPr>
            <w:tcW w:w="1839"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sz w:val="24"/>
              </w:rPr>
            </w:pPr>
            <w:r>
              <w:rPr>
                <w:rStyle w:val="13"/>
                <w:rFonts w:ascii="宋体" w:hAnsi="宋体"/>
                <w:sz w:val="24"/>
              </w:rPr>
              <w:t>偏离</w:t>
            </w: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sz w:val="24"/>
              </w:rPr>
            </w:pPr>
            <w:r>
              <w:rPr>
                <w:rStyle w:val="13"/>
                <w:rFonts w:ascii="宋体" w:hAnsi="宋体"/>
                <w:sz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sz w:val="24"/>
              </w:rPr>
            </w:pPr>
            <w:r>
              <w:rPr>
                <w:rStyle w:val="13"/>
                <w:rFonts w:ascii="宋体" w:hAnsi="宋体"/>
                <w:sz w:val="24"/>
              </w:rPr>
              <w:t>1</w:t>
            </w:r>
          </w:p>
        </w:tc>
        <w:tc>
          <w:tcPr>
            <w:tcW w:w="2023"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sz w:val="24"/>
              </w:rPr>
            </w:pPr>
          </w:p>
        </w:tc>
        <w:tc>
          <w:tcPr>
            <w:tcW w:w="1655"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sz w:val="24"/>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sz w:val="24"/>
              </w:rPr>
            </w:pPr>
          </w:p>
        </w:tc>
        <w:tc>
          <w:tcPr>
            <w:tcW w:w="1839"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sz w:val="24"/>
              </w:rPr>
            </w:pPr>
            <w:r>
              <w:rPr>
                <w:rStyle w:val="13"/>
                <w:rFonts w:ascii="宋体" w:hAnsi="宋体"/>
                <w:sz w:val="24"/>
              </w:rPr>
              <w:t>2</w:t>
            </w:r>
          </w:p>
        </w:tc>
        <w:tc>
          <w:tcPr>
            <w:tcW w:w="2023"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sz w:val="24"/>
              </w:rPr>
            </w:pPr>
          </w:p>
        </w:tc>
        <w:tc>
          <w:tcPr>
            <w:tcW w:w="1655"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sz w:val="24"/>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sz w:val="24"/>
              </w:rPr>
            </w:pPr>
          </w:p>
        </w:tc>
        <w:tc>
          <w:tcPr>
            <w:tcW w:w="1839"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sz w:val="24"/>
              </w:rPr>
            </w:pPr>
            <w:r>
              <w:rPr>
                <w:rStyle w:val="13"/>
                <w:rFonts w:ascii="宋体" w:hAnsi="宋体"/>
                <w:sz w:val="24"/>
              </w:rPr>
              <w:t>3</w:t>
            </w:r>
          </w:p>
        </w:tc>
        <w:tc>
          <w:tcPr>
            <w:tcW w:w="2023"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sz w:val="24"/>
              </w:rPr>
            </w:pPr>
          </w:p>
        </w:tc>
        <w:tc>
          <w:tcPr>
            <w:tcW w:w="1655"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sz w:val="24"/>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sz w:val="24"/>
              </w:rPr>
            </w:pPr>
          </w:p>
        </w:tc>
        <w:tc>
          <w:tcPr>
            <w:tcW w:w="1839"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sz w:val="24"/>
              </w:rPr>
            </w:pPr>
            <w:r>
              <w:rPr>
                <w:rStyle w:val="13"/>
                <w:rFonts w:ascii="宋体" w:hAnsi="宋体"/>
                <w:sz w:val="24"/>
              </w:rPr>
              <w:t>4</w:t>
            </w:r>
          </w:p>
        </w:tc>
        <w:tc>
          <w:tcPr>
            <w:tcW w:w="2023"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sz w:val="24"/>
              </w:rPr>
            </w:pPr>
          </w:p>
        </w:tc>
        <w:tc>
          <w:tcPr>
            <w:tcW w:w="1655"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sz w:val="24"/>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sz w:val="24"/>
              </w:rPr>
            </w:pPr>
          </w:p>
        </w:tc>
        <w:tc>
          <w:tcPr>
            <w:tcW w:w="1839"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sz w:val="24"/>
              </w:rPr>
            </w:pPr>
            <w:r>
              <w:rPr>
                <w:rStyle w:val="13"/>
                <w:rFonts w:ascii="宋体" w:hAnsi="宋体"/>
                <w:sz w:val="24"/>
              </w:rPr>
              <w:t>5</w:t>
            </w:r>
          </w:p>
        </w:tc>
        <w:tc>
          <w:tcPr>
            <w:tcW w:w="2023"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sz w:val="24"/>
              </w:rPr>
            </w:pPr>
          </w:p>
        </w:tc>
        <w:tc>
          <w:tcPr>
            <w:tcW w:w="1655"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sz w:val="24"/>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sz w:val="24"/>
              </w:rPr>
            </w:pPr>
          </w:p>
        </w:tc>
        <w:tc>
          <w:tcPr>
            <w:tcW w:w="1839"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sz w:val="24"/>
              </w:rPr>
            </w:pPr>
            <w:r>
              <w:rPr>
                <w:rStyle w:val="13"/>
                <w:rFonts w:ascii="宋体" w:hAnsi="宋体"/>
                <w:sz w:val="24"/>
              </w:rPr>
              <w:t>……</w:t>
            </w:r>
          </w:p>
        </w:tc>
        <w:tc>
          <w:tcPr>
            <w:tcW w:w="2023"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sz w:val="24"/>
              </w:rPr>
            </w:pPr>
          </w:p>
        </w:tc>
        <w:tc>
          <w:tcPr>
            <w:tcW w:w="1655"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sz w:val="24"/>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sz w:val="24"/>
              </w:rPr>
            </w:pPr>
          </w:p>
        </w:tc>
        <w:tc>
          <w:tcPr>
            <w:tcW w:w="1839"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sz w:val="24"/>
              </w:rPr>
            </w:pPr>
          </w:p>
        </w:tc>
        <w:tc>
          <w:tcPr>
            <w:tcW w:w="2023"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sz w:val="24"/>
              </w:rPr>
            </w:pPr>
          </w:p>
        </w:tc>
        <w:tc>
          <w:tcPr>
            <w:tcW w:w="1655"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sz w:val="24"/>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sz w:val="24"/>
              </w:rPr>
            </w:pPr>
          </w:p>
        </w:tc>
        <w:tc>
          <w:tcPr>
            <w:tcW w:w="1839"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sz w:val="24"/>
              </w:rPr>
            </w:pPr>
          </w:p>
        </w:tc>
      </w:tr>
    </w:tbl>
    <w:p>
      <w:pPr>
        <w:spacing w:line="360" w:lineRule="auto"/>
        <w:ind w:firstLine="480" w:firstLineChars="200"/>
        <w:rPr>
          <w:rStyle w:val="13"/>
          <w:rFonts w:ascii="宋体" w:hAnsi="宋体"/>
          <w:sz w:val="24"/>
        </w:rPr>
      </w:pPr>
    </w:p>
    <w:p>
      <w:pPr>
        <w:spacing w:line="360" w:lineRule="auto"/>
        <w:rPr>
          <w:rStyle w:val="13"/>
          <w:rFonts w:ascii="宋体" w:hAnsi="宋体"/>
          <w:sz w:val="24"/>
        </w:rPr>
      </w:pPr>
      <w:r>
        <w:rPr>
          <w:rStyle w:val="13"/>
          <w:rFonts w:ascii="宋体" w:hAnsi="宋体"/>
          <w:b/>
          <w:sz w:val="24"/>
        </w:rPr>
        <w:t>注</w:t>
      </w:r>
      <w:r>
        <w:rPr>
          <w:rStyle w:val="13"/>
          <w:rFonts w:ascii="宋体" w:hAnsi="宋体"/>
          <w:sz w:val="24"/>
        </w:rPr>
        <w:t>：1、应与招标文件要求逐条对应填写。</w:t>
      </w:r>
    </w:p>
    <w:p>
      <w:pPr>
        <w:spacing w:line="360" w:lineRule="auto"/>
        <w:ind w:firstLine="480" w:firstLineChars="200"/>
        <w:rPr>
          <w:rStyle w:val="13"/>
          <w:rFonts w:ascii="宋体" w:hAnsi="宋体"/>
          <w:sz w:val="24"/>
        </w:rPr>
      </w:pPr>
      <w:r>
        <w:rPr>
          <w:rStyle w:val="13"/>
          <w:rFonts w:ascii="宋体" w:hAnsi="宋体"/>
          <w:sz w:val="24"/>
        </w:rPr>
        <w:t>2、本表如填写不完，可以续页。</w:t>
      </w:r>
    </w:p>
    <w:p>
      <w:pPr>
        <w:spacing w:line="360" w:lineRule="auto"/>
        <w:rPr>
          <w:rStyle w:val="13"/>
          <w:rFonts w:ascii="宋体" w:hAnsi="宋体"/>
          <w:sz w:val="24"/>
        </w:rPr>
      </w:pPr>
    </w:p>
    <w:p>
      <w:pPr>
        <w:spacing w:line="360" w:lineRule="auto"/>
        <w:ind w:firstLine="3960" w:firstLineChars="1650"/>
        <w:rPr>
          <w:rStyle w:val="13"/>
          <w:rFonts w:ascii="宋体" w:hAnsi="宋体"/>
          <w:sz w:val="24"/>
        </w:rPr>
      </w:pPr>
    </w:p>
    <w:p>
      <w:pPr>
        <w:spacing w:line="360" w:lineRule="auto"/>
        <w:ind w:firstLine="3960" w:firstLineChars="1650"/>
        <w:rPr>
          <w:rStyle w:val="13"/>
          <w:rFonts w:ascii="宋体" w:hAnsi="宋体"/>
          <w:sz w:val="24"/>
        </w:rPr>
      </w:pPr>
    </w:p>
    <w:p>
      <w:pPr>
        <w:spacing w:line="360" w:lineRule="auto"/>
        <w:ind w:firstLine="480" w:firstLineChars="200"/>
        <w:rPr>
          <w:rStyle w:val="13"/>
          <w:rFonts w:ascii="宋体" w:hAnsi="宋体"/>
          <w:sz w:val="24"/>
        </w:rPr>
      </w:pPr>
      <w:r>
        <w:rPr>
          <w:rStyle w:val="13"/>
          <w:rFonts w:ascii="宋体" w:hAnsi="宋体"/>
          <w:sz w:val="24"/>
        </w:rPr>
        <w:t>投标单位（公章）：</w:t>
      </w:r>
    </w:p>
    <w:p>
      <w:pPr>
        <w:spacing w:line="360" w:lineRule="auto"/>
        <w:ind w:firstLine="4080" w:firstLineChars="1700"/>
        <w:rPr>
          <w:rStyle w:val="13"/>
          <w:rFonts w:ascii="宋体" w:hAnsi="宋体"/>
          <w:sz w:val="24"/>
        </w:rPr>
      </w:pPr>
    </w:p>
    <w:p>
      <w:pPr>
        <w:spacing w:line="440" w:lineRule="exact"/>
        <w:ind w:firstLine="480" w:firstLineChars="200"/>
        <w:rPr>
          <w:rStyle w:val="13"/>
          <w:rFonts w:ascii="宋体" w:hAnsi="宋体"/>
          <w:sz w:val="24"/>
        </w:rPr>
      </w:pPr>
      <w:r>
        <w:rPr>
          <w:rStyle w:val="13"/>
          <w:rFonts w:ascii="宋体" w:hAnsi="宋体"/>
          <w:sz w:val="24"/>
        </w:rPr>
        <w:t>投标单位法定代表人或其授权委托人（签字或盖章）：</w:t>
      </w:r>
    </w:p>
    <w:p>
      <w:pPr>
        <w:spacing w:line="360" w:lineRule="auto"/>
        <w:ind w:firstLine="4080" w:firstLineChars="1700"/>
        <w:rPr>
          <w:rStyle w:val="13"/>
          <w:rFonts w:ascii="宋体" w:hAnsi="宋体"/>
          <w:sz w:val="24"/>
        </w:rPr>
      </w:pPr>
    </w:p>
    <w:p>
      <w:pPr>
        <w:spacing w:line="360" w:lineRule="auto"/>
        <w:ind w:firstLine="480" w:firstLineChars="200"/>
        <w:rPr>
          <w:rStyle w:val="13"/>
          <w:rFonts w:ascii="宋体" w:hAnsi="宋体"/>
          <w:sz w:val="24"/>
        </w:rPr>
      </w:pPr>
    </w:p>
    <w:p>
      <w:pPr>
        <w:spacing w:line="360" w:lineRule="auto"/>
        <w:ind w:firstLine="5160" w:firstLineChars="2150"/>
        <w:rPr>
          <w:rStyle w:val="13"/>
          <w:rFonts w:ascii="宋体" w:hAnsi="宋体"/>
          <w:sz w:val="24"/>
        </w:rPr>
      </w:pPr>
      <w:r>
        <w:rPr>
          <w:rStyle w:val="13"/>
          <w:rFonts w:ascii="宋体" w:hAnsi="宋体"/>
          <w:sz w:val="24"/>
        </w:rPr>
        <w:t>年   月   日</w:t>
      </w:r>
    </w:p>
    <w:p>
      <w:pPr>
        <w:spacing w:line="360" w:lineRule="auto"/>
        <w:ind w:firstLine="5160" w:firstLineChars="2150"/>
        <w:rPr>
          <w:rStyle w:val="13"/>
          <w:rFonts w:ascii="宋体" w:hAnsi="宋体"/>
          <w:sz w:val="24"/>
        </w:rPr>
      </w:pPr>
    </w:p>
    <w:p>
      <w:pPr>
        <w:spacing w:line="360" w:lineRule="auto"/>
        <w:ind w:firstLine="6020" w:firstLineChars="2150"/>
        <w:rPr>
          <w:rStyle w:val="13"/>
          <w:rFonts w:ascii="宋体" w:hAnsi="宋体"/>
          <w:sz w:val="28"/>
          <w:szCs w:val="28"/>
        </w:rPr>
      </w:pPr>
    </w:p>
    <w:p>
      <w:pPr>
        <w:pStyle w:val="19"/>
        <w:jc w:val="center"/>
        <w:rPr>
          <w:rStyle w:val="13"/>
          <w:rFonts w:ascii="宋体" w:hAnsi="宋体" w:cs="宋体"/>
          <w:b/>
          <w:bCs/>
          <w:sz w:val="28"/>
          <w:szCs w:val="28"/>
        </w:rPr>
      </w:pPr>
      <w:r>
        <w:rPr>
          <w:rStyle w:val="13"/>
          <w:rFonts w:ascii="宋体" w:hAnsi="宋体" w:cs="宋体"/>
          <w:b/>
          <w:bCs/>
          <w:sz w:val="28"/>
        </w:rPr>
        <w:t>五、商务条款偏离表</w:t>
      </w:r>
    </w:p>
    <w:p>
      <w:pPr>
        <w:spacing w:line="360" w:lineRule="auto"/>
        <w:ind w:firstLine="105" w:firstLineChars="50"/>
        <w:rPr>
          <w:rStyle w:val="13"/>
          <w:rFonts w:ascii="宋体" w:hAnsi="宋体"/>
          <w:sz w:val="24"/>
        </w:rPr>
      </w:pPr>
      <w:r>
        <w:rPr>
          <w:rStyle w:val="13"/>
          <w:rFonts w:ascii="宋体" w:hAnsi="宋体"/>
        </w:rPr>
        <w:t xml:space="preserve">  </w:t>
      </w:r>
      <w:r>
        <w:rPr>
          <w:rStyle w:val="13"/>
          <w:rFonts w:ascii="宋体" w:hAnsi="宋体"/>
          <w:sz w:val="24"/>
        </w:rPr>
        <w:t>投标人名称：                      招标编号：</w:t>
      </w:r>
    </w:p>
    <w:tbl>
      <w:tblPr>
        <w:tblStyle w:val="10"/>
        <w:tblW w:w="86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8"/>
        <w:gridCol w:w="1705"/>
        <w:gridCol w:w="2177"/>
        <w:gridCol w:w="2215"/>
        <w:gridCol w:w="17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jc w:val="center"/>
        </w:trPr>
        <w:tc>
          <w:tcPr>
            <w:tcW w:w="828"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sz w:val="24"/>
              </w:rPr>
            </w:pPr>
            <w:r>
              <w:rPr>
                <w:rStyle w:val="13"/>
                <w:rFonts w:ascii="宋体" w:hAnsi="宋体"/>
                <w:sz w:val="24"/>
              </w:rPr>
              <w:t>序号</w:t>
            </w:r>
          </w:p>
        </w:tc>
        <w:tc>
          <w:tcPr>
            <w:tcW w:w="1705"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sz w:val="24"/>
              </w:rPr>
            </w:pPr>
            <w:r>
              <w:rPr>
                <w:rStyle w:val="13"/>
                <w:rFonts w:ascii="宋体" w:hAnsi="宋体"/>
                <w:sz w:val="24"/>
              </w:rPr>
              <w:t>招标文件</w:t>
            </w:r>
          </w:p>
          <w:p>
            <w:pPr>
              <w:jc w:val="center"/>
              <w:rPr>
                <w:rStyle w:val="13"/>
                <w:rFonts w:ascii="宋体" w:hAnsi="宋体"/>
                <w:sz w:val="24"/>
              </w:rPr>
            </w:pPr>
            <w:r>
              <w:rPr>
                <w:rStyle w:val="13"/>
                <w:rFonts w:ascii="宋体" w:hAnsi="宋体"/>
                <w:sz w:val="24"/>
              </w:rPr>
              <w:t>条目号</w:t>
            </w:r>
          </w:p>
        </w:tc>
        <w:tc>
          <w:tcPr>
            <w:tcW w:w="2177"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sz w:val="24"/>
              </w:rPr>
            </w:pPr>
            <w:r>
              <w:rPr>
                <w:rStyle w:val="13"/>
                <w:rFonts w:ascii="宋体" w:hAnsi="宋体"/>
                <w:sz w:val="24"/>
              </w:rPr>
              <w:t>招标文件的</w:t>
            </w:r>
          </w:p>
          <w:p>
            <w:pPr>
              <w:jc w:val="center"/>
              <w:rPr>
                <w:rStyle w:val="13"/>
                <w:rFonts w:ascii="宋体" w:hAnsi="宋体"/>
                <w:sz w:val="24"/>
              </w:rPr>
            </w:pPr>
            <w:r>
              <w:rPr>
                <w:rStyle w:val="13"/>
                <w:rFonts w:ascii="宋体" w:hAnsi="宋体"/>
                <w:sz w:val="24"/>
              </w:rPr>
              <w:t>商务条款</w:t>
            </w:r>
          </w:p>
        </w:tc>
        <w:tc>
          <w:tcPr>
            <w:tcW w:w="2215"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sz w:val="24"/>
              </w:rPr>
            </w:pPr>
            <w:r>
              <w:rPr>
                <w:rStyle w:val="13"/>
                <w:rFonts w:ascii="宋体" w:hAnsi="宋体"/>
                <w:sz w:val="24"/>
              </w:rPr>
              <w:t>投标文件的</w:t>
            </w:r>
          </w:p>
          <w:p>
            <w:pPr>
              <w:jc w:val="center"/>
              <w:rPr>
                <w:rStyle w:val="13"/>
                <w:rFonts w:ascii="宋体" w:hAnsi="宋体"/>
                <w:sz w:val="24"/>
              </w:rPr>
            </w:pPr>
            <w:r>
              <w:rPr>
                <w:rStyle w:val="13"/>
                <w:rFonts w:ascii="宋体" w:hAnsi="宋体"/>
                <w:sz w:val="24"/>
              </w:rPr>
              <w:t>商务条款</w:t>
            </w:r>
          </w:p>
        </w:tc>
        <w:tc>
          <w:tcPr>
            <w:tcW w:w="1706"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sz w:val="24"/>
              </w:rPr>
            </w:pPr>
            <w:r>
              <w:rPr>
                <w:rStyle w:val="13"/>
                <w:rFonts w:ascii="宋体" w:hAnsi="宋体"/>
                <w:sz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jc w:val="center"/>
        </w:trPr>
        <w:tc>
          <w:tcPr>
            <w:tcW w:w="82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sz w:val="24"/>
              </w:rPr>
            </w:pPr>
            <w:r>
              <w:rPr>
                <w:rStyle w:val="13"/>
                <w:rFonts w:ascii="宋体" w:hAnsi="宋体"/>
                <w:sz w:val="24"/>
              </w:rPr>
              <w:t>1</w:t>
            </w:r>
          </w:p>
        </w:tc>
        <w:tc>
          <w:tcPr>
            <w:tcW w:w="170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sz w:val="24"/>
              </w:rPr>
            </w:pPr>
          </w:p>
        </w:tc>
        <w:tc>
          <w:tcPr>
            <w:tcW w:w="21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sz w:val="24"/>
              </w:rPr>
            </w:pPr>
          </w:p>
        </w:tc>
        <w:tc>
          <w:tcPr>
            <w:tcW w:w="221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sz w:val="24"/>
              </w:rPr>
            </w:pPr>
          </w:p>
        </w:tc>
        <w:tc>
          <w:tcPr>
            <w:tcW w:w="170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jc w:val="center"/>
        </w:trPr>
        <w:tc>
          <w:tcPr>
            <w:tcW w:w="82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sz w:val="24"/>
              </w:rPr>
            </w:pPr>
            <w:r>
              <w:rPr>
                <w:rStyle w:val="13"/>
                <w:rFonts w:ascii="宋体" w:hAnsi="宋体"/>
                <w:sz w:val="24"/>
              </w:rPr>
              <w:t>2</w:t>
            </w:r>
          </w:p>
        </w:tc>
        <w:tc>
          <w:tcPr>
            <w:tcW w:w="170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sz w:val="24"/>
              </w:rPr>
            </w:pPr>
          </w:p>
        </w:tc>
        <w:tc>
          <w:tcPr>
            <w:tcW w:w="21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sz w:val="24"/>
              </w:rPr>
            </w:pPr>
          </w:p>
        </w:tc>
        <w:tc>
          <w:tcPr>
            <w:tcW w:w="221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sz w:val="24"/>
              </w:rPr>
            </w:pPr>
          </w:p>
        </w:tc>
        <w:tc>
          <w:tcPr>
            <w:tcW w:w="170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jc w:val="center"/>
        </w:trPr>
        <w:tc>
          <w:tcPr>
            <w:tcW w:w="82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sz w:val="24"/>
              </w:rPr>
            </w:pPr>
            <w:r>
              <w:rPr>
                <w:rStyle w:val="13"/>
                <w:rFonts w:ascii="宋体" w:hAnsi="宋体"/>
                <w:sz w:val="24"/>
              </w:rPr>
              <w:t>3</w:t>
            </w:r>
          </w:p>
        </w:tc>
        <w:tc>
          <w:tcPr>
            <w:tcW w:w="170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sz w:val="24"/>
              </w:rPr>
            </w:pPr>
          </w:p>
        </w:tc>
        <w:tc>
          <w:tcPr>
            <w:tcW w:w="21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sz w:val="24"/>
              </w:rPr>
            </w:pPr>
          </w:p>
        </w:tc>
        <w:tc>
          <w:tcPr>
            <w:tcW w:w="221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sz w:val="24"/>
              </w:rPr>
            </w:pPr>
          </w:p>
        </w:tc>
        <w:tc>
          <w:tcPr>
            <w:tcW w:w="170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jc w:val="center"/>
        </w:trPr>
        <w:tc>
          <w:tcPr>
            <w:tcW w:w="82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sz w:val="24"/>
              </w:rPr>
            </w:pPr>
            <w:r>
              <w:rPr>
                <w:rStyle w:val="13"/>
                <w:rFonts w:ascii="宋体" w:hAnsi="宋体"/>
                <w:sz w:val="24"/>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sz w:val="24"/>
              </w:rPr>
            </w:pPr>
          </w:p>
        </w:tc>
        <w:tc>
          <w:tcPr>
            <w:tcW w:w="21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sz w:val="24"/>
              </w:rPr>
            </w:pPr>
          </w:p>
        </w:tc>
        <w:tc>
          <w:tcPr>
            <w:tcW w:w="221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sz w:val="24"/>
              </w:rPr>
            </w:pPr>
          </w:p>
        </w:tc>
        <w:tc>
          <w:tcPr>
            <w:tcW w:w="170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jc w:val="center"/>
        </w:trPr>
        <w:tc>
          <w:tcPr>
            <w:tcW w:w="82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sz w:val="24"/>
              </w:rPr>
            </w:pPr>
          </w:p>
        </w:tc>
        <w:tc>
          <w:tcPr>
            <w:tcW w:w="170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sz w:val="24"/>
              </w:rPr>
            </w:pPr>
          </w:p>
        </w:tc>
        <w:tc>
          <w:tcPr>
            <w:tcW w:w="21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sz w:val="24"/>
              </w:rPr>
            </w:pPr>
          </w:p>
        </w:tc>
        <w:tc>
          <w:tcPr>
            <w:tcW w:w="221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sz w:val="24"/>
              </w:rPr>
            </w:pPr>
          </w:p>
        </w:tc>
        <w:tc>
          <w:tcPr>
            <w:tcW w:w="170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jc w:val="center"/>
        </w:trPr>
        <w:tc>
          <w:tcPr>
            <w:tcW w:w="82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sz w:val="24"/>
              </w:rPr>
            </w:pPr>
          </w:p>
        </w:tc>
        <w:tc>
          <w:tcPr>
            <w:tcW w:w="170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sz w:val="24"/>
              </w:rPr>
            </w:pPr>
          </w:p>
        </w:tc>
        <w:tc>
          <w:tcPr>
            <w:tcW w:w="21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sz w:val="24"/>
              </w:rPr>
            </w:pPr>
          </w:p>
        </w:tc>
        <w:tc>
          <w:tcPr>
            <w:tcW w:w="221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sz w:val="24"/>
              </w:rPr>
            </w:pPr>
          </w:p>
        </w:tc>
        <w:tc>
          <w:tcPr>
            <w:tcW w:w="170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jc w:val="center"/>
        </w:trPr>
        <w:tc>
          <w:tcPr>
            <w:tcW w:w="82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sz w:val="24"/>
              </w:rPr>
            </w:pPr>
          </w:p>
        </w:tc>
        <w:tc>
          <w:tcPr>
            <w:tcW w:w="170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sz w:val="24"/>
              </w:rPr>
            </w:pPr>
          </w:p>
        </w:tc>
        <w:tc>
          <w:tcPr>
            <w:tcW w:w="21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sz w:val="24"/>
              </w:rPr>
            </w:pPr>
          </w:p>
        </w:tc>
        <w:tc>
          <w:tcPr>
            <w:tcW w:w="221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sz w:val="24"/>
              </w:rPr>
            </w:pPr>
          </w:p>
        </w:tc>
        <w:tc>
          <w:tcPr>
            <w:tcW w:w="170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宋体" w:hAnsi="宋体"/>
                <w:sz w:val="24"/>
              </w:rPr>
            </w:pPr>
          </w:p>
        </w:tc>
      </w:tr>
    </w:tbl>
    <w:p>
      <w:pPr>
        <w:spacing w:line="360" w:lineRule="auto"/>
        <w:rPr>
          <w:rStyle w:val="13"/>
          <w:rFonts w:ascii="宋体" w:hAnsi="宋体"/>
          <w:sz w:val="24"/>
        </w:rPr>
      </w:pPr>
      <w:r>
        <w:rPr>
          <w:rStyle w:val="13"/>
          <w:rFonts w:ascii="宋体" w:hAnsi="宋体"/>
          <w:b/>
          <w:sz w:val="24"/>
        </w:rPr>
        <w:t>注</w:t>
      </w:r>
      <w:r>
        <w:rPr>
          <w:rStyle w:val="13"/>
          <w:rFonts w:ascii="宋体" w:hAnsi="宋体"/>
          <w:sz w:val="24"/>
        </w:rPr>
        <w:t>：1、应与招标文件要求逐条对应填写，如投标企业填写无偏离或此表空白，则视为完全响应招标文件。</w:t>
      </w:r>
    </w:p>
    <w:p>
      <w:pPr>
        <w:spacing w:line="360" w:lineRule="auto"/>
        <w:ind w:firstLine="480" w:firstLineChars="200"/>
        <w:rPr>
          <w:rStyle w:val="13"/>
          <w:rFonts w:ascii="宋体" w:hAnsi="宋体"/>
          <w:sz w:val="24"/>
        </w:rPr>
      </w:pPr>
      <w:r>
        <w:rPr>
          <w:rStyle w:val="13"/>
          <w:rFonts w:ascii="宋体" w:hAnsi="宋体"/>
          <w:sz w:val="24"/>
        </w:rPr>
        <w:t>2、本表如填写不完，可以续页。</w:t>
      </w:r>
    </w:p>
    <w:p>
      <w:pPr>
        <w:spacing w:line="360" w:lineRule="auto"/>
        <w:rPr>
          <w:rStyle w:val="13"/>
          <w:rFonts w:ascii="宋体" w:hAnsi="宋体"/>
          <w:sz w:val="24"/>
        </w:rPr>
      </w:pPr>
    </w:p>
    <w:p>
      <w:pPr>
        <w:spacing w:line="360" w:lineRule="auto"/>
        <w:ind w:firstLine="480" w:firstLineChars="200"/>
        <w:rPr>
          <w:rStyle w:val="13"/>
          <w:rFonts w:ascii="宋体" w:hAnsi="宋体"/>
          <w:sz w:val="24"/>
        </w:rPr>
      </w:pPr>
    </w:p>
    <w:p>
      <w:pPr>
        <w:spacing w:line="360" w:lineRule="auto"/>
        <w:ind w:firstLine="480" w:firstLineChars="200"/>
        <w:rPr>
          <w:rStyle w:val="13"/>
          <w:rFonts w:ascii="宋体" w:hAnsi="宋体"/>
          <w:sz w:val="24"/>
        </w:rPr>
      </w:pPr>
      <w:r>
        <w:rPr>
          <w:rStyle w:val="13"/>
          <w:rFonts w:ascii="宋体" w:hAnsi="宋体"/>
          <w:sz w:val="24"/>
        </w:rPr>
        <w:t>投标单位（公章）：</w:t>
      </w:r>
    </w:p>
    <w:p>
      <w:pPr>
        <w:spacing w:line="360" w:lineRule="auto"/>
        <w:ind w:firstLine="4080" w:firstLineChars="1700"/>
        <w:rPr>
          <w:rStyle w:val="13"/>
          <w:rFonts w:ascii="宋体" w:hAnsi="宋体"/>
          <w:sz w:val="24"/>
        </w:rPr>
      </w:pPr>
    </w:p>
    <w:p>
      <w:pPr>
        <w:spacing w:line="440" w:lineRule="exact"/>
        <w:ind w:firstLine="480" w:firstLineChars="200"/>
        <w:rPr>
          <w:rStyle w:val="13"/>
          <w:rFonts w:ascii="宋体" w:hAnsi="宋体"/>
          <w:sz w:val="24"/>
        </w:rPr>
      </w:pPr>
      <w:r>
        <w:rPr>
          <w:rStyle w:val="13"/>
          <w:rFonts w:ascii="宋体" w:hAnsi="宋体"/>
          <w:sz w:val="24"/>
        </w:rPr>
        <w:t xml:space="preserve"> 投标单位法定代表人或其授权委托人（签字或盖章）：</w:t>
      </w:r>
    </w:p>
    <w:p>
      <w:pPr>
        <w:spacing w:line="360" w:lineRule="auto"/>
        <w:rPr>
          <w:rStyle w:val="13"/>
          <w:rFonts w:ascii="宋体" w:hAnsi="宋体"/>
          <w:sz w:val="24"/>
        </w:rPr>
      </w:pPr>
    </w:p>
    <w:p>
      <w:pPr>
        <w:spacing w:line="360" w:lineRule="auto"/>
        <w:ind w:firstLine="480" w:firstLineChars="200"/>
        <w:rPr>
          <w:rStyle w:val="13"/>
          <w:rFonts w:ascii="宋体" w:hAnsi="宋体"/>
          <w:sz w:val="24"/>
        </w:rPr>
      </w:pPr>
    </w:p>
    <w:p>
      <w:pPr>
        <w:spacing w:line="360" w:lineRule="auto"/>
        <w:ind w:firstLine="5160" w:firstLineChars="2150"/>
        <w:rPr>
          <w:rStyle w:val="13"/>
          <w:rFonts w:ascii="宋体" w:hAnsi="宋体"/>
        </w:rPr>
      </w:pPr>
      <w:r>
        <w:rPr>
          <w:rStyle w:val="13"/>
          <w:rFonts w:ascii="宋体" w:hAnsi="宋体"/>
          <w:sz w:val="24"/>
        </w:rPr>
        <w:t>年   月   日</w:t>
      </w:r>
    </w:p>
    <w:p>
      <w:pPr>
        <w:jc w:val="center"/>
        <w:rPr>
          <w:rStyle w:val="13"/>
          <w:rFonts w:ascii="宋体" w:hAnsi="宋体"/>
          <w:b/>
          <w:color w:val="000000"/>
          <w:sz w:val="30"/>
          <w:szCs w:val="30"/>
        </w:rPr>
      </w:pPr>
      <w:r>
        <w:rPr>
          <w:rStyle w:val="13"/>
          <w:rFonts w:ascii="宋体" w:hAnsi="宋体"/>
          <w:b/>
          <w:color w:val="000000"/>
          <w:sz w:val="30"/>
          <w:szCs w:val="30"/>
        </w:rPr>
        <w:t>六、银行转账单复印件</w:t>
      </w:r>
    </w:p>
    <w:p>
      <w:pPr>
        <w:spacing w:line="440" w:lineRule="exact"/>
        <w:ind w:firstLine="480" w:firstLineChars="200"/>
        <w:rPr>
          <w:rStyle w:val="13"/>
          <w:rFonts w:ascii="宋体" w:hAnsi="宋体"/>
          <w:color w:val="000000"/>
          <w:sz w:val="24"/>
        </w:rPr>
      </w:pPr>
    </w:p>
    <w:p>
      <w:pPr>
        <w:spacing w:line="440" w:lineRule="exact"/>
        <w:ind w:firstLine="480" w:firstLineChars="200"/>
        <w:rPr>
          <w:rStyle w:val="13"/>
          <w:rFonts w:ascii="宋体" w:hAnsi="宋体"/>
          <w:color w:val="000000"/>
          <w:sz w:val="24"/>
        </w:rPr>
      </w:pPr>
    </w:p>
    <w:p>
      <w:pPr>
        <w:spacing w:line="440" w:lineRule="exact"/>
        <w:ind w:firstLine="420" w:firstLineChars="200"/>
        <w:rPr>
          <w:rStyle w:val="13"/>
          <w:rFonts w:ascii="宋体" w:hAnsi="宋体"/>
          <w:color w:val="000000"/>
          <w:sz w:val="24"/>
        </w:rPr>
      </w:pPr>
      <w:r>
        <w:rPr>
          <w:rStyle w:val="13"/>
        </w:rPr>
        <mc:AlternateContent>
          <mc:Choice Requires="wps">
            <w:drawing>
              <wp:anchor distT="0" distB="0" distL="114300" distR="114300" simplePos="0" relativeHeight="251656192" behindDoc="0" locked="0" layoutInCell="1" allowOverlap="1">
                <wp:simplePos x="0" y="0"/>
                <wp:positionH relativeFrom="column">
                  <wp:posOffset>537845</wp:posOffset>
                </wp:positionH>
                <wp:positionV relativeFrom="paragraph">
                  <wp:posOffset>145415</wp:posOffset>
                </wp:positionV>
                <wp:extent cx="4694555" cy="2179320"/>
                <wp:effectExtent l="5080" t="5080" r="9525" b="10160"/>
                <wp:wrapNone/>
                <wp:docPr id="2" name="文本框 8"/>
                <wp:cNvGraphicFramePr/>
                <a:graphic xmlns:a="http://schemas.openxmlformats.org/drawingml/2006/main">
                  <a:graphicData uri="http://schemas.microsoft.com/office/word/2010/wordprocessingShape">
                    <wps:wsp>
                      <wps:cNvSpPr txBox="1"/>
                      <wps:spPr>
                        <a:xfrm>
                          <a:off x="0" y="0"/>
                          <a:ext cx="4694555" cy="2179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Style w:val="13"/>
                              </w:rPr>
                            </w:pPr>
                          </w:p>
                          <w:p>
                            <w:pPr>
                              <w:rPr>
                                <w:rStyle w:val="13"/>
                              </w:rPr>
                            </w:pPr>
                          </w:p>
                          <w:p>
                            <w:pPr>
                              <w:rPr>
                                <w:rStyle w:val="13"/>
                              </w:rPr>
                            </w:pPr>
                          </w:p>
                          <w:p>
                            <w:pPr>
                              <w:rPr>
                                <w:rStyle w:val="13"/>
                                <w:sz w:val="24"/>
                              </w:rPr>
                            </w:pPr>
                          </w:p>
                          <w:p>
                            <w:pPr>
                              <w:jc w:val="center"/>
                              <w:rPr>
                                <w:rStyle w:val="13"/>
                                <w:color w:val="000000"/>
                                <w:sz w:val="28"/>
                                <w:szCs w:val="28"/>
                              </w:rPr>
                            </w:pPr>
                            <w:r>
                              <w:rPr>
                                <w:rStyle w:val="13"/>
                                <w:rFonts w:ascii="宋体" w:hAnsi="宋体"/>
                                <w:color w:val="000000"/>
                                <w:sz w:val="24"/>
                              </w:rPr>
                              <w:t>缴纳投标保证金账单复印件</w:t>
                            </w:r>
                          </w:p>
                          <w:p>
                            <w:pPr>
                              <w:rPr>
                                <w:rStyle w:val="13"/>
                              </w:rPr>
                            </w:pPr>
                          </w:p>
                        </w:txbxContent>
                      </wps:txbx>
                      <wps:bodyPr upright="1"/>
                    </wps:wsp>
                  </a:graphicData>
                </a:graphic>
              </wp:anchor>
            </w:drawing>
          </mc:Choice>
          <mc:Fallback>
            <w:pict>
              <v:shape id="文本框 8" o:spid="_x0000_s1026" o:spt="202" type="#_x0000_t202" style="position:absolute;left:0pt;margin-left:42.35pt;margin-top:11.45pt;height:171.6pt;width:369.65pt;z-index:251656192;mso-width-relative:page;mso-height-relative:page;" fillcolor="#FFFFFF" filled="t" stroked="t" coordsize="21600,21600" o:gfxdata="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aXPzfYAAAACQEAAA8AAAAAAAAAAQAgAAAAIgAAAGRycy9kb3ducmV2LnhtbFBLAQIU&#10;ABQAAAAIAIdO4kAW8Fjb8wEAAOkDAAAOAAAAAAAAAAEAIAAAACcBAABkcnMvZTJvRG9jLnhtbFBL&#10;BQYAAAAABgAGAFkBAACMBQAAAAA=&#10;">
                <v:fill on="t" focussize="0,0"/>
                <v:stroke color="#000000" joinstyle="miter"/>
                <v:imagedata o:title=""/>
                <o:lock v:ext="edit" aspectratio="f"/>
                <v:textbox>
                  <w:txbxContent>
                    <w:p>
                      <w:pPr>
                        <w:rPr>
                          <w:rStyle w:val="13"/>
                        </w:rPr>
                      </w:pPr>
                    </w:p>
                    <w:p>
                      <w:pPr>
                        <w:rPr>
                          <w:rStyle w:val="13"/>
                        </w:rPr>
                      </w:pPr>
                    </w:p>
                    <w:p>
                      <w:pPr>
                        <w:rPr>
                          <w:rStyle w:val="13"/>
                        </w:rPr>
                      </w:pPr>
                    </w:p>
                    <w:p>
                      <w:pPr>
                        <w:rPr>
                          <w:rStyle w:val="13"/>
                          <w:sz w:val="24"/>
                        </w:rPr>
                      </w:pPr>
                    </w:p>
                    <w:p>
                      <w:pPr>
                        <w:jc w:val="center"/>
                        <w:rPr>
                          <w:rStyle w:val="13"/>
                          <w:color w:val="000000"/>
                          <w:sz w:val="28"/>
                          <w:szCs w:val="28"/>
                        </w:rPr>
                      </w:pPr>
                      <w:r>
                        <w:rPr>
                          <w:rStyle w:val="13"/>
                          <w:rFonts w:ascii="宋体" w:hAnsi="宋体"/>
                          <w:color w:val="000000"/>
                          <w:sz w:val="24"/>
                        </w:rPr>
                        <w:t>缴纳投标保证金账单复印件</w:t>
                      </w:r>
                    </w:p>
                    <w:p>
                      <w:pPr>
                        <w:rPr>
                          <w:rStyle w:val="13"/>
                        </w:rPr>
                      </w:pPr>
                    </w:p>
                  </w:txbxContent>
                </v:textbox>
              </v:shape>
            </w:pict>
          </mc:Fallback>
        </mc:AlternateContent>
      </w:r>
    </w:p>
    <w:p>
      <w:pPr>
        <w:spacing w:line="440" w:lineRule="exact"/>
        <w:ind w:firstLine="480" w:firstLineChars="200"/>
        <w:rPr>
          <w:rStyle w:val="13"/>
          <w:rFonts w:ascii="宋体" w:hAnsi="宋体"/>
          <w:color w:val="000000"/>
          <w:sz w:val="24"/>
        </w:rPr>
      </w:pPr>
    </w:p>
    <w:p>
      <w:pPr>
        <w:spacing w:line="440" w:lineRule="exact"/>
        <w:ind w:firstLine="480" w:firstLineChars="200"/>
        <w:rPr>
          <w:rStyle w:val="13"/>
          <w:rFonts w:ascii="宋体" w:hAnsi="宋体"/>
          <w:color w:val="000000"/>
          <w:sz w:val="24"/>
        </w:rPr>
      </w:pPr>
    </w:p>
    <w:p>
      <w:pPr>
        <w:spacing w:line="440" w:lineRule="exact"/>
        <w:ind w:firstLine="480" w:firstLineChars="200"/>
        <w:rPr>
          <w:rStyle w:val="13"/>
          <w:rFonts w:ascii="宋体" w:hAnsi="宋体"/>
          <w:color w:val="000000"/>
          <w:sz w:val="24"/>
        </w:rPr>
      </w:pPr>
    </w:p>
    <w:p>
      <w:pPr>
        <w:spacing w:line="440" w:lineRule="exact"/>
        <w:ind w:firstLine="480" w:firstLineChars="200"/>
        <w:rPr>
          <w:rStyle w:val="13"/>
          <w:rFonts w:ascii="宋体" w:hAnsi="宋体"/>
          <w:color w:val="000000"/>
          <w:sz w:val="24"/>
        </w:rPr>
      </w:pPr>
    </w:p>
    <w:p>
      <w:pPr>
        <w:spacing w:line="440" w:lineRule="exact"/>
        <w:ind w:firstLine="480" w:firstLineChars="200"/>
        <w:rPr>
          <w:rStyle w:val="13"/>
          <w:rFonts w:ascii="宋体" w:hAnsi="宋体"/>
          <w:color w:val="000000"/>
          <w:sz w:val="24"/>
        </w:rPr>
      </w:pPr>
    </w:p>
    <w:p>
      <w:pPr>
        <w:spacing w:line="440" w:lineRule="exact"/>
        <w:ind w:firstLine="480" w:firstLineChars="200"/>
        <w:rPr>
          <w:rStyle w:val="13"/>
          <w:rFonts w:ascii="宋体" w:hAnsi="宋体"/>
          <w:color w:val="000000"/>
          <w:sz w:val="24"/>
        </w:rPr>
      </w:pPr>
    </w:p>
    <w:p>
      <w:pPr>
        <w:spacing w:line="440" w:lineRule="exact"/>
        <w:ind w:firstLine="480" w:firstLineChars="200"/>
        <w:rPr>
          <w:rStyle w:val="13"/>
          <w:rFonts w:ascii="宋体" w:hAnsi="宋体"/>
          <w:color w:val="000000"/>
          <w:sz w:val="24"/>
        </w:rPr>
      </w:pPr>
    </w:p>
    <w:p>
      <w:pPr>
        <w:spacing w:line="440" w:lineRule="exact"/>
        <w:ind w:firstLine="480" w:firstLineChars="200"/>
        <w:rPr>
          <w:rStyle w:val="13"/>
          <w:rFonts w:ascii="宋体" w:hAnsi="宋体"/>
          <w:color w:val="000000"/>
          <w:sz w:val="24"/>
        </w:rPr>
      </w:pPr>
    </w:p>
    <w:p>
      <w:pPr>
        <w:spacing w:line="440" w:lineRule="exact"/>
        <w:ind w:firstLine="480" w:firstLineChars="200"/>
        <w:rPr>
          <w:rStyle w:val="13"/>
          <w:rFonts w:ascii="宋体" w:hAnsi="宋体"/>
          <w:color w:val="000000"/>
          <w:sz w:val="24"/>
        </w:rPr>
      </w:pPr>
    </w:p>
    <w:p>
      <w:pPr>
        <w:spacing w:line="440" w:lineRule="exact"/>
        <w:ind w:firstLine="480" w:firstLineChars="200"/>
        <w:rPr>
          <w:rStyle w:val="13"/>
          <w:rFonts w:ascii="宋体" w:hAnsi="宋体"/>
          <w:color w:val="000000"/>
          <w:sz w:val="24"/>
        </w:rPr>
      </w:pPr>
    </w:p>
    <w:p>
      <w:pPr>
        <w:spacing w:line="440" w:lineRule="exact"/>
        <w:ind w:firstLine="480" w:firstLineChars="200"/>
        <w:rPr>
          <w:rStyle w:val="13"/>
          <w:rFonts w:ascii="宋体" w:hAnsi="宋体"/>
          <w:color w:val="000000"/>
          <w:sz w:val="24"/>
        </w:rPr>
      </w:pPr>
    </w:p>
    <w:p>
      <w:pPr>
        <w:snapToGrid w:val="0"/>
        <w:spacing w:line="480" w:lineRule="auto"/>
        <w:ind w:firstLine="720" w:firstLineChars="300"/>
        <w:textAlignment w:val="auto"/>
        <w:rPr>
          <w:rStyle w:val="13"/>
          <w:rFonts w:ascii="宋体" w:hAnsi="宋体"/>
          <w:color w:val="000000"/>
          <w:sz w:val="24"/>
        </w:rPr>
      </w:pPr>
      <w:r>
        <w:rPr>
          <w:rStyle w:val="13"/>
          <w:rFonts w:ascii="宋体" w:hAnsi="宋体"/>
          <w:color w:val="000000"/>
          <w:sz w:val="24"/>
        </w:rPr>
        <w:t>投标人名称：</w:t>
      </w:r>
      <w:r>
        <w:rPr>
          <w:rStyle w:val="13"/>
          <w:rFonts w:ascii="宋体" w:hAnsi="宋体"/>
          <w:color w:val="000000"/>
          <w:sz w:val="24"/>
          <w:u w:val="single"/>
        </w:rPr>
        <w:t xml:space="preserve">                                   </w:t>
      </w:r>
      <w:r>
        <w:rPr>
          <w:rStyle w:val="13"/>
          <w:rFonts w:ascii="宋体" w:hAnsi="宋体"/>
          <w:color w:val="000000"/>
          <w:sz w:val="24"/>
        </w:rPr>
        <w:t>（盖单位鲜红章）</w:t>
      </w:r>
    </w:p>
    <w:p>
      <w:pPr>
        <w:snapToGrid w:val="0"/>
        <w:spacing w:line="480" w:lineRule="auto"/>
        <w:ind w:firstLine="720" w:firstLineChars="300"/>
        <w:textAlignment w:val="auto"/>
        <w:rPr>
          <w:rStyle w:val="13"/>
          <w:rFonts w:ascii="宋体" w:hAnsi="宋体"/>
          <w:color w:val="000000"/>
          <w:sz w:val="24"/>
        </w:rPr>
      </w:pPr>
      <w:r>
        <w:rPr>
          <w:rStyle w:val="13"/>
          <w:rFonts w:ascii="宋体" w:hAnsi="宋体"/>
          <w:color w:val="000000"/>
          <w:sz w:val="24"/>
        </w:rPr>
        <w:t>法定代表人：</w:t>
      </w:r>
      <w:r>
        <w:rPr>
          <w:rStyle w:val="13"/>
          <w:rFonts w:ascii="宋体" w:hAnsi="宋体"/>
          <w:color w:val="000000"/>
          <w:sz w:val="24"/>
          <w:u w:val="single"/>
        </w:rPr>
        <w:t xml:space="preserve">                                   </w:t>
      </w:r>
      <w:r>
        <w:rPr>
          <w:rStyle w:val="13"/>
          <w:rFonts w:ascii="宋体" w:hAnsi="宋体"/>
          <w:color w:val="000000"/>
          <w:sz w:val="24"/>
        </w:rPr>
        <w:t>（签字）</w:t>
      </w:r>
    </w:p>
    <w:p>
      <w:pPr>
        <w:snapToGrid w:val="0"/>
        <w:spacing w:line="480" w:lineRule="auto"/>
        <w:ind w:firstLine="720" w:firstLineChars="300"/>
        <w:textAlignment w:val="auto"/>
        <w:rPr>
          <w:rStyle w:val="13"/>
          <w:rFonts w:ascii="宋体" w:hAnsi="宋体"/>
          <w:color w:val="000000"/>
          <w:sz w:val="24"/>
        </w:rPr>
      </w:pPr>
      <w:r>
        <w:rPr>
          <w:rStyle w:val="13"/>
          <w:rFonts w:ascii="宋体" w:hAnsi="宋体"/>
          <w:color w:val="000000"/>
          <w:sz w:val="24"/>
        </w:rPr>
        <w:t>委托代理人：</w:t>
      </w:r>
      <w:r>
        <w:rPr>
          <w:rStyle w:val="13"/>
          <w:rFonts w:ascii="宋体" w:hAnsi="宋体"/>
          <w:color w:val="000000"/>
          <w:sz w:val="24"/>
          <w:u w:val="single"/>
        </w:rPr>
        <w:t xml:space="preserve">                                   </w:t>
      </w:r>
      <w:r>
        <w:rPr>
          <w:rStyle w:val="13"/>
          <w:rFonts w:ascii="宋体" w:hAnsi="宋体"/>
          <w:color w:val="000000"/>
          <w:sz w:val="24"/>
        </w:rPr>
        <w:t>（签字）</w:t>
      </w:r>
    </w:p>
    <w:p>
      <w:pPr>
        <w:snapToGrid w:val="0"/>
        <w:spacing w:line="480" w:lineRule="auto"/>
        <w:ind w:firstLine="720" w:firstLineChars="300"/>
        <w:jc w:val="left"/>
        <w:textAlignment w:val="auto"/>
        <w:rPr>
          <w:rStyle w:val="13"/>
          <w:rFonts w:ascii="宋体" w:hAnsi="宋体"/>
          <w:color w:val="000000"/>
          <w:sz w:val="24"/>
          <w:u w:val="single"/>
        </w:rPr>
      </w:pPr>
      <w:r>
        <w:rPr>
          <w:rStyle w:val="13"/>
          <w:rFonts w:ascii="宋体" w:hAnsi="宋体"/>
          <w:color w:val="000000"/>
          <w:sz w:val="24"/>
        </w:rPr>
        <w:t>地    址：</w:t>
      </w:r>
      <w:r>
        <w:rPr>
          <w:rStyle w:val="13"/>
          <w:rFonts w:ascii="宋体" w:hAnsi="宋体"/>
          <w:color w:val="000000"/>
          <w:sz w:val="24"/>
          <w:u w:val="single"/>
        </w:rPr>
        <w:t xml:space="preserve">                    </w:t>
      </w:r>
    </w:p>
    <w:p>
      <w:pPr>
        <w:snapToGrid w:val="0"/>
        <w:spacing w:line="480" w:lineRule="auto"/>
        <w:ind w:firstLine="720" w:firstLineChars="300"/>
        <w:jc w:val="left"/>
        <w:textAlignment w:val="auto"/>
        <w:rPr>
          <w:rStyle w:val="13"/>
          <w:rFonts w:ascii="宋体" w:hAnsi="宋体"/>
          <w:color w:val="000000"/>
          <w:sz w:val="24"/>
          <w:u w:val="single"/>
        </w:rPr>
      </w:pPr>
    </w:p>
    <w:p>
      <w:pPr>
        <w:snapToGrid w:val="0"/>
        <w:spacing w:line="480" w:lineRule="auto"/>
        <w:ind w:firstLine="720" w:firstLineChars="300"/>
        <w:jc w:val="left"/>
        <w:textAlignment w:val="auto"/>
        <w:rPr>
          <w:rStyle w:val="13"/>
          <w:rFonts w:ascii="宋体" w:hAnsi="宋体"/>
          <w:color w:val="000000"/>
          <w:sz w:val="24"/>
          <w:u w:val="single"/>
        </w:rPr>
      </w:pPr>
    </w:p>
    <w:p>
      <w:pPr>
        <w:snapToGrid w:val="0"/>
        <w:spacing w:line="480" w:lineRule="auto"/>
        <w:ind w:firstLine="720" w:firstLineChars="300"/>
        <w:jc w:val="left"/>
        <w:textAlignment w:val="auto"/>
        <w:rPr>
          <w:rStyle w:val="13"/>
          <w:rFonts w:ascii="宋体" w:hAnsi="宋体"/>
          <w:color w:val="000000"/>
          <w:sz w:val="24"/>
          <w:u w:val="single"/>
        </w:rPr>
      </w:pPr>
    </w:p>
    <w:p>
      <w:pPr>
        <w:snapToGrid w:val="0"/>
        <w:spacing w:line="480" w:lineRule="auto"/>
        <w:ind w:firstLine="720" w:firstLineChars="300"/>
        <w:jc w:val="left"/>
        <w:textAlignment w:val="auto"/>
        <w:rPr>
          <w:rStyle w:val="13"/>
          <w:rFonts w:ascii="宋体" w:hAnsi="宋体"/>
          <w:color w:val="000000"/>
          <w:sz w:val="24"/>
          <w:u w:val="single"/>
        </w:rPr>
      </w:pPr>
    </w:p>
    <w:p>
      <w:pPr>
        <w:snapToGrid w:val="0"/>
        <w:spacing w:line="480" w:lineRule="auto"/>
        <w:ind w:firstLine="720" w:firstLineChars="300"/>
        <w:jc w:val="left"/>
        <w:textAlignment w:val="auto"/>
        <w:rPr>
          <w:rStyle w:val="13"/>
          <w:rFonts w:ascii="宋体" w:hAnsi="宋体"/>
          <w:color w:val="000000"/>
          <w:sz w:val="24"/>
          <w:u w:val="single"/>
        </w:rPr>
      </w:pPr>
    </w:p>
    <w:p>
      <w:pPr>
        <w:snapToGrid w:val="0"/>
        <w:spacing w:line="480" w:lineRule="auto"/>
        <w:ind w:firstLine="720" w:firstLineChars="300"/>
        <w:jc w:val="left"/>
        <w:textAlignment w:val="auto"/>
        <w:rPr>
          <w:rStyle w:val="13"/>
          <w:rFonts w:ascii="宋体" w:hAnsi="宋体"/>
          <w:color w:val="000000"/>
          <w:sz w:val="24"/>
          <w:u w:val="single"/>
        </w:rPr>
      </w:pPr>
    </w:p>
    <w:p>
      <w:pPr>
        <w:snapToGrid w:val="0"/>
        <w:spacing w:line="480" w:lineRule="auto"/>
        <w:ind w:firstLine="720" w:firstLineChars="300"/>
        <w:jc w:val="left"/>
        <w:textAlignment w:val="auto"/>
        <w:rPr>
          <w:rStyle w:val="13"/>
          <w:rFonts w:ascii="宋体" w:hAnsi="宋体"/>
          <w:color w:val="000000"/>
          <w:sz w:val="24"/>
          <w:u w:val="single"/>
        </w:rPr>
      </w:pPr>
    </w:p>
    <w:p>
      <w:pPr>
        <w:snapToGrid w:val="0"/>
        <w:spacing w:line="480" w:lineRule="auto"/>
        <w:ind w:firstLine="720" w:firstLineChars="300"/>
        <w:jc w:val="left"/>
        <w:textAlignment w:val="auto"/>
        <w:rPr>
          <w:rStyle w:val="13"/>
          <w:rFonts w:ascii="宋体" w:hAnsi="宋体"/>
          <w:color w:val="000000"/>
          <w:sz w:val="24"/>
          <w:u w:val="single"/>
        </w:rPr>
      </w:pPr>
    </w:p>
    <w:p>
      <w:pPr>
        <w:jc w:val="center"/>
        <w:rPr>
          <w:rStyle w:val="13"/>
          <w:b/>
          <w:bCs/>
          <w:sz w:val="32"/>
          <w:szCs w:val="40"/>
        </w:rPr>
      </w:pPr>
      <w:r>
        <w:rPr>
          <w:rStyle w:val="13"/>
          <w:b/>
          <w:bCs/>
          <w:sz w:val="32"/>
          <w:szCs w:val="40"/>
        </w:rPr>
        <w:t>七、《政府采购法》第二十二条规定</w:t>
      </w:r>
    </w:p>
    <w:p>
      <w:pPr>
        <w:pStyle w:val="76"/>
        <w:ind w:firstLine="480" w:firstLineChars="200"/>
        <w:jc w:val="both"/>
        <w:rPr>
          <w:rStyle w:val="13"/>
          <w:color w:val="000000"/>
        </w:rPr>
      </w:pPr>
      <w:r>
        <w:rPr>
          <w:rStyle w:val="13"/>
          <w:color w:val="000000"/>
        </w:rPr>
        <w:t>（一）具有独立承担民事责任的能力；</w:t>
      </w:r>
    </w:p>
    <w:p>
      <w:pPr>
        <w:pStyle w:val="76"/>
        <w:ind w:firstLine="480" w:firstLineChars="200"/>
        <w:jc w:val="both"/>
        <w:rPr>
          <w:rStyle w:val="13"/>
          <w:color w:val="000000"/>
        </w:rPr>
      </w:pPr>
      <w:r>
        <w:rPr>
          <w:rStyle w:val="13"/>
          <w:color w:val="000000"/>
        </w:rPr>
        <w:t>（二）具有良好的商业信誉和健全的财务会计制度；</w:t>
      </w:r>
    </w:p>
    <w:p>
      <w:pPr>
        <w:pStyle w:val="76"/>
        <w:ind w:firstLine="480" w:firstLineChars="200"/>
        <w:jc w:val="both"/>
        <w:rPr>
          <w:rStyle w:val="13"/>
          <w:color w:val="000000"/>
        </w:rPr>
      </w:pPr>
      <w:r>
        <w:rPr>
          <w:rStyle w:val="13"/>
          <w:color w:val="000000"/>
        </w:rPr>
        <w:t>（三）具有履行合同所必需的设备和专业技术能力；</w:t>
      </w:r>
    </w:p>
    <w:p>
      <w:pPr>
        <w:pStyle w:val="76"/>
        <w:ind w:firstLine="480" w:firstLineChars="200"/>
        <w:jc w:val="both"/>
        <w:rPr>
          <w:rStyle w:val="13"/>
          <w:color w:val="000000"/>
        </w:rPr>
      </w:pPr>
      <w:r>
        <w:rPr>
          <w:rStyle w:val="13"/>
          <w:color w:val="000000"/>
        </w:rPr>
        <w:t>（四）有依法缴纳税收和社会保障资金的良好记录；</w:t>
      </w:r>
    </w:p>
    <w:p>
      <w:pPr>
        <w:pStyle w:val="76"/>
        <w:ind w:firstLine="480" w:firstLineChars="200"/>
        <w:jc w:val="both"/>
        <w:rPr>
          <w:rStyle w:val="13"/>
          <w:color w:val="000000"/>
        </w:rPr>
      </w:pPr>
      <w:r>
        <w:rPr>
          <w:rStyle w:val="13"/>
          <w:color w:val="000000"/>
        </w:rPr>
        <w:t>（五）参加政府采购活动前三年内，在经营活动中没有重大违法记录；</w:t>
      </w:r>
    </w:p>
    <w:p>
      <w:pPr>
        <w:pStyle w:val="76"/>
        <w:ind w:firstLine="480" w:firstLineChars="200"/>
        <w:jc w:val="both"/>
        <w:rPr>
          <w:rStyle w:val="13"/>
          <w:color w:val="000000"/>
        </w:rPr>
      </w:pPr>
      <w:r>
        <w:rPr>
          <w:rStyle w:val="13"/>
          <w:color w:val="000000"/>
        </w:rPr>
        <w:t>（六）法律、行政法规规定的其他条件</w:t>
      </w:r>
    </w:p>
    <w:p>
      <w:pPr>
        <w:pStyle w:val="76"/>
        <w:ind w:firstLine="480" w:firstLineChars="200"/>
        <w:jc w:val="both"/>
        <w:rPr>
          <w:rStyle w:val="13"/>
          <w:color w:val="000000"/>
        </w:rPr>
      </w:pPr>
    </w:p>
    <w:p>
      <w:pPr>
        <w:pStyle w:val="76"/>
        <w:ind w:firstLine="480" w:firstLineChars="200"/>
        <w:jc w:val="both"/>
        <w:rPr>
          <w:rStyle w:val="13"/>
          <w:color w:val="000000"/>
        </w:rPr>
      </w:pPr>
    </w:p>
    <w:p>
      <w:pPr>
        <w:pStyle w:val="76"/>
        <w:ind w:firstLine="480" w:firstLineChars="200"/>
        <w:jc w:val="both"/>
        <w:rPr>
          <w:rStyle w:val="13"/>
          <w:color w:val="000000"/>
        </w:rPr>
      </w:pPr>
    </w:p>
    <w:p>
      <w:pPr>
        <w:pStyle w:val="76"/>
        <w:ind w:firstLine="480" w:firstLineChars="200"/>
        <w:jc w:val="both"/>
        <w:rPr>
          <w:rStyle w:val="13"/>
          <w:color w:val="000000"/>
        </w:rPr>
      </w:pPr>
    </w:p>
    <w:p>
      <w:pPr>
        <w:pStyle w:val="76"/>
        <w:ind w:firstLine="480" w:firstLineChars="200"/>
        <w:jc w:val="both"/>
        <w:rPr>
          <w:rStyle w:val="13"/>
          <w:color w:val="000000"/>
        </w:rPr>
      </w:pPr>
    </w:p>
    <w:p>
      <w:pPr>
        <w:pStyle w:val="76"/>
        <w:ind w:firstLine="480" w:firstLineChars="200"/>
        <w:jc w:val="both"/>
        <w:rPr>
          <w:rStyle w:val="13"/>
          <w:color w:val="000000"/>
        </w:rPr>
      </w:pPr>
    </w:p>
    <w:p>
      <w:pPr>
        <w:pStyle w:val="76"/>
        <w:ind w:firstLine="480" w:firstLineChars="200"/>
        <w:jc w:val="both"/>
        <w:rPr>
          <w:rStyle w:val="13"/>
          <w:color w:val="000000"/>
        </w:rPr>
      </w:pPr>
    </w:p>
    <w:p>
      <w:pPr>
        <w:pStyle w:val="76"/>
        <w:ind w:firstLine="480" w:firstLineChars="200"/>
        <w:jc w:val="both"/>
        <w:rPr>
          <w:rStyle w:val="13"/>
          <w:color w:val="000000"/>
        </w:rPr>
      </w:pPr>
    </w:p>
    <w:p>
      <w:pPr>
        <w:pStyle w:val="76"/>
        <w:ind w:firstLine="480" w:firstLineChars="200"/>
        <w:jc w:val="both"/>
        <w:rPr>
          <w:rStyle w:val="13"/>
          <w:color w:val="000000"/>
        </w:rPr>
      </w:pPr>
    </w:p>
    <w:p>
      <w:pPr>
        <w:pStyle w:val="76"/>
        <w:ind w:firstLine="480" w:firstLineChars="200"/>
        <w:jc w:val="both"/>
        <w:rPr>
          <w:rStyle w:val="13"/>
          <w:color w:val="000000"/>
        </w:rPr>
      </w:pPr>
    </w:p>
    <w:p>
      <w:pPr>
        <w:pStyle w:val="76"/>
        <w:ind w:firstLine="480" w:firstLineChars="200"/>
        <w:jc w:val="both"/>
        <w:rPr>
          <w:rStyle w:val="13"/>
          <w:color w:val="000000"/>
        </w:rPr>
      </w:pPr>
    </w:p>
    <w:p>
      <w:pPr>
        <w:pStyle w:val="76"/>
        <w:ind w:firstLine="480" w:firstLineChars="200"/>
        <w:jc w:val="both"/>
        <w:rPr>
          <w:rStyle w:val="13"/>
          <w:color w:val="000000"/>
        </w:rPr>
      </w:pPr>
    </w:p>
    <w:p>
      <w:pPr>
        <w:pStyle w:val="76"/>
        <w:ind w:firstLine="480" w:firstLineChars="200"/>
        <w:jc w:val="both"/>
        <w:rPr>
          <w:rStyle w:val="13"/>
          <w:color w:val="000000"/>
        </w:rPr>
      </w:pPr>
    </w:p>
    <w:p>
      <w:pPr>
        <w:pStyle w:val="76"/>
        <w:ind w:firstLine="480" w:firstLineChars="200"/>
        <w:jc w:val="both"/>
        <w:rPr>
          <w:rStyle w:val="13"/>
          <w:color w:val="000000"/>
        </w:rPr>
      </w:pPr>
    </w:p>
    <w:p>
      <w:pPr>
        <w:pStyle w:val="76"/>
        <w:ind w:firstLine="480" w:firstLineChars="200"/>
        <w:jc w:val="both"/>
        <w:rPr>
          <w:rStyle w:val="13"/>
          <w:color w:val="000000"/>
        </w:rPr>
      </w:pPr>
    </w:p>
    <w:p>
      <w:pPr>
        <w:pStyle w:val="76"/>
        <w:ind w:firstLine="480" w:firstLineChars="200"/>
        <w:jc w:val="both"/>
        <w:rPr>
          <w:rStyle w:val="13"/>
          <w:color w:val="000000"/>
        </w:rPr>
      </w:pPr>
    </w:p>
    <w:p>
      <w:pPr>
        <w:jc w:val="center"/>
        <w:rPr>
          <w:rStyle w:val="13"/>
          <w:b/>
          <w:bCs/>
          <w:sz w:val="32"/>
          <w:szCs w:val="40"/>
        </w:rPr>
      </w:pPr>
      <w:r>
        <w:rPr>
          <w:rStyle w:val="13"/>
          <w:b/>
          <w:bCs/>
          <w:sz w:val="32"/>
          <w:szCs w:val="40"/>
        </w:rPr>
        <w:t>八、投标方的资格声明</w:t>
      </w:r>
    </w:p>
    <w:p>
      <w:pPr>
        <w:spacing w:line="360" w:lineRule="auto"/>
        <w:rPr>
          <w:rStyle w:val="13"/>
          <w:rFonts w:ascii="宋体" w:hAnsi="宋体"/>
        </w:rPr>
      </w:pPr>
      <w:r>
        <w:rPr>
          <w:rStyle w:val="13"/>
          <w:rFonts w:ascii="宋体" w:hAnsi="宋体"/>
          <w:u w:val="single"/>
        </w:rPr>
        <w:t xml:space="preserve">          ：</w:t>
      </w:r>
    </w:p>
    <w:p>
      <w:pPr>
        <w:spacing w:line="360" w:lineRule="auto"/>
        <w:ind w:firstLine="480"/>
        <w:rPr>
          <w:rStyle w:val="13"/>
          <w:rFonts w:ascii="宋体" w:hAnsi="宋体"/>
        </w:rPr>
      </w:pPr>
      <w:r>
        <w:rPr>
          <w:rStyle w:val="13"/>
          <w:rFonts w:ascii="宋体" w:hAnsi="宋体"/>
        </w:rPr>
        <w:t>关于贵方</w:t>
      </w:r>
      <w:r>
        <w:rPr>
          <w:rStyle w:val="13"/>
          <w:rFonts w:ascii="宋体" w:hAnsi="宋体"/>
          <w:u w:val="single"/>
        </w:rPr>
        <w:t xml:space="preserve">        </w:t>
      </w:r>
      <w:r>
        <w:rPr>
          <w:rStyle w:val="13"/>
          <w:rFonts w:ascii="宋体" w:hAnsi="宋体"/>
        </w:rPr>
        <w:t>年</w:t>
      </w:r>
      <w:r>
        <w:rPr>
          <w:rStyle w:val="13"/>
          <w:rFonts w:ascii="宋体" w:hAnsi="宋体"/>
          <w:u w:val="single"/>
        </w:rPr>
        <w:t xml:space="preserve">      </w:t>
      </w:r>
      <w:r>
        <w:rPr>
          <w:rStyle w:val="13"/>
          <w:rFonts w:ascii="宋体" w:hAnsi="宋体"/>
        </w:rPr>
        <w:t>月</w:t>
      </w:r>
      <w:r>
        <w:rPr>
          <w:rStyle w:val="13"/>
          <w:rFonts w:ascii="宋体" w:hAnsi="宋体"/>
          <w:u w:val="single"/>
        </w:rPr>
        <w:t xml:space="preserve">      </w:t>
      </w:r>
      <w:r>
        <w:rPr>
          <w:rStyle w:val="13"/>
          <w:rFonts w:ascii="宋体" w:hAnsi="宋体"/>
        </w:rPr>
        <w:t>日发出的</w:t>
      </w:r>
      <w:r>
        <w:rPr>
          <w:rStyle w:val="13"/>
          <w:rFonts w:ascii="宋体" w:hAnsi="宋体"/>
          <w:u w:val="single"/>
        </w:rPr>
        <w:t xml:space="preserve">                  </w:t>
      </w:r>
      <w:r>
        <w:rPr>
          <w:rStyle w:val="13"/>
          <w:rFonts w:ascii="宋体" w:hAnsi="宋体"/>
        </w:rPr>
        <w:t>项目招标文件，本投标方愿意参加投标，并证明资格文件中所要求的说明是真实和准确的。</w:t>
      </w:r>
    </w:p>
    <w:p>
      <w:pPr>
        <w:spacing w:line="360" w:lineRule="auto"/>
        <w:ind w:firstLine="480"/>
        <w:rPr>
          <w:rStyle w:val="13"/>
          <w:rFonts w:ascii="宋体" w:hAnsi="宋体"/>
        </w:rPr>
      </w:pPr>
      <w:r>
        <w:rPr>
          <w:rStyle w:val="13"/>
          <w:rFonts w:ascii="宋体" w:hAnsi="宋体"/>
        </w:rPr>
        <w:t>本投标方对可能要求的进一步资格资料表示理解和同意，并同意按贵方的要求提供任何有关资料。</w:t>
      </w:r>
    </w:p>
    <w:p>
      <w:pPr>
        <w:spacing w:line="360" w:lineRule="auto"/>
        <w:ind w:firstLine="480"/>
        <w:rPr>
          <w:rStyle w:val="13"/>
          <w:rFonts w:ascii="宋体" w:hAnsi="宋体"/>
        </w:rPr>
      </w:pPr>
    </w:p>
    <w:p>
      <w:pPr>
        <w:spacing w:line="360" w:lineRule="auto"/>
        <w:ind w:firstLine="480"/>
        <w:rPr>
          <w:rStyle w:val="13"/>
          <w:rFonts w:ascii="宋体" w:hAnsi="宋体"/>
        </w:rPr>
      </w:pPr>
    </w:p>
    <w:p>
      <w:pPr>
        <w:spacing w:line="360" w:lineRule="auto"/>
        <w:ind w:firstLine="480"/>
        <w:rPr>
          <w:rStyle w:val="13"/>
          <w:rFonts w:ascii="宋体" w:hAnsi="宋体"/>
        </w:rPr>
      </w:pPr>
    </w:p>
    <w:p>
      <w:pPr>
        <w:spacing w:line="360" w:lineRule="auto"/>
        <w:ind w:firstLine="480"/>
        <w:rPr>
          <w:rStyle w:val="13"/>
          <w:rFonts w:ascii="宋体" w:hAnsi="宋体"/>
        </w:rPr>
      </w:pPr>
      <w:r>
        <w:rPr>
          <w:rStyle w:val="13"/>
          <w:rFonts w:ascii="宋体" w:hAnsi="宋体"/>
        </w:rPr>
        <w:t xml:space="preserve">投标单位名称（单位公章）：                          </w:t>
      </w:r>
    </w:p>
    <w:p>
      <w:pPr>
        <w:spacing w:line="440" w:lineRule="exact"/>
        <w:ind w:firstLine="420" w:firstLineChars="200"/>
        <w:rPr>
          <w:rStyle w:val="13"/>
          <w:rFonts w:ascii="宋体" w:hAnsi="宋体"/>
        </w:rPr>
      </w:pPr>
      <w:r>
        <w:rPr>
          <w:rStyle w:val="13"/>
          <w:rFonts w:ascii="宋体" w:hAnsi="宋体"/>
        </w:rPr>
        <w:t>法定代表人或其授权委托人（签字或盖章）：</w:t>
      </w:r>
    </w:p>
    <w:p>
      <w:pPr>
        <w:spacing w:line="360" w:lineRule="auto"/>
        <w:ind w:firstLine="480"/>
        <w:rPr>
          <w:rStyle w:val="13"/>
          <w:rFonts w:ascii="宋体" w:hAnsi="宋体"/>
        </w:rPr>
      </w:pPr>
      <w:r>
        <w:rPr>
          <w:rStyle w:val="13"/>
          <w:rFonts w:ascii="宋体" w:hAnsi="宋体"/>
        </w:rPr>
        <w:t>地址：</w:t>
      </w:r>
    </w:p>
    <w:p>
      <w:pPr>
        <w:spacing w:line="360" w:lineRule="auto"/>
        <w:ind w:firstLine="480"/>
        <w:rPr>
          <w:rStyle w:val="13"/>
          <w:rFonts w:ascii="宋体" w:hAnsi="宋体"/>
        </w:rPr>
      </w:pPr>
      <w:r>
        <w:rPr>
          <w:rStyle w:val="13"/>
          <w:rFonts w:ascii="宋体" w:hAnsi="宋体"/>
        </w:rPr>
        <w:t>传真：</w:t>
      </w:r>
    </w:p>
    <w:p>
      <w:pPr>
        <w:spacing w:line="360" w:lineRule="auto"/>
        <w:ind w:firstLine="480"/>
        <w:rPr>
          <w:rStyle w:val="13"/>
          <w:rFonts w:ascii="宋体" w:hAnsi="宋体"/>
        </w:rPr>
      </w:pPr>
      <w:r>
        <w:rPr>
          <w:rStyle w:val="13"/>
          <w:rFonts w:ascii="宋体" w:hAnsi="宋体"/>
        </w:rPr>
        <w:t>电话：</w:t>
      </w:r>
    </w:p>
    <w:p>
      <w:pPr>
        <w:pStyle w:val="19"/>
        <w:jc w:val="center"/>
        <w:rPr>
          <w:rStyle w:val="13"/>
          <w:rFonts w:ascii="Times New Roman" w:hAnsi="Times New Roman" w:eastAsia="宋体"/>
          <w:b/>
          <w:bCs/>
          <w:szCs w:val="40"/>
        </w:rPr>
      </w:pPr>
      <w:r>
        <w:rPr>
          <w:rStyle w:val="13"/>
          <w:rFonts w:ascii="宋体" w:hAnsi="宋体" w:cs="宋体"/>
          <w:b/>
          <w:bCs/>
        </w:rPr>
        <w:br w:type="page"/>
      </w:r>
      <w:r>
        <w:rPr>
          <w:rStyle w:val="13"/>
          <w:rFonts w:ascii="Times New Roman" w:hAnsi="Times New Roman" w:eastAsia="宋体"/>
          <w:b/>
          <w:bCs/>
          <w:szCs w:val="40"/>
        </w:rPr>
        <w:t>九、法人营业执照函</w:t>
      </w:r>
    </w:p>
    <w:p>
      <w:pPr>
        <w:spacing w:line="360" w:lineRule="auto"/>
        <w:rPr>
          <w:rStyle w:val="13"/>
          <w:rFonts w:ascii="宋体" w:hAnsi="宋体"/>
          <w:sz w:val="24"/>
        </w:rPr>
      </w:pPr>
      <w:r>
        <w:rPr>
          <w:rStyle w:val="13"/>
          <w:rFonts w:ascii="宋体" w:hAnsi="宋体"/>
          <w:u w:val="single"/>
        </w:rPr>
        <w:t xml:space="preserve"> </w:t>
      </w:r>
      <w:r>
        <w:rPr>
          <w:rStyle w:val="13"/>
          <w:rFonts w:ascii="宋体" w:hAnsi="宋体"/>
          <w:sz w:val="24"/>
          <w:u w:val="single"/>
        </w:rPr>
        <w:t xml:space="preserve">             </w:t>
      </w:r>
      <w:r>
        <w:rPr>
          <w:rStyle w:val="13"/>
          <w:rFonts w:ascii="宋体" w:hAnsi="宋体"/>
          <w:sz w:val="24"/>
        </w:rPr>
        <w:t>：</w:t>
      </w:r>
    </w:p>
    <w:p>
      <w:pPr>
        <w:spacing w:line="360" w:lineRule="auto"/>
        <w:ind w:firstLine="480"/>
        <w:rPr>
          <w:rStyle w:val="13"/>
          <w:rFonts w:ascii="宋体" w:hAnsi="宋体"/>
          <w:sz w:val="24"/>
        </w:rPr>
      </w:pPr>
      <w:r>
        <w:rPr>
          <w:rStyle w:val="13"/>
          <w:rFonts w:ascii="宋体" w:hAnsi="宋体"/>
          <w:sz w:val="24"/>
        </w:rPr>
        <w:t>现附上由</w:t>
      </w:r>
      <w:r>
        <w:rPr>
          <w:rStyle w:val="13"/>
          <w:rFonts w:ascii="宋体" w:hAnsi="宋体"/>
          <w:sz w:val="24"/>
          <w:u w:val="single"/>
        </w:rPr>
        <w:t xml:space="preserve">                               </w:t>
      </w:r>
      <w:r>
        <w:rPr>
          <w:rStyle w:val="13"/>
          <w:rFonts w:ascii="宋体" w:hAnsi="宋体"/>
          <w:sz w:val="24"/>
        </w:rPr>
        <w:t>（签发机关名称）签发的我方法人营业执照复印件，该执照已经年检，真实有效。</w:t>
      </w:r>
    </w:p>
    <w:p>
      <w:pPr>
        <w:spacing w:line="360" w:lineRule="auto"/>
        <w:ind w:firstLine="480"/>
        <w:rPr>
          <w:rStyle w:val="13"/>
          <w:rFonts w:ascii="宋体" w:hAnsi="宋体" w:cs="宋体"/>
          <w:b/>
          <w:bCs/>
          <w:sz w:val="24"/>
        </w:rPr>
      </w:pPr>
      <w:r>
        <w:rPr>
          <w:rStyle w:val="13"/>
          <w:rFonts w:ascii="宋体" w:hAnsi="宋体" w:cs="宋体"/>
          <w:b/>
          <w:bCs/>
          <w:sz w:val="24"/>
        </w:rPr>
        <w:t>注：在此页附上营业执照</w:t>
      </w:r>
    </w:p>
    <w:p>
      <w:pPr>
        <w:spacing w:line="360" w:lineRule="auto"/>
        <w:ind w:firstLine="480"/>
        <w:rPr>
          <w:rStyle w:val="13"/>
          <w:rFonts w:ascii="宋体" w:hAnsi="宋体"/>
          <w:sz w:val="24"/>
        </w:rPr>
      </w:pPr>
    </w:p>
    <w:p>
      <w:pPr>
        <w:spacing w:line="360" w:lineRule="auto"/>
        <w:ind w:firstLine="480"/>
        <w:rPr>
          <w:rStyle w:val="13"/>
          <w:rFonts w:ascii="宋体" w:hAnsi="宋体"/>
          <w:sz w:val="24"/>
        </w:rPr>
      </w:pPr>
    </w:p>
    <w:p>
      <w:pPr>
        <w:spacing w:line="360" w:lineRule="auto"/>
        <w:ind w:firstLine="480"/>
        <w:rPr>
          <w:rStyle w:val="13"/>
          <w:rFonts w:ascii="宋体" w:hAnsi="宋体"/>
          <w:sz w:val="24"/>
        </w:rPr>
      </w:pPr>
      <w:r>
        <w:rPr>
          <w:rStyle w:val="13"/>
          <w:rFonts w:ascii="宋体" w:hAnsi="宋体"/>
          <w:sz w:val="24"/>
        </w:rPr>
        <w:t xml:space="preserve">投标单位名称（单位公章）：                         </w:t>
      </w:r>
    </w:p>
    <w:p>
      <w:pPr>
        <w:spacing w:line="360" w:lineRule="auto"/>
        <w:ind w:firstLine="480"/>
        <w:rPr>
          <w:rStyle w:val="13"/>
          <w:rFonts w:ascii="宋体" w:hAnsi="宋体"/>
          <w:sz w:val="24"/>
        </w:rPr>
      </w:pPr>
    </w:p>
    <w:p>
      <w:pPr>
        <w:spacing w:line="440" w:lineRule="exact"/>
        <w:ind w:firstLine="480" w:firstLineChars="200"/>
        <w:rPr>
          <w:rStyle w:val="13"/>
          <w:rFonts w:ascii="宋体" w:hAnsi="宋体"/>
          <w:sz w:val="24"/>
        </w:rPr>
      </w:pPr>
      <w:r>
        <w:rPr>
          <w:rStyle w:val="13"/>
          <w:rFonts w:ascii="宋体" w:hAnsi="宋体"/>
          <w:sz w:val="24"/>
        </w:rPr>
        <w:t>法定代表人或其授权委托人（签字或盖章）：</w:t>
      </w:r>
    </w:p>
    <w:p>
      <w:pPr>
        <w:spacing w:line="360" w:lineRule="auto"/>
        <w:ind w:firstLine="480"/>
        <w:rPr>
          <w:rStyle w:val="13"/>
          <w:rFonts w:ascii="宋体" w:hAnsi="宋体"/>
          <w:sz w:val="24"/>
        </w:rPr>
      </w:pPr>
    </w:p>
    <w:p>
      <w:pPr>
        <w:spacing w:line="360" w:lineRule="auto"/>
        <w:ind w:firstLine="480"/>
        <w:rPr>
          <w:rStyle w:val="13"/>
          <w:rFonts w:ascii="宋体" w:hAnsi="宋体"/>
          <w:sz w:val="24"/>
        </w:rPr>
      </w:pPr>
    </w:p>
    <w:p>
      <w:pPr>
        <w:spacing w:line="360" w:lineRule="auto"/>
        <w:ind w:firstLine="480"/>
        <w:rPr>
          <w:rStyle w:val="13"/>
          <w:rFonts w:ascii="宋体" w:hAnsi="宋体"/>
          <w:sz w:val="24"/>
        </w:rPr>
      </w:pPr>
      <w:r>
        <w:rPr>
          <w:rStyle w:val="13"/>
          <w:rFonts w:ascii="宋体" w:hAnsi="宋体"/>
          <w:sz w:val="24"/>
        </w:rPr>
        <w:t>日期：   年   月   日</w:t>
      </w:r>
    </w:p>
    <w:p>
      <w:pPr>
        <w:pStyle w:val="19"/>
        <w:rPr>
          <w:rStyle w:val="13"/>
          <w:b/>
          <w:bCs/>
        </w:rPr>
      </w:pPr>
    </w:p>
    <w:p>
      <w:pPr>
        <w:pStyle w:val="19"/>
        <w:rPr>
          <w:rStyle w:val="13"/>
          <w:b/>
          <w:bCs/>
        </w:rPr>
      </w:pPr>
    </w:p>
    <w:p>
      <w:pPr>
        <w:rPr>
          <w:rStyle w:val="13"/>
        </w:rPr>
      </w:pPr>
    </w:p>
    <w:p>
      <w:pPr>
        <w:pStyle w:val="20"/>
        <w:rPr>
          <w:rStyle w:val="13"/>
        </w:rPr>
      </w:pPr>
    </w:p>
    <w:p/>
    <w:p>
      <w:pPr>
        <w:rPr>
          <w:rStyle w:val="13"/>
        </w:rPr>
      </w:pPr>
    </w:p>
    <w:p>
      <w:pPr>
        <w:pStyle w:val="20"/>
        <w:rPr>
          <w:rStyle w:val="13"/>
        </w:rPr>
      </w:pPr>
    </w:p>
    <w:p>
      <w:pPr>
        <w:rPr>
          <w:rStyle w:val="13"/>
        </w:rPr>
      </w:pPr>
    </w:p>
    <w:p>
      <w:pPr>
        <w:rPr>
          <w:rStyle w:val="13"/>
        </w:rPr>
      </w:pPr>
    </w:p>
    <w:p>
      <w:pPr>
        <w:pStyle w:val="19"/>
        <w:jc w:val="center"/>
        <w:rPr>
          <w:rStyle w:val="13"/>
          <w:b/>
          <w:bCs/>
          <w:sz w:val="28"/>
          <w:szCs w:val="28"/>
        </w:rPr>
      </w:pPr>
      <w:r>
        <w:rPr>
          <w:rStyle w:val="13"/>
          <w:b/>
          <w:bCs/>
          <w:sz w:val="28"/>
          <w:szCs w:val="28"/>
        </w:rPr>
        <w:t>十、法定代表人证明书</w:t>
      </w:r>
    </w:p>
    <w:p>
      <w:pPr>
        <w:spacing w:line="360" w:lineRule="auto"/>
        <w:rPr>
          <w:rStyle w:val="13"/>
          <w:rFonts w:ascii="宋体" w:hAnsi="宋体"/>
          <w:sz w:val="24"/>
          <w:u w:val="single"/>
        </w:rPr>
      </w:pPr>
      <w:r>
        <w:rPr>
          <w:rStyle w:val="13"/>
          <w:rFonts w:ascii="宋体" w:hAnsi="宋体"/>
          <w:sz w:val="24"/>
        </w:rPr>
        <w:t>单位名称：</w:t>
      </w:r>
      <w:r>
        <w:rPr>
          <w:rStyle w:val="13"/>
          <w:rFonts w:ascii="宋体" w:hAnsi="宋体"/>
          <w:sz w:val="24"/>
          <w:u w:val="single"/>
        </w:rPr>
        <w:t xml:space="preserve">                                          </w:t>
      </w:r>
    </w:p>
    <w:p>
      <w:pPr>
        <w:spacing w:line="360" w:lineRule="auto"/>
        <w:rPr>
          <w:rStyle w:val="13"/>
          <w:rFonts w:ascii="宋体" w:hAnsi="宋体"/>
          <w:sz w:val="24"/>
          <w:u w:val="single"/>
        </w:rPr>
      </w:pPr>
      <w:r>
        <w:rPr>
          <w:rStyle w:val="13"/>
          <w:rFonts w:ascii="宋体" w:hAnsi="宋体"/>
          <w:sz w:val="24"/>
        </w:rPr>
        <w:t>地址：</w:t>
      </w:r>
      <w:r>
        <w:rPr>
          <w:rStyle w:val="13"/>
          <w:rFonts w:ascii="宋体" w:hAnsi="宋体"/>
          <w:sz w:val="24"/>
          <w:u w:val="single"/>
        </w:rPr>
        <w:t xml:space="preserve">                                           </w:t>
      </w:r>
    </w:p>
    <w:p>
      <w:pPr>
        <w:spacing w:line="360" w:lineRule="auto"/>
        <w:rPr>
          <w:rStyle w:val="13"/>
          <w:rFonts w:ascii="宋体" w:hAnsi="宋体"/>
          <w:sz w:val="24"/>
          <w:u w:val="single"/>
        </w:rPr>
      </w:pPr>
      <w:r>
        <w:rPr>
          <w:rStyle w:val="13"/>
          <w:rFonts w:ascii="宋体" w:hAnsi="宋体"/>
          <w:sz w:val="24"/>
        </w:rPr>
        <w:t>姓名：</w:t>
      </w:r>
      <w:r>
        <w:rPr>
          <w:rStyle w:val="13"/>
          <w:rFonts w:ascii="宋体" w:hAnsi="宋体"/>
          <w:sz w:val="24"/>
          <w:u w:val="single"/>
        </w:rPr>
        <w:t xml:space="preserve">            </w:t>
      </w:r>
      <w:r>
        <w:rPr>
          <w:rStyle w:val="13"/>
          <w:rFonts w:ascii="宋体" w:hAnsi="宋体"/>
          <w:sz w:val="24"/>
        </w:rPr>
        <w:t xml:space="preserve">  性别：</w:t>
      </w:r>
      <w:r>
        <w:rPr>
          <w:rStyle w:val="13"/>
          <w:rFonts w:ascii="宋体" w:hAnsi="宋体"/>
          <w:sz w:val="24"/>
          <w:u w:val="single"/>
        </w:rPr>
        <w:t xml:space="preserve">         </w:t>
      </w:r>
      <w:r>
        <w:rPr>
          <w:rStyle w:val="13"/>
          <w:rFonts w:ascii="宋体" w:hAnsi="宋体"/>
          <w:sz w:val="24"/>
        </w:rPr>
        <w:t xml:space="preserve"> 年龄</w:t>
      </w:r>
      <w:r>
        <w:rPr>
          <w:rStyle w:val="13"/>
          <w:rFonts w:ascii="宋体" w:hAnsi="宋体"/>
          <w:sz w:val="24"/>
          <w:u w:val="single"/>
        </w:rPr>
        <w:t xml:space="preserve">       </w:t>
      </w:r>
      <w:r>
        <w:rPr>
          <w:rStyle w:val="13"/>
          <w:rFonts w:ascii="宋体" w:hAnsi="宋体"/>
          <w:sz w:val="24"/>
        </w:rPr>
        <w:t xml:space="preserve"> 职务：</w:t>
      </w:r>
      <w:r>
        <w:rPr>
          <w:rStyle w:val="13"/>
          <w:rFonts w:ascii="宋体" w:hAnsi="宋体"/>
          <w:sz w:val="24"/>
          <w:u w:val="single"/>
        </w:rPr>
        <w:t xml:space="preserve">        </w:t>
      </w:r>
    </w:p>
    <w:p>
      <w:pPr>
        <w:spacing w:line="360" w:lineRule="auto"/>
        <w:rPr>
          <w:rStyle w:val="13"/>
          <w:rFonts w:ascii="宋体" w:hAnsi="宋体"/>
          <w:sz w:val="24"/>
        </w:rPr>
      </w:pPr>
      <w:r>
        <w:rPr>
          <w:rStyle w:val="13"/>
          <w:rFonts w:ascii="宋体" w:hAnsi="宋体"/>
          <w:sz w:val="24"/>
        </w:rPr>
        <w:t>系</w:t>
      </w:r>
      <w:r>
        <w:rPr>
          <w:rStyle w:val="13"/>
          <w:rFonts w:ascii="宋体" w:hAnsi="宋体"/>
          <w:sz w:val="24"/>
          <w:u w:val="single"/>
        </w:rPr>
        <w:t xml:space="preserve">                           </w:t>
      </w:r>
      <w:r>
        <w:rPr>
          <w:rStyle w:val="13"/>
          <w:rFonts w:ascii="宋体" w:hAnsi="宋体"/>
          <w:sz w:val="24"/>
        </w:rPr>
        <w:t>法定代表人。</w:t>
      </w:r>
    </w:p>
    <w:p>
      <w:pPr>
        <w:spacing w:line="360" w:lineRule="auto"/>
        <w:rPr>
          <w:rStyle w:val="13"/>
          <w:rFonts w:ascii="宋体" w:hAnsi="宋体"/>
          <w:sz w:val="24"/>
        </w:rPr>
      </w:pPr>
      <w:r>
        <w:rPr>
          <w:rStyle w:val="13"/>
        </w:rPr>
        <mc:AlternateContent>
          <mc:Choice Requires="wps">
            <w:drawing>
              <wp:anchor distT="0" distB="0" distL="114300" distR="114300" simplePos="0" relativeHeight="251657216" behindDoc="0" locked="0" layoutInCell="1" allowOverlap="1">
                <wp:simplePos x="0" y="0"/>
                <wp:positionH relativeFrom="column">
                  <wp:posOffset>2645410</wp:posOffset>
                </wp:positionH>
                <wp:positionV relativeFrom="paragraph">
                  <wp:posOffset>61595</wp:posOffset>
                </wp:positionV>
                <wp:extent cx="2619375" cy="1704975"/>
                <wp:effectExtent l="7620" t="0" r="9525" b="9525"/>
                <wp:wrapNone/>
                <wp:docPr id="3" name="文本框 7"/>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5400000" scaled="1"/>
                          <a:tileRect/>
                        </a:gradFill>
                        <a:ln w="15875" cap="flat" cmpd="sng">
                          <a:solidFill>
                            <a:srgbClr val="000000"/>
                          </a:solidFill>
                          <a:prstDash val="solid"/>
                          <a:miter/>
                          <a:headEnd type="none" w="med" len="med"/>
                          <a:tailEnd type="none" w="med" len="med"/>
                        </a:ln>
                      </wps:spPr>
                      <wps:txbx>
                        <w:txbxContent>
                          <w:p>
                            <w:pPr>
                              <w:jc w:val="center"/>
                              <w:rPr>
                                <w:rStyle w:val="13"/>
                              </w:rPr>
                            </w:pPr>
                          </w:p>
                          <w:p>
                            <w:pPr>
                              <w:jc w:val="center"/>
                              <w:rPr>
                                <w:rStyle w:val="13"/>
                              </w:rPr>
                            </w:pPr>
                          </w:p>
                          <w:p>
                            <w:pPr>
                              <w:jc w:val="center"/>
                              <w:rPr>
                                <w:rStyle w:val="13"/>
                              </w:rPr>
                            </w:pPr>
                            <w:r>
                              <w:rPr>
                                <w:rStyle w:val="13"/>
                              </w:rPr>
                              <w:t>法定代表人身份证反面</w:t>
                            </w:r>
                          </w:p>
                          <w:p>
                            <w:pPr>
                              <w:jc w:val="center"/>
                              <w:rPr>
                                <w:rStyle w:val="13"/>
                              </w:rPr>
                            </w:pPr>
                          </w:p>
                          <w:p>
                            <w:pPr>
                              <w:rPr>
                                <w:rStyle w:val="13"/>
                              </w:rPr>
                            </w:pPr>
                          </w:p>
                        </w:txbxContent>
                      </wps:txbx>
                      <wps:bodyPr upright="1"/>
                    </wps:wsp>
                  </a:graphicData>
                </a:graphic>
              </wp:anchor>
            </w:drawing>
          </mc:Choice>
          <mc:Fallback>
            <w:pict>
              <v:shape id="文本框 7" o:spid="_x0000_s1026" o:spt="202" type="#_x0000_t202" style="position:absolute;left:0pt;margin-left:208.3pt;margin-top:4.85pt;height:134.25pt;width:206.25pt;z-index:251657216;mso-width-relative:page;mso-height-relative:page;" fillcolor="#FFFFFF" filled="t" stroked="t" coordsize="21600,21600" o:gfxdata="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Spkqm2QAAAAkBAAAPAAAAAAAAAAEAIAAAACIAAABkcnMvZG93bnJl&#10;di54bWxQSwECFAAUAAAACACHTuJAz3XjgjUCAACCBAAADgAAAAAAAAABACAAAAAoAQAAZHJzL2Uy&#10;b0RvYy54bWxQSwUGAAAAAAYABgBZAQAAzwUAAAAA&#10;">
                <v:fill type="gradient" on="t" color2="#FFFFFF" focus="100%" focussize="0,0"/>
                <v:stroke weight="1.25pt" color="#000000" joinstyle="miter"/>
                <v:imagedata o:title=""/>
                <o:lock v:ext="edit" aspectratio="f"/>
                <v:textbox>
                  <w:txbxContent>
                    <w:p>
                      <w:pPr>
                        <w:jc w:val="center"/>
                        <w:rPr>
                          <w:rStyle w:val="13"/>
                        </w:rPr>
                      </w:pPr>
                    </w:p>
                    <w:p>
                      <w:pPr>
                        <w:jc w:val="center"/>
                        <w:rPr>
                          <w:rStyle w:val="13"/>
                        </w:rPr>
                      </w:pPr>
                    </w:p>
                    <w:p>
                      <w:pPr>
                        <w:jc w:val="center"/>
                        <w:rPr>
                          <w:rStyle w:val="13"/>
                        </w:rPr>
                      </w:pPr>
                      <w:r>
                        <w:rPr>
                          <w:rStyle w:val="13"/>
                        </w:rPr>
                        <w:t>法定代表人身份证反面</w:t>
                      </w:r>
                    </w:p>
                    <w:p>
                      <w:pPr>
                        <w:jc w:val="center"/>
                        <w:rPr>
                          <w:rStyle w:val="13"/>
                        </w:rPr>
                      </w:pPr>
                    </w:p>
                    <w:p>
                      <w:pPr>
                        <w:rPr>
                          <w:rStyle w:val="13"/>
                        </w:rPr>
                      </w:pPr>
                    </w:p>
                  </w:txbxContent>
                </v:textbox>
              </v:shape>
            </w:pict>
          </mc:Fallback>
        </mc:AlternateContent>
      </w:r>
      <w:r>
        <w:rPr>
          <w:rStyle w:val="13"/>
        </w:rPr>
        <mc:AlternateContent>
          <mc:Choice Requires="wps">
            <w:drawing>
              <wp:anchor distT="0" distB="0" distL="114300" distR="114300" simplePos="0" relativeHeight="251658240" behindDoc="0" locked="0" layoutInCell="1" allowOverlap="1">
                <wp:simplePos x="0" y="0"/>
                <wp:positionH relativeFrom="column">
                  <wp:posOffset>-74930</wp:posOffset>
                </wp:positionH>
                <wp:positionV relativeFrom="paragraph">
                  <wp:posOffset>85090</wp:posOffset>
                </wp:positionV>
                <wp:extent cx="2619375" cy="1704975"/>
                <wp:effectExtent l="7620" t="0" r="9525" b="9525"/>
                <wp:wrapNone/>
                <wp:docPr id="4" name="文本框 6"/>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5400000" scaled="1"/>
                          <a:tileRect/>
                        </a:gradFill>
                        <a:ln w="15875" cap="flat" cmpd="sng">
                          <a:solidFill>
                            <a:srgbClr val="000000"/>
                          </a:solidFill>
                          <a:prstDash val="solid"/>
                          <a:miter/>
                          <a:headEnd type="none" w="med" len="med"/>
                          <a:tailEnd type="none" w="med" len="med"/>
                        </a:ln>
                      </wps:spPr>
                      <wps:txbx>
                        <w:txbxContent>
                          <w:p>
                            <w:pPr>
                              <w:jc w:val="center"/>
                              <w:rPr>
                                <w:rStyle w:val="13"/>
                              </w:rPr>
                            </w:pPr>
                          </w:p>
                          <w:p>
                            <w:pPr>
                              <w:jc w:val="center"/>
                              <w:rPr>
                                <w:rStyle w:val="13"/>
                              </w:rPr>
                            </w:pPr>
                          </w:p>
                          <w:p>
                            <w:pPr>
                              <w:jc w:val="center"/>
                              <w:rPr>
                                <w:rStyle w:val="13"/>
                              </w:rPr>
                            </w:pPr>
                            <w:r>
                              <w:rPr>
                                <w:rStyle w:val="13"/>
                              </w:rPr>
                              <w:t>法定代表人身份证正面</w:t>
                            </w:r>
                          </w:p>
                          <w:p>
                            <w:pPr>
                              <w:rPr>
                                <w:rStyle w:val="13"/>
                              </w:rPr>
                            </w:pPr>
                          </w:p>
                        </w:txbxContent>
                      </wps:txbx>
                      <wps:bodyPr upright="1"/>
                    </wps:wsp>
                  </a:graphicData>
                </a:graphic>
              </wp:anchor>
            </w:drawing>
          </mc:Choice>
          <mc:Fallback>
            <w:pict>
              <v:shape id="文本框 6" o:spid="_x0000_s1026" o:spt="202" type="#_x0000_t202" style="position:absolute;left:0pt;margin-left:-5.9pt;margin-top:6.7pt;height:134.25pt;width:206.25pt;z-index:251658240;mso-width-relative:page;mso-height-relative:page;" fillcolor="#FFFFFF" filled="t" stroked="t" coordsize="21600,21600" o:gfxdata="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GkbzSTZAAAACgEAAA8AAAAAAAAAAQAgAAAAIgAAAGRycy9kb3ducmV2&#10;LnhtbFBLAQIUABQAAAAIAIdO4kCXw6UWNAIAAIIEAAAOAAAAAAAAAAEAIAAAACgBAABkcnMvZTJv&#10;RG9jLnhtbFBLBQYAAAAABgAGAFkBAADOBQAAAAA=&#10;">
                <v:fill type="gradient" on="t" color2="#FFFFFF" focus="100%" focussize="0,0"/>
                <v:stroke weight="1.25pt" color="#000000" joinstyle="miter"/>
                <v:imagedata o:title=""/>
                <o:lock v:ext="edit" aspectratio="f"/>
                <v:textbox>
                  <w:txbxContent>
                    <w:p>
                      <w:pPr>
                        <w:jc w:val="center"/>
                        <w:rPr>
                          <w:rStyle w:val="13"/>
                        </w:rPr>
                      </w:pPr>
                    </w:p>
                    <w:p>
                      <w:pPr>
                        <w:jc w:val="center"/>
                        <w:rPr>
                          <w:rStyle w:val="13"/>
                        </w:rPr>
                      </w:pPr>
                    </w:p>
                    <w:p>
                      <w:pPr>
                        <w:jc w:val="center"/>
                        <w:rPr>
                          <w:rStyle w:val="13"/>
                        </w:rPr>
                      </w:pPr>
                      <w:r>
                        <w:rPr>
                          <w:rStyle w:val="13"/>
                        </w:rPr>
                        <w:t>法定代表人身份证正面</w:t>
                      </w:r>
                    </w:p>
                    <w:p>
                      <w:pPr>
                        <w:rPr>
                          <w:rStyle w:val="13"/>
                        </w:rPr>
                      </w:pPr>
                    </w:p>
                  </w:txbxContent>
                </v:textbox>
              </v:shape>
            </w:pict>
          </mc:Fallback>
        </mc:AlternateContent>
      </w:r>
    </w:p>
    <w:p>
      <w:pPr>
        <w:spacing w:line="360" w:lineRule="auto"/>
        <w:rPr>
          <w:rStyle w:val="13"/>
          <w:rFonts w:ascii="宋体" w:hAnsi="宋体"/>
          <w:sz w:val="24"/>
        </w:rPr>
      </w:pPr>
    </w:p>
    <w:p>
      <w:pPr>
        <w:spacing w:line="360" w:lineRule="auto"/>
        <w:rPr>
          <w:rStyle w:val="13"/>
          <w:rFonts w:ascii="宋体" w:hAnsi="宋体"/>
          <w:sz w:val="24"/>
        </w:rPr>
      </w:pPr>
    </w:p>
    <w:p>
      <w:pPr>
        <w:spacing w:line="360" w:lineRule="auto"/>
        <w:rPr>
          <w:rStyle w:val="13"/>
          <w:rFonts w:ascii="宋体" w:hAnsi="宋体"/>
          <w:sz w:val="24"/>
        </w:rPr>
      </w:pPr>
    </w:p>
    <w:p>
      <w:pPr>
        <w:spacing w:line="360" w:lineRule="auto"/>
        <w:rPr>
          <w:rStyle w:val="13"/>
          <w:rFonts w:ascii="宋体" w:hAnsi="宋体"/>
          <w:sz w:val="24"/>
        </w:rPr>
      </w:pPr>
    </w:p>
    <w:p>
      <w:pPr>
        <w:spacing w:line="360" w:lineRule="auto"/>
        <w:rPr>
          <w:rStyle w:val="13"/>
          <w:rFonts w:ascii="宋体" w:hAnsi="宋体"/>
          <w:sz w:val="24"/>
        </w:rPr>
      </w:pPr>
    </w:p>
    <w:p>
      <w:pPr>
        <w:spacing w:line="360" w:lineRule="auto"/>
        <w:rPr>
          <w:rStyle w:val="13"/>
          <w:rFonts w:ascii="宋体" w:hAnsi="宋体"/>
          <w:sz w:val="24"/>
        </w:rPr>
      </w:pPr>
    </w:p>
    <w:p>
      <w:pPr>
        <w:spacing w:line="360" w:lineRule="auto"/>
        <w:rPr>
          <w:rStyle w:val="13"/>
          <w:rFonts w:ascii="宋体" w:hAnsi="宋体"/>
          <w:sz w:val="24"/>
        </w:rPr>
      </w:pPr>
    </w:p>
    <w:p>
      <w:pPr>
        <w:spacing w:line="360" w:lineRule="auto"/>
        <w:rPr>
          <w:rStyle w:val="13"/>
          <w:rFonts w:ascii="宋体" w:hAnsi="宋体"/>
          <w:sz w:val="24"/>
        </w:rPr>
      </w:pPr>
      <w:r>
        <w:rPr>
          <w:rStyle w:val="13"/>
          <w:rFonts w:ascii="宋体" w:hAnsi="宋体"/>
          <w:sz w:val="24"/>
        </w:rPr>
        <w:t>投标单位名称：</w:t>
      </w:r>
      <w:r>
        <w:rPr>
          <w:rStyle w:val="13"/>
          <w:rFonts w:ascii="宋体" w:hAnsi="宋体"/>
          <w:sz w:val="24"/>
          <w:u w:val="single"/>
        </w:rPr>
        <w:t xml:space="preserve">                                     </w:t>
      </w:r>
      <w:r>
        <w:rPr>
          <w:rStyle w:val="13"/>
          <w:rFonts w:ascii="宋体" w:hAnsi="宋体"/>
          <w:sz w:val="24"/>
        </w:rPr>
        <w:t>（单位公章）</w:t>
      </w:r>
    </w:p>
    <w:p>
      <w:pPr>
        <w:spacing w:line="360" w:lineRule="auto"/>
        <w:rPr>
          <w:rStyle w:val="13"/>
          <w:rFonts w:ascii="宋体" w:hAnsi="宋体"/>
          <w:sz w:val="24"/>
        </w:rPr>
      </w:pPr>
    </w:p>
    <w:p>
      <w:pPr>
        <w:spacing w:line="360" w:lineRule="auto"/>
        <w:rPr>
          <w:rStyle w:val="13"/>
          <w:rFonts w:ascii="宋体" w:hAnsi="宋体"/>
          <w:sz w:val="24"/>
        </w:rPr>
      </w:pPr>
    </w:p>
    <w:p>
      <w:pPr>
        <w:spacing w:line="360" w:lineRule="auto"/>
        <w:rPr>
          <w:rStyle w:val="13"/>
          <w:rFonts w:ascii="宋体" w:hAnsi="宋体"/>
          <w:sz w:val="24"/>
        </w:rPr>
      </w:pPr>
    </w:p>
    <w:p>
      <w:pPr>
        <w:spacing w:line="360" w:lineRule="auto"/>
        <w:rPr>
          <w:rStyle w:val="13"/>
          <w:rFonts w:ascii="宋体" w:hAnsi="宋体"/>
          <w:sz w:val="24"/>
        </w:rPr>
      </w:pPr>
      <w:r>
        <w:rPr>
          <w:rStyle w:val="13"/>
          <w:rFonts w:ascii="宋体" w:hAnsi="宋体"/>
          <w:sz w:val="24"/>
        </w:rPr>
        <w:t xml:space="preserve">                                      日期：  年   月   日</w:t>
      </w:r>
    </w:p>
    <w:p>
      <w:pPr>
        <w:spacing w:line="400" w:lineRule="exact"/>
        <w:rPr>
          <w:rStyle w:val="13"/>
          <w:rFonts w:ascii="宋体" w:hAnsi="宋体"/>
          <w:sz w:val="24"/>
        </w:rPr>
      </w:pPr>
    </w:p>
    <w:p>
      <w:pPr>
        <w:spacing w:line="400" w:lineRule="exact"/>
        <w:rPr>
          <w:rStyle w:val="13"/>
          <w:rFonts w:ascii="宋体" w:hAnsi="宋体"/>
          <w:sz w:val="24"/>
        </w:rPr>
      </w:pPr>
    </w:p>
    <w:p>
      <w:pPr>
        <w:spacing w:line="400" w:lineRule="exact"/>
        <w:rPr>
          <w:rStyle w:val="13"/>
          <w:rFonts w:ascii="宋体" w:hAnsi="宋体"/>
          <w:sz w:val="24"/>
        </w:rPr>
      </w:pPr>
    </w:p>
    <w:p>
      <w:pPr>
        <w:spacing w:line="360" w:lineRule="auto"/>
        <w:rPr>
          <w:rStyle w:val="13"/>
          <w:rFonts w:ascii="宋体" w:hAnsi="宋体"/>
          <w:sz w:val="24"/>
        </w:rPr>
      </w:pPr>
    </w:p>
    <w:p>
      <w:pPr>
        <w:pStyle w:val="19"/>
        <w:rPr>
          <w:rStyle w:val="13"/>
          <w:rFonts w:ascii="宋体" w:hAnsi="宋体" w:cs="宋体"/>
          <w:b/>
          <w:bCs/>
          <w:sz w:val="24"/>
          <w:szCs w:val="24"/>
        </w:rPr>
      </w:pPr>
    </w:p>
    <w:p>
      <w:pPr>
        <w:rPr>
          <w:rStyle w:val="13"/>
          <w:rFonts w:ascii="宋体" w:hAnsi="宋体"/>
          <w:sz w:val="24"/>
        </w:rPr>
      </w:pPr>
    </w:p>
    <w:p>
      <w:pPr>
        <w:pStyle w:val="19"/>
        <w:rPr>
          <w:rStyle w:val="13"/>
          <w:rFonts w:ascii="宋体" w:hAnsi="宋体" w:cs="宋体"/>
          <w:b/>
          <w:bCs/>
          <w:sz w:val="28"/>
          <w:szCs w:val="28"/>
        </w:rPr>
      </w:pPr>
    </w:p>
    <w:p>
      <w:pPr>
        <w:rPr>
          <w:rStyle w:val="13"/>
        </w:rPr>
      </w:pPr>
    </w:p>
    <w:p>
      <w:pPr>
        <w:pStyle w:val="19"/>
        <w:jc w:val="center"/>
        <w:rPr>
          <w:rStyle w:val="13"/>
          <w:rFonts w:ascii="宋体" w:hAnsi="宋体" w:cs="宋体"/>
          <w:b/>
          <w:bCs/>
          <w:sz w:val="28"/>
          <w:szCs w:val="28"/>
        </w:rPr>
      </w:pPr>
      <w:r>
        <w:rPr>
          <w:rStyle w:val="13"/>
          <w:rFonts w:ascii="宋体" w:hAnsi="宋体" w:cs="宋体"/>
          <w:b/>
          <w:bCs/>
          <w:sz w:val="28"/>
          <w:szCs w:val="28"/>
        </w:rPr>
        <w:t>十一、法定代表人授权书格式</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center"/>
        <w:textAlignment w:val="baseline"/>
        <w:rPr>
          <w:rStyle w:val="13"/>
          <w:rFonts w:ascii="宋体" w:hAnsi="宋体"/>
          <w:sz w:val="24"/>
        </w:rPr>
      </w:pPr>
      <w:r>
        <w:rPr>
          <w:rStyle w:val="13"/>
          <w:rFonts w:ascii="宋体" w:hAnsi="宋体"/>
          <w:sz w:val="24"/>
        </w:rPr>
        <w:t>法定代表人授权书</w:t>
      </w:r>
    </w:p>
    <w:p>
      <w:pPr>
        <w:keepNext w:val="0"/>
        <w:keepLines w:val="0"/>
        <w:pageBreakBefore w:val="0"/>
        <w:widowControl/>
        <w:kinsoku/>
        <w:wordWrap/>
        <w:overflowPunct/>
        <w:topLinePunct w:val="0"/>
        <w:autoSpaceDE/>
        <w:autoSpaceDN/>
        <w:bidi w:val="0"/>
        <w:adjustRightInd/>
        <w:snapToGrid/>
        <w:spacing w:line="440" w:lineRule="exact"/>
        <w:textAlignment w:val="baseline"/>
        <w:rPr>
          <w:rStyle w:val="13"/>
          <w:rFonts w:ascii="宋体" w:hAnsi="宋体"/>
          <w:sz w:val="24"/>
          <w:u w:val="single"/>
        </w:rPr>
      </w:pPr>
      <w:r>
        <w:rPr>
          <w:rStyle w:val="13"/>
          <w:rFonts w:ascii="宋体" w:hAnsi="宋体"/>
          <w:sz w:val="24"/>
          <w:u w:val="single"/>
        </w:rPr>
        <w:t xml:space="preserve">           ：</w:t>
      </w:r>
    </w:p>
    <w:p>
      <w:pPr>
        <w:keepNext w:val="0"/>
        <w:keepLines w:val="0"/>
        <w:pageBreakBefore w:val="0"/>
        <w:widowControl/>
        <w:kinsoku/>
        <w:wordWrap/>
        <w:overflowPunct/>
        <w:topLinePunct w:val="0"/>
        <w:autoSpaceDE/>
        <w:autoSpaceDN/>
        <w:bidi w:val="0"/>
        <w:adjustRightInd/>
        <w:snapToGrid/>
        <w:spacing w:line="440" w:lineRule="exact"/>
        <w:textAlignment w:val="baseline"/>
        <w:rPr>
          <w:rStyle w:val="13"/>
          <w:rFonts w:ascii="宋体" w:hAnsi="宋体"/>
          <w:sz w:val="24"/>
        </w:rPr>
      </w:pPr>
      <w:r>
        <w:rPr>
          <w:rStyle w:val="13"/>
          <w:rFonts w:ascii="宋体" w:hAnsi="宋体"/>
          <w:sz w:val="24"/>
        </w:rPr>
        <w:t xml:space="preserve"> </w:t>
      </w:r>
      <w:r>
        <w:rPr>
          <w:rStyle w:val="13"/>
          <w:rFonts w:ascii="宋体" w:hAnsi="宋体"/>
          <w:sz w:val="24"/>
          <w:u w:val="single"/>
        </w:rPr>
        <w:t xml:space="preserve">                             </w:t>
      </w:r>
      <w:r>
        <w:rPr>
          <w:rStyle w:val="13"/>
          <w:rFonts w:ascii="宋体" w:hAnsi="宋体"/>
          <w:sz w:val="24"/>
        </w:rPr>
        <w:t xml:space="preserve">(投标单位名称)法定代表人授权 </w:t>
      </w:r>
      <w:r>
        <w:rPr>
          <w:rStyle w:val="13"/>
          <w:rFonts w:ascii="宋体" w:hAnsi="宋体"/>
          <w:sz w:val="24"/>
          <w:u w:val="single"/>
        </w:rPr>
        <w:t xml:space="preserve">            </w:t>
      </w:r>
      <w:r>
        <w:rPr>
          <w:rStyle w:val="13"/>
          <w:rFonts w:ascii="宋体" w:hAnsi="宋体"/>
          <w:sz w:val="24"/>
        </w:rPr>
        <w:t xml:space="preserve">为本公司的合法代理人，参加贵方组织的 </w:t>
      </w:r>
      <w:r>
        <w:rPr>
          <w:rStyle w:val="13"/>
          <w:rFonts w:ascii="宋体" w:hAnsi="宋体"/>
          <w:sz w:val="24"/>
          <w:u w:val="single"/>
        </w:rPr>
        <w:t xml:space="preserve">             </w:t>
      </w:r>
      <w:r>
        <w:rPr>
          <w:rStyle w:val="13"/>
          <w:rFonts w:ascii="宋体" w:hAnsi="宋体"/>
          <w:sz w:val="24"/>
        </w:rPr>
        <w:t>项目招标文件采购招标活动，全权代表我方处理招标活动中的一切事宜和签署一切文件，被授权人无转委托权，特此委托。</w:t>
      </w:r>
    </w:p>
    <w:p>
      <w:pPr>
        <w:keepNext w:val="0"/>
        <w:keepLines w:val="0"/>
        <w:pageBreakBefore w:val="0"/>
        <w:widowControl/>
        <w:kinsoku/>
        <w:wordWrap/>
        <w:overflowPunct/>
        <w:topLinePunct w:val="0"/>
        <w:autoSpaceDE/>
        <w:autoSpaceDN/>
        <w:bidi w:val="0"/>
        <w:adjustRightInd/>
        <w:snapToGrid/>
        <w:spacing w:line="440" w:lineRule="exact"/>
        <w:textAlignment w:val="baseline"/>
        <w:rPr>
          <w:rStyle w:val="13"/>
          <w:rFonts w:ascii="宋体" w:hAnsi="宋体"/>
          <w:sz w:val="24"/>
          <w:u w:val="single"/>
        </w:rPr>
      </w:pPr>
      <w:r>
        <w:rPr>
          <w:rStyle w:val="13"/>
          <w:rFonts w:ascii="宋体" w:hAnsi="宋体"/>
          <w:sz w:val="24"/>
        </w:rPr>
        <w:t xml:space="preserve">     法定代表人签字：</w:t>
      </w:r>
      <w:r>
        <w:rPr>
          <w:rStyle w:val="13"/>
          <w:rFonts w:ascii="宋体" w:hAnsi="宋体"/>
          <w:sz w:val="24"/>
          <w:u w:val="single"/>
        </w:rPr>
        <w:t xml:space="preserve">              </w:t>
      </w:r>
    </w:p>
    <w:p>
      <w:pPr>
        <w:keepNext w:val="0"/>
        <w:keepLines w:val="0"/>
        <w:pageBreakBefore w:val="0"/>
        <w:widowControl/>
        <w:kinsoku/>
        <w:wordWrap/>
        <w:overflowPunct/>
        <w:topLinePunct w:val="0"/>
        <w:autoSpaceDE/>
        <w:autoSpaceDN/>
        <w:bidi w:val="0"/>
        <w:adjustRightInd/>
        <w:snapToGrid/>
        <w:spacing w:line="440" w:lineRule="exact"/>
        <w:ind w:firstLine="588" w:firstLineChars="245"/>
        <w:textAlignment w:val="baseline"/>
        <w:rPr>
          <w:rStyle w:val="13"/>
          <w:rFonts w:ascii="宋体" w:hAnsi="宋体"/>
          <w:sz w:val="24"/>
        </w:rPr>
      </w:pPr>
      <w:r>
        <w:rPr>
          <w:rStyle w:val="13"/>
          <w:rFonts w:ascii="宋体" w:hAnsi="宋体"/>
          <w:sz w:val="24"/>
        </w:rPr>
        <w:t>日  期：</w:t>
      </w:r>
      <w:r>
        <w:rPr>
          <w:rStyle w:val="13"/>
          <w:rFonts w:ascii="宋体" w:hAnsi="宋体"/>
          <w:sz w:val="24"/>
          <w:u w:val="single"/>
        </w:rPr>
        <w:t xml:space="preserve">      </w:t>
      </w:r>
      <w:r>
        <w:rPr>
          <w:rStyle w:val="13"/>
          <w:rFonts w:ascii="宋体" w:hAnsi="宋体"/>
          <w:sz w:val="24"/>
        </w:rPr>
        <w:t xml:space="preserve"> 年 </w:t>
      </w:r>
      <w:r>
        <w:rPr>
          <w:rStyle w:val="13"/>
          <w:rFonts w:ascii="宋体" w:hAnsi="宋体"/>
          <w:sz w:val="24"/>
          <w:u w:val="single"/>
        </w:rPr>
        <w:t xml:space="preserve">      </w:t>
      </w:r>
      <w:r>
        <w:rPr>
          <w:rStyle w:val="13"/>
          <w:rFonts w:ascii="宋体" w:hAnsi="宋体"/>
          <w:sz w:val="24"/>
        </w:rPr>
        <w:t>月</w:t>
      </w:r>
      <w:r>
        <w:rPr>
          <w:rStyle w:val="13"/>
          <w:rFonts w:ascii="宋体" w:hAnsi="宋体"/>
          <w:sz w:val="24"/>
          <w:u w:val="single"/>
        </w:rPr>
        <w:t xml:space="preserve">      </w:t>
      </w:r>
      <w:r>
        <w:rPr>
          <w:rStyle w:val="13"/>
          <w:rFonts w:ascii="宋体" w:hAnsi="宋体"/>
          <w:sz w:val="24"/>
        </w:rPr>
        <w:t xml:space="preserve"> 日</w:t>
      </w:r>
    </w:p>
    <w:p>
      <w:pPr>
        <w:keepNext w:val="0"/>
        <w:keepLines w:val="0"/>
        <w:pageBreakBefore w:val="0"/>
        <w:widowControl/>
        <w:kinsoku/>
        <w:wordWrap/>
        <w:overflowPunct/>
        <w:topLinePunct w:val="0"/>
        <w:autoSpaceDE/>
        <w:autoSpaceDN/>
        <w:bidi w:val="0"/>
        <w:adjustRightInd/>
        <w:snapToGrid/>
        <w:spacing w:line="440" w:lineRule="exact"/>
        <w:ind w:firstLine="588" w:firstLineChars="245"/>
        <w:textAlignment w:val="baseline"/>
        <w:rPr>
          <w:rStyle w:val="13"/>
          <w:rFonts w:ascii="宋体" w:hAnsi="宋体"/>
          <w:sz w:val="24"/>
          <w:u w:val="single"/>
        </w:rPr>
      </w:pPr>
      <w:r>
        <w:rPr>
          <w:rStyle w:val="13"/>
          <w:rFonts w:ascii="宋体" w:hAnsi="宋体"/>
          <w:sz w:val="24"/>
        </w:rPr>
        <w:t>被授权人签字：</w:t>
      </w:r>
      <w:r>
        <w:rPr>
          <w:rStyle w:val="13"/>
          <w:rFonts w:ascii="宋体" w:hAnsi="宋体"/>
          <w:sz w:val="24"/>
          <w:u w:val="single"/>
        </w:rPr>
        <w:t xml:space="preserve">                 </w:t>
      </w:r>
    </w:p>
    <w:p>
      <w:pPr>
        <w:keepNext w:val="0"/>
        <w:keepLines w:val="0"/>
        <w:pageBreakBefore w:val="0"/>
        <w:widowControl/>
        <w:kinsoku/>
        <w:wordWrap/>
        <w:overflowPunct/>
        <w:topLinePunct w:val="0"/>
        <w:autoSpaceDE/>
        <w:autoSpaceDN/>
        <w:bidi w:val="0"/>
        <w:adjustRightInd/>
        <w:snapToGrid/>
        <w:spacing w:line="440" w:lineRule="exact"/>
        <w:ind w:firstLine="588" w:firstLineChars="245"/>
        <w:textAlignment w:val="baseline"/>
        <w:rPr>
          <w:rStyle w:val="13"/>
          <w:rFonts w:ascii="宋体" w:hAnsi="宋体"/>
          <w:sz w:val="24"/>
        </w:rPr>
      </w:pPr>
      <w:r>
        <w:rPr>
          <w:rStyle w:val="13"/>
          <w:rFonts w:ascii="宋体" w:hAnsi="宋体"/>
          <w:sz w:val="24"/>
        </w:rPr>
        <w:t>职务：</w:t>
      </w:r>
      <w:r>
        <w:rPr>
          <w:rStyle w:val="13"/>
          <w:rFonts w:ascii="宋体" w:hAnsi="宋体"/>
          <w:sz w:val="24"/>
          <w:u w:val="single"/>
        </w:rPr>
        <w:t xml:space="preserve">                   </w:t>
      </w:r>
      <w:r>
        <w:rPr>
          <w:rStyle w:val="13"/>
          <w:rFonts w:ascii="宋体" w:hAnsi="宋体"/>
          <w:sz w:val="24"/>
        </w:rPr>
        <w:t xml:space="preserve">   </w:t>
      </w:r>
    </w:p>
    <w:p>
      <w:pPr>
        <w:keepNext w:val="0"/>
        <w:keepLines w:val="0"/>
        <w:pageBreakBefore w:val="0"/>
        <w:widowControl/>
        <w:kinsoku/>
        <w:wordWrap/>
        <w:overflowPunct/>
        <w:topLinePunct w:val="0"/>
        <w:autoSpaceDE/>
        <w:autoSpaceDN/>
        <w:bidi w:val="0"/>
        <w:adjustRightInd/>
        <w:snapToGrid/>
        <w:spacing w:line="440" w:lineRule="exact"/>
        <w:ind w:firstLine="588" w:firstLineChars="245"/>
        <w:textAlignment w:val="baseline"/>
        <w:rPr>
          <w:rStyle w:val="13"/>
          <w:rFonts w:ascii="宋体" w:hAnsi="宋体"/>
          <w:sz w:val="24"/>
          <w:u w:val="single"/>
        </w:rPr>
      </w:pPr>
      <w:r>
        <w:rPr>
          <w:rStyle w:val="13"/>
          <w:rFonts w:ascii="宋体" w:hAnsi="宋体"/>
          <w:sz w:val="24"/>
        </w:rPr>
        <w:t>详细通讯地址：</w:t>
      </w:r>
      <w:r>
        <w:rPr>
          <w:rStyle w:val="13"/>
          <w:rFonts w:ascii="宋体" w:hAnsi="宋体"/>
          <w:sz w:val="24"/>
          <w:u w:val="single"/>
        </w:rPr>
        <w:t xml:space="preserve">                                </w:t>
      </w:r>
    </w:p>
    <w:p>
      <w:pPr>
        <w:keepNext w:val="0"/>
        <w:keepLines w:val="0"/>
        <w:pageBreakBefore w:val="0"/>
        <w:widowControl/>
        <w:kinsoku/>
        <w:wordWrap/>
        <w:overflowPunct/>
        <w:topLinePunct w:val="0"/>
        <w:autoSpaceDE/>
        <w:autoSpaceDN/>
        <w:bidi w:val="0"/>
        <w:adjustRightInd/>
        <w:snapToGrid/>
        <w:spacing w:line="440" w:lineRule="exact"/>
        <w:ind w:firstLine="588" w:firstLineChars="245"/>
        <w:textAlignment w:val="baseline"/>
        <w:rPr>
          <w:rStyle w:val="13"/>
          <w:rFonts w:ascii="宋体" w:hAnsi="宋体"/>
          <w:sz w:val="24"/>
          <w:u w:val="single"/>
        </w:rPr>
      </w:pPr>
      <w:r>
        <w:rPr>
          <w:rStyle w:val="13"/>
          <w:rFonts w:ascii="宋体" w:hAnsi="宋体"/>
          <w:sz w:val="24"/>
        </w:rPr>
        <w:t>邮政编码：</w:t>
      </w:r>
      <w:r>
        <w:rPr>
          <w:rStyle w:val="13"/>
          <w:rFonts w:ascii="宋体" w:hAnsi="宋体"/>
          <w:sz w:val="24"/>
          <w:u w:val="single"/>
        </w:rPr>
        <w:t xml:space="preserve">                    </w:t>
      </w:r>
    </w:p>
    <w:p>
      <w:pPr>
        <w:keepNext w:val="0"/>
        <w:keepLines w:val="0"/>
        <w:pageBreakBefore w:val="0"/>
        <w:widowControl/>
        <w:kinsoku/>
        <w:wordWrap/>
        <w:overflowPunct/>
        <w:topLinePunct w:val="0"/>
        <w:autoSpaceDE/>
        <w:autoSpaceDN/>
        <w:bidi w:val="0"/>
        <w:adjustRightInd/>
        <w:snapToGrid/>
        <w:spacing w:line="440" w:lineRule="exact"/>
        <w:ind w:firstLine="588" w:firstLineChars="245"/>
        <w:textAlignment w:val="baseline"/>
        <w:rPr>
          <w:rStyle w:val="13"/>
          <w:rFonts w:ascii="宋体" w:hAnsi="宋体"/>
          <w:sz w:val="24"/>
          <w:u w:val="single"/>
        </w:rPr>
      </w:pPr>
      <w:r>
        <w:rPr>
          <w:rStyle w:val="13"/>
          <w:rFonts w:ascii="宋体" w:hAnsi="宋体"/>
          <w:sz w:val="24"/>
        </w:rPr>
        <w:t>传    真：</w:t>
      </w:r>
      <w:r>
        <w:rPr>
          <w:rStyle w:val="13"/>
          <w:rFonts w:ascii="宋体" w:hAnsi="宋体"/>
          <w:sz w:val="24"/>
          <w:u w:val="single"/>
        </w:rPr>
        <w:t xml:space="preserve">             </w:t>
      </w:r>
    </w:p>
    <w:p>
      <w:pPr>
        <w:keepNext w:val="0"/>
        <w:keepLines w:val="0"/>
        <w:pageBreakBefore w:val="0"/>
        <w:widowControl/>
        <w:kinsoku/>
        <w:wordWrap/>
        <w:overflowPunct/>
        <w:topLinePunct w:val="0"/>
        <w:autoSpaceDE/>
        <w:autoSpaceDN/>
        <w:bidi w:val="0"/>
        <w:adjustRightInd/>
        <w:snapToGrid/>
        <w:spacing w:line="440" w:lineRule="exact"/>
        <w:ind w:firstLine="588" w:firstLineChars="245"/>
        <w:textAlignment w:val="baseline"/>
        <w:rPr>
          <w:rStyle w:val="13"/>
          <w:rFonts w:ascii="宋体" w:hAnsi="宋体"/>
          <w:sz w:val="24"/>
        </w:rPr>
      </w:pPr>
      <w:r>
        <w:rPr>
          <w:rStyle w:val="13"/>
          <w:rFonts w:ascii="宋体" w:hAnsi="宋体"/>
          <w:sz w:val="24"/>
        </w:rPr>
        <w:t>电    话：</w:t>
      </w:r>
      <w:r>
        <w:rPr>
          <w:rStyle w:val="13"/>
          <w:rFonts w:ascii="宋体" w:hAnsi="宋体"/>
          <w:sz w:val="24"/>
          <w:u w:val="single"/>
        </w:rPr>
        <w:t xml:space="preserve"> </w:t>
      </w:r>
      <w:r>
        <w:rPr>
          <w:rStyle w:val="13"/>
          <w:rFonts w:ascii="宋体" w:hAnsi="宋体"/>
          <w:sz w:val="24"/>
        </w:rPr>
        <w:t xml:space="preserve">            </w:t>
      </w:r>
    </w:p>
    <w:p>
      <w:pPr>
        <w:keepNext w:val="0"/>
        <w:keepLines w:val="0"/>
        <w:pageBreakBefore w:val="0"/>
        <w:widowControl/>
        <w:kinsoku/>
        <w:wordWrap/>
        <w:overflowPunct/>
        <w:topLinePunct w:val="0"/>
        <w:autoSpaceDE/>
        <w:autoSpaceDN/>
        <w:bidi w:val="0"/>
        <w:adjustRightInd/>
        <w:snapToGrid/>
        <w:spacing w:line="440" w:lineRule="exact"/>
        <w:textAlignment w:val="baseline"/>
        <w:rPr>
          <w:rStyle w:val="13"/>
          <w:rFonts w:ascii="宋体" w:hAnsi="宋体"/>
          <w:b/>
          <w:sz w:val="24"/>
        </w:rPr>
      </w:pPr>
      <w:r>
        <w:rPr>
          <w:rStyle w:val="13"/>
        </w:rPr>
        <mc:AlternateContent>
          <mc:Choice Requires="wps">
            <w:drawing>
              <wp:anchor distT="0" distB="0" distL="114300" distR="114300" simplePos="0" relativeHeight="251655168" behindDoc="0" locked="0" layoutInCell="1" allowOverlap="1">
                <wp:simplePos x="0" y="0"/>
                <wp:positionH relativeFrom="column">
                  <wp:posOffset>11430</wp:posOffset>
                </wp:positionH>
                <wp:positionV relativeFrom="paragraph">
                  <wp:posOffset>87630</wp:posOffset>
                </wp:positionV>
                <wp:extent cx="2613660" cy="1349375"/>
                <wp:effectExtent l="7620" t="0" r="15240" b="14605"/>
                <wp:wrapNone/>
                <wp:docPr id="1" name="文本框 2"/>
                <wp:cNvGraphicFramePr/>
                <a:graphic xmlns:a="http://schemas.openxmlformats.org/drawingml/2006/main">
                  <a:graphicData uri="http://schemas.microsoft.com/office/word/2010/wordprocessingShape">
                    <wps:wsp>
                      <wps:cNvSpPr txBox="1"/>
                      <wps:spPr>
                        <a:xfrm>
                          <a:off x="0" y="0"/>
                          <a:ext cx="2613660" cy="1349375"/>
                        </a:xfrm>
                        <a:prstGeom prst="rect">
                          <a:avLst/>
                        </a:prstGeom>
                        <a:gradFill rotWithShape="0">
                          <a:gsLst>
                            <a:gs pos="0">
                              <a:srgbClr val="FFFFFF"/>
                            </a:gs>
                            <a:gs pos="100000">
                              <a:srgbClr val="FFFFFF"/>
                            </a:gs>
                          </a:gsLst>
                          <a:lin ang="5400000" scaled="1"/>
                          <a:tileRect/>
                        </a:gradFill>
                        <a:ln w="15875" cap="flat" cmpd="sng">
                          <a:solidFill>
                            <a:srgbClr val="000000"/>
                          </a:solidFill>
                          <a:prstDash val="solid"/>
                          <a:miter/>
                          <a:headEnd type="none" w="med" len="med"/>
                          <a:tailEnd type="none" w="med" len="med"/>
                        </a:ln>
                      </wps:spPr>
                      <wps:txbx>
                        <w:txbxContent>
                          <w:p>
                            <w:pPr>
                              <w:jc w:val="center"/>
                              <w:rPr>
                                <w:rStyle w:val="13"/>
                              </w:rPr>
                            </w:pPr>
                          </w:p>
                          <w:p>
                            <w:pPr>
                              <w:jc w:val="center"/>
                              <w:rPr>
                                <w:rStyle w:val="13"/>
                              </w:rPr>
                            </w:pPr>
                          </w:p>
                          <w:p>
                            <w:pPr>
                              <w:jc w:val="center"/>
                              <w:rPr>
                                <w:rStyle w:val="13"/>
                              </w:rPr>
                            </w:pPr>
                            <w:r>
                              <w:rPr>
                                <w:rStyle w:val="13"/>
                              </w:rPr>
                              <w:t>法定代表人身份证正面</w:t>
                            </w:r>
                          </w:p>
                          <w:p>
                            <w:pPr>
                              <w:rPr>
                                <w:rStyle w:val="13"/>
                              </w:rPr>
                            </w:pPr>
                          </w:p>
                        </w:txbxContent>
                      </wps:txbx>
                      <wps:bodyPr upright="1"/>
                    </wps:wsp>
                  </a:graphicData>
                </a:graphic>
              </wp:anchor>
            </w:drawing>
          </mc:Choice>
          <mc:Fallback>
            <w:pict>
              <v:shape id="文本框 2" o:spid="_x0000_s1026" o:spt="202" type="#_x0000_t202" style="position:absolute;left:0pt;margin-left:0.9pt;margin-top:6.9pt;height:106.25pt;width:205.8pt;z-index:251655168;mso-width-relative:page;mso-height-relative:page;" fillcolor="#FFFFFF" filled="t" stroked="t" coordsize="21600,21600" o:gfxdata="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s8RwN1wAAAAgBAAAPAAAAAAAAAAEAIAAAACIAAABkcnMvZG93bnJldi54&#10;bWxQSwECFAAUAAAACACHTuJAC2gz3jQCAACCBAAADgAAAAAAAAABACAAAAAmAQAAZHJzL2Uyb0Rv&#10;Yy54bWxQSwUGAAAAAAYABgBZAQAAzAUAAAAA&#10;">
                <v:fill type="gradient" on="t" color2="#FFFFFF" focus="100%" focussize="0,0"/>
                <v:stroke weight="1.25pt" color="#000000" joinstyle="miter"/>
                <v:imagedata o:title=""/>
                <o:lock v:ext="edit" aspectratio="f"/>
                <v:textbox>
                  <w:txbxContent>
                    <w:p>
                      <w:pPr>
                        <w:jc w:val="center"/>
                        <w:rPr>
                          <w:rStyle w:val="13"/>
                        </w:rPr>
                      </w:pPr>
                    </w:p>
                    <w:p>
                      <w:pPr>
                        <w:jc w:val="center"/>
                        <w:rPr>
                          <w:rStyle w:val="13"/>
                        </w:rPr>
                      </w:pPr>
                    </w:p>
                    <w:p>
                      <w:pPr>
                        <w:jc w:val="center"/>
                        <w:rPr>
                          <w:rStyle w:val="13"/>
                        </w:rPr>
                      </w:pPr>
                      <w:r>
                        <w:rPr>
                          <w:rStyle w:val="13"/>
                        </w:rPr>
                        <w:t>法定代表人身份证正面</w:t>
                      </w:r>
                    </w:p>
                    <w:p>
                      <w:pPr>
                        <w:rPr>
                          <w:rStyle w:val="13"/>
                        </w:rPr>
                      </w:pPr>
                    </w:p>
                  </w:txbxContent>
                </v:textbox>
              </v:shape>
            </w:pict>
          </mc:Fallback>
        </mc:AlternateContent>
      </w:r>
    </w:p>
    <w:p>
      <w:pPr>
        <w:keepNext w:val="0"/>
        <w:keepLines w:val="0"/>
        <w:pageBreakBefore w:val="0"/>
        <w:widowControl/>
        <w:kinsoku/>
        <w:wordWrap/>
        <w:overflowPunct/>
        <w:topLinePunct w:val="0"/>
        <w:autoSpaceDE/>
        <w:autoSpaceDN/>
        <w:bidi w:val="0"/>
        <w:adjustRightInd/>
        <w:snapToGrid/>
        <w:spacing w:line="440" w:lineRule="exact"/>
        <w:textAlignment w:val="baseline"/>
        <w:rPr>
          <w:rStyle w:val="13"/>
          <w:rFonts w:ascii="宋体" w:hAnsi="宋体"/>
          <w:b/>
          <w:sz w:val="24"/>
        </w:rPr>
      </w:pPr>
    </w:p>
    <w:p>
      <w:pPr>
        <w:keepNext w:val="0"/>
        <w:keepLines w:val="0"/>
        <w:pageBreakBefore w:val="0"/>
        <w:widowControl/>
        <w:kinsoku/>
        <w:wordWrap/>
        <w:overflowPunct/>
        <w:topLinePunct w:val="0"/>
        <w:autoSpaceDE/>
        <w:autoSpaceDN/>
        <w:bidi w:val="0"/>
        <w:adjustRightInd/>
        <w:snapToGrid/>
        <w:spacing w:line="440" w:lineRule="exact"/>
        <w:textAlignment w:val="baseline"/>
        <w:rPr>
          <w:rStyle w:val="13"/>
          <w:rFonts w:ascii="宋体" w:hAnsi="宋体"/>
          <w:b/>
          <w:sz w:val="24"/>
        </w:rPr>
      </w:pPr>
    </w:p>
    <w:p>
      <w:pPr>
        <w:keepNext w:val="0"/>
        <w:keepLines w:val="0"/>
        <w:pageBreakBefore w:val="0"/>
        <w:widowControl/>
        <w:kinsoku/>
        <w:wordWrap/>
        <w:overflowPunct/>
        <w:topLinePunct w:val="0"/>
        <w:autoSpaceDE/>
        <w:autoSpaceDN/>
        <w:bidi w:val="0"/>
        <w:adjustRightInd/>
        <w:snapToGrid/>
        <w:spacing w:line="440" w:lineRule="exact"/>
        <w:textAlignment w:val="baseline"/>
        <w:rPr>
          <w:rStyle w:val="13"/>
          <w:rFonts w:ascii="宋体" w:hAnsi="宋体"/>
          <w:b/>
          <w:sz w:val="24"/>
        </w:rPr>
      </w:pPr>
    </w:p>
    <w:p>
      <w:pPr>
        <w:keepNext w:val="0"/>
        <w:keepLines w:val="0"/>
        <w:pageBreakBefore w:val="0"/>
        <w:widowControl/>
        <w:kinsoku/>
        <w:wordWrap/>
        <w:overflowPunct/>
        <w:topLinePunct w:val="0"/>
        <w:autoSpaceDE/>
        <w:autoSpaceDN/>
        <w:bidi w:val="0"/>
        <w:adjustRightInd/>
        <w:snapToGrid/>
        <w:spacing w:line="440" w:lineRule="exact"/>
        <w:textAlignment w:val="baseline"/>
        <w:rPr>
          <w:rStyle w:val="13"/>
          <w:rFonts w:ascii="宋体" w:hAnsi="宋体" w:cs="宋体"/>
          <w:bCs/>
          <w:sz w:val="24"/>
        </w:rPr>
      </w:pPr>
      <w:r>
        <w:rPr>
          <w:rStyle w:val="13"/>
        </w:rPr>
        <mc:AlternateContent>
          <mc:Choice Requires="wps">
            <w:drawing>
              <wp:anchor distT="0" distB="0" distL="114300" distR="114300" simplePos="0" relativeHeight="251658240" behindDoc="0" locked="0" layoutInCell="1" allowOverlap="1">
                <wp:simplePos x="0" y="0"/>
                <wp:positionH relativeFrom="column">
                  <wp:posOffset>20320</wp:posOffset>
                </wp:positionH>
                <wp:positionV relativeFrom="paragraph">
                  <wp:posOffset>294005</wp:posOffset>
                </wp:positionV>
                <wp:extent cx="2619375" cy="1417955"/>
                <wp:effectExtent l="7620" t="0" r="9525" b="22225"/>
                <wp:wrapTopAndBottom/>
                <wp:docPr id="5" name="文本框 4"/>
                <wp:cNvGraphicFramePr/>
                <a:graphic xmlns:a="http://schemas.openxmlformats.org/drawingml/2006/main">
                  <a:graphicData uri="http://schemas.microsoft.com/office/word/2010/wordprocessingShape">
                    <wps:wsp>
                      <wps:cNvSpPr txBox="1"/>
                      <wps:spPr>
                        <a:xfrm>
                          <a:off x="0" y="0"/>
                          <a:ext cx="2619375" cy="1417955"/>
                        </a:xfrm>
                        <a:prstGeom prst="rect">
                          <a:avLst/>
                        </a:prstGeom>
                        <a:gradFill rotWithShape="0">
                          <a:gsLst>
                            <a:gs pos="0">
                              <a:srgbClr val="FFFFFF"/>
                            </a:gs>
                            <a:gs pos="100000">
                              <a:srgbClr val="FFFFFF"/>
                            </a:gs>
                          </a:gsLst>
                          <a:lin ang="5400000" scaled="1"/>
                          <a:tileRect/>
                        </a:gradFill>
                        <a:ln w="15875" cap="flat" cmpd="sng">
                          <a:solidFill>
                            <a:srgbClr val="000000"/>
                          </a:solidFill>
                          <a:prstDash val="solid"/>
                          <a:miter/>
                          <a:headEnd type="none" w="med" len="med"/>
                          <a:tailEnd type="none" w="med" len="med"/>
                        </a:ln>
                      </wps:spPr>
                      <wps:txbx>
                        <w:txbxContent>
                          <w:p>
                            <w:pPr>
                              <w:jc w:val="center"/>
                              <w:rPr>
                                <w:rStyle w:val="13"/>
                              </w:rPr>
                            </w:pPr>
                          </w:p>
                          <w:p>
                            <w:pPr>
                              <w:jc w:val="center"/>
                              <w:rPr>
                                <w:rStyle w:val="13"/>
                              </w:rPr>
                            </w:pPr>
                          </w:p>
                          <w:p>
                            <w:pPr>
                              <w:jc w:val="center"/>
                              <w:rPr>
                                <w:rStyle w:val="13"/>
                              </w:rPr>
                            </w:pPr>
                            <w:r>
                              <w:rPr>
                                <w:rStyle w:val="13"/>
                              </w:rPr>
                              <w:t>法定代表人身份证背面</w:t>
                            </w:r>
                          </w:p>
                          <w:p>
                            <w:pPr>
                              <w:rPr>
                                <w:rStyle w:val="13"/>
                              </w:rPr>
                            </w:pPr>
                          </w:p>
                        </w:txbxContent>
                      </wps:txbx>
                      <wps:bodyPr upright="1"/>
                    </wps:wsp>
                  </a:graphicData>
                </a:graphic>
              </wp:anchor>
            </w:drawing>
          </mc:Choice>
          <mc:Fallback>
            <w:pict>
              <v:shape id="文本框 4" o:spid="_x0000_s1026" o:spt="202" type="#_x0000_t202" style="position:absolute;left:0pt;margin-left:1.6pt;margin-top:23.15pt;height:111.65pt;width:206.25pt;mso-wrap-distance-bottom:0pt;mso-wrap-distance-top:0pt;z-index:251658240;mso-width-relative:page;mso-height-relative:page;" fillcolor="#FFFFFF" filled="t" stroked="t" coordsize="21600,21600" o:gfxdata="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FeRE7ZAAAACAEAAA8AAAAAAAAAAQAgAAAAIgAAAGRycy9kb3ducmV2&#10;LnhtbFBLAQIUABQAAAAIAIdO4kA6kjPVNAIAAIIEAAAOAAAAAAAAAAEAIAAAACgBAABkcnMvZTJv&#10;RG9jLnhtbFBLBQYAAAAABgAGAFkBAADOBQAAAAA=&#10;">
                <v:fill type="gradient" on="t" color2="#FFFFFF" focus="100%" focussize="0,0"/>
                <v:stroke weight="1.25pt" color="#000000" joinstyle="miter"/>
                <v:imagedata o:title=""/>
                <o:lock v:ext="edit" aspectratio="f"/>
                <v:textbox>
                  <w:txbxContent>
                    <w:p>
                      <w:pPr>
                        <w:jc w:val="center"/>
                        <w:rPr>
                          <w:rStyle w:val="13"/>
                        </w:rPr>
                      </w:pPr>
                    </w:p>
                    <w:p>
                      <w:pPr>
                        <w:jc w:val="center"/>
                        <w:rPr>
                          <w:rStyle w:val="13"/>
                        </w:rPr>
                      </w:pPr>
                    </w:p>
                    <w:p>
                      <w:pPr>
                        <w:jc w:val="center"/>
                        <w:rPr>
                          <w:rStyle w:val="13"/>
                        </w:rPr>
                      </w:pPr>
                      <w:r>
                        <w:rPr>
                          <w:rStyle w:val="13"/>
                        </w:rPr>
                        <w:t>法定代表人身份证背面</w:t>
                      </w:r>
                    </w:p>
                    <w:p>
                      <w:pPr>
                        <w:rPr>
                          <w:rStyle w:val="13"/>
                        </w:rPr>
                      </w:pPr>
                    </w:p>
                  </w:txbxContent>
                </v:textbox>
                <w10:wrap type="topAndBottom"/>
              </v:shape>
            </w:pict>
          </mc:Fallback>
        </mc:AlternateContent>
      </w:r>
      <w:r>
        <w:rPr>
          <w:rStyle w:val="13"/>
        </w:rPr>
        <mc:AlternateContent>
          <mc:Choice Requires="wps">
            <w:drawing>
              <wp:anchor distT="0" distB="0" distL="114300" distR="114300" simplePos="0" relativeHeight="251659264" behindDoc="0" locked="0" layoutInCell="1" allowOverlap="1">
                <wp:simplePos x="0" y="0"/>
                <wp:positionH relativeFrom="column">
                  <wp:posOffset>2769870</wp:posOffset>
                </wp:positionH>
                <wp:positionV relativeFrom="paragraph">
                  <wp:posOffset>307975</wp:posOffset>
                </wp:positionV>
                <wp:extent cx="2673985" cy="1391285"/>
                <wp:effectExtent l="7620" t="0" r="15875" b="18415"/>
                <wp:wrapNone/>
                <wp:docPr id="6" name="文本框 5"/>
                <wp:cNvGraphicFramePr/>
                <a:graphic xmlns:a="http://schemas.openxmlformats.org/drawingml/2006/main">
                  <a:graphicData uri="http://schemas.microsoft.com/office/word/2010/wordprocessingShape">
                    <wps:wsp>
                      <wps:cNvSpPr txBox="1"/>
                      <wps:spPr>
                        <a:xfrm>
                          <a:off x="0" y="0"/>
                          <a:ext cx="2673985" cy="1391285"/>
                        </a:xfrm>
                        <a:prstGeom prst="rect">
                          <a:avLst/>
                        </a:prstGeom>
                        <a:gradFill rotWithShape="0">
                          <a:gsLst>
                            <a:gs pos="0">
                              <a:srgbClr val="FFFFFF"/>
                            </a:gs>
                            <a:gs pos="100000">
                              <a:srgbClr val="FFFFFF"/>
                            </a:gs>
                          </a:gsLst>
                          <a:lin ang="5400000" scaled="1"/>
                          <a:tileRect/>
                        </a:gradFill>
                        <a:ln w="15875" cap="flat" cmpd="sng">
                          <a:solidFill>
                            <a:srgbClr val="000000"/>
                          </a:solidFill>
                          <a:prstDash val="solid"/>
                          <a:miter/>
                          <a:headEnd type="none" w="med" len="med"/>
                          <a:tailEnd type="none" w="med" len="med"/>
                        </a:ln>
                      </wps:spPr>
                      <wps:txbx>
                        <w:txbxContent>
                          <w:p>
                            <w:pPr>
                              <w:jc w:val="center"/>
                              <w:rPr>
                                <w:rStyle w:val="13"/>
                              </w:rPr>
                            </w:pPr>
                          </w:p>
                          <w:p>
                            <w:pPr>
                              <w:jc w:val="center"/>
                              <w:rPr>
                                <w:rStyle w:val="13"/>
                              </w:rPr>
                            </w:pPr>
                          </w:p>
                          <w:p>
                            <w:pPr>
                              <w:jc w:val="center"/>
                              <w:rPr>
                                <w:rStyle w:val="13"/>
                              </w:rPr>
                            </w:pPr>
                            <w:r>
                              <w:rPr>
                                <w:rStyle w:val="13"/>
                              </w:rPr>
                              <w:t>被委托人身份证背面</w:t>
                            </w:r>
                          </w:p>
                          <w:p>
                            <w:pPr>
                              <w:rPr>
                                <w:rStyle w:val="13"/>
                              </w:rPr>
                            </w:pPr>
                          </w:p>
                        </w:txbxContent>
                      </wps:txbx>
                      <wps:bodyPr upright="1"/>
                    </wps:wsp>
                  </a:graphicData>
                </a:graphic>
              </wp:anchor>
            </w:drawing>
          </mc:Choice>
          <mc:Fallback>
            <w:pict>
              <v:shape id="文本框 5" o:spid="_x0000_s1026" o:spt="202" type="#_x0000_t202" style="position:absolute;left:0pt;margin-left:218.1pt;margin-top:24.25pt;height:109.55pt;width:210.55pt;z-index:251659264;mso-width-relative:page;mso-height-relative:page;" fillcolor="#FFFFFF" filled="t" stroked="t" coordsize="21600,21600" o:gfxdata="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49HgDbAAAACgEAAA8AAAAAAAAAAQAgAAAAIgAAAGRycy9kb3du&#10;cmV2LnhtbFBLAQIUABQAAAAIAIdO4kDnnViqNQIAAIIEAAAOAAAAAAAAAAEAIAAAACoBAABkcnMv&#10;ZTJvRG9jLnhtbFBLBQYAAAAABgAGAFkBAADRBQAAAAA=&#10;">
                <v:fill type="gradient" on="t" color2="#FFFFFF" focus="100%" focussize="0,0"/>
                <v:stroke weight="1.25pt" color="#000000" joinstyle="miter"/>
                <v:imagedata o:title=""/>
                <o:lock v:ext="edit" aspectratio="f"/>
                <v:textbox>
                  <w:txbxContent>
                    <w:p>
                      <w:pPr>
                        <w:jc w:val="center"/>
                        <w:rPr>
                          <w:rStyle w:val="13"/>
                        </w:rPr>
                      </w:pPr>
                    </w:p>
                    <w:p>
                      <w:pPr>
                        <w:jc w:val="center"/>
                        <w:rPr>
                          <w:rStyle w:val="13"/>
                        </w:rPr>
                      </w:pPr>
                    </w:p>
                    <w:p>
                      <w:pPr>
                        <w:jc w:val="center"/>
                        <w:rPr>
                          <w:rStyle w:val="13"/>
                        </w:rPr>
                      </w:pPr>
                      <w:r>
                        <w:rPr>
                          <w:rStyle w:val="13"/>
                        </w:rPr>
                        <w:t>被委托人身份证背面</w:t>
                      </w:r>
                    </w:p>
                    <w:p>
                      <w:pPr>
                        <w:rPr>
                          <w:rStyle w:val="13"/>
                        </w:rPr>
                      </w:pPr>
                    </w:p>
                  </w:txbxContent>
                </v:textbox>
              </v:shape>
            </w:pict>
          </mc:Fallback>
        </mc:AlternateContent>
      </w:r>
      <w:r>
        <w:rPr>
          <w:rStyle w:val="13"/>
        </w:rPr>
        <mc:AlternateContent>
          <mc:Choice Requires="wps">
            <w:drawing>
              <wp:anchor distT="0" distB="0" distL="114300" distR="114300" simplePos="0" relativeHeight="251660288" behindDoc="0" locked="0" layoutInCell="1" allowOverlap="1">
                <wp:simplePos x="0" y="0"/>
                <wp:positionH relativeFrom="column">
                  <wp:posOffset>2792730</wp:posOffset>
                </wp:positionH>
                <wp:positionV relativeFrom="paragraph">
                  <wp:posOffset>-1082040</wp:posOffset>
                </wp:positionV>
                <wp:extent cx="2667635" cy="1315085"/>
                <wp:effectExtent l="7620" t="0" r="22225" b="18415"/>
                <wp:wrapNone/>
                <wp:docPr id="7" name="文本框 3"/>
                <wp:cNvGraphicFramePr/>
                <a:graphic xmlns:a="http://schemas.openxmlformats.org/drawingml/2006/main">
                  <a:graphicData uri="http://schemas.microsoft.com/office/word/2010/wordprocessingShape">
                    <wps:wsp>
                      <wps:cNvSpPr txBox="1"/>
                      <wps:spPr>
                        <a:xfrm>
                          <a:off x="0" y="0"/>
                          <a:ext cx="2667635" cy="1315085"/>
                        </a:xfrm>
                        <a:prstGeom prst="rect">
                          <a:avLst/>
                        </a:prstGeom>
                        <a:gradFill rotWithShape="0">
                          <a:gsLst>
                            <a:gs pos="0">
                              <a:srgbClr val="FFFFFF"/>
                            </a:gs>
                            <a:gs pos="100000">
                              <a:srgbClr val="FFFFFF"/>
                            </a:gs>
                          </a:gsLst>
                          <a:lin ang="5400000" scaled="1"/>
                          <a:tileRect/>
                        </a:gradFill>
                        <a:ln w="15875" cap="flat" cmpd="sng">
                          <a:solidFill>
                            <a:srgbClr val="000000"/>
                          </a:solidFill>
                          <a:prstDash val="solid"/>
                          <a:miter/>
                          <a:headEnd type="none" w="med" len="med"/>
                          <a:tailEnd type="none" w="med" len="med"/>
                        </a:ln>
                      </wps:spPr>
                      <wps:txbx>
                        <w:txbxContent>
                          <w:p>
                            <w:pPr>
                              <w:jc w:val="center"/>
                              <w:rPr>
                                <w:rStyle w:val="13"/>
                              </w:rPr>
                            </w:pPr>
                          </w:p>
                          <w:p>
                            <w:pPr>
                              <w:jc w:val="center"/>
                              <w:rPr>
                                <w:rStyle w:val="13"/>
                              </w:rPr>
                            </w:pPr>
                          </w:p>
                          <w:p>
                            <w:pPr>
                              <w:jc w:val="center"/>
                              <w:rPr>
                                <w:rStyle w:val="13"/>
                              </w:rPr>
                            </w:pPr>
                            <w:r>
                              <w:rPr>
                                <w:rStyle w:val="13"/>
                              </w:rPr>
                              <w:t>被委托人身份证正面</w:t>
                            </w:r>
                          </w:p>
                          <w:p>
                            <w:pPr>
                              <w:rPr>
                                <w:rStyle w:val="13"/>
                              </w:rPr>
                            </w:pPr>
                          </w:p>
                        </w:txbxContent>
                      </wps:txbx>
                      <wps:bodyPr upright="1"/>
                    </wps:wsp>
                  </a:graphicData>
                </a:graphic>
              </wp:anchor>
            </w:drawing>
          </mc:Choice>
          <mc:Fallback>
            <w:pict>
              <v:shape id="文本框 3" o:spid="_x0000_s1026" o:spt="202" type="#_x0000_t202" style="position:absolute;left:0pt;margin-left:219.9pt;margin-top:-85.2pt;height:103.55pt;width:210.05pt;z-index:251660288;mso-width-relative:page;mso-height-relative:page;" fillcolor="#FFFFFF" filled="t" stroked="t" coordsize="21600,21600" o:gfxdata="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dRyZfbAAAACwEAAA8AAAAAAAAAAQAgAAAAIgAAAGRycy9kb3du&#10;cmV2LnhtbFBLAQIUABQAAAAIAIdO4kB1menaNQIAAIIEAAAOAAAAAAAAAAEAIAAAACoBAABkcnMv&#10;ZTJvRG9jLnhtbFBLBQYAAAAABgAGAFkBAADRBQAAAAA=&#10;">
                <v:fill type="gradient" on="t" color2="#FFFFFF" focus="100%" focussize="0,0"/>
                <v:stroke weight="1.25pt" color="#000000" joinstyle="miter"/>
                <v:imagedata o:title=""/>
                <o:lock v:ext="edit" aspectratio="f"/>
                <v:textbox>
                  <w:txbxContent>
                    <w:p>
                      <w:pPr>
                        <w:jc w:val="center"/>
                        <w:rPr>
                          <w:rStyle w:val="13"/>
                        </w:rPr>
                      </w:pPr>
                    </w:p>
                    <w:p>
                      <w:pPr>
                        <w:jc w:val="center"/>
                        <w:rPr>
                          <w:rStyle w:val="13"/>
                        </w:rPr>
                      </w:pPr>
                    </w:p>
                    <w:p>
                      <w:pPr>
                        <w:jc w:val="center"/>
                        <w:rPr>
                          <w:rStyle w:val="13"/>
                        </w:rPr>
                      </w:pPr>
                      <w:r>
                        <w:rPr>
                          <w:rStyle w:val="13"/>
                        </w:rPr>
                        <w:t>被委托人身份证正面</w:t>
                      </w:r>
                    </w:p>
                    <w:p>
                      <w:pPr>
                        <w:rPr>
                          <w:rStyle w:val="13"/>
                        </w:rPr>
                      </w:pPr>
                    </w:p>
                  </w:txbxContent>
                </v:textbox>
              </v:shape>
            </w:pict>
          </mc:Fallback>
        </mc:AlternateContent>
      </w:r>
      <w:r>
        <w:rPr>
          <w:rStyle w:val="13"/>
          <w:rFonts w:ascii="宋体" w:hAnsi="宋体"/>
          <w:sz w:val="24"/>
        </w:rPr>
        <w:t xml:space="preserve">  </w:t>
      </w:r>
      <w:r>
        <w:rPr>
          <w:rStyle w:val="13"/>
          <w:rFonts w:ascii="宋体" w:hAnsi="宋体" w:cs="宋体"/>
          <w:bCs/>
          <w:sz w:val="24"/>
        </w:rPr>
        <w:t>投标企业（盖章）：</w:t>
      </w:r>
    </w:p>
    <w:p>
      <w:pPr>
        <w:keepNext w:val="0"/>
        <w:keepLines w:val="0"/>
        <w:pageBreakBefore w:val="0"/>
        <w:widowControl/>
        <w:kinsoku/>
        <w:wordWrap/>
        <w:overflowPunct/>
        <w:topLinePunct w:val="0"/>
        <w:autoSpaceDE/>
        <w:autoSpaceDN/>
        <w:bidi w:val="0"/>
        <w:adjustRightInd/>
        <w:snapToGrid/>
        <w:spacing w:line="440" w:lineRule="exact"/>
        <w:textAlignment w:val="baseline"/>
        <w:rPr>
          <w:rStyle w:val="13"/>
          <w:rFonts w:ascii="宋体" w:hAnsi="宋体"/>
          <w:sz w:val="24"/>
        </w:rPr>
      </w:pPr>
      <w:r>
        <w:rPr>
          <w:rStyle w:val="13"/>
          <w:rFonts w:ascii="宋体" w:hAnsi="宋体"/>
          <w:sz w:val="24"/>
        </w:rPr>
        <w:t xml:space="preserve">   日期：  年   月   日</w:t>
      </w:r>
    </w:p>
    <w:p>
      <w:pPr>
        <w:keepNext w:val="0"/>
        <w:keepLines w:val="0"/>
        <w:pageBreakBefore w:val="0"/>
        <w:widowControl/>
        <w:kinsoku/>
        <w:wordWrap/>
        <w:overflowPunct/>
        <w:topLinePunct w:val="0"/>
        <w:autoSpaceDE/>
        <w:autoSpaceDN/>
        <w:bidi w:val="0"/>
        <w:adjustRightInd/>
        <w:snapToGrid/>
        <w:spacing w:line="440" w:lineRule="exact"/>
        <w:textAlignment w:val="baseline"/>
        <w:rPr>
          <w:rStyle w:val="13"/>
          <w:rFonts w:ascii="宋体" w:hAnsi="宋体"/>
        </w:rPr>
      </w:pPr>
      <w:r>
        <w:rPr>
          <w:rStyle w:val="13"/>
          <w:rFonts w:ascii="Tahoma" w:hAnsi="Tahoma" w:eastAsia="黑体"/>
          <w:b/>
          <w:szCs w:val="21"/>
        </w:rPr>
        <w:t>说明：本授权委托书用于供应商法定代表人授权委托人出席开标会，并须按此格式提供。</w:t>
      </w:r>
      <w:r>
        <w:rPr>
          <w:rStyle w:val="13"/>
          <w:rFonts w:ascii="宋体" w:hAnsi="宋体"/>
        </w:rPr>
        <w:t xml:space="preserve">   </w:t>
      </w:r>
    </w:p>
    <w:p>
      <w:pPr>
        <w:keepNext w:val="0"/>
        <w:keepLines w:val="0"/>
        <w:pageBreakBefore w:val="0"/>
        <w:widowControl/>
        <w:kinsoku/>
        <w:wordWrap/>
        <w:overflowPunct/>
        <w:topLinePunct w:val="0"/>
        <w:autoSpaceDE/>
        <w:autoSpaceDN/>
        <w:bidi w:val="0"/>
        <w:adjustRightInd/>
        <w:snapToGrid/>
        <w:spacing w:line="440" w:lineRule="exact"/>
        <w:textAlignment w:val="baseline"/>
        <w:rPr>
          <w:rStyle w:val="13"/>
          <w:rFonts w:ascii="宋体" w:hAnsi="宋体"/>
          <w:b/>
          <w:color w:val="000000"/>
          <w:sz w:val="22"/>
          <w:szCs w:val="28"/>
        </w:rPr>
      </w:pPr>
      <w:r>
        <w:rPr>
          <w:rStyle w:val="13"/>
          <w:rFonts w:ascii="宋体" w:hAnsi="宋体"/>
          <w:color w:val="000000"/>
          <w:sz w:val="24"/>
        </w:rPr>
        <w:t>注：</w:t>
      </w:r>
      <w:r>
        <w:rPr>
          <w:rStyle w:val="13"/>
          <w:rFonts w:hint="eastAsia" w:ascii="宋体" w:hAnsi="宋体"/>
          <w:b/>
          <w:color w:val="000000"/>
          <w:sz w:val="22"/>
          <w:szCs w:val="28"/>
        </w:rPr>
        <w:t>被委托人必须是投标单位正式员工，需提供社保部门出具最少提供近一个月的缴纳社保证明（社保缴费凭证及个人明细表）；</w:t>
      </w:r>
    </w:p>
    <w:p>
      <w:pPr>
        <w:pStyle w:val="19"/>
        <w:jc w:val="center"/>
        <w:rPr>
          <w:rStyle w:val="13"/>
          <w:rFonts w:ascii="宋体" w:hAnsi="宋体" w:cs="宋体"/>
          <w:b/>
          <w:bCs/>
          <w:sz w:val="28"/>
        </w:rPr>
      </w:pPr>
      <w:r>
        <w:rPr>
          <w:rStyle w:val="13"/>
          <w:rFonts w:ascii="宋体" w:hAnsi="宋体" w:cs="宋体"/>
          <w:b/>
          <w:bCs/>
          <w:sz w:val="28"/>
        </w:rPr>
        <w:t>十二、人员配备表</w:t>
      </w:r>
    </w:p>
    <w:tbl>
      <w:tblPr>
        <w:tblStyle w:val="10"/>
        <w:tblW w:w="9319" w:type="dxa"/>
        <w:tblInd w:w="-360" w:type="dxa"/>
        <w:tblLayout w:type="fixed"/>
        <w:tblCellMar>
          <w:top w:w="0" w:type="dxa"/>
          <w:left w:w="0" w:type="dxa"/>
          <w:bottom w:w="0" w:type="dxa"/>
          <w:right w:w="0" w:type="dxa"/>
        </w:tblCellMar>
      </w:tblPr>
      <w:tblGrid>
        <w:gridCol w:w="452"/>
        <w:gridCol w:w="2303"/>
        <w:gridCol w:w="870"/>
        <w:gridCol w:w="1578"/>
        <w:gridCol w:w="1312"/>
        <w:gridCol w:w="1034"/>
        <w:gridCol w:w="1770"/>
      </w:tblGrid>
      <w:tr>
        <w:tblPrEx>
          <w:tblCellMar>
            <w:top w:w="0" w:type="dxa"/>
            <w:left w:w="0" w:type="dxa"/>
            <w:bottom w:w="0" w:type="dxa"/>
            <w:right w:w="0" w:type="dxa"/>
          </w:tblCellMar>
        </w:tblPrEx>
        <w:trPr>
          <w:trHeight w:val="711" w:hRule="atLeast"/>
        </w:trPr>
        <w:tc>
          <w:tcPr>
            <w:tcW w:w="7549" w:type="dxa"/>
            <w:gridSpan w:val="6"/>
            <w:tcBorders>
              <w:top w:val="nil"/>
              <w:left w:val="nil"/>
              <w:bottom w:val="single" w:color="000000" w:sz="4" w:space="0"/>
              <w:right w:val="nil"/>
            </w:tcBorders>
            <w:vAlign w:val="bottom"/>
          </w:tcPr>
          <w:p>
            <w:pPr>
              <w:rPr>
                <w:rStyle w:val="13"/>
                <w:rFonts w:ascii="宋体" w:hAnsi="宋体" w:cs="宋体"/>
                <w:bCs/>
                <w:color w:val="000000"/>
                <w:sz w:val="24"/>
              </w:rPr>
            </w:pPr>
            <w:r>
              <w:rPr>
                <w:rStyle w:val="13"/>
                <w:rFonts w:ascii="宋体" w:hAnsi="宋体" w:cs="宋体"/>
                <w:bCs/>
                <w:color w:val="000000"/>
                <w:sz w:val="24"/>
              </w:rPr>
              <w:t>投标人名称：</w:t>
            </w:r>
          </w:p>
        </w:tc>
        <w:tc>
          <w:tcPr>
            <w:tcW w:w="1770" w:type="dxa"/>
            <w:tcBorders>
              <w:top w:val="nil"/>
              <w:left w:val="nil"/>
              <w:bottom w:val="single" w:color="000000" w:sz="4" w:space="0"/>
              <w:right w:val="nil"/>
            </w:tcBorders>
            <w:vAlign w:val="bottom"/>
          </w:tcPr>
          <w:p>
            <w:pPr>
              <w:rPr>
                <w:rStyle w:val="13"/>
                <w:rFonts w:ascii="宋体" w:hAnsi="宋体" w:cs="宋体"/>
                <w:bCs/>
                <w:color w:val="000000"/>
                <w:sz w:val="24"/>
              </w:rPr>
            </w:pPr>
          </w:p>
        </w:tc>
      </w:tr>
      <w:tr>
        <w:tblPrEx>
          <w:tblCellMar>
            <w:top w:w="0" w:type="dxa"/>
            <w:left w:w="0" w:type="dxa"/>
            <w:bottom w:w="0" w:type="dxa"/>
            <w:right w:w="0" w:type="dxa"/>
          </w:tblCellMar>
        </w:tblPrEx>
        <w:trPr>
          <w:trHeight w:val="584" w:hRule="atLeast"/>
        </w:trPr>
        <w:tc>
          <w:tcPr>
            <w:tcW w:w="4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3"/>
                <w:rFonts w:ascii="宋体" w:hAnsi="宋体" w:cs="宋体"/>
                <w:bCs/>
                <w:color w:val="000000"/>
                <w:sz w:val="24"/>
              </w:rPr>
            </w:pPr>
            <w:r>
              <w:rPr>
                <w:rStyle w:val="13"/>
                <w:rFonts w:ascii="宋体" w:hAnsi="宋体" w:cs="宋体"/>
                <w:bCs/>
                <w:color w:val="000000"/>
                <w:sz w:val="24"/>
              </w:rPr>
              <w:t>序号</w:t>
            </w:r>
          </w:p>
        </w:tc>
        <w:tc>
          <w:tcPr>
            <w:tcW w:w="230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3"/>
                <w:rFonts w:ascii="宋体" w:hAnsi="宋体" w:cs="宋体"/>
                <w:bCs/>
                <w:color w:val="000000"/>
                <w:sz w:val="24"/>
              </w:rPr>
            </w:pPr>
            <w:r>
              <w:rPr>
                <w:rStyle w:val="13"/>
                <w:rFonts w:ascii="宋体" w:hAnsi="宋体" w:cs="宋体"/>
                <w:bCs/>
                <w:color w:val="000000"/>
                <w:sz w:val="24"/>
              </w:rPr>
              <w:t>单位名称</w:t>
            </w:r>
          </w:p>
        </w:tc>
        <w:tc>
          <w:tcPr>
            <w:tcW w:w="87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3"/>
                <w:rFonts w:ascii="宋体" w:hAnsi="宋体" w:cs="宋体"/>
                <w:bCs/>
                <w:color w:val="000000"/>
                <w:sz w:val="24"/>
              </w:rPr>
            </w:pPr>
            <w:r>
              <w:rPr>
                <w:rStyle w:val="13"/>
                <w:rFonts w:ascii="宋体" w:hAnsi="宋体" w:cs="宋体"/>
                <w:bCs/>
                <w:color w:val="000000"/>
                <w:sz w:val="24"/>
              </w:rPr>
              <w:t>姓名</w:t>
            </w:r>
          </w:p>
        </w:tc>
        <w:tc>
          <w:tcPr>
            <w:tcW w:w="157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3"/>
                <w:rFonts w:ascii="宋体" w:hAnsi="宋体" w:cs="宋体"/>
                <w:bCs/>
                <w:color w:val="000000"/>
                <w:sz w:val="24"/>
              </w:rPr>
            </w:pPr>
            <w:r>
              <w:rPr>
                <w:rStyle w:val="13"/>
                <w:rFonts w:ascii="宋体" w:hAnsi="宋体"/>
                <w:color w:val="000000"/>
                <w:szCs w:val="21"/>
                <w:lang w:val="zh-CN"/>
              </w:rPr>
              <w:t>证书编号</w:t>
            </w:r>
          </w:p>
        </w:tc>
        <w:tc>
          <w:tcPr>
            <w:tcW w:w="131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3"/>
                <w:rFonts w:ascii="宋体" w:hAnsi="宋体" w:cs="宋体"/>
                <w:bCs/>
                <w:color w:val="000000"/>
                <w:sz w:val="24"/>
              </w:rPr>
            </w:pPr>
            <w:r>
              <w:rPr>
                <w:rStyle w:val="13"/>
                <w:rFonts w:ascii="宋体" w:hAnsi="宋体" w:cs="宋体"/>
                <w:bCs/>
                <w:color w:val="000000"/>
                <w:sz w:val="24"/>
              </w:rPr>
              <w:t>身份证号</w:t>
            </w:r>
          </w:p>
        </w:tc>
        <w:tc>
          <w:tcPr>
            <w:tcW w:w="103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3"/>
                <w:rFonts w:ascii="宋体" w:hAnsi="宋体" w:cs="宋体"/>
                <w:bCs/>
                <w:color w:val="000000"/>
                <w:sz w:val="24"/>
              </w:rPr>
            </w:pPr>
            <w:r>
              <w:rPr>
                <w:rStyle w:val="13"/>
                <w:rFonts w:ascii="宋体" w:hAnsi="宋体" w:cs="宋体"/>
                <w:bCs/>
                <w:color w:val="000000"/>
                <w:sz w:val="24"/>
              </w:rPr>
              <w:t>职称</w:t>
            </w:r>
          </w:p>
        </w:tc>
        <w:tc>
          <w:tcPr>
            <w:tcW w:w="177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3"/>
                <w:rFonts w:ascii="宋体" w:hAnsi="宋体" w:cs="宋体"/>
                <w:bCs/>
                <w:color w:val="000000"/>
                <w:sz w:val="24"/>
              </w:rPr>
            </w:pPr>
            <w:r>
              <w:rPr>
                <w:rStyle w:val="13"/>
                <w:rFonts w:ascii="宋体" w:hAnsi="宋体" w:cs="宋体"/>
                <w:bCs/>
                <w:color w:val="000000"/>
                <w:sz w:val="24"/>
              </w:rPr>
              <w:t>学历</w:t>
            </w:r>
          </w:p>
        </w:tc>
      </w:tr>
      <w:tr>
        <w:tblPrEx>
          <w:tblCellMar>
            <w:top w:w="0" w:type="dxa"/>
            <w:left w:w="0" w:type="dxa"/>
            <w:bottom w:w="0" w:type="dxa"/>
            <w:right w:w="0" w:type="dxa"/>
          </w:tblCellMar>
        </w:tblPrEx>
        <w:trPr>
          <w:trHeight w:val="355" w:hRule="atLeast"/>
        </w:trPr>
        <w:tc>
          <w:tcPr>
            <w:tcW w:w="452" w:type="dxa"/>
            <w:tcBorders>
              <w:top w:val="nil"/>
              <w:left w:val="single" w:color="000000" w:sz="4" w:space="0"/>
              <w:bottom w:val="single" w:color="000000" w:sz="4" w:space="0"/>
              <w:right w:val="single" w:color="000000" w:sz="4" w:space="0"/>
            </w:tcBorders>
            <w:vAlign w:val="center"/>
          </w:tcPr>
          <w:p>
            <w:pPr>
              <w:snapToGrid w:val="0"/>
              <w:jc w:val="center"/>
              <w:rPr>
                <w:rStyle w:val="13"/>
                <w:rFonts w:ascii="宋体" w:hAnsi="宋体" w:cs="宋体"/>
                <w:bCs/>
                <w:color w:val="000000"/>
                <w:sz w:val="24"/>
              </w:rPr>
            </w:pPr>
            <w:r>
              <w:rPr>
                <w:rStyle w:val="13"/>
                <w:rFonts w:ascii="宋体" w:hAnsi="宋体" w:cs="宋体"/>
                <w:bCs/>
                <w:color w:val="000000"/>
                <w:sz w:val="24"/>
              </w:rPr>
              <w:t>1</w:t>
            </w:r>
          </w:p>
        </w:tc>
        <w:tc>
          <w:tcPr>
            <w:tcW w:w="2303" w:type="dxa"/>
            <w:tcBorders>
              <w:top w:val="nil"/>
              <w:left w:val="single" w:color="000000" w:sz="4" w:space="0"/>
              <w:bottom w:val="single" w:color="000000" w:sz="4" w:space="0"/>
              <w:right w:val="single" w:color="000000" w:sz="4" w:space="0"/>
            </w:tcBorders>
            <w:vAlign w:val="center"/>
          </w:tcPr>
          <w:p>
            <w:pPr>
              <w:snapToGrid w:val="0"/>
              <w:jc w:val="center"/>
              <w:rPr>
                <w:rStyle w:val="13"/>
                <w:rFonts w:ascii="宋体" w:hAnsi="宋体" w:cs="宋体"/>
                <w:bCs/>
                <w:color w:val="000000"/>
                <w:sz w:val="24"/>
              </w:rPr>
            </w:pPr>
          </w:p>
        </w:tc>
        <w:tc>
          <w:tcPr>
            <w:tcW w:w="870" w:type="dxa"/>
            <w:tcBorders>
              <w:top w:val="nil"/>
              <w:left w:val="single" w:color="000000" w:sz="4" w:space="0"/>
              <w:bottom w:val="single" w:color="000000" w:sz="4" w:space="0"/>
              <w:right w:val="single" w:color="000000" w:sz="4" w:space="0"/>
            </w:tcBorders>
            <w:vAlign w:val="center"/>
          </w:tcPr>
          <w:p>
            <w:pPr>
              <w:snapToGrid w:val="0"/>
              <w:jc w:val="center"/>
              <w:rPr>
                <w:rStyle w:val="13"/>
                <w:rFonts w:ascii="宋体" w:hAnsi="宋体" w:cs="宋体"/>
                <w:bCs/>
                <w:color w:val="000000"/>
                <w:sz w:val="24"/>
              </w:rPr>
            </w:pPr>
          </w:p>
        </w:tc>
        <w:tc>
          <w:tcPr>
            <w:tcW w:w="157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3"/>
                <w:rFonts w:ascii="宋体" w:hAnsi="宋体" w:cs="宋体"/>
                <w:bCs/>
                <w:color w:val="000000"/>
                <w:sz w:val="24"/>
              </w:rPr>
            </w:pPr>
          </w:p>
        </w:tc>
        <w:tc>
          <w:tcPr>
            <w:tcW w:w="131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3"/>
                <w:rFonts w:ascii="宋体" w:hAnsi="宋体" w:cs="宋体"/>
                <w:bCs/>
                <w:color w:val="000000"/>
                <w:sz w:val="24"/>
              </w:rPr>
            </w:pPr>
          </w:p>
        </w:tc>
        <w:tc>
          <w:tcPr>
            <w:tcW w:w="103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3"/>
                <w:rFonts w:ascii="宋体" w:hAnsi="宋体" w:cs="宋体"/>
                <w:bCs/>
                <w:color w:val="000000"/>
                <w:sz w:val="24"/>
              </w:rPr>
            </w:pPr>
          </w:p>
        </w:tc>
        <w:tc>
          <w:tcPr>
            <w:tcW w:w="177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3"/>
                <w:rFonts w:ascii="宋体" w:hAnsi="宋体" w:cs="宋体"/>
                <w:bCs/>
                <w:color w:val="000000"/>
                <w:sz w:val="24"/>
              </w:rPr>
            </w:pPr>
          </w:p>
        </w:tc>
      </w:tr>
      <w:tr>
        <w:tblPrEx>
          <w:tblCellMar>
            <w:top w:w="0" w:type="dxa"/>
            <w:left w:w="0" w:type="dxa"/>
            <w:bottom w:w="0" w:type="dxa"/>
            <w:right w:w="0" w:type="dxa"/>
          </w:tblCellMar>
        </w:tblPrEx>
        <w:trPr>
          <w:trHeight w:val="420" w:hRule="atLeast"/>
        </w:trPr>
        <w:tc>
          <w:tcPr>
            <w:tcW w:w="452" w:type="dxa"/>
            <w:tcBorders>
              <w:top w:val="nil"/>
              <w:left w:val="single" w:color="000000" w:sz="4" w:space="0"/>
              <w:bottom w:val="single" w:color="000000" w:sz="4" w:space="0"/>
              <w:right w:val="single" w:color="000000" w:sz="4" w:space="0"/>
            </w:tcBorders>
            <w:vAlign w:val="center"/>
          </w:tcPr>
          <w:p>
            <w:pPr>
              <w:jc w:val="center"/>
              <w:rPr>
                <w:rStyle w:val="13"/>
                <w:rFonts w:ascii="宋体" w:hAnsi="宋体" w:cs="宋体"/>
                <w:bCs/>
                <w:color w:val="000000"/>
                <w:sz w:val="24"/>
              </w:rPr>
            </w:pPr>
            <w:r>
              <w:rPr>
                <w:rStyle w:val="13"/>
                <w:rFonts w:ascii="宋体" w:hAnsi="宋体" w:cs="宋体"/>
                <w:bCs/>
                <w:color w:val="000000"/>
                <w:sz w:val="24"/>
              </w:rPr>
              <w:t>2</w:t>
            </w:r>
          </w:p>
        </w:tc>
        <w:tc>
          <w:tcPr>
            <w:tcW w:w="2303" w:type="dxa"/>
            <w:tcBorders>
              <w:top w:val="nil"/>
              <w:left w:val="single" w:color="000000" w:sz="4" w:space="0"/>
              <w:bottom w:val="single" w:color="000000" w:sz="4" w:space="0"/>
              <w:right w:val="single" w:color="000000" w:sz="4" w:space="0"/>
            </w:tcBorders>
            <w:vAlign w:val="center"/>
          </w:tcPr>
          <w:p>
            <w:pPr>
              <w:jc w:val="center"/>
              <w:rPr>
                <w:rStyle w:val="13"/>
                <w:rFonts w:ascii="宋体" w:hAnsi="宋体" w:cs="宋体"/>
                <w:bCs/>
                <w:color w:val="000000"/>
                <w:sz w:val="24"/>
              </w:rPr>
            </w:pPr>
          </w:p>
        </w:tc>
        <w:tc>
          <w:tcPr>
            <w:tcW w:w="870" w:type="dxa"/>
            <w:tcBorders>
              <w:top w:val="nil"/>
              <w:left w:val="single" w:color="000000" w:sz="4" w:space="0"/>
              <w:bottom w:val="single" w:color="000000" w:sz="4" w:space="0"/>
              <w:right w:val="single" w:color="000000" w:sz="4" w:space="0"/>
            </w:tcBorders>
            <w:vAlign w:val="center"/>
          </w:tcPr>
          <w:p>
            <w:pPr>
              <w:jc w:val="center"/>
              <w:rPr>
                <w:rStyle w:val="13"/>
                <w:rFonts w:ascii="宋体" w:hAnsi="宋体" w:cs="宋体"/>
                <w:bCs/>
                <w:color w:val="000000"/>
                <w:sz w:val="24"/>
              </w:rPr>
            </w:pPr>
          </w:p>
        </w:tc>
        <w:tc>
          <w:tcPr>
            <w:tcW w:w="1578" w:type="dxa"/>
            <w:tcBorders>
              <w:top w:val="single" w:color="000000" w:sz="4" w:space="0"/>
              <w:left w:val="nil"/>
              <w:bottom w:val="single" w:color="000000" w:sz="4" w:space="0"/>
              <w:right w:val="single" w:color="000000" w:sz="4" w:space="0"/>
            </w:tcBorders>
            <w:vAlign w:val="center"/>
          </w:tcPr>
          <w:p>
            <w:pPr>
              <w:jc w:val="center"/>
              <w:rPr>
                <w:rStyle w:val="13"/>
                <w:rFonts w:ascii="宋体" w:hAnsi="宋体" w:cs="宋体"/>
                <w:bCs/>
                <w:color w:val="000000"/>
                <w:sz w:val="24"/>
              </w:rPr>
            </w:pPr>
          </w:p>
        </w:tc>
        <w:tc>
          <w:tcPr>
            <w:tcW w:w="1312"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s="宋体"/>
                <w:bCs/>
                <w:color w:val="000000"/>
                <w:sz w:val="24"/>
              </w:rPr>
            </w:pPr>
          </w:p>
        </w:tc>
        <w:tc>
          <w:tcPr>
            <w:tcW w:w="1034"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s="宋体"/>
                <w:bCs/>
                <w:color w:val="000000"/>
                <w:sz w:val="24"/>
              </w:rPr>
            </w:pPr>
          </w:p>
        </w:tc>
        <w:tc>
          <w:tcPr>
            <w:tcW w:w="177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s="宋体"/>
                <w:bCs/>
                <w:color w:val="000000"/>
                <w:sz w:val="24"/>
              </w:rPr>
            </w:pPr>
          </w:p>
        </w:tc>
      </w:tr>
      <w:tr>
        <w:tblPrEx>
          <w:tblCellMar>
            <w:top w:w="0" w:type="dxa"/>
            <w:left w:w="0" w:type="dxa"/>
            <w:bottom w:w="0" w:type="dxa"/>
            <w:right w:w="0" w:type="dxa"/>
          </w:tblCellMar>
        </w:tblPrEx>
        <w:trPr>
          <w:trHeight w:val="356" w:hRule="atLeast"/>
        </w:trPr>
        <w:tc>
          <w:tcPr>
            <w:tcW w:w="452"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s="宋体"/>
                <w:bCs/>
                <w:color w:val="000000"/>
                <w:sz w:val="24"/>
              </w:rPr>
            </w:pPr>
            <w:r>
              <w:rPr>
                <w:rStyle w:val="13"/>
                <w:rFonts w:ascii="宋体" w:hAnsi="宋体" w:cs="宋体"/>
                <w:bCs/>
                <w:color w:val="000000"/>
                <w:sz w:val="24"/>
              </w:rPr>
              <w:t>3</w:t>
            </w:r>
          </w:p>
        </w:tc>
        <w:tc>
          <w:tcPr>
            <w:tcW w:w="2303"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s="宋体"/>
                <w:bCs/>
                <w:color w:val="000000"/>
                <w:sz w:val="24"/>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s="宋体"/>
                <w:bCs/>
                <w:color w:val="000000"/>
                <w:sz w:val="24"/>
              </w:rPr>
            </w:pPr>
          </w:p>
        </w:tc>
        <w:tc>
          <w:tcPr>
            <w:tcW w:w="1578" w:type="dxa"/>
            <w:tcBorders>
              <w:top w:val="single" w:color="000000" w:sz="4" w:space="0"/>
              <w:left w:val="nil"/>
              <w:bottom w:val="single" w:color="000000" w:sz="4" w:space="0"/>
              <w:right w:val="single" w:color="000000" w:sz="4" w:space="0"/>
            </w:tcBorders>
            <w:vAlign w:val="center"/>
          </w:tcPr>
          <w:p>
            <w:pPr>
              <w:jc w:val="center"/>
              <w:rPr>
                <w:rStyle w:val="13"/>
                <w:rFonts w:ascii="宋体" w:hAnsi="宋体" w:cs="宋体"/>
                <w:bCs/>
                <w:color w:val="000000"/>
                <w:sz w:val="24"/>
              </w:rPr>
            </w:pPr>
          </w:p>
        </w:tc>
        <w:tc>
          <w:tcPr>
            <w:tcW w:w="1312"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s="宋体"/>
                <w:bCs/>
                <w:color w:val="000000"/>
                <w:sz w:val="24"/>
              </w:rPr>
            </w:pPr>
          </w:p>
        </w:tc>
        <w:tc>
          <w:tcPr>
            <w:tcW w:w="1034"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s="宋体"/>
                <w:bCs/>
                <w:color w:val="000000"/>
                <w:sz w:val="24"/>
              </w:rPr>
            </w:pPr>
          </w:p>
        </w:tc>
        <w:tc>
          <w:tcPr>
            <w:tcW w:w="177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s="宋体"/>
                <w:bCs/>
                <w:color w:val="000000"/>
                <w:sz w:val="24"/>
              </w:rPr>
            </w:pPr>
          </w:p>
        </w:tc>
      </w:tr>
      <w:tr>
        <w:tblPrEx>
          <w:tblCellMar>
            <w:top w:w="0" w:type="dxa"/>
            <w:left w:w="0" w:type="dxa"/>
            <w:bottom w:w="0" w:type="dxa"/>
            <w:right w:w="0" w:type="dxa"/>
          </w:tblCellMar>
        </w:tblPrEx>
        <w:trPr>
          <w:trHeight w:val="356" w:hRule="atLeast"/>
        </w:trPr>
        <w:tc>
          <w:tcPr>
            <w:tcW w:w="452"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s="宋体"/>
                <w:bCs/>
                <w:color w:val="000000"/>
                <w:sz w:val="24"/>
              </w:rPr>
            </w:pPr>
            <w:r>
              <w:rPr>
                <w:rStyle w:val="13"/>
                <w:rFonts w:ascii="宋体" w:hAnsi="宋体" w:cs="宋体"/>
                <w:bCs/>
                <w:color w:val="000000"/>
                <w:sz w:val="24"/>
              </w:rPr>
              <w:t>4</w:t>
            </w:r>
          </w:p>
        </w:tc>
        <w:tc>
          <w:tcPr>
            <w:tcW w:w="2303"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s="宋体"/>
                <w:bCs/>
                <w:color w:val="000000"/>
                <w:sz w:val="24"/>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s="宋体"/>
                <w:bCs/>
                <w:color w:val="000000"/>
                <w:sz w:val="24"/>
              </w:rPr>
            </w:pPr>
          </w:p>
        </w:tc>
        <w:tc>
          <w:tcPr>
            <w:tcW w:w="1578" w:type="dxa"/>
            <w:tcBorders>
              <w:top w:val="single" w:color="000000" w:sz="4" w:space="0"/>
              <w:left w:val="nil"/>
              <w:bottom w:val="single" w:color="000000" w:sz="4" w:space="0"/>
              <w:right w:val="single" w:color="000000" w:sz="4" w:space="0"/>
            </w:tcBorders>
            <w:vAlign w:val="center"/>
          </w:tcPr>
          <w:p>
            <w:pPr>
              <w:jc w:val="center"/>
              <w:rPr>
                <w:rStyle w:val="13"/>
                <w:rFonts w:ascii="宋体" w:hAnsi="宋体" w:cs="宋体"/>
                <w:bCs/>
                <w:color w:val="000000"/>
                <w:sz w:val="24"/>
              </w:rPr>
            </w:pPr>
          </w:p>
        </w:tc>
        <w:tc>
          <w:tcPr>
            <w:tcW w:w="1312"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s="宋体"/>
                <w:bCs/>
                <w:color w:val="000000"/>
                <w:sz w:val="24"/>
              </w:rPr>
            </w:pPr>
          </w:p>
        </w:tc>
        <w:tc>
          <w:tcPr>
            <w:tcW w:w="1034"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s="宋体"/>
                <w:bCs/>
                <w:color w:val="000000"/>
                <w:sz w:val="24"/>
              </w:rPr>
            </w:pPr>
          </w:p>
        </w:tc>
        <w:tc>
          <w:tcPr>
            <w:tcW w:w="177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s="宋体"/>
                <w:bCs/>
                <w:color w:val="000000"/>
                <w:sz w:val="24"/>
              </w:rPr>
            </w:pPr>
          </w:p>
        </w:tc>
      </w:tr>
      <w:tr>
        <w:tblPrEx>
          <w:tblCellMar>
            <w:top w:w="0" w:type="dxa"/>
            <w:left w:w="0" w:type="dxa"/>
            <w:bottom w:w="0" w:type="dxa"/>
            <w:right w:w="0" w:type="dxa"/>
          </w:tblCellMar>
        </w:tblPrEx>
        <w:trPr>
          <w:trHeight w:val="1296" w:hRule="atLeast"/>
        </w:trPr>
        <w:tc>
          <w:tcPr>
            <w:tcW w:w="452"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s="宋体"/>
                <w:bCs/>
                <w:color w:val="000000"/>
                <w:sz w:val="24"/>
              </w:rPr>
            </w:pPr>
            <w:r>
              <w:rPr>
                <w:rStyle w:val="13"/>
                <w:rFonts w:ascii="宋体" w:hAnsi="宋体" w:cs="宋体"/>
                <w:bCs/>
                <w:color w:val="000000"/>
                <w:sz w:val="24"/>
              </w:rPr>
              <w:t>....</w:t>
            </w:r>
          </w:p>
        </w:tc>
        <w:tc>
          <w:tcPr>
            <w:tcW w:w="2303"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s="宋体"/>
                <w:bCs/>
                <w:color w:val="000000"/>
                <w:sz w:val="24"/>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s="宋体"/>
                <w:bCs/>
                <w:color w:val="000000"/>
                <w:sz w:val="24"/>
              </w:rPr>
            </w:pPr>
          </w:p>
        </w:tc>
        <w:tc>
          <w:tcPr>
            <w:tcW w:w="1578" w:type="dxa"/>
            <w:tcBorders>
              <w:top w:val="single" w:color="000000" w:sz="4" w:space="0"/>
              <w:left w:val="nil"/>
              <w:bottom w:val="single" w:color="000000" w:sz="4" w:space="0"/>
              <w:right w:val="single" w:color="000000" w:sz="4" w:space="0"/>
            </w:tcBorders>
            <w:vAlign w:val="center"/>
          </w:tcPr>
          <w:p>
            <w:pPr>
              <w:jc w:val="center"/>
              <w:rPr>
                <w:rStyle w:val="13"/>
                <w:rFonts w:ascii="宋体" w:hAnsi="宋体" w:cs="宋体"/>
                <w:bCs/>
                <w:color w:val="000000"/>
                <w:sz w:val="24"/>
              </w:rPr>
            </w:pPr>
          </w:p>
        </w:tc>
        <w:tc>
          <w:tcPr>
            <w:tcW w:w="1312"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s="宋体"/>
                <w:bCs/>
                <w:color w:val="000000"/>
                <w:sz w:val="24"/>
              </w:rPr>
            </w:pPr>
          </w:p>
        </w:tc>
        <w:tc>
          <w:tcPr>
            <w:tcW w:w="1034"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s="宋体"/>
                <w:bCs/>
                <w:color w:val="000000"/>
                <w:sz w:val="24"/>
              </w:rPr>
            </w:pPr>
          </w:p>
        </w:tc>
        <w:tc>
          <w:tcPr>
            <w:tcW w:w="177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s="宋体"/>
                <w:bCs/>
                <w:color w:val="000000"/>
                <w:sz w:val="24"/>
              </w:rPr>
            </w:pPr>
          </w:p>
        </w:tc>
      </w:tr>
    </w:tbl>
    <w:p>
      <w:pPr>
        <w:jc w:val="center"/>
        <w:rPr>
          <w:rStyle w:val="13"/>
          <w:rFonts w:ascii="宋体" w:hAnsi="宋体"/>
          <w:b/>
          <w:color w:val="000000"/>
          <w:szCs w:val="21"/>
        </w:rPr>
      </w:pPr>
    </w:p>
    <w:p>
      <w:pPr>
        <w:jc w:val="center"/>
        <w:rPr>
          <w:rStyle w:val="13"/>
          <w:rFonts w:ascii="宋体" w:hAnsi="宋体"/>
          <w:b/>
          <w:color w:val="000000"/>
          <w:szCs w:val="21"/>
        </w:rPr>
      </w:pPr>
    </w:p>
    <w:p>
      <w:pPr>
        <w:snapToGrid w:val="0"/>
        <w:ind w:left="315"/>
        <w:rPr>
          <w:rStyle w:val="13"/>
          <w:rFonts w:ascii="宋体" w:hAnsi="宋体"/>
          <w:b/>
          <w:color w:val="000000"/>
          <w:sz w:val="28"/>
          <w:szCs w:val="28"/>
        </w:rPr>
      </w:pPr>
      <w:r>
        <w:rPr>
          <w:rStyle w:val="13"/>
          <w:rFonts w:ascii="宋体" w:hAnsi="宋体"/>
          <w:b/>
          <w:color w:val="000000"/>
          <w:sz w:val="28"/>
          <w:szCs w:val="28"/>
        </w:rPr>
        <w:t>注：上述人员职称证书、身份证、学历证书等复印件及近期社保缴纳证明等材料。</w:t>
      </w:r>
    </w:p>
    <w:p>
      <w:pPr>
        <w:pStyle w:val="2"/>
        <w:rPr>
          <w:rStyle w:val="13"/>
        </w:rPr>
      </w:pPr>
    </w:p>
    <w:p>
      <w:pPr>
        <w:spacing w:line="640" w:lineRule="exact"/>
        <w:rPr>
          <w:rStyle w:val="13"/>
          <w:rFonts w:ascii="宋体" w:hAnsi="宋体"/>
          <w:color w:val="000000"/>
          <w:sz w:val="28"/>
          <w:szCs w:val="28"/>
        </w:rPr>
      </w:pPr>
      <w:r>
        <w:rPr>
          <w:rStyle w:val="13"/>
          <w:rFonts w:ascii="宋体" w:hAnsi="宋体"/>
          <w:color w:val="000000"/>
          <w:sz w:val="28"/>
          <w:szCs w:val="28"/>
        </w:rPr>
        <w:t xml:space="preserve">  投标单位名称（单位公章）： </w:t>
      </w:r>
      <w:r>
        <w:rPr>
          <w:rStyle w:val="13"/>
          <w:rFonts w:ascii="宋体" w:hAnsi="宋体"/>
          <w:color w:val="000000"/>
          <w:sz w:val="28"/>
          <w:szCs w:val="28"/>
          <w:u w:val="single"/>
        </w:rPr>
        <w:t xml:space="preserve">                              </w:t>
      </w:r>
    </w:p>
    <w:p>
      <w:pPr>
        <w:spacing w:line="640" w:lineRule="exact"/>
        <w:ind w:firstLine="280" w:firstLineChars="100"/>
        <w:rPr>
          <w:rStyle w:val="13"/>
          <w:rFonts w:ascii="宋体" w:hAnsi="宋体"/>
          <w:color w:val="000000"/>
          <w:sz w:val="28"/>
          <w:szCs w:val="28"/>
          <w:u w:val="single"/>
        </w:rPr>
      </w:pPr>
      <w:r>
        <w:rPr>
          <w:rStyle w:val="13"/>
          <w:rFonts w:ascii="宋体" w:hAnsi="宋体"/>
          <w:color w:val="000000"/>
          <w:sz w:val="28"/>
          <w:szCs w:val="28"/>
        </w:rPr>
        <w:t>法定代表人或授权代表人（签字或盖章）：</w:t>
      </w:r>
      <w:r>
        <w:rPr>
          <w:rStyle w:val="13"/>
          <w:rFonts w:ascii="宋体" w:hAnsi="宋体"/>
          <w:color w:val="000000"/>
          <w:sz w:val="28"/>
          <w:szCs w:val="28"/>
          <w:u w:val="single"/>
        </w:rPr>
        <w:t xml:space="preserve">                </w:t>
      </w:r>
    </w:p>
    <w:p>
      <w:pPr>
        <w:ind w:firstLine="280" w:firstLineChars="100"/>
        <w:rPr>
          <w:rStyle w:val="13"/>
        </w:rPr>
      </w:pPr>
      <w:r>
        <w:rPr>
          <w:rStyle w:val="13"/>
          <w:rFonts w:ascii="宋体" w:hAnsi="宋体"/>
          <w:color w:val="000000"/>
          <w:sz w:val="28"/>
          <w:szCs w:val="28"/>
        </w:rPr>
        <w:t>日 期:</w:t>
      </w:r>
      <w:r>
        <w:rPr>
          <w:rStyle w:val="13"/>
          <w:rFonts w:ascii="宋体" w:hAnsi="宋体"/>
          <w:color w:val="000000"/>
          <w:sz w:val="28"/>
          <w:szCs w:val="28"/>
          <w:u w:val="single"/>
        </w:rPr>
        <w:t xml:space="preserve">  </w:t>
      </w:r>
    </w:p>
    <w:p>
      <w:pPr>
        <w:pStyle w:val="20"/>
        <w:rPr>
          <w:rStyle w:val="13"/>
        </w:rPr>
      </w:pPr>
    </w:p>
    <w:p>
      <w:pPr>
        <w:rPr>
          <w:rStyle w:val="13"/>
        </w:rPr>
      </w:pPr>
    </w:p>
    <w:p>
      <w:pPr>
        <w:pStyle w:val="20"/>
        <w:rPr>
          <w:rStyle w:val="13"/>
        </w:rPr>
      </w:pPr>
    </w:p>
    <w:p>
      <w:pPr>
        <w:rPr>
          <w:rStyle w:val="13"/>
        </w:rPr>
      </w:pPr>
    </w:p>
    <w:p>
      <w:pPr>
        <w:pStyle w:val="20"/>
        <w:rPr>
          <w:rStyle w:val="13"/>
        </w:rPr>
      </w:pPr>
    </w:p>
    <w:p>
      <w:pPr>
        <w:rPr>
          <w:rStyle w:val="13"/>
        </w:rPr>
      </w:pPr>
    </w:p>
    <w:p>
      <w:pPr>
        <w:pStyle w:val="19"/>
        <w:spacing w:line="240" w:lineRule="auto"/>
        <w:jc w:val="center"/>
        <w:rPr>
          <w:rStyle w:val="13"/>
          <w:rFonts w:ascii="宋体" w:hAnsi="宋体" w:eastAsia="宋体" w:cs="宋体"/>
          <w:b/>
          <w:bCs/>
          <w:color w:val="000000"/>
          <w:kern w:val="0"/>
          <w:szCs w:val="21"/>
        </w:rPr>
      </w:pPr>
      <w:r>
        <w:rPr>
          <w:rStyle w:val="13"/>
          <w:rFonts w:ascii="宋体" w:hAnsi="宋体" w:eastAsia="宋体" w:cs="宋体"/>
          <w:b/>
          <w:bCs/>
          <w:color w:val="000000"/>
          <w:sz w:val="28"/>
          <w:szCs w:val="28"/>
        </w:rPr>
        <w:t>十三、近三年类似业绩情况表及相关证明</w:t>
      </w:r>
    </w:p>
    <w:tbl>
      <w:tblPr>
        <w:tblStyle w:val="10"/>
        <w:tblW w:w="8237" w:type="dxa"/>
        <w:tblInd w:w="-15" w:type="dxa"/>
        <w:tblLayout w:type="fixed"/>
        <w:tblCellMar>
          <w:top w:w="0" w:type="dxa"/>
          <w:left w:w="0" w:type="dxa"/>
          <w:bottom w:w="0" w:type="dxa"/>
          <w:right w:w="0" w:type="dxa"/>
        </w:tblCellMar>
      </w:tblPr>
      <w:tblGrid>
        <w:gridCol w:w="640"/>
        <w:gridCol w:w="2460"/>
        <w:gridCol w:w="1168"/>
        <w:gridCol w:w="1276"/>
        <w:gridCol w:w="1275"/>
        <w:gridCol w:w="1418"/>
      </w:tblGrid>
      <w:tr>
        <w:tblPrEx>
          <w:tblCellMar>
            <w:top w:w="0" w:type="dxa"/>
            <w:left w:w="0" w:type="dxa"/>
            <w:bottom w:w="0" w:type="dxa"/>
            <w:right w:w="0" w:type="dxa"/>
          </w:tblCellMar>
        </w:tblPrEx>
        <w:trPr>
          <w:trHeight w:val="750" w:hRule="atLeast"/>
        </w:trPr>
        <w:tc>
          <w:tcPr>
            <w:tcW w:w="8237" w:type="dxa"/>
            <w:gridSpan w:val="6"/>
            <w:tcBorders>
              <w:top w:val="nil"/>
              <w:left w:val="nil"/>
              <w:bottom w:val="nil"/>
              <w:right w:val="nil"/>
            </w:tcBorders>
            <w:vAlign w:val="bottom"/>
          </w:tcPr>
          <w:p>
            <w:pPr>
              <w:rPr>
                <w:rStyle w:val="13"/>
                <w:rFonts w:ascii="宋体" w:hAnsi="宋体"/>
                <w:color w:val="000000"/>
                <w:szCs w:val="21"/>
              </w:rPr>
            </w:pPr>
            <w:r>
              <w:rPr>
                <w:rStyle w:val="13"/>
                <w:rFonts w:ascii="宋体" w:hAnsi="宋体"/>
                <w:color w:val="000000"/>
                <w:szCs w:val="21"/>
              </w:rPr>
              <w:t>投标人名称：                                                  单位：万元</w:t>
            </w:r>
          </w:p>
        </w:tc>
      </w:tr>
      <w:tr>
        <w:tblPrEx>
          <w:tblCellMar>
            <w:top w:w="0" w:type="dxa"/>
            <w:left w:w="0" w:type="dxa"/>
            <w:bottom w:w="0" w:type="dxa"/>
            <w:right w:w="0" w:type="dxa"/>
          </w:tblCellMar>
        </w:tblPrEx>
        <w:trPr>
          <w:trHeight w:val="1005" w:hRule="atLeast"/>
        </w:trPr>
        <w:tc>
          <w:tcPr>
            <w:tcW w:w="64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szCs w:val="21"/>
              </w:rPr>
            </w:pPr>
            <w:r>
              <w:rPr>
                <w:rStyle w:val="13"/>
                <w:rFonts w:ascii="宋体" w:hAnsi="宋体"/>
                <w:color w:val="000000"/>
                <w:szCs w:val="21"/>
              </w:rPr>
              <w:t>序号</w:t>
            </w:r>
          </w:p>
        </w:tc>
        <w:tc>
          <w:tcPr>
            <w:tcW w:w="2460" w:type="dxa"/>
            <w:tcBorders>
              <w:top w:val="single" w:color="000000" w:sz="4" w:space="0"/>
              <w:left w:val="nil"/>
              <w:bottom w:val="single" w:color="000000" w:sz="4" w:space="0"/>
              <w:right w:val="single" w:color="000000" w:sz="4" w:space="0"/>
            </w:tcBorders>
            <w:vAlign w:val="center"/>
          </w:tcPr>
          <w:p>
            <w:pPr>
              <w:jc w:val="center"/>
              <w:rPr>
                <w:rStyle w:val="13"/>
                <w:rFonts w:ascii="宋体" w:hAnsi="宋体"/>
                <w:color w:val="000000"/>
              </w:rPr>
            </w:pPr>
            <w:r>
              <w:rPr>
                <w:rStyle w:val="13"/>
                <w:rFonts w:ascii="宋体" w:hAnsi="宋体"/>
                <w:color w:val="000000"/>
                <w:szCs w:val="21"/>
              </w:rPr>
              <w:t>项目名称</w:t>
            </w:r>
          </w:p>
        </w:tc>
        <w:tc>
          <w:tcPr>
            <w:tcW w:w="1168" w:type="dxa"/>
            <w:tcBorders>
              <w:top w:val="single" w:color="000000" w:sz="4" w:space="0"/>
              <w:left w:val="nil"/>
              <w:bottom w:val="single" w:color="000000" w:sz="4" w:space="0"/>
              <w:right w:val="single" w:color="000000" w:sz="4" w:space="0"/>
            </w:tcBorders>
            <w:vAlign w:val="center"/>
          </w:tcPr>
          <w:p>
            <w:pPr>
              <w:jc w:val="center"/>
              <w:rPr>
                <w:rStyle w:val="13"/>
                <w:rFonts w:ascii="宋体" w:hAnsi="宋体"/>
                <w:color w:val="000000"/>
                <w:szCs w:val="21"/>
              </w:rPr>
            </w:pPr>
            <w:r>
              <w:rPr>
                <w:rStyle w:val="13"/>
                <w:rFonts w:ascii="宋体" w:hAnsi="宋体"/>
                <w:color w:val="000000"/>
                <w:szCs w:val="21"/>
              </w:rPr>
              <w:t>委托单位</w:t>
            </w:r>
          </w:p>
        </w:tc>
        <w:tc>
          <w:tcPr>
            <w:tcW w:w="1276" w:type="dxa"/>
            <w:tcBorders>
              <w:top w:val="single" w:color="000000" w:sz="4" w:space="0"/>
              <w:left w:val="nil"/>
              <w:bottom w:val="single" w:color="000000" w:sz="4" w:space="0"/>
              <w:right w:val="single" w:color="000000" w:sz="4" w:space="0"/>
            </w:tcBorders>
            <w:vAlign w:val="center"/>
          </w:tcPr>
          <w:p>
            <w:pPr>
              <w:jc w:val="center"/>
              <w:rPr>
                <w:rStyle w:val="13"/>
                <w:rFonts w:ascii="宋体" w:hAnsi="宋体"/>
                <w:color w:val="000000"/>
                <w:szCs w:val="21"/>
              </w:rPr>
            </w:pPr>
            <w:r>
              <w:rPr>
                <w:rStyle w:val="13"/>
                <w:rFonts w:ascii="宋体" w:hAnsi="宋体"/>
                <w:color w:val="000000"/>
                <w:szCs w:val="21"/>
              </w:rPr>
              <w:t>联系人</w:t>
            </w:r>
          </w:p>
        </w:tc>
        <w:tc>
          <w:tcPr>
            <w:tcW w:w="1275" w:type="dxa"/>
            <w:tcBorders>
              <w:top w:val="single" w:color="000000" w:sz="4" w:space="0"/>
              <w:left w:val="nil"/>
              <w:bottom w:val="single" w:color="000000" w:sz="4" w:space="0"/>
              <w:right w:val="single" w:color="000000" w:sz="4" w:space="0"/>
            </w:tcBorders>
            <w:vAlign w:val="center"/>
          </w:tcPr>
          <w:p>
            <w:pPr>
              <w:jc w:val="center"/>
              <w:rPr>
                <w:rStyle w:val="13"/>
                <w:rFonts w:ascii="宋体" w:hAnsi="宋体"/>
                <w:color w:val="000000"/>
                <w:szCs w:val="21"/>
              </w:rPr>
            </w:pPr>
            <w:r>
              <w:rPr>
                <w:rStyle w:val="13"/>
                <w:rFonts w:ascii="宋体" w:hAnsi="宋体"/>
                <w:color w:val="000000"/>
                <w:szCs w:val="21"/>
              </w:rPr>
              <w:t>中标价（元）</w:t>
            </w:r>
          </w:p>
        </w:tc>
        <w:tc>
          <w:tcPr>
            <w:tcW w:w="1418" w:type="dxa"/>
            <w:tcBorders>
              <w:top w:val="single" w:color="000000" w:sz="4" w:space="0"/>
              <w:left w:val="nil"/>
              <w:bottom w:val="single" w:color="000000" w:sz="4" w:space="0"/>
              <w:right w:val="single" w:color="000000" w:sz="4" w:space="0"/>
            </w:tcBorders>
            <w:vAlign w:val="center"/>
          </w:tcPr>
          <w:p>
            <w:pPr>
              <w:jc w:val="center"/>
              <w:rPr>
                <w:rStyle w:val="13"/>
                <w:rFonts w:ascii="宋体" w:hAnsi="宋体"/>
                <w:color w:val="000000"/>
                <w:szCs w:val="21"/>
              </w:rPr>
            </w:pPr>
            <w:r>
              <w:rPr>
                <w:rStyle w:val="13"/>
                <w:rFonts w:ascii="宋体" w:hAnsi="宋体"/>
                <w:color w:val="000000"/>
                <w:szCs w:val="21"/>
              </w:rPr>
              <w:t>备注</w:t>
            </w:r>
          </w:p>
        </w:tc>
      </w:tr>
      <w:tr>
        <w:tblPrEx>
          <w:tblCellMar>
            <w:top w:w="0" w:type="dxa"/>
            <w:left w:w="0" w:type="dxa"/>
            <w:bottom w:w="0" w:type="dxa"/>
            <w:right w:w="0" w:type="dxa"/>
          </w:tblCellMar>
        </w:tblPrEx>
        <w:trPr>
          <w:trHeight w:val="661" w:hRule="atLeast"/>
        </w:trPr>
        <w:tc>
          <w:tcPr>
            <w:tcW w:w="640" w:type="dxa"/>
            <w:tcBorders>
              <w:top w:val="nil"/>
              <w:left w:val="single" w:color="000000" w:sz="4" w:space="0"/>
              <w:bottom w:val="single" w:color="000000" w:sz="4" w:space="0"/>
              <w:right w:val="single" w:color="000000" w:sz="4" w:space="0"/>
            </w:tcBorders>
            <w:vAlign w:val="center"/>
          </w:tcPr>
          <w:p>
            <w:pPr>
              <w:jc w:val="center"/>
              <w:rPr>
                <w:rStyle w:val="13"/>
                <w:rFonts w:ascii="宋体" w:hAnsi="宋体"/>
                <w:color w:val="000000"/>
                <w:szCs w:val="21"/>
              </w:rPr>
            </w:pPr>
            <w:r>
              <w:rPr>
                <w:rStyle w:val="13"/>
                <w:rFonts w:ascii="宋体" w:hAnsi="宋体"/>
                <w:color w:val="000000"/>
                <w:szCs w:val="21"/>
              </w:rPr>
              <w:t>1</w:t>
            </w:r>
          </w:p>
        </w:tc>
        <w:tc>
          <w:tcPr>
            <w:tcW w:w="2460" w:type="dxa"/>
            <w:tcBorders>
              <w:top w:val="nil"/>
              <w:left w:val="nil"/>
              <w:bottom w:val="single" w:color="000000" w:sz="4" w:space="0"/>
              <w:right w:val="single" w:color="000000" w:sz="4" w:space="0"/>
            </w:tcBorders>
            <w:vAlign w:val="center"/>
          </w:tcPr>
          <w:p>
            <w:pPr>
              <w:rPr>
                <w:rStyle w:val="13"/>
                <w:rFonts w:ascii="宋体" w:hAnsi="宋体"/>
                <w:color w:val="000000"/>
                <w:szCs w:val="21"/>
              </w:rPr>
            </w:pPr>
            <w:r>
              <w:rPr>
                <w:rStyle w:val="13"/>
                <w:rFonts w:ascii="宋体" w:hAnsi="宋体"/>
                <w:color w:val="000000"/>
                <w:szCs w:val="21"/>
              </w:rPr>
              <w:t>　</w:t>
            </w:r>
          </w:p>
        </w:tc>
        <w:tc>
          <w:tcPr>
            <w:tcW w:w="1168" w:type="dxa"/>
            <w:tcBorders>
              <w:top w:val="nil"/>
              <w:left w:val="nil"/>
              <w:bottom w:val="single" w:color="000000" w:sz="4" w:space="0"/>
              <w:right w:val="single" w:color="000000" w:sz="4" w:space="0"/>
            </w:tcBorders>
            <w:vAlign w:val="center"/>
          </w:tcPr>
          <w:p>
            <w:pPr>
              <w:jc w:val="center"/>
              <w:rPr>
                <w:rStyle w:val="13"/>
                <w:rFonts w:ascii="宋体" w:hAnsi="宋体"/>
                <w:color w:val="000000"/>
                <w:szCs w:val="21"/>
              </w:rPr>
            </w:pPr>
            <w:r>
              <w:rPr>
                <w:rStyle w:val="13"/>
                <w:rFonts w:ascii="宋体" w:hAnsi="宋体"/>
                <w:color w:val="000000"/>
                <w:szCs w:val="21"/>
              </w:rPr>
              <w:t>　</w:t>
            </w:r>
          </w:p>
        </w:tc>
        <w:tc>
          <w:tcPr>
            <w:tcW w:w="1276" w:type="dxa"/>
            <w:tcBorders>
              <w:top w:val="nil"/>
              <w:left w:val="nil"/>
              <w:bottom w:val="single" w:color="000000" w:sz="4" w:space="0"/>
              <w:right w:val="single" w:color="000000" w:sz="4" w:space="0"/>
            </w:tcBorders>
            <w:vAlign w:val="center"/>
          </w:tcPr>
          <w:p>
            <w:pPr>
              <w:jc w:val="center"/>
              <w:rPr>
                <w:rStyle w:val="13"/>
                <w:rFonts w:ascii="宋体" w:hAnsi="宋体"/>
                <w:color w:val="000000"/>
                <w:szCs w:val="21"/>
              </w:rPr>
            </w:pPr>
            <w:r>
              <w:rPr>
                <w:rStyle w:val="13"/>
                <w:rFonts w:ascii="宋体" w:hAnsi="宋体"/>
                <w:color w:val="000000"/>
                <w:szCs w:val="21"/>
              </w:rPr>
              <w:t>　</w:t>
            </w:r>
          </w:p>
        </w:tc>
        <w:tc>
          <w:tcPr>
            <w:tcW w:w="1275" w:type="dxa"/>
            <w:tcBorders>
              <w:top w:val="nil"/>
              <w:left w:val="nil"/>
              <w:bottom w:val="single" w:color="000000" w:sz="4" w:space="0"/>
              <w:right w:val="single" w:color="000000" w:sz="4" w:space="0"/>
            </w:tcBorders>
            <w:vAlign w:val="center"/>
          </w:tcPr>
          <w:p>
            <w:pPr>
              <w:jc w:val="center"/>
              <w:rPr>
                <w:rStyle w:val="13"/>
                <w:rFonts w:ascii="宋体" w:hAnsi="宋体"/>
                <w:color w:val="000000"/>
                <w:szCs w:val="21"/>
              </w:rPr>
            </w:pPr>
            <w:r>
              <w:rPr>
                <w:rStyle w:val="13"/>
                <w:rFonts w:ascii="宋体" w:hAnsi="宋体"/>
                <w:color w:val="000000"/>
                <w:szCs w:val="21"/>
              </w:rPr>
              <w:t>　</w:t>
            </w:r>
          </w:p>
        </w:tc>
        <w:tc>
          <w:tcPr>
            <w:tcW w:w="1418" w:type="dxa"/>
            <w:tcBorders>
              <w:top w:val="nil"/>
              <w:left w:val="nil"/>
              <w:bottom w:val="single" w:color="000000" w:sz="4" w:space="0"/>
              <w:right w:val="single" w:color="000000" w:sz="4" w:space="0"/>
            </w:tcBorders>
            <w:vAlign w:val="center"/>
          </w:tcPr>
          <w:p>
            <w:pPr>
              <w:jc w:val="center"/>
              <w:rPr>
                <w:rStyle w:val="13"/>
                <w:rFonts w:ascii="宋体" w:hAnsi="宋体"/>
                <w:color w:val="000000"/>
                <w:szCs w:val="21"/>
              </w:rPr>
            </w:pPr>
          </w:p>
        </w:tc>
      </w:tr>
      <w:tr>
        <w:tblPrEx>
          <w:tblCellMar>
            <w:top w:w="0" w:type="dxa"/>
            <w:left w:w="0" w:type="dxa"/>
            <w:bottom w:w="0" w:type="dxa"/>
            <w:right w:w="0" w:type="dxa"/>
          </w:tblCellMar>
        </w:tblPrEx>
        <w:trPr>
          <w:trHeight w:val="557" w:hRule="atLeast"/>
        </w:trPr>
        <w:tc>
          <w:tcPr>
            <w:tcW w:w="640" w:type="dxa"/>
            <w:tcBorders>
              <w:top w:val="nil"/>
              <w:left w:val="single" w:color="000000" w:sz="4" w:space="0"/>
              <w:bottom w:val="single" w:color="000000" w:sz="4" w:space="0"/>
              <w:right w:val="single" w:color="000000" w:sz="4" w:space="0"/>
            </w:tcBorders>
            <w:vAlign w:val="center"/>
          </w:tcPr>
          <w:p>
            <w:pPr>
              <w:jc w:val="center"/>
              <w:rPr>
                <w:rStyle w:val="13"/>
                <w:rFonts w:ascii="宋体" w:hAnsi="宋体"/>
                <w:color w:val="000000"/>
                <w:szCs w:val="21"/>
              </w:rPr>
            </w:pPr>
            <w:r>
              <w:rPr>
                <w:rStyle w:val="13"/>
                <w:rFonts w:ascii="宋体" w:hAnsi="宋体"/>
                <w:color w:val="000000"/>
                <w:szCs w:val="21"/>
              </w:rPr>
              <w:t>2</w:t>
            </w:r>
          </w:p>
        </w:tc>
        <w:tc>
          <w:tcPr>
            <w:tcW w:w="2460" w:type="dxa"/>
            <w:tcBorders>
              <w:top w:val="nil"/>
              <w:left w:val="nil"/>
              <w:bottom w:val="single" w:color="000000" w:sz="4" w:space="0"/>
              <w:right w:val="single" w:color="000000" w:sz="4" w:space="0"/>
            </w:tcBorders>
            <w:vAlign w:val="center"/>
          </w:tcPr>
          <w:p>
            <w:pPr>
              <w:jc w:val="center"/>
              <w:rPr>
                <w:rStyle w:val="13"/>
                <w:rFonts w:ascii="宋体" w:hAnsi="宋体"/>
                <w:color w:val="000000"/>
                <w:szCs w:val="21"/>
              </w:rPr>
            </w:pPr>
            <w:r>
              <w:rPr>
                <w:rStyle w:val="13"/>
                <w:rFonts w:ascii="宋体" w:hAnsi="宋体"/>
                <w:color w:val="000000"/>
                <w:szCs w:val="21"/>
              </w:rPr>
              <w:t>　</w:t>
            </w:r>
          </w:p>
        </w:tc>
        <w:tc>
          <w:tcPr>
            <w:tcW w:w="1168" w:type="dxa"/>
            <w:tcBorders>
              <w:top w:val="nil"/>
              <w:left w:val="nil"/>
              <w:bottom w:val="single" w:color="000000" w:sz="4" w:space="0"/>
              <w:right w:val="single" w:color="000000" w:sz="4" w:space="0"/>
            </w:tcBorders>
            <w:vAlign w:val="center"/>
          </w:tcPr>
          <w:p>
            <w:pPr>
              <w:jc w:val="center"/>
              <w:rPr>
                <w:rStyle w:val="13"/>
                <w:rFonts w:ascii="宋体" w:hAnsi="宋体"/>
                <w:color w:val="000000"/>
                <w:szCs w:val="21"/>
              </w:rPr>
            </w:pPr>
            <w:r>
              <w:rPr>
                <w:rStyle w:val="13"/>
                <w:rFonts w:ascii="宋体" w:hAnsi="宋体"/>
                <w:color w:val="000000"/>
                <w:szCs w:val="21"/>
              </w:rPr>
              <w:t>　</w:t>
            </w:r>
          </w:p>
        </w:tc>
        <w:tc>
          <w:tcPr>
            <w:tcW w:w="1276" w:type="dxa"/>
            <w:tcBorders>
              <w:top w:val="nil"/>
              <w:left w:val="nil"/>
              <w:bottom w:val="single" w:color="000000" w:sz="4" w:space="0"/>
              <w:right w:val="single" w:color="000000" w:sz="4" w:space="0"/>
            </w:tcBorders>
            <w:vAlign w:val="center"/>
          </w:tcPr>
          <w:p>
            <w:pPr>
              <w:jc w:val="center"/>
              <w:rPr>
                <w:rStyle w:val="13"/>
                <w:rFonts w:ascii="宋体" w:hAnsi="宋体"/>
                <w:color w:val="000000"/>
                <w:szCs w:val="21"/>
              </w:rPr>
            </w:pPr>
            <w:r>
              <w:rPr>
                <w:rStyle w:val="13"/>
                <w:rFonts w:ascii="宋体" w:hAnsi="宋体"/>
                <w:color w:val="000000"/>
                <w:szCs w:val="21"/>
              </w:rPr>
              <w:t>　</w:t>
            </w:r>
          </w:p>
        </w:tc>
        <w:tc>
          <w:tcPr>
            <w:tcW w:w="1275" w:type="dxa"/>
            <w:tcBorders>
              <w:top w:val="nil"/>
              <w:left w:val="nil"/>
              <w:bottom w:val="single" w:color="000000" w:sz="4" w:space="0"/>
              <w:right w:val="single" w:color="000000" w:sz="4" w:space="0"/>
            </w:tcBorders>
            <w:vAlign w:val="center"/>
          </w:tcPr>
          <w:p>
            <w:pPr>
              <w:jc w:val="center"/>
              <w:rPr>
                <w:rStyle w:val="13"/>
                <w:rFonts w:ascii="宋体" w:hAnsi="宋体"/>
                <w:color w:val="000000"/>
                <w:szCs w:val="21"/>
              </w:rPr>
            </w:pPr>
            <w:r>
              <w:rPr>
                <w:rStyle w:val="13"/>
                <w:rFonts w:ascii="宋体" w:hAnsi="宋体"/>
                <w:color w:val="000000"/>
                <w:szCs w:val="21"/>
              </w:rPr>
              <w:t>　</w:t>
            </w:r>
          </w:p>
        </w:tc>
        <w:tc>
          <w:tcPr>
            <w:tcW w:w="1418" w:type="dxa"/>
            <w:tcBorders>
              <w:top w:val="nil"/>
              <w:left w:val="nil"/>
              <w:bottom w:val="single" w:color="000000" w:sz="4" w:space="0"/>
              <w:right w:val="single" w:color="000000" w:sz="4" w:space="0"/>
            </w:tcBorders>
            <w:vAlign w:val="center"/>
          </w:tcPr>
          <w:p>
            <w:pPr>
              <w:jc w:val="center"/>
              <w:rPr>
                <w:rStyle w:val="13"/>
                <w:rFonts w:ascii="宋体" w:hAnsi="宋体"/>
                <w:color w:val="000000"/>
                <w:szCs w:val="21"/>
              </w:rPr>
            </w:pPr>
          </w:p>
        </w:tc>
      </w:tr>
      <w:tr>
        <w:tblPrEx>
          <w:tblCellMar>
            <w:top w:w="0" w:type="dxa"/>
            <w:left w:w="0" w:type="dxa"/>
            <w:bottom w:w="0" w:type="dxa"/>
            <w:right w:w="0" w:type="dxa"/>
          </w:tblCellMar>
        </w:tblPrEx>
        <w:trPr>
          <w:trHeight w:val="693" w:hRule="atLeast"/>
        </w:trPr>
        <w:tc>
          <w:tcPr>
            <w:tcW w:w="640" w:type="dxa"/>
            <w:tcBorders>
              <w:top w:val="nil"/>
              <w:left w:val="single" w:color="000000" w:sz="4" w:space="0"/>
              <w:bottom w:val="single" w:color="000000" w:sz="4" w:space="0"/>
              <w:right w:val="single" w:color="000000" w:sz="4" w:space="0"/>
            </w:tcBorders>
            <w:vAlign w:val="center"/>
          </w:tcPr>
          <w:p>
            <w:pPr>
              <w:jc w:val="center"/>
              <w:rPr>
                <w:rStyle w:val="13"/>
                <w:rFonts w:ascii="宋体" w:hAnsi="宋体"/>
                <w:color w:val="000000"/>
                <w:szCs w:val="21"/>
              </w:rPr>
            </w:pPr>
            <w:r>
              <w:rPr>
                <w:rStyle w:val="13"/>
                <w:rFonts w:ascii="宋体" w:hAnsi="宋体"/>
                <w:color w:val="000000"/>
                <w:szCs w:val="21"/>
              </w:rPr>
              <w:t>3</w:t>
            </w:r>
          </w:p>
        </w:tc>
        <w:tc>
          <w:tcPr>
            <w:tcW w:w="2460" w:type="dxa"/>
            <w:tcBorders>
              <w:top w:val="nil"/>
              <w:left w:val="nil"/>
              <w:bottom w:val="single" w:color="000000" w:sz="4" w:space="0"/>
              <w:right w:val="single" w:color="000000" w:sz="4" w:space="0"/>
            </w:tcBorders>
            <w:vAlign w:val="center"/>
          </w:tcPr>
          <w:p>
            <w:pPr>
              <w:jc w:val="center"/>
              <w:rPr>
                <w:rStyle w:val="13"/>
                <w:rFonts w:ascii="宋体" w:hAnsi="宋体"/>
                <w:color w:val="000000"/>
                <w:szCs w:val="21"/>
              </w:rPr>
            </w:pPr>
            <w:r>
              <w:rPr>
                <w:rStyle w:val="13"/>
                <w:rFonts w:ascii="宋体" w:hAnsi="宋体"/>
                <w:color w:val="000000"/>
                <w:szCs w:val="21"/>
              </w:rPr>
              <w:t>　</w:t>
            </w:r>
          </w:p>
        </w:tc>
        <w:tc>
          <w:tcPr>
            <w:tcW w:w="1168" w:type="dxa"/>
            <w:tcBorders>
              <w:top w:val="nil"/>
              <w:left w:val="nil"/>
              <w:bottom w:val="single" w:color="000000" w:sz="4" w:space="0"/>
              <w:right w:val="single" w:color="000000" w:sz="4" w:space="0"/>
            </w:tcBorders>
            <w:vAlign w:val="center"/>
          </w:tcPr>
          <w:p>
            <w:pPr>
              <w:jc w:val="center"/>
              <w:rPr>
                <w:rStyle w:val="13"/>
                <w:rFonts w:ascii="宋体" w:hAnsi="宋体"/>
                <w:color w:val="000000"/>
                <w:szCs w:val="21"/>
              </w:rPr>
            </w:pPr>
            <w:r>
              <w:rPr>
                <w:rStyle w:val="13"/>
                <w:rFonts w:ascii="宋体" w:hAnsi="宋体"/>
                <w:color w:val="000000"/>
                <w:szCs w:val="21"/>
              </w:rPr>
              <w:t>　</w:t>
            </w:r>
          </w:p>
        </w:tc>
        <w:tc>
          <w:tcPr>
            <w:tcW w:w="1276" w:type="dxa"/>
            <w:tcBorders>
              <w:top w:val="nil"/>
              <w:left w:val="nil"/>
              <w:bottom w:val="single" w:color="000000" w:sz="4" w:space="0"/>
              <w:right w:val="single" w:color="000000" w:sz="4" w:space="0"/>
            </w:tcBorders>
            <w:vAlign w:val="center"/>
          </w:tcPr>
          <w:p>
            <w:pPr>
              <w:jc w:val="center"/>
              <w:rPr>
                <w:rStyle w:val="13"/>
                <w:rFonts w:ascii="宋体" w:hAnsi="宋体"/>
                <w:color w:val="000000"/>
                <w:szCs w:val="21"/>
              </w:rPr>
            </w:pPr>
            <w:r>
              <w:rPr>
                <w:rStyle w:val="13"/>
                <w:rFonts w:ascii="宋体" w:hAnsi="宋体"/>
                <w:color w:val="000000"/>
                <w:szCs w:val="21"/>
              </w:rPr>
              <w:t>　</w:t>
            </w:r>
          </w:p>
        </w:tc>
        <w:tc>
          <w:tcPr>
            <w:tcW w:w="1275" w:type="dxa"/>
            <w:tcBorders>
              <w:top w:val="nil"/>
              <w:left w:val="nil"/>
              <w:bottom w:val="single" w:color="000000" w:sz="4" w:space="0"/>
              <w:right w:val="single" w:color="000000" w:sz="4" w:space="0"/>
            </w:tcBorders>
            <w:vAlign w:val="center"/>
          </w:tcPr>
          <w:p>
            <w:pPr>
              <w:jc w:val="center"/>
              <w:rPr>
                <w:rStyle w:val="13"/>
                <w:rFonts w:ascii="宋体" w:hAnsi="宋体"/>
                <w:color w:val="000000"/>
                <w:szCs w:val="21"/>
              </w:rPr>
            </w:pPr>
            <w:r>
              <w:rPr>
                <w:rStyle w:val="13"/>
                <w:rFonts w:ascii="宋体" w:hAnsi="宋体"/>
                <w:color w:val="000000"/>
                <w:szCs w:val="21"/>
              </w:rPr>
              <w:t>　</w:t>
            </w:r>
          </w:p>
        </w:tc>
        <w:tc>
          <w:tcPr>
            <w:tcW w:w="1418" w:type="dxa"/>
            <w:tcBorders>
              <w:top w:val="nil"/>
              <w:left w:val="nil"/>
              <w:bottom w:val="single" w:color="000000" w:sz="4" w:space="0"/>
              <w:right w:val="single" w:color="000000" w:sz="4" w:space="0"/>
            </w:tcBorders>
            <w:vAlign w:val="center"/>
          </w:tcPr>
          <w:p>
            <w:pPr>
              <w:jc w:val="center"/>
              <w:rPr>
                <w:rStyle w:val="13"/>
                <w:rFonts w:ascii="宋体" w:hAnsi="宋体"/>
                <w:color w:val="000000"/>
                <w:szCs w:val="21"/>
              </w:rPr>
            </w:pPr>
          </w:p>
        </w:tc>
      </w:tr>
      <w:tr>
        <w:tblPrEx>
          <w:tblCellMar>
            <w:top w:w="0" w:type="dxa"/>
            <w:left w:w="0" w:type="dxa"/>
            <w:bottom w:w="0" w:type="dxa"/>
            <w:right w:w="0" w:type="dxa"/>
          </w:tblCellMar>
        </w:tblPrEx>
        <w:trPr>
          <w:trHeight w:val="560" w:hRule="atLeast"/>
        </w:trPr>
        <w:tc>
          <w:tcPr>
            <w:tcW w:w="640" w:type="dxa"/>
            <w:tcBorders>
              <w:top w:val="nil"/>
              <w:left w:val="single" w:color="000000" w:sz="4" w:space="0"/>
              <w:bottom w:val="single" w:color="000000" w:sz="4" w:space="0"/>
              <w:right w:val="single" w:color="000000" w:sz="4" w:space="0"/>
            </w:tcBorders>
            <w:vAlign w:val="center"/>
          </w:tcPr>
          <w:p>
            <w:pPr>
              <w:jc w:val="center"/>
              <w:rPr>
                <w:rStyle w:val="13"/>
                <w:rFonts w:ascii="宋体" w:hAnsi="宋体"/>
                <w:color w:val="000000"/>
                <w:szCs w:val="21"/>
              </w:rPr>
            </w:pPr>
            <w:r>
              <w:rPr>
                <w:rStyle w:val="13"/>
                <w:rFonts w:ascii="宋体" w:hAnsi="宋体"/>
                <w:color w:val="000000"/>
                <w:szCs w:val="21"/>
              </w:rPr>
              <w:t>4</w:t>
            </w:r>
          </w:p>
        </w:tc>
        <w:tc>
          <w:tcPr>
            <w:tcW w:w="2460" w:type="dxa"/>
            <w:tcBorders>
              <w:top w:val="nil"/>
              <w:left w:val="nil"/>
              <w:bottom w:val="single" w:color="000000" w:sz="4" w:space="0"/>
              <w:right w:val="single" w:color="000000" w:sz="4" w:space="0"/>
            </w:tcBorders>
            <w:vAlign w:val="center"/>
          </w:tcPr>
          <w:p>
            <w:pPr>
              <w:jc w:val="center"/>
              <w:rPr>
                <w:rStyle w:val="13"/>
                <w:rFonts w:ascii="宋体" w:hAnsi="宋体"/>
                <w:color w:val="000000"/>
                <w:szCs w:val="21"/>
              </w:rPr>
            </w:pPr>
            <w:r>
              <w:rPr>
                <w:rStyle w:val="13"/>
                <w:rFonts w:ascii="宋体" w:hAnsi="宋体"/>
                <w:color w:val="000000"/>
                <w:szCs w:val="21"/>
              </w:rPr>
              <w:t>　</w:t>
            </w:r>
          </w:p>
        </w:tc>
        <w:tc>
          <w:tcPr>
            <w:tcW w:w="1168" w:type="dxa"/>
            <w:tcBorders>
              <w:top w:val="nil"/>
              <w:left w:val="nil"/>
              <w:bottom w:val="single" w:color="000000" w:sz="4" w:space="0"/>
              <w:right w:val="single" w:color="000000" w:sz="4" w:space="0"/>
            </w:tcBorders>
            <w:vAlign w:val="center"/>
          </w:tcPr>
          <w:p>
            <w:pPr>
              <w:jc w:val="center"/>
              <w:rPr>
                <w:rStyle w:val="13"/>
                <w:rFonts w:ascii="宋体" w:hAnsi="宋体"/>
                <w:color w:val="000000"/>
                <w:szCs w:val="21"/>
              </w:rPr>
            </w:pPr>
            <w:r>
              <w:rPr>
                <w:rStyle w:val="13"/>
                <w:rFonts w:ascii="宋体" w:hAnsi="宋体"/>
                <w:color w:val="000000"/>
                <w:szCs w:val="21"/>
              </w:rPr>
              <w:t>　</w:t>
            </w:r>
          </w:p>
        </w:tc>
        <w:tc>
          <w:tcPr>
            <w:tcW w:w="1276" w:type="dxa"/>
            <w:tcBorders>
              <w:top w:val="nil"/>
              <w:left w:val="nil"/>
              <w:bottom w:val="single" w:color="000000" w:sz="4" w:space="0"/>
              <w:right w:val="single" w:color="000000" w:sz="4" w:space="0"/>
            </w:tcBorders>
            <w:vAlign w:val="center"/>
          </w:tcPr>
          <w:p>
            <w:pPr>
              <w:jc w:val="center"/>
              <w:rPr>
                <w:rStyle w:val="13"/>
                <w:rFonts w:ascii="宋体" w:hAnsi="宋体"/>
                <w:color w:val="000000"/>
                <w:szCs w:val="21"/>
              </w:rPr>
            </w:pPr>
            <w:r>
              <w:rPr>
                <w:rStyle w:val="13"/>
                <w:rFonts w:ascii="宋体" w:hAnsi="宋体"/>
                <w:color w:val="000000"/>
                <w:szCs w:val="21"/>
              </w:rPr>
              <w:t>　</w:t>
            </w:r>
          </w:p>
        </w:tc>
        <w:tc>
          <w:tcPr>
            <w:tcW w:w="1275" w:type="dxa"/>
            <w:tcBorders>
              <w:top w:val="nil"/>
              <w:left w:val="nil"/>
              <w:bottom w:val="single" w:color="000000" w:sz="4" w:space="0"/>
              <w:right w:val="single" w:color="000000" w:sz="4" w:space="0"/>
            </w:tcBorders>
            <w:vAlign w:val="center"/>
          </w:tcPr>
          <w:p>
            <w:pPr>
              <w:jc w:val="center"/>
              <w:rPr>
                <w:rStyle w:val="13"/>
                <w:rFonts w:ascii="宋体" w:hAnsi="宋体"/>
                <w:color w:val="000000"/>
                <w:szCs w:val="21"/>
              </w:rPr>
            </w:pPr>
            <w:r>
              <w:rPr>
                <w:rStyle w:val="13"/>
                <w:rFonts w:ascii="宋体" w:hAnsi="宋体"/>
                <w:color w:val="000000"/>
                <w:szCs w:val="21"/>
              </w:rPr>
              <w:t>　</w:t>
            </w:r>
          </w:p>
        </w:tc>
        <w:tc>
          <w:tcPr>
            <w:tcW w:w="1418" w:type="dxa"/>
            <w:tcBorders>
              <w:top w:val="nil"/>
              <w:left w:val="nil"/>
              <w:bottom w:val="single" w:color="000000" w:sz="4" w:space="0"/>
              <w:right w:val="single" w:color="000000" w:sz="4" w:space="0"/>
            </w:tcBorders>
            <w:vAlign w:val="center"/>
          </w:tcPr>
          <w:p>
            <w:pPr>
              <w:jc w:val="center"/>
              <w:rPr>
                <w:rStyle w:val="13"/>
                <w:rFonts w:ascii="宋体" w:hAnsi="宋体"/>
                <w:color w:val="000000"/>
                <w:szCs w:val="21"/>
              </w:rPr>
            </w:pPr>
          </w:p>
        </w:tc>
      </w:tr>
      <w:tr>
        <w:tblPrEx>
          <w:tblCellMar>
            <w:top w:w="0" w:type="dxa"/>
            <w:left w:w="0" w:type="dxa"/>
            <w:bottom w:w="0" w:type="dxa"/>
            <w:right w:w="0" w:type="dxa"/>
          </w:tblCellMar>
        </w:tblPrEx>
        <w:trPr>
          <w:trHeight w:val="710" w:hRule="atLeast"/>
        </w:trPr>
        <w:tc>
          <w:tcPr>
            <w:tcW w:w="640" w:type="dxa"/>
            <w:tcBorders>
              <w:top w:val="nil"/>
              <w:left w:val="single" w:color="000000" w:sz="4" w:space="0"/>
              <w:bottom w:val="single" w:color="000000" w:sz="4" w:space="0"/>
              <w:right w:val="single" w:color="000000" w:sz="4" w:space="0"/>
            </w:tcBorders>
            <w:vAlign w:val="center"/>
          </w:tcPr>
          <w:p>
            <w:pPr>
              <w:jc w:val="center"/>
              <w:rPr>
                <w:rStyle w:val="13"/>
                <w:rFonts w:ascii="宋体" w:hAnsi="宋体"/>
                <w:color w:val="000000"/>
                <w:szCs w:val="21"/>
              </w:rPr>
            </w:pPr>
            <w:r>
              <w:rPr>
                <w:rStyle w:val="13"/>
                <w:rFonts w:ascii="宋体" w:hAnsi="宋体"/>
                <w:color w:val="000000"/>
                <w:szCs w:val="21"/>
              </w:rPr>
              <w:t>5</w:t>
            </w:r>
          </w:p>
        </w:tc>
        <w:tc>
          <w:tcPr>
            <w:tcW w:w="2460" w:type="dxa"/>
            <w:tcBorders>
              <w:top w:val="nil"/>
              <w:left w:val="nil"/>
              <w:bottom w:val="single" w:color="000000" w:sz="4" w:space="0"/>
              <w:right w:val="single" w:color="000000" w:sz="4" w:space="0"/>
            </w:tcBorders>
            <w:vAlign w:val="center"/>
          </w:tcPr>
          <w:p>
            <w:pPr>
              <w:jc w:val="center"/>
              <w:rPr>
                <w:rStyle w:val="13"/>
                <w:rFonts w:ascii="宋体" w:hAnsi="宋体"/>
                <w:color w:val="000000"/>
                <w:szCs w:val="21"/>
              </w:rPr>
            </w:pPr>
            <w:r>
              <w:rPr>
                <w:rStyle w:val="13"/>
                <w:rFonts w:ascii="宋体" w:hAnsi="宋体"/>
                <w:color w:val="000000"/>
                <w:szCs w:val="21"/>
              </w:rPr>
              <w:t>　</w:t>
            </w:r>
          </w:p>
        </w:tc>
        <w:tc>
          <w:tcPr>
            <w:tcW w:w="1168" w:type="dxa"/>
            <w:tcBorders>
              <w:top w:val="nil"/>
              <w:left w:val="nil"/>
              <w:bottom w:val="single" w:color="000000" w:sz="4" w:space="0"/>
              <w:right w:val="single" w:color="000000" w:sz="4" w:space="0"/>
            </w:tcBorders>
            <w:vAlign w:val="center"/>
          </w:tcPr>
          <w:p>
            <w:pPr>
              <w:jc w:val="center"/>
              <w:rPr>
                <w:rStyle w:val="13"/>
                <w:rFonts w:ascii="宋体" w:hAnsi="宋体"/>
                <w:color w:val="000000"/>
                <w:szCs w:val="21"/>
              </w:rPr>
            </w:pPr>
            <w:r>
              <w:rPr>
                <w:rStyle w:val="13"/>
                <w:rFonts w:ascii="宋体" w:hAnsi="宋体"/>
                <w:color w:val="000000"/>
                <w:szCs w:val="21"/>
              </w:rPr>
              <w:t>　</w:t>
            </w:r>
          </w:p>
        </w:tc>
        <w:tc>
          <w:tcPr>
            <w:tcW w:w="1276" w:type="dxa"/>
            <w:tcBorders>
              <w:top w:val="nil"/>
              <w:left w:val="nil"/>
              <w:bottom w:val="single" w:color="000000" w:sz="4" w:space="0"/>
              <w:right w:val="single" w:color="000000" w:sz="4" w:space="0"/>
            </w:tcBorders>
            <w:vAlign w:val="center"/>
          </w:tcPr>
          <w:p>
            <w:pPr>
              <w:jc w:val="center"/>
              <w:rPr>
                <w:rStyle w:val="13"/>
                <w:rFonts w:ascii="宋体" w:hAnsi="宋体"/>
                <w:color w:val="000000"/>
                <w:szCs w:val="21"/>
              </w:rPr>
            </w:pPr>
            <w:r>
              <w:rPr>
                <w:rStyle w:val="13"/>
                <w:rFonts w:ascii="宋体" w:hAnsi="宋体"/>
                <w:color w:val="000000"/>
                <w:szCs w:val="21"/>
              </w:rPr>
              <w:t>　</w:t>
            </w:r>
          </w:p>
        </w:tc>
        <w:tc>
          <w:tcPr>
            <w:tcW w:w="1275" w:type="dxa"/>
            <w:tcBorders>
              <w:top w:val="nil"/>
              <w:left w:val="nil"/>
              <w:bottom w:val="single" w:color="000000" w:sz="4" w:space="0"/>
              <w:right w:val="single" w:color="000000" w:sz="4" w:space="0"/>
            </w:tcBorders>
            <w:vAlign w:val="center"/>
          </w:tcPr>
          <w:p>
            <w:pPr>
              <w:jc w:val="center"/>
              <w:rPr>
                <w:rStyle w:val="13"/>
                <w:rFonts w:ascii="宋体" w:hAnsi="宋体"/>
                <w:color w:val="000000"/>
                <w:szCs w:val="21"/>
              </w:rPr>
            </w:pPr>
            <w:r>
              <w:rPr>
                <w:rStyle w:val="13"/>
                <w:rFonts w:ascii="宋体" w:hAnsi="宋体"/>
                <w:color w:val="000000"/>
                <w:szCs w:val="21"/>
              </w:rPr>
              <w:t>　</w:t>
            </w:r>
          </w:p>
        </w:tc>
        <w:tc>
          <w:tcPr>
            <w:tcW w:w="1418" w:type="dxa"/>
            <w:tcBorders>
              <w:top w:val="nil"/>
              <w:left w:val="nil"/>
              <w:bottom w:val="single" w:color="000000" w:sz="4" w:space="0"/>
              <w:right w:val="single" w:color="000000" w:sz="4" w:space="0"/>
            </w:tcBorders>
            <w:vAlign w:val="center"/>
          </w:tcPr>
          <w:p>
            <w:pPr>
              <w:jc w:val="center"/>
              <w:rPr>
                <w:rStyle w:val="13"/>
                <w:rFonts w:ascii="宋体" w:hAnsi="宋体"/>
                <w:color w:val="000000"/>
                <w:szCs w:val="21"/>
              </w:rPr>
            </w:pPr>
          </w:p>
        </w:tc>
      </w:tr>
      <w:tr>
        <w:tblPrEx>
          <w:tblCellMar>
            <w:top w:w="0" w:type="dxa"/>
            <w:left w:w="0" w:type="dxa"/>
            <w:bottom w:w="0" w:type="dxa"/>
            <w:right w:w="0" w:type="dxa"/>
          </w:tblCellMar>
        </w:tblPrEx>
        <w:trPr>
          <w:trHeight w:val="710" w:hRule="atLeast"/>
        </w:trPr>
        <w:tc>
          <w:tcPr>
            <w:tcW w:w="640" w:type="dxa"/>
            <w:tcBorders>
              <w:top w:val="nil"/>
              <w:left w:val="single" w:color="000000" w:sz="4" w:space="0"/>
              <w:bottom w:val="single" w:color="000000" w:sz="4" w:space="0"/>
              <w:right w:val="single" w:color="000000" w:sz="4" w:space="0"/>
            </w:tcBorders>
            <w:vAlign w:val="center"/>
          </w:tcPr>
          <w:p>
            <w:pPr>
              <w:jc w:val="center"/>
              <w:rPr>
                <w:rStyle w:val="13"/>
                <w:rFonts w:ascii="宋体" w:hAnsi="宋体"/>
                <w:color w:val="000000"/>
                <w:szCs w:val="21"/>
              </w:rPr>
            </w:pPr>
            <w:r>
              <w:rPr>
                <w:rStyle w:val="13"/>
                <w:rFonts w:ascii="宋体" w:hAnsi="宋体"/>
                <w:color w:val="000000"/>
                <w:szCs w:val="21"/>
              </w:rPr>
              <w:t>6</w:t>
            </w:r>
          </w:p>
        </w:tc>
        <w:tc>
          <w:tcPr>
            <w:tcW w:w="2460" w:type="dxa"/>
            <w:tcBorders>
              <w:top w:val="nil"/>
              <w:left w:val="nil"/>
              <w:bottom w:val="single" w:color="000000" w:sz="4" w:space="0"/>
              <w:right w:val="single" w:color="000000" w:sz="4" w:space="0"/>
            </w:tcBorders>
            <w:vAlign w:val="center"/>
          </w:tcPr>
          <w:p>
            <w:pPr>
              <w:jc w:val="center"/>
              <w:rPr>
                <w:rStyle w:val="13"/>
                <w:rFonts w:ascii="宋体" w:hAnsi="宋体"/>
                <w:color w:val="000000"/>
                <w:szCs w:val="21"/>
              </w:rPr>
            </w:pPr>
          </w:p>
        </w:tc>
        <w:tc>
          <w:tcPr>
            <w:tcW w:w="1168" w:type="dxa"/>
            <w:tcBorders>
              <w:top w:val="nil"/>
              <w:left w:val="nil"/>
              <w:bottom w:val="single" w:color="000000" w:sz="4" w:space="0"/>
              <w:right w:val="single" w:color="000000" w:sz="4" w:space="0"/>
            </w:tcBorders>
            <w:vAlign w:val="center"/>
          </w:tcPr>
          <w:p>
            <w:pPr>
              <w:jc w:val="center"/>
              <w:rPr>
                <w:rStyle w:val="13"/>
                <w:rFonts w:ascii="宋体" w:hAnsi="宋体"/>
                <w:color w:val="000000"/>
                <w:szCs w:val="21"/>
              </w:rPr>
            </w:pPr>
          </w:p>
        </w:tc>
        <w:tc>
          <w:tcPr>
            <w:tcW w:w="1276" w:type="dxa"/>
            <w:tcBorders>
              <w:top w:val="nil"/>
              <w:left w:val="nil"/>
              <w:bottom w:val="single" w:color="000000" w:sz="4" w:space="0"/>
              <w:right w:val="single" w:color="000000" w:sz="4" w:space="0"/>
            </w:tcBorders>
            <w:vAlign w:val="center"/>
          </w:tcPr>
          <w:p>
            <w:pPr>
              <w:jc w:val="center"/>
              <w:rPr>
                <w:rStyle w:val="13"/>
                <w:rFonts w:ascii="宋体" w:hAnsi="宋体"/>
                <w:color w:val="000000"/>
                <w:szCs w:val="21"/>
              </w:rPr>
            </w:pPr>
          </w:p>
        </w:tc>
        <w:tc>
          <w:tcPr>
            <w:tcW w:w="1275" w:type="dxa"/>
            <w:tcBorders>
              <w:top w:val="nil"/>
              <w:left w:val="nil"/>
              <w:bottom w:val="single" w:color="000000" w:sz="4" w:space="0"/>
              <w:right w:val="single" w:color="000000" w:sz="4" w:space="0"/>
            </w:tcBorders>
            <w:vAlign w:val="center"/>
          </w:tcPr>
          <w:p>
            <w:pPr>
              <w:jc w:val="center"/>
              <w:rPr>
                <w:rStyle w:val="13"/>
                <w:rFonts w:ascii="宋体" w:hAnsi="宋体"/>
                <w:color w:val="000000"/>
                <w:szCs w:val="21"/>
              </w:rPr>
            </w:pPr>
          </w:p>
        </w:tc>
        <w:tc>
          <w:tcPr>
            <w:tcW w:w="1418" w:type="dxa"/>
            <w:tcBorders>
              <w:top w:val="nil"/>
              <w:left w:val="nil"/>
              <w:bottom w:val="single" w:color="000000" w:sz="4" w:space="0"/>
              <w:right w:val="single" w:color="000000" w:sz="4" w:space="0"/>
            </w:tcBorders>
            <w:vAlign w:val="center"/>
          </w:tcPr>
          <w:p>
            <w:pPr>
              <w:jc w:val="center"/>
              <w:rPr>
                <w:rStyle w:val="13"/>
                <w:rFonts w:ascii="宋体" w:hAnsi="宋体"/>
                <w:color w:val="000000"/>
                <w:szCs w:val="21"/>
              </w:rPr>
            </w:pPr>
          </w:p>
        </w:tc>
      </w:tr>
      <w:tr>
        <w:tblPrEx>
          <w:tblCellMar>
            <w:top w:w="0" w:type="dxa"/>
            <w:left w:w="0" w:type="dxa"/>
            <w:bottom w:w="0" w:type="dxa"/>
            <w:right w:w="0" w:type="dxa"/>
          </w:tblCellMar>
        </w:tblPrEx>
        <w:trPr>
          <w:trHeight w:val="710" w:hRule="atLeast"/>
        </w:trPr>
        <w:tc>
          <w:tcPr>
            <w:tcW w:w="640" w:type="dxa"/>
            <w:tcBorders>
              <w:top w:val="nil"/>
              <w:left w:val="single" w:color="000000" w:sz="4" w:space="0"/>
              <w:bottom w:val="single" w:color="000000" w:sz="4" w:space="0"/>
              <w:right w:val="single" w:color="000000" w:sz="4" w:space="0"/>
            </w:tcBorders>
            <w:vAlign w:val="center"/>
          </w:tcPr>
          <w:p>
            <w:pPr>
              <w:jc w:val="center"/>
              <w:rPr>
                <w:rStyle w:val="13"/>
                <w:rFonts w:ascii="宋体" w:hAnsi="宋体"/>
                <w:color w:val="000000"/>
                <w:szCs w:val="21"/>
              </w:rPr>
            </w:pPr>
            <w:r>
              <w:rPr>
                <w:rStyle w:val="13"/>
                <w:rFonts w:ascii="宋体" w:hAnsi="宋体"/>
                <w:color w:val="000000"/>
                <w:szCs w:val="21"/>
              </w:rPr>
              <w:t>7</w:t>
            </w:r>
          </w:p>
        </w:tc>
        <w:tc>
          <w:tcPr>
            <w:tcW w:w="2460" w:type="dxa"/>
            <w:tcBorders>
              <w:top w:val="nil"/>
              <w:left w:val="nil"/>
              <w:bottom w:val="single" w:color="000000" w:sz="4" w:space="0"/>
              <w:right w:val="single" w:color="000000" w:sz="4" w:space="0"/>
            </w:tcBorders>
            <w:vAlign w:val="center"/>
          </w:tcPr>
          <w:p>
            <w:pPr>
              <w:jc w:val="center"/>
              <w:rPr>
                <w:rStyle w:val="13"/>
                <w:rFonts w:ascii="宋体" w:hAnsi="宋体"/>
                <w:color w:val="000000"/>
                <w:szCs w:val="21"/>
              </w:rPr>
            </w:pPr>
          </w:p>
        </w:tc>
        <w:tc>
          <w:tcPr>
            <w:tcW w:w="1168" w:type="dxa"/>
            <w:tcBorders>
              <w:top w:val="nil"/>
              <w:left w:val="nil"/>
              <w:bottom w:val="single" w:color="000000" w:sz="4" w:space="0"/>
              <w:right w:val="single" w:color="000000" w:sz="4" w:space="0"/>
            </w:tcBorders>
            <w:vAlign w:val="center"/>
          </w:tcPr>
          <w:p>
            <w:pPr>
              <w:jc w:val="center"/>
              <w:rPr>
                <w:rStyle w:val="13"/>
                <w:rFonts w:ascii="宋体" w:hAnsi="宋体"/>
                <w:color w:val="000000"/>
                <w:szCs w:val="21"/>
              </w:rPr>
            </w:pPr>
          </w:p>
        </w:tc>
        <w:tc>
          <w:tcPr>
            <w:tcW w:w="1276" w:type="dxa"/>
            <w:tcBorders>
              <w:top w:val="nil"/>
              <w:left w:val="nil"/>
              <w:bottom w:val="single" w:color="000000" w:sz="4" w:space="0"/>
              <w:right w:val="single" w:color="000000" w:sz="4" w:space="0"/>
            </w:tcBorders>
            <w:vAlign w:val="center"/>
          </w:tcPr>
          <w:p>
            <w:pPr>
              <w:jc w:val="center"/>
              <w:rPr>
                <w:rStyle w:val="13"/>
                <w:rFonts w:ascii="宋体" w:hAnsi="宋体"/>
                <w:color w:val="000000"/>
                <w:szCs w:val="21"/>
              </w:rPr>
            </w:pPr>
          </w:p>
        </w:tc>
        <w:tc>
          <w:tcPr>
            <w:tcW w:w="1275" w:type="dxa"/>
            <w:tcBorders>
              <w:top w:val="nil"/>
              <w:left w:val="nil"/>
              <w:bottom w:val="single" w:color="000000" w:sz="4" w:space="0"/>
              <w:right w:val="single" w:color="000000" w:sz="4" w:space="0"/>
            </w:tcBorders>
            <w:vAlign w:val="center"/>
          </w:tcPr>
          <w:p>
            <w:pPr>
              <w:jc w:val="center"/>
              <w:rPr>
                <w:rStyle w:val="13"/>
                <w:rFonts w:ascii="宋体" w:hAnsi="宋体"/>
                <w:color w:val="000000"/>
                <w:szCs w:val="21"/>
              </w:rPr>
            </w:pPr>
          </w:p>
        </w:tc>
        <w:tc>
          <w:tcPr>
            <w:tcW w:w="1418" w:type="dxa"/>
            <w:tcBorders>
              <w:top w:val="nil"/>
              <w:left w:val="nil"/>
              <w:bottom w:val="single" w:color="000000" w:sz="4" w:space="0"/>
              <w:right w:val="single" w:color="000000" w:sz="4" w:space="0"/>
            </w:tcBorders>
            <w:vAlign w:val="center"/>
          </w:tcPr>
          <w:p>
            <w:pPr>
              <w:jc w:val="center"/>
              <w:rPr>
                <w:rStyle w:val="13"/>
                <w:rFonts w:ascii="宋体" w:hAnsi="宋体"/>
                <w:color w:val="000000"/>
                <w:szCs w:val="21"/>
              </w:rPr>
            </w:pPr>
          </w:p>
        </w:tc>
      </w:tr>
      <w:tr>
        <w:tblPrEx>
          <w:tblCellMar>
            <w:top w:w="0" w:type="dxa"/>
            <w:left w:w="0" w:type="dxa"/>
            <w:bottom w:w="0" w:type="dxa"/>
            <w:right w:w="0" w:type="dxa"/>
          </w:tblCellMar>
        </w:tblPrEx>
        <w:trPr>
          <w:trHeight w:val="710" w:hRule="atLeast"/>
        </w:trPr>
        <w:tc>
          <w:tcPr>
            <w:tcW w:w="640" w:type="dxa"/>
            <w:tcBorders>
              <w:top w:val="nil"/>
              <w:left w:val="single" w:color="000000" w:sz="4" w:space="0"/>
              <w:bottom w:val="single" w:color="000000" w:sz="4" w:space="0"/>
              <w:right w:val="single" w:color="000000" w:sz="4" w:space="0"/>
            </w:tcBorders>
            <w:vAlign w:val="center"/>
          </w:tcPr>
          <w:p>
            <w:pPr>
              <w:jc w:val="center"/>
              <w:rPr>
                <w:rStyle w:val="13"/>
                <w:rFonts w:ascii="宋体" w:hAnsi="宋体"/>
                <w:color w:val="000000"/>
                <w:szCs w:val="21"/>
              </w:rPr>
            </w:pPr>
            <w:r>
              <w:rPr>
                <w:rStyle w:val="13"/>
                <w:rFonts w:ascii="宋体" w:hAnsi="宋体"/>
                <w:color w:val="000000"/>
                <w:szCs w:val="21"/>
              </w:rPr>
              <w:t>8</w:t>
            </w:r>
          </w:p>
        </w:tc>
        <w:tc>
          <w:tcPr>
            <w:tcW w:w="2460" w:type="dxa"/>
            <w:tcBorders>
              <w:top w:val="nil"/>
              <w:left w:val="nil"/>
              <w:bottom w:val="single" w:color="000000" w:sz="4" w:space="0"/>
              <w:right w:val="single" w:color="000000" w:sz="4" w:space="0"/>
            </w:tcBorders>
            <w:vAlign w:val="center"/>
          </w:tcPr>
          <w:p>
            <w:pPr>
              <w:jc w:val="center"/>
              <w:rPr>
                <w:rStyle w:val="13"/>
                <w:rFonts w:ascii="宋体" w:hAnsi="宋体"/>
                <w:color w:val="000000"/>
                <w:szCs w:val="21"/>
              </w:rPr>
            </w:pPr>
          </w:p>
        </w:tc>
        <w:tc>
          <w:tcPr>
            <w:tcW w:w="1168" w:type="dxa"/>
            <w:tcBorders>
              <w:top w:val="nil"/>
              <w:left w:val="nil"/>
              <w:bottom w:val="single" w:color="000000" w:sz="4" w:space="0"/>
              <w:right w:val="single" w:color="000000" w:sz="4" w:space="0"/>
            </w:tcBorders>
            <w:vAlign w:val="center"/>
          </w:tcPr>
          <w:p>
            <w:pPr>
              <w:jc w:val="center"/>
              <w:rPr>
                <w:rStyle w:val="13"/>
                <w:rFonts w:ascii="宋体" w:hAnsi="宋体"/>
                <w:color w:val="000000"/>
                <w:szCs w:val="21"/>
              </w:rPr>
            </w:pPr>
          </w:p>
        </w:tc>
        <w:tc>
          <w:tcPr>
            <w:tcW w:w="1276" w:type="dxa"/>
            <w:tcBorders>
              <w:top w:val="nil"/>
              <w:left w:val="nil"/>
              <w:bottom w:val="single" w:color="000000" w:sz="4" w:space="0"/>
              <w:right w:val="single" w:color="000000" w:sz="4" w:space="0"/>
            </w:tcBorders>
            <w:vAlign w:val="center"/>
          </w:tcPr>
          <w:p>
            <w:pPr>
              <w:jc w:val="center"/>
              <w:rPr>
                <w:rStyle w:val="13"/>
                <w:rFonts w:ascii="宋体" w:hAnsi="宋体"/>
                <w:color w:val="000000"/>
                <w:szCs w:val="21"/>
              </w:rPr>
            </w:pPr>
          </w:p>
        </w:tc>
        <w:tc>
          <w:tcPr>
            <w:tcW w:w="1275" w:type="dxa"/>
            <w:tcBorders>
              <w:top w:val="nil"/>
              <w:left w:val="nil"/>
              <w:bottom w:val="single" w:color="000000" w:sz="4" w:space="0"/>
              <w:right w:val="single" w:color="000000" w:sz="4" w:space="0"/>
            </w:tcBorders>
            <w:vAlign w:val="center"/>
          </w:tcPr>
          <w:p>
            <w:pPr>
              <w:jc w:val="center"/>
              <w:rPr>
                <w:rStyle w:val="13"/>
                <w:rFonts w:ascii="宋体" w:hAnsi="宋体"/>
                <w:color w:val="000000"/>
                <w:szCs w:val="21"/>
              </w:rPr>
            </w:pPr>
          </w:p>
        </w:tc>
        <w:tc>
          <w:tcPr>
            <w:tcW w:w="1418" w:type="dxa"/>
            <w:tcBorders>
              <w:top w:val="nil"/>
              <w:left w:val="nil"/>
              <w:bottom w:val="single" w:color="000000" w:sz="4" w:space="0"/>
              <w:right w:val="single" w:color="000000" w:sz="4" w:space="0"/>
            </w:tcBorders>
            <w:vAlign w:val="center"/>
          </w:tcPr>
          <w:p>
            <w:pPr>
              <w:jc w:val="center"/>
              <w:rPr>
                <w:rStyle w:val="13"/>
                <w:rFonts w:ascii="宋体" w:hAnsi="宋体"/>
                <w:color w:val="000000"/>
                <w:szCs w:val="21"/>
              </w:rPr>
            </w:pPr>
          </w:p>
        </w:tc>
      </w:tr>
      <w:tr>
        <w:tblPrEx>
          <w:tblCellMar>
            <w:top w:w="0" w:type="dxa"/>
            <w:left w:w="0" w:type="dxa"/>
            <w:bottom w:w="0" w:type="dxa"/>
            <w:right w:w="0" w:type="dxa"/>
          </w:tblCellMar>
        </w:tblPrEx>
        <w:trPr>
          <w:trHeight w:val="710" w:hRule="atLeast"/>
        </w:trPr>
        <w:tc>
          <w:tcPr>
            <w:tcW w:w="640" w:type="dxa"/>
            <w:tcBorders>
              <w:top w:val="nil"/>
              <w:left w:val="single" w:color="000000" w:sz="4" w:space="0"/>
              <w:bottom w:val="single" w:color="000000" w:sz="4" w:space="0"/>
              <w:right w:val="single" w:color="000000" w:sz="4" w:space="0"/>
            </w:tcBorders>
            <w:vAlign w:val="center"/>
          </w:tcPr>
          <w:p>
            <w:pPr>
              <w:jc w:val="center"/>
              <w:rPr>
                <w:rStyle w:val="13"/>
                <w:rFonts w:ascii="宋体" w:hAnsi="宋体"/>
                <w:color w:val="000000"/>
                <w:szCs w:val="21"/>
              </w:rPr>
            </w:pPr>
            <w:r>
              <w:rPr>
                <w:rStyle w:val="13"/>
                <w:rFonts w:ascii="宋体" w:hAnsi="宋体"/>
                <w:color w:val="000000"/>
                <w:szCs w:val="21"/>
              </w:rPr>
              <w:t>....</w:t>
            </w:r>
          </w:p>
        </w:tc>
        <w:tc>
          <w:tcPr>
            <w:tcW w:w="2460" w:type="dxa"/>
            <w:tcBorders>
              <w:top w:val="nil"/>
              <w:left w:val="nil"/>
              <w:bottom w:val="single" w:color="000000" w:sz="4" w:space="0"/>
              <w:right w:val="single" w:color="000000" w:sz="4" w:space="0"/>
            </w:tcBorders>
            <w:vAlign w:val="center"/>
          </w:tcPr>
          <w:p>
            <w:pPr>
              <w:jc w:val="center"/>
              <w:rPr>
                <w:rStyle w:val="13"/>
                <w:rFonts w:ascii="宋体" w:hAnsi="宋体"/>
                <w:color w:val="000000"/>
                <w:szCs w:val="21"/>
              </w:rPr>
            </w:pPr>
          </w:p>
        </w:tc>
        <w:tc>
          <w:tcPr>
            <w:tcW w:w="1168" w:type="dxa"/>
            <w:tcBorders>
              <w:top w:val="nil"/>
              <w:left w:val="nil"/>
              <w:bottom w:val="single" w:color="000000" w:sz="4" w:space="0"/>
              <w:right w:val="single" w:color="000000" w:sz="4" w:space="0"/>
            </w:tcBorders>
            <w:vAlign w:val="center"/>
          </w:tcPr>
          <w:p>
            <w:pPr>
              <w:jc w:val="center"/>
              <w:rPr>
                <w:rStyle w:val="13"/>
                <w:rFonts w:ascii="宋体" w:hAnsi="宋体"/>
                <w:color w:val="000000"/>
                <w:szCs w:val="21"/>
              </w:rPr>
            </w:pPr>
          </w:p>
        </w:tc>
        <w:tc>
          <w:tcPr>
            <w:tcW w:w="1276" w:type="dxa"/>
            <w:tcBorders>
              <w:top w:val="nil"/>
              <w:left w:val="nil"/>
              <w:bottom w:val="single" w:color="000000" w:sz="4" w:space="0"/>
              <w:right w:val="single" w:color="000000" w:sz="4" w:space="0"/>
            </w:tcBorders>
            <w:vAlign w:val="center"/>
          </w:tcPr>
          <w:p>
            <w:pPr>
              <w:jc w:val="center"/>
              <w:rPr>
                <w:rStyle w:val="13"/>
                <w:rFonts w:ascii="宋体" w:hAnsi="宋体"/>
                <w:color w:val="000000"/>
                <w:szCs w:val="21"/>
              </w:rPr>
            </w:pPr>
          </w:p>
        </w:tc>
        <w:tc>
          <w:tcPr>
            <w:tcW w:w="1275" w:type="dxa"/>
            <w:tcBorders>
              <w:top w:val="nil"/>
              <w:left w:val="nil"/>
              <w:bottom w:val="single" w:color="000000" w:sz="4" w:space="0"/>
              <w:right w:val="single" w:color="000000" w:sz="4" w:space="0"/>
            </w:tcBorders>
            <w:vAlign w:val="center"/>
          </w:tcPr>
          <w:p>
            <w:pPr>
              <w:jc w:val="center"/>
              <w:rPr>
                <w:rStyle w:val="13"/>
                <w:rFonts w:ascii="宋体" w:hAnsi="宋体"/>
                <w:color w:val="000000"/>
                <w:szCs w:val="21"/>
              </w:rPr>
            </w:pPr>
          </w:p>
        </w:tc>
        <w:tc>
          <w:tcPr>
            <w:tcW w:w="1418" w:type="dxa"/>
            <w:tcBorders>
              <w:top w:val="nil"/>
              <w:left w:val="nil"/>
              <w:bottom w:val="single" w:color="000000" w:sz="4" w:space="0"/>
              <w:right w:val="single" w:color="000000" w:sz="4" w:space="0"/>
            </w:tcBorders>
            <w:vAlign w:val="center"/>
          </w:tcPr>
          <w:p>
            <w:pPr>
              <w:jc w:val="center"/>
              <w:rPr>
                <w:rStyle w:val="13"/>
                <w:rFonts w:ascii="宋体" w:hAnsi="宋体"/>
                <w:color w:val="000000"/>
                <w:szCs w:val="21"/>
              </w:rPr>
            </w:pPr>
          </w:p>
        </w:tc>
      </w:tr>
      <w:tr>
        <w:tblPrEx>
          <w:tblCellMar>
            <w:top w:w="0" w:type="dxa"/>
            <w:left w:w="0" w:type="dxa"/>
            <w:bottom w:w="0" w:type="dxa"/>
            <w:right w:w="0" w:type="dxa"/>
          </w:tblCellMar>
        </w:tblPrEx>
        <w:trPr>
          <w:trHeight w:val="710" w:hRule="atLeast"/>
        </w:trPr>
        <w:tc>
          <w:tcPr>
            <w:tcW w:w="640" w:type="dxa"/>
            <w:tcBorders>
              <w:top w:val="nil"/>
              <w:left w:val="single" w:color="000000" w:sz="4" w:space="0"/>
              <w:bottom w:val="single" w:color="000000" w:sz="4" w:space="0"/>
              <w:right w:val="single" w:color="000000" w:sz="4" w:space="0"/>
            </w:tcBorders>
            <w:vAlign w:val="center"/>
          </w:tcPr>
          <w:p>
            <w:pPr>
              <w:jc w:val="center"/>
              <w:rPr>
                <w:rStyle w:val="13"/>
                <w:rFonts w:ascii="宋体" w:hAnsi="宋体"/>
                <w:color w:val="000000"/>
                <w:szCs w:val="21"/>
              </w:rPr>
            </w:pPr>
          </w:p>
        </w:tc>
        <w:tc>
          <w:tcPr>
            <w:tcW w:w="2460" w:type="dxa"/>
            <w:tcBorders>
              <w:top w:val="nil"/>
              <w:left w:val="nil"/>
              <w:bottom w:val="single" w:color="000000" w:sz="4" w:space="0"/>
              <w:right w:val="single" w:color="000000" w:sz="4" w:space="0"/>
            </w:tcBorders>
            <w:vAlign w:val="center"/>
          </w:tcPr>
          <w:p>
            <w:pPr>
              <w:jc w:val="center"/>
              <w:rPr>
                <w:rStyle w:val="13"/>
                <w:rFonts w:ascii="宋体" w:hAnsi="宋体"/>
                <w:color w:val="000000"/>
                <w:szCs w:val="21"/>
              </w:rPr>
            </w:pPr>
          </w:p>
        </w:tc>
        <w:tc>
          <w:tcPr>
            <w:tcW w:w="1168" w:type="dxa"/>
            <w:tcBorders>
              <w:top w:val="nil"/>
              <w:left w:val="nil"/>
              <w:bottom w:val="single" w:color="000000" w:sz="4" w:space="0"/>
              <w:right w:val="single" w:color="000000" w:sz="4" w:space="0"/>
            </w:tcBorders>
            <w:vAlign w:val="center"/>
          </w:tcPr>
          <w:p>
            <w:pPr>
              <w:jc w:val="center"/>
              <w:rPr>
                <w:rStyle w:val="13"/>
                <w:rFonts w:ascii="宋体" w:hAnsi="宋体"/>
                <w:color w:val="000000"/>
                <w:szCs w:val="21"/>
              </w:rPr>
            </w:pPr>
          </w:p>
        </w:tc>
        <w:tc>
          <w:tcPr>
            <w:tcW w:w="1276" w:type="dxa"/>
            <w:tcBorders>
              <w:top w:val="nil"/>
              <w:left w:val="nil"/>
              <w:bottom w:val="single" w:color="000000" w:sz="4" w:space="0"/>
              <w:right w:val="single" w:color="000000" w:sz="4" w:space="0"/>
            </w:tcBorders>
            <w:vAlign w:val="center"/>
          </w:tcPr>
          <w:p>
            <w:pPr>
              <w:jc w:val="center"/>
              <w:rPr>
                <w:rStyle w:val="13"/>
                <w:rFonts w:ascii="宋体" w:hAnsi="宋体"/>
                <w:color w:val="000000"/>
                <w:szCs w:val="21"/>
              </w:rPr>
            </w:pPr>
          </w:p>
        </w:tc>
        <w:tc>
          <w:tcPr>
            <w:tcW w:w="1275" w:type="dxa"/>
            <w:tcBorders>
              <w:top w:val="nil"/>
              <w:left w:val="nil"/>
              <w:bottom w:val="single" w:color="000000" w:sz="4" w:space="0"/>
              <w:right w:val="single" w:color="000000" w:sz="4" w:space="0"/>
            </w:tcBorders>
            <w:vAlign w:val="center"/>
          </w:tcPr>
          <w:p>
            <w:pPr>
              <w:jc w:val="center"/>
              <w:rPr>
                <w:rStyle w:val="13"/>
                <w:rFonts w:ascii="宋体" w:hAnsi="宋体"/>
                <w:color w:val="000000"/>
                <w:szCs w:val="21"/>
              </w:rPr>
            </w:pPr>
          </w:p>
        </w:tc>
        <w:tc>
          <w:tcPr>
            <w:tcW w:w="1418" w:type="dxa"/>
            <w:tcBorders>
              <w:top w:val="nil"/>
              <w:left w:val="nil"/>
              <w:bottom w:val="single" w:color="000000" w:sz="4" w:space="0"/>
              <w:right w:val="single" w:color="000000" w:sz="4" w:space="0"/>
            </w:tcBorders>
            <w:vAlign w:val="center"/>
          </w:tcPr>
          <w:p>
            <w:pPr>
              <w:jc w:val="center"/>
              <w:rPr>
                <w:rStyle w:val="13"/>
                <w:rFonts w:ascii="宋体" w:hAnsi="宋体"/>
                <w:color w:val="000000"/>
                <w:szCs w:val="21"/>
              </w:rPr>
            </w:pPr>
          </w:p>
        </w:tc>
      </w:tr>
    </w:tbl>
    <w:p>
      <w:pPr>
        <w:rPr>
          <w:rStyle w:val="13"/>
          <w:rFonts w:ascii="宋体" w:hAnsi="宋体"/>
          <w:color w:val="000000"/>
          <w:szCs w:val="21"/>
        </w:rPr>
      </w:pPr>
      <w:r>
        <w:rPr>
          <w:rStyle w:val="13"/>
          <w:rFonts w:ascii="宋体" w:hAnsi="宋体"/>
          <w:color w:val="000000"/>
          <w:szCs w:val="21"/>
        </w:rPr>
        <w:t>说明：</w:t>
      </w:r>
    </w:p>
    <w:p>
      <w:pPr>
        <w:numPr>
          <w:ilvl w:val="0"/>
          <w:numId w:val="20"/>
        </w:numPr>
        <w:jc w:val="left"/>
        <w:rPr>
          <w:rStyle w:val="13"/>
          <w:rFonts w:ascii="宋体" w:hAnsi="宋体"/>
          <w:color w:val="000000"/>
          <w:szCs w:val="21"/>
        </w:rPr>
      </w:pPr>
      <w:r>
        <w:rPr>
          <w:rStyle w:val="13"/>
          <w:rFonts w:ascii="宋体" w:hAnsi="宋体"/>
          <w:color w:val="000000"/>
          <w:szCs w:val="21"/>
        </w:rPr>
        <w:t>投标人需提供近三年来承担过与本项目类似的区县级成功案例证明，每个案例证明必须同时提供①与区县卫健委（或卫计委）直接签订的合同原件扫描件、②验收报告原件扫描件、③中标通知网站截图或中标通知书扫描件，且④每个案例合同中需同时包含本项目“采购一览表”中三个以上的应用软件产品。每提供一份符合①②③④要求的案例证明得分，缺一项不得分。</w:t>
      </w:r>
    </w:p>
    <w:p>
      <w:pPr>
        <w:jc w:val="left"/>
        <w:rPr>
          <w:rStyle w:val="13"/>
          <w:rFonts w:ascii="宋体" w:hAnsi="宋体"/>
          <w:sz w:val="24"/>
        </w:rPr>
      </w:pPr>
    </w:p>
    <w:p>
      <w:pPr>
        <w:rPr>
          <w:rStyle w:val="13"/>
        </w:rPr>
      </w:pPr>
      <w:r>
        <w:rPr>
          <w:rStyle w:val="13"/>
        </w:rPr>
        <w:t xml:space="preserve">投标单位名称（单位公章）：                               </w:t>
      </w:r>
    </w:p>
    <w:p>
      <w:pPr>
        <w:rPr>
          <w:rStyle w:val="13"/>
        </w:rPr>
      </w:pPr>
    </w:p>
    <w:p>
      <w:pPr>
        <w:rPr>
          <w:rStyle w:val="13"/>
          <w:rFonts w:ascii="宋体" w:hAnsi="宋体"/>
          <w:sz w:val="24"/>
        </w:rPr>
      </w:pPr>
      <w:r>
        <w:rPr>
          <w:rStyle w:val="13"/>
          <w:rFonts w:ascii="宋体" w:hAnsi="宋体"/>
          <w:sz w:val="24"/>
        </w:rPr>
        <w:t xml:space="preserve">法定代表人或授权代表人（签字或盖章）：                </w:t>
      </w:r>
    </w:p>
    <w:p>
      <w:pPr>
        <w:pStyle w:val="20"/>
        <w:rPr>
          <w:rStyle w:val="13"/>
          <w:rFonts w:ascii="宋体" w:hAnsi="宋体"/>
          <w:sz w:val="24"/>
          <w:szCs w:val="24"/>
        </w:rPr>
      </w:pPr>
      <w:r>
        <w:rPr>
          <w:rStyle w:val="13"/>
          <w:rFonts w:ascii="宋体" w:hAnsi="宋体"/>
          <w:sz w:val="24"/>
          <w:szCs w:val="24"/>
        </w:rPr>
        <w:t xml:space="preserve">日 期: </w:t>
      </w:r>
    </w:p>
    <w:p>
      <w:pPr>
        <w:rPr>
          <w:rStyle w:val="13"/>
        </w:rPr>
      </w:pPr>
    </w:p>
    <w:p>
      <w:pPr>
        <w:pStyle w:val="19"/>
        <w:jc w:val="center"/>
        <w:rPr>
          <w:rStyle w:val="13"/>
          <w:rFonts w:ascii="宋体" w:hAnsi="宋体" w:cs="宋体"/>
          <w:b/>
          <w:bCs/>
          <w:kern w:val="0"/>
          <w:sz w:val="28"/>
        </w:rPr>
      </w:pPr>
      <w:r>
        <w:rPr>
          <w:rStyle w:val="13"/>
          <w:rFonts w:ascii="宋体" w:hAnsi="宋体" w:cs="宋体"/>
          <w:b/>
          <w:bCs/>
          <w:sz w:val="28"/>
        </w:rPr>
        <w:t>十四、质量保证书</w:t>
      </w:r>
    </w:p>
    <w:p>
      <w:pPr>
        <w:spacing w:line="360" w:lineRule="auto"/>
        <w:jc w:val="center"/>
        <w:rPr>
          <w:rStyle w:val="13"/>
          <w:rFonts w:ascii="宋体" w:hAnsi="宋体"/>
          <w:sz w:val="24"/>
        </w:rPr>
      </w:pPr>
      <w:r>
        <w:rPr>
          <w:rStyle w:val="13"/>
          <w:rFonts w:ascii="宋体" w:hAnsi="宋体"/>
          <w:b/>
          <w:sz w:val="24"/>
        </w:rPr>
        <w:t>（格式自拟）</w:t>
      </w:r>
    </w:p>
    <w:p>
      <w:pPr>
        <w:spacing w:line="360" w:lineRule="auto"/>
        <w:rPr>
          <w:rStyle w:val="13"/>
          <w:rFonts w:ascii="宋体" w:hAnsi="宋体"/>
          <w:sz w:val="24"/>
        </w:rPr>
      </w:pPr>
    </w:p>
    <w:p>
      <w:pPr>
        <w:pStyle w:val="19"/>
        <w:rPr>
          <w:rStyle w:val="48"/>
          <w:rFonts w:ascii="宋体" w:hAnsi="宋体"/>
          <w:bCs w:val="0"/>
          <w:kern w:val="0"/>
          <w:sz w:val="28"/>
          <w:szCs w:val="28"/>
        </w:rPr>
      </w:pPr>
    </w:p>
    <w:p>
      <w:pPr>
        <w:rPr>
          <w:rStyle w:val="48"/>
          <w:rFonts w:ascii="宋体" w:hAnsi="宋体"/>
          <w:bCs w:val="0"/>
          <w:kern w:val="0"/>
          <w:sz w:val="28"/>
          <w:szCs w:val="28"/>
        </w:rPr>
      </w:pPr>
    </w:p>
    <w:p>
      <w:pPr>
        <w:pStyle w:val="20"/>
        <w:rPr>
          <w:rStyle w:val="13"/>
        </w:rPr>
      </w:pPr>
    </w:p>
    <w:p>
      <w:pPr>
        <w:pStyle w:val="19"/>
        <w:rPr>
          <w:rStyle w:val="48"/>
          <w:rFonts w:ascii="宋体" w:hAnsi="宋体"/>
          <w:bCs w:val="0"/>
          <w:kern w:val="0"/>
          <w:sz w:val="28"/>
          <w:szCs w:val="28"/>
        </w:rPr>
      </w:pPr>
    </w:p>
    <w:p>
      <w:pPr>
        <w:rPr>
          <w:rStyle w:val="48"/>
          <w:rFonts w:ascii="宋体" w:hAnsi="宋体"/>
          <w:bCs w:val="0"/>
          <w:kern w:val="0"/>
          <w:sz w:val="28"/>
          <w:szCs w:val="28"/>
        </w:rPr>
      </w:pPr>
    </w:p>
    <w:p>
      <w:pPr>
        <w:pStyle w:val="20"/>
        <w:rPr>
          <w:rStyle w:val="48"/>
          <w:rFonts w:ascii="宋体" w:hAnsi="宋体"/>
          <w:bCs w:val="0"/>
          <w:kern w:val="0"/>
          <w:sz w:val="28"/>
          <w:szCs w:val="28"/>
        </w:rPr>
      </w:pPr>
    </w:p>
    <w:p>
      <w:pPr>
        <w:rPr>
          <w:rStyle w:val="48"/>
          <w:rFonts w:ascii="宋体" w:hAnsi="宋体"/>
          <w:bCs w:val="0"/>
          <w:kern w:val="0"/>
          <w:sz w:val="28"/>
          <w:szCs w:val="28"/>
        </w:rPr>
      </w:pPr>
    </w:p>
    <w:p>
      <w:pPr>
        <w:pStyle w:val="20"/>
        <w:rPr>
          <w:rStyle w:val="48"/>
          <w:rFonts w:ascii="宋体" w:hAnsi="宋体"/>
          <w:bCs w:val="0"/>
          <w:kern w:val="0"/>
          <w:sz w:val="28"/>
          <w:szCs w:val="28"/>
        </w:rPr>
      </w:pPr>
    </w:p>
    <w:p>
      <w:pPr>
        <w:rPr>
          <w:rStyle w:val="48"/>
          <w:rFonts w:ascii="宋体" w:hAnsi="宋体"/>
          <w:bCs w:val="0"/>
          <w:kern w:val="0"/>
          <w:sz w:val="28"/>
          <w:szCs w:val="28"/>
        </w:rPr>
      </w:pPr>
      <w:r>
        <w:rPr>
          <w:rStyle w:val="48"/>
          <w:rFonts w:ascii="宋体" w:hAnsi="宋体"/>
          <w:bCs w:val="0"/>
          <w:kern w:val="0"/>
          <w:sz w:val="28"/>
          <w:szCs w:val="28"/>
        </w:rPr>
        <w:t xml:space="preserve">                             </w:t>
      </w:r>
    </w:p>
    <w:p>
      <w:pPr>
        <w:pStyle w:val="20"/>
        <w:rPr>
          <w:rStyle w:val="48"/>
          <w:rFonts w:ascii="宋体" w:hAnsi="宋体"/>
          <w:bCs w:val="0"/>
          <w:kern w:val="0"/>
          <w:sz w:val="28"/>
          <w:szCs w:val="28"/>
        </w:rPr>
      </w:pPr>
    </w:p>
    <w:p>
      <w:pPr>
        <w:rPr>
          <w:rStyle w:val="13"/>
        </w:rPr>
      </w:pPr>
    </w:p>
    <w:p>
      <w:pPr>
        <w:pStyle w:val="2"/>
        <w:rPr>
          <w:rStyle w:val="13"/>
        </w:rPr>
      </w:pPr>
    </w:p>
    <w:p>
      <w:pPr>
        <w:pStyle w:val="2"/>
        <w:rPr>
          <w:rStyle w:val="13"/>
        </w:rPr>
      </w:pPr>
    </w:p>
    <w:p>
      <w:pPr>
        <w:pStyle w:val="2"/>
        <w:rPr>
          <w:rStyle w:val="13"/>
        </w:rPr>
      </w:pPr>
    </w:p>
    <w:p>
      <w:pPr>
        <w:pStyle w:val="2"/>
        <w:rPr>
          <w:rStyle w:val="13"/>
        </w:rPr>
      </w:pPr>
    </w:p>
    <w:p>
      <w:pPr>
        <w:pStyle w:val="2"/>
        <w:rPr>
          <w:rStyle w:val="13"/>
        </w:rPr>
      </w:pPr>
    </w:p>
    <w:p>
      <w:pPr>
        <w:pStyle w:val="19"/>
        <w:jc w:val="center"/>
        <w:rPr>
          <w:rStyle w:val="13"/>
          <w:rFonts w:ascii="宋体" w:hAnsi="宋体" w:cs="宋体"/>
          <w:b/>
          <w:bCs/>
          <w:sz w:val="28"/>
          <w:szCs w:val="22"/>
        </w:rPr>
      </w:pPr>
      <w:r>
        <w:rPr>
          <w:rStyle w:val="13"/>
          <w:rFonts w:ascii="宋体" w:hAnsi="宋体" w:cs="宋体"/>
          <w:b/>
          <w:bCs/>
          <w:sz w:val="28"/>
          <w:szCs w:val="22"/>
        </w:rPr>
        <w:t>十五、售后服务承诺书</w:t>
      </w:r>
    </w:p>
    <w:p>
      <w:pPr>
        <w:pStyle w:val="20"/>
        <w:jc w:val="center"/>
        <w:rPr>
          <w:rStyle w:val="13"/>
        </w:rPr>
      </w:pPr>
      <w:r>
        <w:rPr>
          <w:rStyle w:val="13"/>
        </w:rPr>
        <w:t>售后服务承诺书由投标单位自行编制</w:t>
      </w:r>
    </w:p>
    <w:p>
      <w:pPr>
        <w:pStyle w:val="20"/>
        <w:rPr>
          <w:rStyle w:val="13"/>
        </w:rPr>
      </w:pPr>
    </w:p>
    <w:p>
      <w:pPr>
        <w:spacing w:line="360" w:lineRule="auto"/>
        <w:jc w:val="center"/>
        <w:rPr>
          <w:rStyle w:val="13"/>
          <w:rFonts w:ascii="宋体" w:hAnsi="宋体" w:cs="宋体"/>
          <w:b/>
          <w:bCs/>
          <w:sz w:val="28"/>
          <w:szCs w:val="28"/>
        </w:rPr>
      </w:pPr>
    </w:p>
    <w:p>
      <w:pPr>
        <w:spacing w:line="360" w:lineRule="auto"/>
        <w:jc w:val="center"/>
        <w:rPr>
          <w:rStyle w:val="13"/>
          <w:rFonts w:ascii="宋体" w:hAnsi="宋体" w:cs="宋体"/>
          <w:b/>
          <w:bCs/>
          <w:sz w:val="28"/>
          <w:szCs w:val="28"/>
        </w:rPr>
      </w:pPr>
    </w:p>
    <w:p>
      <w:pPr>
        <w:spacing w:line="360" w:lineRule="auto"/>
        <w:jc w:val="center"/>
        <w:rPr>
          <w:rStyle w:val="13"/>
          <w:rFonts w:ascii="宋体" w:hAnsi="宋体" w:cs="宋体"/>
          <w:b/>
          <w:bCs/>
          <w:sz w:val="28"/>
          <w:szCs w:val="28"/>
        </w:rPr>
      </w:pPr>
    </w:p>
    <w:p>
      <w:pPr>
        <w:spacing w:line="360" w:lineRule="auto"/>
        <w:jc w:val="center"/>
        <w:rPr>
          <w:rStyle w:val="13"/>
          <w:rFonts w:ascii="宋体" w:hAnsi="宋体" w:cs="宋体"/>
          <w:b/>
          <w:bCs/>
          <w:sz w:val="28"/>
          <w:szCs w:val="28"/>
        </w:rPr>
      </w:pPr>
    </w:p>
    <w:p>
      <w:pPr>
        <w:spacing w:line="360" w:lineRule="auto"/>
        <w:jc w:val="center"/>
        <w:rPr>
          <w:rStyle w:val="13"/>
          <w:rFonts w:ascii="宋体" w:hAnsi="宋体" w:cs="宋体"/>
          <w:b/>
          <w:bCs/>
          <w:sz w:val="28"/>
          <w:szCs w:val="28"/>
        </w:rPr>
      </w:pPr>
    </w:p>
    <w:p>
      <w:pPr>
        <w:spacing w:line="360" w:lineRule="auto"/>
        <w:jc w:val="center"/>
        <w:rPr>
          <w:rStyle w:val="13"/>
          <w:rFonts w:ascii="宋体" w:hAnsi="宋体" w:cs="宋体"/>
          <w:b/>
          <w:bCs/>
          <w:sz w:val="28"/>
          <w:szCs w:val="28"/>
        </w:rPr>
      </w:pPr>
    </w:p>
    <w:p>
      <w:pPr>
        <w:spacing w:line="360" w:lineRule="auto"/>
        <w:jc w:val="center"/>
        <w:rPr>
          <w:rStyle w:val="13"/>
          <w:rFonts w:ascii="宋体" w:hAnsi="宋体" w:cs="宋体"/>
          <w:b/>
          <w:bCs/>
          <w:sz w:val="28"/>
          <w:szCs w:val="28"/>
        </w:rPr>
      </w:pPr>
    </w:p>
    <w:p>
      <w:pPr>
        <w:spacing w:line="360" w:lineRule="auto"/>
        <w:jc w:val="center"/>
        <w:rPr>
          <w:rStyle w:val="13"/>
          <w:rFonts w:ascii="宋体" w:hAnsi="宋体" w:cs="宋体"/>
          <w:b/>
          <w:bCs/>
          <w:sz w:val="28"/>
          <w:szCs w:val="28"/>
        </w:rPr>
      </w:pPr>
    </w:p>
    <w:p>
      <w:pPr>
        <w:spacing w:line="360" w:lineRule="auto"/>
        <w:jc w:val="center"/>
        <w:rPr>
          <w:rStyle w:val="13"/>
          <w:rFonts w:ascii="宋体" w:hAnsi="宋体" w:cs="宋体"/>
          <w:b/>
          <w:bCs/>
          <w:sz w:val="28"/>
          <w:szCs w:val="28"/>
        </w:rPr>
      </w:pPr>
    </w:p>
    <w:p>
      <w:pPr>
        <w:spacing w:line="360" w:lineRule="auto"/>
        <w:jc w:val="center"/>
        <w:rPr>
          <w:rStyle w:val="13"/>
          <w:rFonts w:ascii="宋体" w:hAnsi="宋体" w:cs="宋体"/>
          <w:b/>
          <w:bCs/>
          <w:sz w:val="28"/>
          <w:szCs w:val="28"/>
        </w:rPr>
      </w:pPr>
    </w:p>
    <w:p>
      <w:pPr>
        <w:spacing w:line="360" w:lineRule="auto"/>
        <w:jc w:val="center"/>
        <w:rPr>
          <w:rStyle w:val="13"/>
          <w:rFonts w:ascii="宋体" w:hAnsi="宋体" w:cs="宋体"/>
          <w:b/>
          <w:bCs/>
          <w:sz w:val="28"/>
          <w:szCs w:val="28"/>
        </w:rPr>
      </w:pPr>
    </w:p>
    <w:p>
      <w:pPr>
        <w:spacing w:line="360" w:lineRule="auto"/>
        <w:jc w:val="center"/>
        <w:rPr>
          <w:rStyle w:val="13"/>
          <w:rFonts w:ascii="宋体" w:hAnsi="宋体" w:cs="宋体"/>
          <w:b/>
          <w:bCs/>
          <w:sz w:val="28"/>
          <w:szCs w:val="28"/>
        </w:rPr>
      </w:pPr>
    </w:p>
    <w:p>
      <w:pPr>
        <w:spacing w:line="360" w:lineRule="auto"/>
        <w:jc w:val="center"/>
        <w:rPr>
          <w:rStyle w:val="13"/>
          <w:rFonts w:ascii="宋体" w:hAnsi="宋体" w:cs="宋体"/>
          <w:b/>
          <w:bCs/>
          <w:sz w:val="28"/>
          <w:szCs w:val="28"/>
        </w:rPr>
      </w:pPr>
    </w:p>
    <w:p>
      <w:pPr>
        <w:spacing w:line="360" w:lineRule="auto"/>
        <w:jc w:val="center"/>
        <w:rPr>
          <w:rStyle w:val="13"/>
          <w:rFonts w:ascii="宋体" w:hAnsi="宋体" w:cs="宋体"/>
          <w:b/>
          <w:bCs/>
          <w:sz w:val="28"/>
          <w:szCs w:val="28"/>
        </w:rPr>
      </w:pPr>
    </w:p>
    <w:p>
      <w:pPr>
        <w:spacing w:line="360" w:lineRule="auto"/>
        <w:jc w:val="center"/>
        <w:rPr>
          <w:rStyle w:val="13"/>
          <w:rFonts w:ascii="宋体" w:hAnsi="宋体" w:cs="宋体"/>
          <w:b/>
          <w:bCs/>
          <w:sz w:val="28"/>
          <w:szCs w:val="28"/>
        </w:rPr>
      </w:pPr>
    </w:p>
    <w:p>
      <w:pPr>
        <w:spacing w:line="360" w:lineRule="auto"/>
        <w:jc w:val="center"/>
        <w:rPr>
          <w:rStyle w:val="13"/>
          <w:rFonts w:ascii="宋体" w:hAnsi="宋体" w:cs="宋体"/>
          <w:b/>
          <w:bCs/>
          <w:sz w:val="28"/>
          <w:szCs w:val="28"/>
        </w:rPr>
      </w:pPr>
    </w:p>
    <w:p>
      <w:pPr>
        <w:spacing w:line="360" w:lineRule="auto"/>
        <w:jc w:val="center"/>
        <w:rPr>
          <w:rStyle w:val="13"/>
          <w:rFonts w:ascii="宋体" w:hAnsi="宋体" w:cs="宋体"/>
          <w:b/>
          <w:bCs/>
          <w:sz w:val="28"/>
          <w:szCs w:val="28"/>
        </w:rPr>
      </w:pPr>
    </w:p>
    <w:p>
      <w:pPr>
        <w:spacing w:line="360" w:lineRule="auto"/>
        <w:rPr>
          <w:rStyle w:val="13"/>
          <w:rFonts w:ascii="宋体" w:hAnsi="宋体" w:cs="宋体"/>
          <w:b/>
          <w:bCs/>
          <w:sz w:val="28"/>
          <w:szCs w:val="28"/>
        </w:rPr>
      </w:pPr>
    </w:p>
    <w:p>
      <w:pPr>
        <w:spacing w:line="360" w:lineRule="auto"/>
        <w:jc w:val="center"/>
        <w:rPr>
          <w:rStyle w:val="13"/>
          <w:rFonts w:ascii="宋体" w:hAnsi="宋体" w:cs="宋体"/>
          <w:b/>
          <w:bCs/>
          <w:sz w:val="28"/>
          <w:szCs w:val="28"/>
        </w:rPr>
      </w:pPr>
      <w:r>
        <w:rPr>
          <w:rStyle w:val="13"/>
          <w:rFonts w:ascii="宋体" w:hAnsi="宋体" w:cs="宋体"/>
          <w:b/>
          <w:bCs/>
          <w:sz w:val="28"/>
          <w:szCs w:val="28"/>
        </w:rPr>
        <w:t>十六、项目实施方案</w:t>
      </w:r>
    </w:p>
    <w:p>
      <w:pPr>
        <w:pStyle w:val="20"/>
        <w:rPr>
          <w:rStyle w:val="13"/>
        </w:rPr>
      </w:pPr>
    </w:p>
    <w:p>
      <w:pPr>
        <w:rPr>
          <w:rStyle w:val="13"/>
        </w:rPr>
      </w:pPr>
    </w:p>
    <w:p>
      <w:pPr>
        <w:pStyle w:val="20"/>
        <w:rPr>
          <w:rStyle w:val="13"/>
        </w:rPr>
      </w:pPr>
    </w:p>
    <w:p>
      <w:pPr>
        <w:rPr>
          <w:rStyle w:val="13"/>
        </w:rPr>
      </w:pPr>
    </w:p>
    <w:p>
      <w:pPr>
        <w:spacing w:line="360" w:lineRule="auto"/>
        <w:ind w:firstLine="3935" w:firstLineChars="1400"/>
        <w:rPr>
          <w:rStyle w:val="13"/>
          <w:rFonts w:ascii="宋体" w:hAnsi="宋体" w:cs="宋体"/>
          <w:b/>
          <w:bCs/>
          <w:sz w:val="28"/>
          <w:szCs w:val="28"/>
        </w:rPr>
      </w:pPr>
    </w:p>
    <w:p>
      <w:pPr>
        <w:spacing w:line="360" w:lineRule="auto"/>
        <w:ind w:firstLine="3935" w:firstLineChars="1400"/>
        <w:rPr>
          <w:rStyle w:val="13"/>
          <w:rFonts w:ascii="宋体" w:hAnsi="宋体" w:cs="宋体"/>
          <w:b/>
          <w:bCs/>
          <w:sz w:val="28"/>
          <w:szCs w:val="28"/>
        </w:rPr>
      </w:pPr>
    </w:p>
    <w:p>
      <w:pPr>
        <w:spacing w:line="360" w:lineRule="auto"/>
        <w:ind w:firstLine="3935" w:firstLineChars="1400"/>
        <w:rPr>
          <w:rStyle w:val="13"/>
          <w:rFonts w:ascii="宋体" w:hAnsi="宋体" w:cs="宋体"/>
          <w:b/>
          <w:bCs/>
          <w:sz w:val="28"/>
          <w:szCs w:val="28"/>
        </w:rPr>
      </w:pPr>
    </w:p>
    <w:p>
      <w:pPr>
        <w:spacing w:line="360" w:lineRule="auto"/>
        <w:ind w:firstLine="3935" w:firstLineChars="1400"/>
        <w:rPr>
          <w:rStyle w:val="13"/>
          <w:rFonts w:ascii="宋体" w:hAnsi="宋体" w:cs="宋体"/>
          <w:b/>
          <w:bCs/>
          <w:sz w:val="28"/>
          <w:szCs w:val="28"/>
        </w:rPr>
      </w:pPr>
    </w:p>
    <w:p>
      <w:pPr>
        <w:spacing w:line="360" w:lineRule="auto"/>
        <w:ind w:firstLine="3935" w:firstLineChars="1400"/>
        <w:rPr>
          <w:rStyle w:val="13"/>
          <w:rFonts w:ascii="宋体" w:hAnsi="宋体" w:cs="宋体"/>
          <w:b/>
          <w:bCs/>
          <w:sz w:val="28"/>
          <w:szCs w:val="28"/>
        </w:rPr>
      </w:pPr>
    </w:p>
    <w:p>
      <w:pPr>
        <w:spacing w:line="360" w:lineRule="auto"/>
        <w:ind w:firstLine="3935" w:firstLineChars="1400"/>
        <w:rPr>
          <w:rStyle w:val="13"/>
          <w:rFonts w:ascii="宋体" w:hAnsi="宋体" w:cs="宋体"/>
          <w:b/>
          <w:bCs/>
          <w:sz w:val="28"/>
          <w:szCs w:val="28"/>
        </w:rPr>
      </w:pPr>
    </w:p>
    <w:p>
      <w:pPr>
        <w:spacing w:line="360" w:lineRule="auto"/>
        <w:ind w:firstLine="3935" w:firstLineChars="1400"/>
        <w:rPr>
          <w:rStyle w:val="13"/>
          <w:rFonts w:ascii="宋体" w:hAnsi="宋体" w:cs="宋体"/>
          <w:b/>
          <w:bCs/>
          <w:sz w:val="28"/>
          <w:szCs w:val="28"/>
        </w:rPr>
      </w:pPr>
    </w:p>
    <w:p>
      <w:pPr>
        <w:spacing w:line="360" w:lineRule="auto"/>
        <w:ind w:firstLine="3935" w:firstLineChars="1400"/>
        <w:rPr>
          <w:rStyle w:val="13"/>
          <w:rFonts w:ascii="宋体" w:hAnsi="宋体" w:cs="宋体"/>
          <w:b/>
          <w:bCs/>
          <w:sz w:val="28"/>
          <w:szCs w:val="28"/>
        </w:rPr>
      </w:pPr>
    </w:p>
    <w:p>
      <w:pPr>
        <w:spacing w:line="360" w:lineRule="auto"/>
        <w:ind w:firstLine="3935" w:firstLineChars="1400"/>
        <w:rPr>
          <w:rStyle w:val="13"/>
          <w:rFonts w:ascii="宋体" w:hAnsi="宋体" w:cs="宋体"/>
          <w:b/>
          <w:bCs/>
          <w:sz w:val="28"/>
          <w:szCs w:val="28"/>
        </w:rPr>
      </w:pPr>
    </w:p>
    <w:p>
      <w:pPr>
        <w:spacing w:line="360" w:lineRule="auto"/>
        <w:ind w:firstLine="3935" w:firstLineChars="1400"/>
        <w:rPr>
          <w:rStyle w:val="13"/>
          <w:rFonts w:ascii="宋体" w:hAnsi="宋体" w:cs="宋体"/>
          <w:b/>
          <w:bCs/>
          <w:sz w:val="28"/>
          <w:szCs w:val="28"/>
        </w:rPr>
      </w:pPr>
    </w:p>
    <w:p>
      <w:pPr>
        <w:spacing w:line="360" w:lineRule="auto"/>
        <w:ind w:firstLine="3935" w:firstLineChars="1400"/>
        <w:rPr>
          <w:rStyle w:val="13"/>
          <w:rFonts w:ascii="宋体" w:hAnsi="宋体" w:cs="宋体"/>
          <w:b/>
          <w:bCs/>
          <w:sz w:val="28"/>
          <w:szCs w:val="28"/>
        </w:rPr>
      </w:pPr>
    </w:p>
    <w:p>
      <w:pPr>
        <w:spacing w:line="360" w:lineRule="auto"/>
        <w:ind w:firstLine="3935" w:firstLineChars="1400"/>
        <w:rPr>
          <w:rStyle w:val="13"/>
          <w:rFonts w:ascii="宋体" w:hAnsi="宋体" w:cs="宋体"/>
          <w:b/>
          <w:bCs/>
          <w:sz w:val="28"/>
          <w:szCs w:val="28"/>
        </w:rPr>
      </w:pPr>
    </w:p>
    <w:p>
      <w:pPr>
        <w:spacing w:line="360" w:lineRule="auto"/>
        <w:ind w:firstLine="3935" w:firstLineChars="1400"/>
        <w:rPr>
          <w:rStyle w:val="13"/>
          <w:rFonts w:ascii="宋体" w:hAnsi="宋体" w:cs="宋体"/>
          <w:b/>
          <w:bCs/>
          <w:sz w:val="28"/>
          <w:szCs w:val="28"/>
        </w:rPr>
      </w:pPr>
    </w:p>
    <w:p>
      <w:pPr>
        <w:spacing w:line="360" w:lineRule="auto"/>
        <w:ind w:firstLine="3935" w:firstLineChars="1400"/>
        <w:rPr>
          <w:rStyle w:val="13"/>
          <w:rFonts w:ascii="宋体" w:hAnsi="宋体" w:cs="宋体"/>
          <w:b/>
          <w:bCs/>
          <w:sz w:val="28"/>
          <w:szCs w:val="28"/>
        </w:rPr>
      </w:pPr>
    </w:p>
    <w:p>
      <w:pPr>
        <w:spacing w:line="360" w:lineRule="auto"/>
        <w:ind w:firstLine="3935" w:firstLineChars="1400"/>
        <w:rPr>
          <w:rStyle w:val="13"/>
          <w:rFonts w:ascii="宋体" w:hAnsi="宋体" w:cs="宋体"/>
          <w:b/>
          <w:bCs/>
          <w:sz w:val="28"/>
          <w:szCs w:val="28"/>
        </w:rPr>
      </w:pPr>
    </w:p>
    <w:p>
      <w:pPr>
        <w:spacing w:line="360" w:lineRule="auto"/>
        <w:ind w:firstLine="3935" w:firstLineChars="1400"/>
        <w:rPr>
          <w:rStyle w:val="13"/>
          <w:rFonts w:ascii="宋体" w:hAnsi="宋体" w:cs="宋体"/>
          <w:b/>
          <w:bCs/>
          <w:sz w:val="28"/>
          <w:szCs w:val="28"/>
        </w:rPr>
      </w:pPr>
    </w:p>
    <w:p>
      <w:pPr>
        <w:spacing w:line="360" w:lineRule="auto"/>
        <w:ind w:firstLine="3935" w:firstLineChars="1400"/>
        <w:rPr>
          <w:rStyle w:val="13"/>
          <w:rFonts w:ascii="宋体" w:hAnsi="宋体" w:cs="宋体"/>
          <w:b/>
          <w:bCs/>
          <w:sz w:val="28"/>
          <w:szCs w:val="28"/>
        </w:rPr>
      </w:pPr>
    </w:p>
    <w:p>
      <w:pPr>
        <w:spacing w:line="360" w:lineRule="auto"/>
        <w:ind w:firstLine="3935" w:firstLineChars="1400"/>
        <w:rPr>
          <w:rStyle w:val="13"/>
          <w:rFonts w:ascii="宋体" w:hAnsi="宋体" w:cs="宋体"/>
          <w:b/>
          <w:bCs/>
          <w:sz w:val="28"/>
          <w:szCs w:val="28"/>
        </w:rPr>
      </w:pPr>
      <w:r>
        <w:rPr>
          <w:rStyle w:val="13"/>
          <w:rFonts w:ascii="宋体" w:hAnsi="宋体" w:cs="宋体"/>
          <w:b/>
          <w:bCs/>
          <w:sz w:val="28"/>
          <w:szCs w:val="28"/>
        </w:rPr>
        <w:t>十七、售后方案</w:t>
      </w:r>
    </w:p>
    <w:p>
      <w:pPr>
        <w:pStyle w:val="20"/>
        <w:rPr>
          <w:rStyle w:val="13"/>
        </w:rPr>
      </w:pPr>
    </w:p>
    <w:p>
      <w:pPr>
        <w:rPr>
          <w:rStyle w:val="13"/>
        </w:rPr>
      </w:pPr>
    </w:p>
    <w:p>
      <w:pPr>
        <w:pStyle w:val="20"/>
        <w:rPr>
          <w:rStyle w:val="13"/>
        </w:rPr>
      </w:pPr>
    </w:p>
    <w:p>
      <w:pPr>
        <w:rPr>
          <w:rStyle w:val="13"/>
        </w:rPr>
      </w:pPr>
    </w:p>
    <w:p>
      <w:pPr>
        <w:pStyle w:val="20"/>
        <w:rPr>
          <w:rStyle w:val="13"/>
        </w:rPr>
      </w:pPr>
    </w:p>
    <w:p>
      <w:pPr>
        <w:spacing w:line="360" w:lineRule="auto"/>
        <w:jc w:val="center"/>
        <w:rPr>
          <w:rStyle w:val="13"/>
          <w:rFonts w:ascii="宋体" w:hAnsi="宋体" w:cs="宋体"/>
          <w:b/>
          <w:bCs/>
          <w:sz w:val="28"/>
          <w:szCs w:val="28"/>
        </w:rPr>
      </w:pPr>
    </w:p>
    <w:p>
      <w:pPr>
        <w:spacing w:line="360" w:lineRule="auto"/>
        <w:jc w:val="center"/>
        <w:rPr>
          <w:rStyle w:val="13"/>
          <w:rFonts w:ascii="宋体" w:hAnsi="宋体" w:cs="宋体"/>
          <w:b/>
          <w:bCs/>
          <w:sz w:val="28"/>
          <w:szCs w:val="28"/>
        </w:rPr>
      </w:pPr>
    </w:p>
    <w:p>
      <w:pPr>
        <w:spacing w:line="360" w:lineRule="auto"/>
        <w:jc w:val="center"/>
        <w:rPr>
          <w:rStyle w:val="13"/>
          <w:rFonts w:ascii="宋体" w:hAnsi="宋体" w:cs="宋体"/>
          <w:b/>
          <w:bCs/>
          <w:sz w:val="28"/>
          <w:szCs w:val="28"/>
        </w:rPr>
      </w:pPr>
    </w:p>
    <w:p>
      <w:pPr>
        <w:spacing w:line="360" w:lineRule="auto"/>
        <w:jc w:val="center"/>
        <w:rPr>
          <w:rStyle w:val="13"/>
          <w:rFonts w:ascii="宋体" w:hAnsi="宋体" w:cs="宋体"/>
          <w:b/>
          <w:bCs/>
          <w:sz w:val="28"/>
          <w:szCs w:val="28"/>
        </w:rPr>
      </w:pPr>
    </w:p>
    <w:p>
      <w:pPr>
        <w:spacing w:line="360" w:lineRule="auto"/>
        <w:jc w:val="center"/>
        <w:rPr>
          <w:rStyle w:val="13"/>
          <w:rFonts w:ascii="宋体" w:hAnsi="宋体" w:cs="宋体"/>
          <w:b/>
          <w:bCs/>
          <w:sz w:val="28"/>
          <w:szCs w:val="28"/>
        </w:rPr>
      </w:pPr>
    </w:p>
    <w:p>
      <w:pPr>
        <w:spacing w:line="360" w:lineRule="auto"/>
        <w:jc w:val="center"/>
        <w:rPr>
          <w:rStyle w:val="13"/>
          <w:rFonts w:ascii="宋体" w:hAnsi="宋体" w:cs="宋体"/>
          <w:b/>
          <w:bCs/>
          <w:sz w:val="28"/>
          <w:szCs w:val="28"/>
        </w:rPr>
      </w:pPr>
    </w:p>
    <w:p>
      <w:pPr>
        <w:spacing w:line="360" w:lineRule="auto"/>
        <w:jc w:val="center"/>
        <w:rPr>
          <w:rStyle w:val="13"/>
          <w:rFonts w:ascii="宋体" w:hAnsi="宋体" w:cs="宋体"/>
          <w:b/>
          <w:bCs/>
          <w:sz w:val="28"/>
          <w:szCs w:val="28"/>
        </w:rPr>
      </w:pPr>
    </w:p>
    <w:p>
      <w:pPr>
        <w:spacing w:line="360" w:lineRule="auto"/>
        <w:jc w:val="center"/>
        <w:rPr>
          <w:rStyle w:val="13"/>
          <w:rFonts w:ascii="宋体" w:hAnsi="宋体" w:cs="宋体"/>
          <w:b/>
          <w:bCs/>
          <w:sz w:val="28"/>
          <w:szCs w:val="28"/>
        </w:rPr>
      </w:pPr>
    </w:p>
    <w:p>
      <w:pPr>
        <w:spacing w:line="360" w:lineRule="auto"/>
        <w:jc w:val="center"/>
        <w:rPr>
          <w:rStyle w:val="13"/>
          <w:rFonts w:ascii="宋体" w:hAnsi="宋体" w:cs="宋体"/>
          <w:b/>
          <w:bCs/>
          <w:sz w:val="28"/>
          <w:szCs w:val="28"/>
        </w:rPr>
      </w:pPr>
    </w:p>
    <w:p>
      <w:pPr>
        <w:spacing w:line="360" w:lineRule="auto"/>
        <w:jc w:val="center"/>
        <w:rPr>
          <w:rStyle w:val="13"/>
          <w:rFonts w:ascii="宋体" w:hAnsi="宋体" w:cs="宋体"/>
          <w:b/>
          <w:bCs/>
          <w:sz w:val="28"/>
          <w:szCs w:val="28"/>
        </w:rPr>
      </w:pPr>
    </w:p>
    <w:p>
      <w:pPr>
        <w:spacing w:line="360" w:lineRule="auto"/>
        <w:jc w:val="center"/>
        <w:rPr>
          <w:rStyle w:val="13"/>
          <w:rFonts w:ascii="宋体" w:hAnsi="宋体" w:cs="宋体"/>
          <w:b/>
          <w:bCs/>
          <w:sz w:val="28"/>
          <w:szCs w:val="28"/>
        </w:rPr>
      </w:pPr>
    </w:p>
    <w:p>
      <w:pPr>
        <w:spacing w:line="360" w:lineRule="auto"/>
        <w:jc w:val="center"/>
        <w:rPr>
          <w:rStyle w:val="13"/>
          <w:rFonts w:ascii="宋体" w:hAnsi="宋体" w:cs="宋体"/>
          <w:b/>
          <w:bCs/>
          <w:sz w:val="28"/>
          <w:szCs w:val="28"/>
        </w:rPr>
      </w:pPr>
    </w:p>
    <w:p>
      <w:pPr>
        <w:spacing w:line="360" w:lineRule="auto"/>
        <w:jc w:val="center"/>
        <w:rPr>
          <w:rStyle w:val="13"/>
          <w:rFonts w:ascii="宋体" w:hAnsi="宋体" w:cs="宋体"/>
          <w:b/>
          <w:bCs/>
          <w:sz w:val="28"/>
          <w:szCs w:val="28"/>
        </w:rPr>
      </w:pPr>
    </w:p>
    <w:p>
      <w:pPr>
        <w:spacing w:line="360" w:lineRule="auto"/>
        <w:jc w:val="center"/>
        <w:rPr>
          <w:rStyle w:val="13"/>
          <w:rFonts w:ascii="宋体" w:hAnsi="宋体" w:cs="宋体"/>
          <w:b/>
          <w:bCs/>
          <w:sz w:val="28"/>
          <w:szCs w:val="28"/>
        </w:rPr>
      </w:pPr>
    </w:p>
    <w:p>
      <w:pPr>
        <w:spacing w:line="360" w:lineRule="auto"/>
        <w:jc w:val="center"/>
        <w:rPr>
          <w:rStyle w:val="13"/>
          <w:rFonts w:ascii="宋体" w:hAnsi="宋体" w:cs="宋体"/>
          <w:b/>
          <w:bCs/>
          <w:sz w:val="28"/>
          <w:szCs w:val="28"/>
        </w:rPr>
      </w:pPr>
    </w:p>
    <w:p>
      <w:pPr>
        <w:spacing w:line="360" w:lineRule="auto"/>
        <w:jc w:val="center"/>
        <w:rPr>
          <w:rStyle w:val="13"/>
          <w:rFonts w:ascii="宋体" w:hAnsi="宋体" w:cs="宋体"/>
          <w:b/>
          <w:bCs/>
          <w:sz w:val="28"/>
          <w:szCs w:val="28"/>
        </w:rPr>
      </w:pPr>
      <w:r>
        <w:rPr>
          <w:rStyle w:val="13"/>
          <w:rFonts w:ascii="宋体" w:hAnsi="宋体" w:cs="宋体"/>
          <w:b/>
          <w:bCs/>
          <w:sz w:val="28"/>
          <w:szCs w:val="28"/>
        </w:rPr>
        <w:t>十八、投标人证明投标资格合格的相关证件证明的复印件</w:t>
      </w:r>
    </w:p>
    <w:p>
      <w:pPr>
        <w:spacing w:line="360" w:lineRule="auto"/>
        <w:ind w:firstLine="315" w:firstLineChars="150"/>
        <w:rPr>
          <w:rStyle w:val="13"/>
          <w:rFonts w:ascii="宋体" w:hAnsi="宋体"/>
        </w:rPr>
      </w:pPr>
    </w:p>
    <w:p>
      <w:pPr>
        <w:spacing w:line="360" w:lineRule="auto"/>
        <w:ind w:firstLine="315" w:firstLineChars="150"/>
        <w:rPr>
          <w:rStyle w:val="13"/>
          <w:rFonts w:ascii="宋体" w:hAnsi="宋体"/>
        </w:rPr>
      </w:pPr>
    </w:p>
    <w:p>
      <w:pPr>
        <w:spacing w:line="360" w:lineRule="auto"/>
        <w:ind w:firstLine="300" w:firstLineChars="150"/>
        <w:rPr>
          <w:rStyle w:val="13"/>
          <w:rFonts w:ascii="宋体" w:hAnsi="宋体"/>
          <w:sz w:val="20"/>
          <w:szCs w:val="22"/>
        </w:rPr>
      </w:pPr>
    </w:p>
    <w:p>
      <w:pPr>
        <w:spacing w:line="360" w:lineRule="auto"/>
        <w:ind w:firstLine="315" w:firstLineChars="150"/>
        <w:rPr>
          <w:rStyle w:val="13"/>
          <w:rFonts w:ascii="宋体" w:hAnsi="宋体"/>
        </w:rPr>
      </w:pPr>
    </w:p>
    <w:p>
      <w:pPr>
        <w:spacing w:line="360" w:lineRule="auto"/>
        <w:ind w:firstLine="315" w:firstLineChars="150"/>
        <w:rPr>
          <w:rStyle w:val="13"/>
          <w:rFonts w:ascii="宋体" w:hAnsi="宋体"/>
        </w:rPr>
      </w:pPr>
    </w:p>
    <w:p>
      <w:pPr>
        <w:spacing w:line="360" w:lineRule="auto"/>
        <w:ind w:firstLine="315" w:firstLineChars="150"/>
        <w:rPr>
          <w:rStyle w:val="13"/>
          <w:rFonts w:ascii="宋体" w:hAnsi="宋体"/>
        </w:rPr>
      </w:pPr>
    </w:p>
    <w:p>
      <w:pPr>
        <w:spacing w:line="360" w:lineRule="auto"/>
        <w:ind w:firstLine="315" w:firstLineChars="150"/>
        <w:rPr>
          <w:rStyle w:val="13"/>
          <w:rFonts w:ascii="宋体" w:hAnsi="宋体"/>
        </w:rPr>
      </w:pPr>
    </w:p>
    <w:p>
      <w:pPr>
        <w:spacing w:line="360" w:lineRule="auto"/>
        <w:ind w:firstLine="315" w:firstLineChars="150"/>
        <w:rPr>
          <w:rStyle w:val="13"/>
          <w:rFonts w:ascii="宋体" w:hAnsi="宋体"/>
        </w:rPr>
      </w:pPr>
    </w:p>
    <w:p>
      <w:pPr>
        <w:spacing w:line="360" w:lineRule="auto"/>
        <w:ind w:firstLine="315" w:firstLineChars="150"/>
        <w:rPr>
          <w:rStyle w:val="13"/>
          <w:rFonts w:ascii="宋体" w:hAnsi="宋体"/>
        </w:rPr>
      </w:pPr>
    </w:p>
    <w:p>
      <w:pPr>
        <w:spacing w:line="360" w:lineRule="auto"/>
        <w:ind w:firstLine="315" w:firstLineChars="150"/>
        <w:rPr>
          <w:rStyle w:val="13"/>
          <w:rFonts w:ascii="宋体" w:hAnsi="宋体"/>
        </w:rPr>
      </w:pPr>
    </w:p>
    <w:p>
      <w:pPr>
        <w:spacing w:line="360" w:lineRule="auto"/>
        <w:ind w:firstLine="315" w:firstLineChars="150"/>
        <w:rPr>
          <w:rStyle w:val="13"/>
          <w:rFonts w:ascii="宋体" w:hAnsi="宋体"/>
        </w:rPr>
      </w:pPr>
    </w:p>
    <w:p>
      <w:pPr>
        <w:spacing w:line="360" w:lineRule="auto"/>
        <w:ind w:firstLine="315" w:firstLineChars="150"/>
        <w:rPr>
          <w:rStyle w:val="13"/>
          <w:rFonts w:ascii="宋体" w:hAnsi="宋体"/>
        </w:rPr>
      </w:pPr>
    </w:p>
    <w:p>
      <w:pPr>
        <w:spacing w:line="360" w:lineRule="auto"/>
        <w:rPr>
          <w:rStyle w:val="13"/>
          <w:rFonts w:ascii="宋体" w:hAnsi="宋体"/>
          <w:b/>
          <w:sz w:val="28"/>
        </w:rPr>
      </w:pPr>
    </w:p>
    <w:p>
      <w:pPr>
        <w:pStyle w:val="20"/>
        <w:rPr>
          <w:rStyle w:val="13"/>
        </w:rPr>
      </w:pPr>
    </w:p>
    <w:p>
      <w:pPr>
        <w:spacing w:line="360" w:lineRule="auto"/>
        <w:rPr>
          <w:rStyle w:val="13"/>
          <w:rFonts w:ascii="宋体" w:hAnsi="宋体"/>
          <w:b/>
          <w:sz w:val="28"/>
        </w:rPr>
      </w:pPr>
    </w:p>
    <w:p>
      <w:pPr>
        <w:spacing w:line="360" w:lineRule="auto"/>
        <w:rPr>
          <w:rStyle w:val="13"/>
          <w:rFonts w:ascii="宋体" w:hAnsi="宋体"/>
          <w:b/>
          <w:sz w:val="28"/>
        </w:rPr>
      </w:pPr>
    </w:p>
    <w:p>
      <w:pPr>
        <w:spacing w:line="360" w:lineRule="auto"/>
        <w:ind w:firstLine="281" w:firstLineChars="100"/>
        <w:rPr>
          <w:rStyle w:val="13"/>
          <w:rFonts w:ascii="宋体" w:hAnsi="宋体"/>
          <w:b/>
          <w:sz w:val="28"/>
        </w:rPr>
      </w:pPr>
    </w:p>
    <w:p>
      <w:pPr>
        <w:spacing w:line="360" w:lineRule="auto"/>
        <w:ind w:firstLine="281" w:firstLineChars="100"/>
        <w:rPr>
          <w:rStyle w:val="13"/>
          <w:rFonts w:ascii="宋体" w:hAnsi="宋体"/>
          <w:b/>
          <w:sz w:val="28"/>
        </w:rPr>
      </w:pPr>
    </w:p>
    <w:p>
      <w:pPr>
        <w:spacing w:line="360" w:lineRule="auto"/>
        <w:ind w:firstLine="281" w:firstLineChars="100"/>
        <w:rPr>
          <w:rStyle w:val="13"/>
          <w:rFonts w:ascii="宋体" w:hAnsi="宋体"/>
          <w:b/>
          <w:sz w:val="28"/>
        </w:rPr>
      </w:pPr>
    </w:p>
    <w:p>
      <w:pPr>
        <w:spacing w:line="360" w:lineRule="auto"/>
        <w:ind w:firstLine="281" w:firstLineChars="100"/>
        <w:rPr>
          <w:rStyle w:val="13"/>
          <w:rFonts w:ascii="宋体" w:hAnsi="宋体"/>
          <w:b/>
          <w:sz w:val="28"/>
        </w:rPr>
      </w:pPr>
    </w:p>
    <w:p>
      <w:pPr>
        <w:spacing w:line="360" w:lineRule="auto"/>
        <w:ind w:firstLine="281" w:firstLineChars="100"/>
        <w:rPr>
          <w:rStyle w:val="13"/>
          <w:rFonts w:ascii="宋体" w:hAnsi="宋体"/>
          <w:b/>
          <w:sz w:val="28"/>
        </w:rPr>
      </w:pPr>
    </w:p>
    <w:p>
      <w:pPr>
        <w:spacing w:line="360" w:lineRule="auto"/>
        <w:ind w:firstLine="281" w:firstLineChars="100"/>
        <w:rPr>
          <w:rStyle w:val="13"/>
          <w:rFonts w:ascii="宋体" w:hAnsi="宋体"/>
          <w:b/>
          <w:sz w:val="28"/>
        </w:rPr>
      </w:pPr>
    </w:p>
    <w:p>
      <w:pPr>
        <w:spacing w:line="360" w:lineRule="auto"/>
        <w:ind w:firstLine="281" w:firstLineChars="100"/>
        <w:rPr>
          <w:rStyle w:val="13"/>
          <w:rFonts w:ascii="宋体" w:hAnsi="宋体"/>
          <w:b/>
          <w:sz w:val="28"/>
        </w:rPr>
      </w:pPr>
    </w:p>
    <w:p>
      <w:pPr>
        <w:spacing w:line="360" w:lineRule="auto"/>
        <w:jc w:val="center"/>
        <w:rPr>
          <w:rStyle w:val="13"/>
          <w:rFonts w:ascii="宋体" w:hAnsi="宋体"/>
          <w:b/>
          <w:sz w:val="28"/>
        </w:rPr>
      </w:pPr>
      <w:r>
        <w:rPr>
          <w:rStyle w:val="13"/>
          <w:rFonts w:ascii="宋体" w:hAnsi="宋体"/>
          <w:b/>
          <w:sz w:val="28"/>
        </w:rPr>
        <w:t>十九、投标人证明货物合格的相关证件证明复印件</w:t>
      </w:r>
    </w:p>
    <w:p>
      <w:pPr>
        <w:spacing w:line="360" w:lineRule="auto"/>
        <w:ind w:firstLine="2502" w:firstLineChars="890"/>
        <w:rPr>
          <w:rStyle w:val="13"/>
          <w:rFonts w:ascii="宋体" w:hAnsi="宋体"/>
          <w:b/>
          <w:sz w:val="28"/>
        </w:rPr>
      </w:pPr>
    </w:p>
    <w:p>
      <w:pPr>
        <w:spacing w:line="360" w:lineRule="auto"/>
        <w:ind w:firstLine="2502" w:firstLineChars="890"/>
        <w:rPr>
          <w:rStyle w:val="13"/>
          <w:rFonts w:ascii="宋体" w:hAnsi="宋体"/>
          <w:b/>
          <w:sz w:val="28"/>
        </w:rPr>
      </w:pPr>
    </w:p>
    <w:p>
      <w:pPr>
        <w:spacing w:line="360" w:lineRule="auto"/>
        <w:ind w:firstLine="2502" w:firstLineChars="890"/>
        <w:rPr>
          <w:rStyle w:val="13"/>
          <w:rFonts w:ascii="宋体" w:hAnsi="宋体"/>
          <w:b/>
          <w:sz w:val="28"/>
        </w:rPr>
      </w:pPr>
    </w:p>
    <w:p>
      <w:pPr>
        <w:spacing w:line="360" w:lineRule="auto"/>
        <w:ind w:firstLine="2502" w:firstLineChars="890"/>
        <w:rPr>
          <w:rStyle w:val="13"/>
          <w:rFonts w:ascii="宋体" w:hAnsi="宋体"/>
          <w:b/>
          <w:sz w:val="28"/>
        </w:rPr>
      </w:pPr>
    </w:p>
    <w:p>
      <w:pPr>
        <w:spacing w:line="360" w:lineRule="auto"/>
        <w:ind w:firstLine="2502" w:firstLineChars="890"/>
        <w:rPr>
          <w:rStyle w:val="13"/>
          <w:rFonts w:ascii="宋体" w:hAnsi="宋体"/>
          <w:b/>
          <w:sz w:val="28"/>
        </w:rPr>
      </w:pPr>
    </w:p>
    <w:p>
      <w:pPr>
        <w:spacing w:line="360" w:lineRule="auto"/>
        <w:ind w:firstLine="2502" w:firstLineChars="890"/>
        <w:rPr>
          <w:rStyle w:val="13"/>
          <w:rFonts w:ascii="宋体" w:hAnsi="宋体"/>
          <w:b/>
          <w:sz w:val="28"/>
        </w:rPr>
      </w:pPr>
    </w:p>
    <w:p>
      <w:pPr>
        <w:spacing w:line="360" w:lineRule="auto"/>
        <w:ind w:firstLine="2502" w:firstLineChars="890"/>
        <w:rPr>
          <w:rStyle w:val="13"/>
          <w:rFonts w:ascii="宋体" w:hAnsi="宋体"/>
          <w:b/>
          <w:sz w:val="28"/>
        </w:rPr>
      </w:pPr>
    </w:p>
    <w:p>
      <w:pPr>
        <w:spacing w:line="360" w:lineRule="auto"/>
        <w:ind w:firstLine="2502" w:firstLineChars="890"/>
        <w:rPr>
          <w:rStyle w:val="13"/>
          <w:rFonts w:ascii="宋体" w:hAnsi="宋体"/>
          <w:b/>
          <w:sz w:val="28"/>
        </w:rPr>
      </w:pPr>
    </w:p>
    <w:p>
      <w:pPr>
        <w:spacing w:line="360" w:lineRule="auto"/>
        <w:ind w:firstLine="2502" w:firstLineChars="890"/>
        <w:rPr>
          <w:rStyle w:val="13"/>
          <w:rFonts w:ascii="宋体" w:hAnsi="宋体"/>
          <w:b/>
          <w:sz w:val="28"/>
        </w:rPr>
      </w:pPr>
    </w:p>
    <w:p>
      <w:pPr>
        <w:spacing w:line="360" w:lineRule="auto"/>
        <w:jc w:val="center"/>
        <w:rPr>
          <w:rStyle w:val="13"/>
          <w:rFonts w:ascii="宋体" w:hAnsi="宋体"/>
          <w:sz w:val="28"/>
          <w:szCs w:val="28"/>
        </w:rPr>
      </w:pPr>
      <w:r>
        <w:rPr>
          <w:rStyle w:val="13"/>
          <w:rFonts w:ascii="宋体" w:hAnsi="宋体"/>
        </w:rPr>
        <w:br w:type="page"/>
      </w:r>
      <w:r>
        <w:rPr>
          <w:rStyle w:val="48"/>
          <w:rFonts w:ascii="宋体" w:hAnsi="宋体"/>
          <w:bCs w:val="0"/>
          <w:sz w:val="28"/>
          <w:szCs w:val="28"/>
        </w:rPr>
        <w:t>二十、投标单位（供应商）反商业贿赂承诺书</w:t>
      </w:r>
    </w:p>
    <w:p>
      <w:pPr>
        <w:pStyle w:val="50"/>
        <w:spacing w:before="120"/>
        <w:rPr>
          <w:rStyle w:val="13"/>
          <w:rFonts w:ascii="宋体" w:hAnsi="宋体"/>
          <w:sz w:val="24"/>
          <w:szCs w:val="24"/>
        </w:rPr>
      </w:pPr>
      <w:r>
        <w:rPr>
          <w:rStyle w:val="13"/>
          <w:rFonts w:ascii="宋体" w:hAnsi="宋体"/>
          <w:sz w:val="24"/>
          <w:szCs w:val="24"/>
        </w:rPr>
        <w:t xml:space="preserve">   </w:t>
      </w:r>
    </w:p>
    <w:p>
      <w:pPr>
        <w:pStyle w:val="50"/>
        <w:spacing w:before="120"/>
        <w:rPr>
          <w:rStyle w:val="13"/>
          <w:rFonts w:ascii="宋体" w:hAnsi="宋体"/>
          <w:sz w:val="24"/>
          <w:szCs w:val="24"/>
        </w:rPr>
      </w:pPr>
    </w:p>
    <w:p>
      <w:pPr>
        <w:pStyle w:val="50"/>
        <w:spacing w:before="120" w:line="360" w:lineRule="auto"/>
        <w:ind w:left="120" w:leftChars="57" w:firstLine="280" w:firstLineChars="117"/>
        <w:rPr>
          <w:rStyle w:val="13"/>
          <w:rFonts w:ascii="宋体" w:hAnsi="宋体"/>
          <w:sz w:val="24"/>
          <w:szCs w:val="24"/>
        </w:rPr>
      </w:pPr>
      <w:r>
        <w:rPr>
          <w:rStyle w:val="13"/>
          <w:rFonts w:ascii="宋体" w:hAnsi="宋体"/>
          <w:sz w:val="24"/>
          <w:szCs w:val="24"/>
        </w:rPr>
        <w:t>我单位承诺在</w:t>
      </w:r>
      <w:r>
        <w:rPr>
          <w:rStyle w:val="13"/>
          <w:rFonts w:ascii="宋体" w:hAnsi="宋体"/>
          <w:sz w:val="24"/>
          <w:szCs w:val="24"/>
          <w:u w:val="single"/>
        </w:rPr>
        <w:t xml:space="preserve">                                                （项目名称）</w:t>
      </w:r>
      <w:r>
        <w:rPr>
          <w:rStyle w:val="13"/>
          <w:rFonts w:ascii="宋体" w:hAnsi="宋体"/>
          <w:sz w:val="24"/>
          <w:szCs w:val="24"/>
        </w:rPr>
        <w:t>公开招标活动中，不给予国家工作人员及其亲属各种形式的商业贿赂（包括送礼金礼品、有价证券、购物券、回扣、佣金、咨询费、劳务费、赞助费、宣传费、支付旅游费用、报销各种消费凭证、宴请、娱乐等），如有上述行为，我单位及项目参与人员愿意按照《政府采购法》、《反不正当竞争法》的有关规定接受处罚。</w:t>
      </w:r>
    </w:p>
    <w:p>
      <w:pPr>
        <w:pStyle w:val="50"/>
        <w:spacing w:before="120" w:line="360" w:lineRule="auto"/>
        <w:ind w:firstLine="405"/>
        <w:rPr>
          <w:rStyle w:val="13"/>
          <w:rFonts w:ascii="宋体" w:hAnsi="宋体"/>
          <w:sz w:val="24"/>
          <w:szCs w:val="24"/>
        </w:rPr>
      </w:pPr>
      <w:r>
        <w:rPr>
          <w:rStyle w:val="13"/>
          <w:rFonts w:ascii="宋体" w:hAnsi="宋体"/>
          <w:sz w:val="24"/>
          <w:szCs w:val="24"/>
        </w:rPr>
        <w:t xml:space="preserve"> </w:t>
      </w:r>
    </w:p>
    <w:p>
      <w:pPr>
        <w:pStyle w:val="50"/>
        <w:spacing w:before="120" w:line="360" w:lineRule="auto"/>
        <w:ind w:firstLine="405"/>
        <w:rPr>
          <w:rStyle w:val="13"/>
          <w:rFonts w:ascii="宋体" w:hAnsi="宋体"/>
          <w:sz w:val="24"/>
          <w:szCs w:val="24"/>
        </w:rPr>
      </w:pPr>
      <w:r>
        <w:rPr>
          <w:rStyle w:val="13"/>
          <w:rFonts w:ascii="宋体" w:hAnsi="宋体"/>
          <w:sz w:val="24"/>
          <w:szCs w:val="24"/>
        </w:rPr>
        <w:t>单位名称：（盖章）</w:t>
      </w:r>
    </w:p>
    <w:p>
      <w:pPr>
        <w:pStyle w:val="50"/>
        <w:spacing w:before="120" w:line="360" w:lineRule="auto"/>
        <w:ind w:firstLine="405"/>
        <w:rPr>
          <w:rStyle w:val="13"/>
          <w:rFonts w:ascii="宋体" w:hAnsi="宋体"/>
          <w:sz w:val="24"/>
          <w:szCs w:val="24"/>
        </w:rPr>
      </w:pPr>
      <w:r>
        <w:rPr>
          <w:rStyle w:val="13"/>
          <w:rFonts w:ascii="宋体" w:hAnsi="宋体"/>
          <w:sz w:val="24"/>
          <w:szCs w:val="24"/>
        </w:rPr>
        <w:t>法定代表人：（签字盖章）</w:t>
      </w:r>
    </w:p>
    <w:p>
      <w:pPr>
        <w:pStyle w:val="50"/>
        <w:spacing w:before="120" w:line="360" w:lineRule="auto"/>
        <w:ind w:firstLine="405"/>
        <w:rPr>
          <w:rStyle w:val="13"/>
          <w:rFonts w:ascii="宋体" w:hAnsi="宋体"/>
          <w:sz w:val="24"/>
          <w:szCs w:val="24"/>
        </w:rPr>
      </w:pPr>
      <w:r>
        <w:rPr>
          <w:rStyle w:val="13"/>
          <w:rFonts w:ascii="宋体" w:hAnsi="宋体"/>
          <w:sz w:val="24"/>
          <w:szCs w:val="24"/>
        </w:rPr>
        <w:t>项目经办人：</w:t>
      </w:r>
    </w:p>
    <w:p>
      <w:pPr>
        <w:pStyle w:val="50"/>
        <w:spacing w:before="120" w:line="360" w:lineRule="auto"/>
        <w:ind w:firstLine="405"/>
        <w:rPr>
          <w:rStyle w:val="13"/>
          <w:rFonts w:ascii="宋体" w:hAnsi="宋体"/>
          <w:sz w:val="24"/>
          <w:szCs w:val="24"/>
        </w:rPr>
      </w:pPr>
    </w:p>
    <w:p>
      <w:pPr>
        <w:pStyle w:val="50"/>
        <w:spacing w:before="120" w:line="360" w:lineRule="auto"/>
        <w:ind w:firstLine="405"/>
        <w:rPr>
          <w:rStyle w:val="13"/>
          <w:rFonts w:ascii="宋体" w:hAnsi="宋体"/>
          <w:sz w:val="24"/>
          <w:szCs w:val="24"/>
        </w:rPr>
      </w:pPr>
    </w:p>
    <w:p>
      <w:pPr>
        <w:pStyle w:val="50"/>
        <w:spacing w:before="120" w:line="360" w:lineRule="auto"/>
        <w:ind w:firstLine="405"/>
        <w:rPr>
          <w:rStyle w:val="13"/>
          <w:rFonts w:ascii="宋体" w:hAnsi="宋体"/>
          <w:sz w:val="24"/>
          <w:szCs w:val="24"/>
        </w:rPr>
      </w:pPr>
      <w:r>
        <w:rPr>
          <w:rStyle w:val="13"/>
          <w:rFonts w:ascii="宋体" w:hAnsi="宋体"/>
          <w:sz w:val="24"/>
          <w:szCs w:val="24"/>
        </w:rPr>
        <w:t xml:space="preserve">                                   日  期：   年   月   日</w:t>
      </w:r>
    </w:p>
    <w:p>
      <w:pPr>
        <w:pStyle w:val="50"/>
        <w:spacing w:before="120" w:line="360" w:lineRule="auto"/>
        <w:rPr>
          <w:rStyle w:val="13"/>
          <w:rFonts w:ascii="宋体" w:hAnsi="宋体"/>
          <w:sz w:val="24"/>
          <w:szCs w:val="24"/>
        </w:rPr>
      </w:pPr>
    </w:p>
    <w:p>
      <w:pPr>
        <w:pStyle w:val="50"/>
        <w:spacing w:before="120" w:line="360" w:lineRule="auto"/>
        <w:ind w:firstLine="405"/>
        <w:rPr>
          <w:rStyle w:val="13"/>
          <w:rFonts w:ascii="宋体" w:hAnsi="宋体"/>
          <w:sz w:val="24"/>
          <w:szCs w:val="24"/>
        </w:rPr>
      </w:pPr>
    </w:p>
    <w:p>
      <w:pPr>
        <w:pStyle w:val="50"/>
        <w:spacing w:before="120" w:line="360" w:lineRule="auto"/>
        <w:ind w:firstLine="405"/>
        <w:rPr>
          <w:rStyle w:val="13"/>
          <w:rFonts w:ascii="宋体" w:hAnsi="宋体"/>
          <w:sz w:val="24"/>
          <w:szCs w:val="24"/>
        </w:rPr>
      </w:pPr>
    </w:p>
    <w:p>
      <w:pPr>
        <w:pStyle w:val="50"/>
        <w:spacing w:before="120" w:line="360" w:lineRule="auto"/>
        <w:ind w:firstLine="405"/>
        <w:jc w:val="center"/>
        <w:rPr>
          <w:rStyle w:val="48"/>
          <w:rFonts w:ascii="宋体" w:hAnsi="宋体"/>
          <w:bCs w:val="0"/>
          <w:sz w:val="28"/>
          <w:szCs w:val="28"/>
        </w:rPr>
      </w:pPr>
      <w:r>
        <w:rPr>
          <w:rStyle w:val="13"/>
          <w:rFonts w:ascii="宋体" w:hAnsi="宋体"/>
          <w:sz w:val="24"/>
          <w:szCs w:val="24"/>
        </w:rPr>
        <w:br w:type="page"/>
      </w:r>
      <w:r>
        <w:rPr>
          <w:rStyle w:val="48"/>
          <w:rFonts w:ascii="宋体" w:hAnsi="宋体"/>
          <w:bCs w:val="0"/>
          <w:sz w:val="28"/>
          <w:szCs w:val="28"/>
        </w:rPr>
        <w:t>二十一、经年审合格的上年度会计报表（2018</w:t>
      </w:r>
      <w:r>
        <w:rPr>
          <w:rStyle w:val="48"/>
          <w:rFonts w:hint="eastAsia" w:ascii="宋体" w:hAnsi="宋体"/>
          <w:bCs w:val="0"/>
          <w:sz w:val="28"/>
          <w:szCs w:val="28"/>
          <w:lang w:val="en-US" w:eastAsia="zh-CN"/>
        </w:rPr>
        <w:t>-2019</w:t>
      </w:r>
      <w:r>
        <w:rPr>
          <w:rStyle w:val="48"/>
          <w:rFonts w:ascii="宋体" w:hAnsi="宋体"/>
          <w:bCs w:val="0"/>
          <w:sz w:val="28"/>
          <w:szCs w:val="28"/>
        </w:rPr>
        <w:t>年）（新成立公司可不提供）</w:t>
      </w:r>
    </w:p>
    <w:p>
      <w:pPr>
        <w:pStyle w:val="50"/>
        <w:spacing w:before="120" w:line="360" w:lineRule="auto"/>
        <w:ind w:firstLine="405"/>
        <w:jc w:val="center"/>
        <w:rPr>
          <w:rStyle w:val="13"/>
          <w:rFonts w:ascii="宋体" w:hAnsi="宋体"/>
          <w:b/>
          <w:bCs/>
          <w:sz w:val="28"/>
          <w:szCs w:val="28"/>
        </w:rPr>
      </w:pPr>
    </w:p>
    <w:p>
      <w:pPr>
        <w:pStyle w:val="50"/>
        <w:spacing w:before="120" w:line="360" w:lineRule="auto"/>
        <w:ind w:firstLine="405"/>
        <w:rPr>
          <w:rStyle w:val="13"/>
          <w:rFonts w:ascii="宋体" w:hAnsi="宋体"/>
          <w:sz w:val="24"/>
          <w:szCs w:val="24"/>
        </w:rPr>
      </w:pPr>
    </w:p>
    <w:p>
      <w:pPr>
        <w:pStyle w:val="50"/>
        <w:spacing w:before="120" w:line="360" w:lineRule="auto"/>
        <w:ind w:firstLine="405"/>
        <w:rPr>
          <w:rStyle w:val="13"/>
          <w:rFonts w:ascii="宋体" w:hAnsi="宋体"/>
          <w:sz w:val="24"/>
          <w:szCs w:val="24"/>
        </w:rPr>
      </w:pPr>
    </w:p>
    <w:p>
      <w:pPr>
        <w:pStyle w:val="50"/>
        <w:spacing w:before="120" w:line="360" w:lineRule="auto"/>
        <w:ind w:firstLine="405"/>
        <w:rPr>
          <w:rStyle w:val="13"/>
          <w:rFonts w:ascii="宋体" w:hAnsi="宋体"/>
          <w:sz w:val="24"/>
          <w:szCs w:val="24"/>
        </w:rPr>
      </w:pPr>
    </w:p>
    <w:p>
      <w:pPr>
        <w:pStyle w:val="50"/>
        <w:spacing w:before="120" w:line="360" w:lineRule="auto"/>
        <w:ind w:firstLine="405"/>
        <w:rPr>
          <w:rStyle w:val="13"/>
          <w:rFonts w:ascii="宋体" w:hAnsi="宋体"/>
          <w:sz w:val="24"/>
          <w:szCs w:val="24"/>
        </w:rPr>
      </w:pPr>
    </w:p>
    <w:p>
      <w:pPr>
        <w:pStyle w:val="50"/>
        <w:spacing w:before="120" w:line="360" w:lineRule="auto"/>
        <w:ind w:firstLine="405"/>
        <w:rPr>
          <w:rStyle w:val="13"/>
          <w:rFonts w:ascii="宋体" w:hAnsi="宋体"/>
          <w:sz w:val="24"/>
          <w:szCs w:val="24"/>
        </w:rPr>
      </w:pPr>
    </w:p>
    <w:p>
      <w:pPr>
        <w:pStyle w:val="50"/>
        <w:spacing w:before="120" w:line="360" w:lineRule="auto"/>
        <w:ind w:firstLine="405"/>
        <w:rPr>
          <w:rStyle w:val="13"/>
          <w:rFonts w:ascii="宋体" w:hAnsi="宋体"/>
          <w:sz w:val="24"/>
          <w:szCs w:val="24"/>
        </w:rPr>
      </w:pPr>
    </w:p>
    <w:p>
      <w:pPr>
        <w:pStyle w:val="50"/>
        <w:spacing w:before="120" w:line="360" w:lineRule="auto"/>
        <w:ind w:firstLine="405"/>
        <w:rPr>
          <w:rStyle w:val="13"/>
          <w:rFonts w:ascii="宋体" w:hAnsi="宋体"/>
          <w:sz w:val="24"/>
          <w:szCs w:val="24"/>
        </w:rPr>
      </w:pPr>
    </w:p>
    <w:p>
      <w:pPr>
        <w:pStyle w:val="50"/>
        <w:spacing w:before="120" w:line="360" w:lineRule="auto"/>
        <w:ind w:firstLine="405"/>
        <w:rPr>
          <w:rStyle w:val="13"/>
          <w:rFonts w:ascii="宋体" w:hAnsi="宋体"/>
          <w:sz w:val="24"/>
          <w:szCs w:val="24"/>
        </w:rPr>
      </w:pPr>
    </w:p>
    <w:p>
      <w:pPr>
        <w:pStyle w:val="50"/>
        <w:spacing w:before="120" w:line="360" w:lineRule="auto"/>
        <w:ind w:firstLine="405"/>
        <w:rPr>
          <w:rStyle w:val="13"/>
          <w:rFonts w:ascii="宋体" w:hAnsi="宋体"/>
          <w:sz w:val="24"/>
          <w:szCs w:val="24"/>
        </w:rPr>
      </w:pPr>
    </w:p>
    <w:p>
      <w:pPr>
        <w:pStyle w:val="50"/>
        <w:spacing w:before="120" w:line="360" w:lineRule="auto"/>
        <w:ind w:firstLine="405"/>
        <w:rPr>
          <w:rStyle w:val="13"/>
          <w:rFonts w:ascii="宋体" w:hAnsi="宋体"/>
          <w:sz w:val="24"/>
          <w:szCs w:val="24"/>
        </w:rPr>
      </w:pPr>
    </w:p>
    <w:p>
      <w:pPr>
        <w:pStyle w:val="50"/>
        <w:spacing w:before="120" w:line="360" w:lineRule="auto"/>
        <w:ind w:firstLine="405"/>
        <w:rPr>
          <w:rStyle w:val="13"/>
          <w:rFonts w:ascii="宋体" w:hAnsi="宋体"/>
          <w:sz w:val="24"/>
          <w:szCs w:val="24"/>
        </w:rPr>
      </w:pPr>
    </w:p>
    <w:p>
      <w:pPr>
        <w:pStyle w:val="50"/>
        <w:spacing w:before="120" w:line="360" w:lineRule="auto"/>
        <w:ind w:firstLine="405"/>
        <w:rPr>
          <w:rStyle w:val="13"/>
          <w:rFonts w:ascii="宋体" w:hAnsi="宋体"/>
          <w:sz w:val="24"/>
          <w:szCs w:val="24"/>
        </w:rPr>
      </w:pPr>
    </w:p>
    <w:p>
      <w:pPr>
        <w:pStyle w:val="50"/>
        <w:spacing w:before="120" w:line="360" w:lineRule="auto"/>
        <w:ind w:firstLine="405"/>
        <w:rPr>
          <w:rStyle w:val="13"/>
          <w:rFonts w:ascii="宋体" w:hAnsi="宋体"/>
          <w:sz w:val="24"/>
          <w:szCs w:val="24"/>
        </w:rPr>
      </w:pPr>
    </w:p>
    <w:p>
      <w:pPr>
        <w:pStyle w:val="50"/>
        <w:spacing w:before="120" w:line="360" w:lineRule="auto"/>
        <w:ind w:firstLine="405"/>
        <w:rPr>
          <w:rStyle w:val="13"/>
          <w:rFonts w:ascii="宋体" w:hAnsi="宋体"/>
          <w:sz w:val="24"/>
          <w:szCs w:val="24"/>
        </w:rPr>
      </w:pPr>
    </w:p>
    <w:p>
      <w:pPr>
        <w:pStyle w:val="50"/>
        <w:spacing w:before="120" w:line="360" w:lineRule="auto"/>
        <w:ind w:firstLine="405"/>
        <w:rPr>
          <w:rStyle w:val="13"/>
          <w:rFonts w:ascii="宋体" w:hAnsi="宋体"/>
          <w:sz w:val="24"/>
          <w:szCs w:val="24"/>
        </w:rPr>
      </w:pPr>
    </w:p>
    <w:p>
      <w:pPr>
        <w:pStyle w:val="50"/>
        <w:spacing w:before="120" w:line="360" w:lineRule="auto"/>
        <w:ind w:firstLine="405"/>
        <w:rPr>
          <w:rStyle w:val="13"/>
          <w:rFonts w:ascii="宋体" w:hAnsi="宋体"/>
          <w:sz w:val="24"/>
          <w:szCs w:val="24"/>
        </w:rPr>
      </w:pPr>
    </w:p>
    <w:p>
      <w:pPr>
        <w:pStyle w:val="50"/>
        <w:spacing w:before="120" w:line="360" w:lineRule="auto"/>
        <w:ind w:firstLine="405"/>
        <w:rPr>
          <w:rStyle w:val="13"/>
          <w:rFonts w:ascii="宋体" w:hAnsi="宋体"/>
          <w:sz w:val="24"/>
          <w:szCs w:val="24"/>
        </w:rPr>
      </w:pPr>
    </w:p>
    <w:p>
      <w:pPr>
        <w:pStyle w:val="50"/>
        <w:spacing w:before="120" w:line="360" w:lineRule="auto"/>
        <w:ind w:firstLine="405"/>
        <w:rPr>
          <w:rStyle w:val="13"/>
          <w:rFonts w:ascii="宋体" w:hAnsi="宋体"/>
          <w:sz w:val="24"/>
          <w:szCs w:val="24"/>
        </w:rPr>
      </w:pPr>
    </w:p>
    <w:p>
      <w:pPr>
        <w:pStyle w:val="50"/>
        <w:spacing w:before="120" w:line="360" w:lineRule="auto"/>
        <w:ind w:firstLine="405"/>
        <w:rPr>
          <w:rStyle w:val="13"/>
          <w:rFonts w:ascii="宋体" w:hAnsi="宋体"/>
          <w:sz w:val="24"/>
          <w:szCs w:val="24"/>
        </w:rPr>
      </w:pPr>
    </w:p>
    <w:p>
      <w:pPr>
        <w:pStyle w:val="50"/>
        <w:spacing w:before="120" w:line="360" w:lineRule="auto"/>
        <w:ind w:firstLine="405"/>
        <w:rPr>
          <w:rStyle w:val="13"/>
          <w:rFonts w:ascii="宋体" w:hAnsi="宋体"/>
          <w:sz w:val="24"/>
          <w:szCs w:val="24"/>
        </w:rPr>
      </w:pPr>
    </w:p>
    <w:p>
      <w:pPr>
        <w:pStyle w:val="50"/>
        <w:spacing w:before="120" w:line="360" w:lineRule="auto"/>
        <w:rPr>
          <w:rStyle w:val="13"/>
          <w:rFonts w:ascii="宋体" w:hAnsi="宋体"/>
          <w:sz w:val="24"/>
          <w:szCs w:val="24"/>
        </w:rPr>
      </w:pPr>
    </w:p>
    <w:p>
      <w:pPr>
        <w:spacing w:line="400" w:lineRule="exact"/>
        <w:ind w:right="86"/>
        <w:jc w:val="center"/>
        <w:rPr>
          <w:rStyle w:val="13"/>
          <w:rFonts w:ascii="宋体" w:hAnsi="宋体"/>
          <w:b/>
          <w:bCs/>
          <w:sz w:val="28"/>
          <w:szCs w:val="28"/>
        </w:rPr>
      </w:pPr>
      <w:r>
        <w:rPr>
          <w:rStyle w:val="13"/>
          <w:rFonts w:ascii="宋体" w:hAnsi="宋体"/>
          <w:b/>
          <w:bCs/>
          <w:sz w:val="28"/>
          <w:szCs w:val="28"/>
        </w:rPr>
        <w:t>二十二、其它必须的资料及有利于投标的资料</w:t>
      </w:r>
    </w:p>
    <w:p>
      <w:pPr>
        <w:pStyle w:val="50"/>
        <w:spacing w:before="120" w:line="360" w:lineRule="auto"/>
        <w:ind w:firstLine="405"/>
        <w:rPr>
          <w:rStyle w:val="13"/>
          <w:rFonts w:ascii="宋体" w:hAnsi="宋体"/>
          <w:sz w:val="24"/>
          <w:szCs w:val="24"/>
        </w:rPr>
      </w:pPr>
      <w:r>
        <w:rPr>
          <w:rStyle w:val="13"/>
          <w:rFonts w:ascii="宋体" w:hAnsi="宋体" w:cs="宋体"/>
          <w:b/>
          <w:bCs/>
          <w:sz w:val="24"/>
          <w:szCs w:val="24"/>
        </w:rPr>
        <w:t>注：</w:t>
      </w:r>
    </w:p>
    <w:p>
      <w:pPr>
        <w:pStyle w:val="50"/>
        <w:spacing w:before="120" w:line="360" w:lineRule="auto"/>
        <w:ind w:firstLine="480" w:firstLineChars="200"/>
        <w:rPr>
          <w:rStyle w:val="13"/>
          <w:rFonts w:ascii="宋体" w:hAnsi="宋体"/>
          <w:b/>
          <w:bCs/>
          <w:color w:val="000000"/>
          <w:spacing w:val="60"/>
          <w:sz w:val="32"/>
          <w:szCs w:val="32"/>
        </w:rPr>
      </w:pPr>
      <w:r>
        <w:rPr>
          <w:rStyle w:val="13"/>
          <w:rFonts w:hint="eastAsia" w:ascii="宋体" w:hAnsi="宋体"/>
          <w:sz w:val="24"/>
          <w:szCs w:val="24"/>
        </w:rPr>
        <w:t>近三年内（本项目投标截止期前）在“信用中国网（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以上网站页面截图并加盖单位鲜公章；</w:t>
      </w:r>
    </w:p>
    <w:p>
      <w:pPr>
        <w:pStyle w:val="50"/>
        <w:spacing w:before="120" w:line="360" w:lineRule="auto"/>
        <w:rPr>
          <w:rStyle w:val="13"/>
          <w:rFonts w:ascii="宋体" w:hAnsi="宋体"/>
          <w:b/>
          <w:bCs/>
          <w:color w:val="000000"/>
          <w:spacing w:val="60"/>
          <w:sz w:val="32"/>
          <w:szCs w:val="32"/>
        </w:rPr>
      </w:pPr>
    </w:p>
    <w:p>
      <w:pPr>
        <w:pStyle w:val="50"/>
        <w:spacing w:before="120" w:line="360" w:lineRule="auto"/>
        <w:rPr>
          <w:rStyle w:val="13"/>
          <w:rFonts w:ascii="宋体" w:hAnsi="宋体"/>
          <w:b/>
          <w:bCs/>
          <w:color w:val="000000"/>
          <w:spacing w:val="60"/>
          <w:sz w:val="32"/>
          <w:szCs w:val="32"/>
        </w:rPr>
      </w:pPr>
    </w:p>
    <w:p>
      <w:pPr>
        <w:pStyle w:val="50"/>
        <w:spacing w:before="120" w:line="360" w:lineRule="auto"/>
        <w:rPr>
          <w:rStyle w:val="13"/>
          <w:rFonts w:ascii="宋体" w:hAnsi="宋体"/>
          <w:b/>
          <w:bCs/>
          <w:color w:val="000000"/>
          <w:spacing w:val="60"/>
          <w:sz w:val="32"/>
          <w:szCs w:val="32"/>
        </w:rPr>
      </w:pPr>
    </w:p>
    <w:p>
      <w:pPr>
        <w:pStyle w:val="50"/>
        <w:spacing w:before="120" w:line="360" w:lineRule="auto"/>
        <w:rPr>
          <w:rStyle w:val="13"/>
          <w:rFonts w:ascii="宋体" w:hAnsi="宋体"/>
          <w:b/>
          <w:bCs/>
          <w:color w:val="000000"/>
          <w:spacing w:val="60"/>
          <w:sz w:val="32"/>
          <w:szCs w:val="32"/>
        </w:rPr>
      </w:pPr>
    </w:p>
    <w:p>
      <w:pPr>
        <w:pStyle w:val="50"/>
        <w:spacing w:before="120" w:line="360" w:lineRule="auto"/>
        <w:rPr>
          <w:rStyle w:val="13"/>
          <w:rFonts w:ascii="宋体" w:hAnsi="宋体"/>
          <w:b/>
          <w:bCs/>
          <w:color w:val="000000"/>
          <w:spacing w:val="60"/>
          <w:sz w:val="32"/>
          <w:szCs w:val="32"/>
        </w:rPr>
      </w:pPr>
    </w:p>
    <w:p>
      <w:pPr>
        <w:pStyle w:val="50"/>
        <w:spacing w:before="120" w:line="360" w:lineRule="auto"/>
        <w:rPr>
          <w:rStyle w:val="13"/>
          <w:rFonts w:ascii="宋体" w:hAnsi="宋体"/>
          <w:b/>
          <w:bCs/>
          <w:color w:val="000000"/>
          <w:spacing w:val="60"/>
          <w:sz w:val="32"/>
          <w:szCs w:val="32"/>
        </w:rPr>
      </w:pPr>
    </w:p>
    <w:p>
      <w:pPr>
        <w:pStyle w:val="50"/>
        <w:spacing w:before="120" w:line="360" w:lineRule="auto"/>
        <w:rPr>
          <w:rStyle w:val="13"/>
          <w:rFonts w:ascii="宋体" w:hAnsi="宋体"/>
          <w:b/>
          <w:bCs/>
          <w:color w:val="000000"/>
          <w:spacing w:val="60"/>
          <w:sz w:val="32"/>
          <w:szCs w:val="32"/>
        </w:rPr>
      </w:pPr>
    </w:p>
    <w:p>
      <w:pPr>
        <w:pStyle w:val="50"/>
        <w:spacing w:before="120" w:line="360" w:lineRule="auto"/>
        <w:rPr>
          <w:rStyle w:val="13"/>
          <w:rFonts w:ascii="宋体" w:hAnsi="宋体"/>
          <w:b/>
          <w:bCs/>
          <w:color w:val="000000"/>
          <w:spacing w:val="60"/>
          <w:sz w:val="32"/>
          <w:szCs w:val="32"/>
        </w:rPr>
      </w:pPr>
    </w:p>
    <w:p>
      <w:pPr>
        <w:pStyle w:val="50"/>
        <w:spacing w:before="120" w:line="360" w:lineRule="auto"/>
        <w:rPr>
          <w:rStyle w:val="13"/>
          <w:rFonts w:ascii="宋体" w:hAnsi="宋体"/>
          <w:b/>
          <w:bCs/>
          <w:color w:val="000000"/>
          <w:spacing w:val="60"/>
          <w:sz w:val="32"/>
          <w:szCs w:val="32"/>
        </w:rPr>
      </w:pPr>
    </w:p>
    <w:p>
      <w:pPr>
        <w:pStyle w:val="50"/>
        <w:spacing w:before="120" w:line="360" w:lineRule="auto"/>
        <w:rPr>
          <w:rStyle w:val="13"/>
          <w:rFonts w:ascii="宋体" w:hAnsi="宋体"/>
          <w:b/>
          <w:bCs/>
          <w:color w:val="000000"/>
          <w:spacing w:val="60"/>
          <w:sz w:val="32"/>
          <w:szCs w:val="32"/>
        </w:rPr>
      </w:pPr>
    </w:p>
    <w:p>
      <w:pPr>
        <w:pStyle w:val="50"/>
        <w:spacing w:before="120" w:line="360" w:lineRule="auto"/>
        <w:rPr>
          <w:rStyle w:val="13"/>
          <w:rFonts w:ascii="宋体" w:hAnsi="宋体"/>
          <w:b/>
          <w:bCs/>
          <w:color w:val="000000"/>
          <w:spacing w:val="60"/>
          <w:sz w:val="32"/>
          <w:szCs w:val="32"/>
        </w:rPr>
      </w:pPr>
    </w:p>
    <w:p>
      <w:pPr>
        <w:pStyle w:val="50"/>
        <w:spacing w:before="120" w:line="360" w:lineRule="auto"/>
        <w:rPr>
          <w:rStyle w:val="13"/>
          <w:rFonts w:ascii="宋体" w:hAnsi="宋体"/>
          <w:b/>
          <w:bCs/>
          <w:color w:val="000000"/>
          <w:spacing w:val="60"/>
          <w:sz w:val="32"/>
          <w:szCs w:val="32"/>
        </w:rPr>
      </w:pPr>
    </w:p>
    <w:p>
      <w:pPr>
        <w:pStyle w:val="50"/>
        <w:spacing w:before="120" w:line="360" w:lineRule="auto"/>
        <w:rPr>
          <w:rStyle w:val="13"/>
          <w:rFonts w:ascii="宋体" w:hAnsi="宋体"/>
          <w:b/>
          <w:bCs/>
          <w:color w:val="000000"/>
          <w:spacing w:val="60"/>
          <w:sz w:val="32"/>
          <w:szCs w:val="32"/>
        </w:rPr>
      </w:pPr>
    </w:p>
    <w:p>
      <w:pPr>
        <w:pStyle w:val="50"/>
        <w:spacing w:before="120" w:line="360" w:lineRule="auto"/>
        <w:jc w:val="center"/>
        <w:rPr>
          <w:rStyle w:val="13"/>
          <w:rFonts w:ascii="宋体"/>
          <w:color w:val="000000"/>
          <w:sz w:val="32"/>
          <w:szCs w:val="32"/>
        </w:rPr>
      </w:pPr>
      <w:r>
        <w:rPr>
          <w:rStyle w:val="13"/>
          <w:rFonts w:ascii="宋体" w:hAnsi="宋体"/>
          <w:b/>
          <w:bCs/>
          <w:color w:val="000000"/>
          <w:spacing w:val="60"/>
          <w:sz w:val="32"/>
          <w:szCs w:val="32"/>
        </w:rPr>
        <w:t>注意事项</w:t>
      </w:r>
    </w:p>
    <w:p>
      <w:pPr>
        <w:rPr>
          <w:rStyle w:val="13"/>
          <w:rFonts w:ascii="宋体"/>
          <w:color w:val="000000"/>
          <w:sz w:val="24"/>
        </w:rPr>
      </w:pPr>
      <w:r>
        <w:rPr>
          <w:rStyle w:val="13"/>
          <w:rFonts w:ascii="宋体" w:hAnsi="宋体"/>
          <w:color w:val="000000"/>
          <w:sz w:val="28"/>
        </w:rPr>
        <w:t>1、</w:t>
      </w:r>
      <w:r>
        <w:rPr>
          <w:rStyle w:val="13"/>
          <w:rFonts w:ascii="宋体" w:hAnsi="宋体"/>
          <w:color w:val="000000"/>
          <w:sz w:val="24"/>
        </w:rPr>
        <w:t>投标人对所附表格中要求的资料和询问应做出肯定的回答。</w:t>
      </w:r>
    </w:p>
    <w:p>
      <w:pPr>
        <w:rPr>
          <w:rStyle w:val="13"/>
          <w:rFonts w:ascii="宋体"/>
          <w:color w:val="000000"/>
          <w:sz w:val="24"/>
        </w:rPr>
      </w:pPr>
      <w:r>
        <w:rPr>
          <w:rStyle w:val="13"/>
          <w:rFonts w:ascii="宋体" w:hAnsi="宋体"/>
          <w:color w:val="000000"/>
          <w:sz w:val="24"/>
        </w:rPr>
        <w:t>2、招标文件的签字人应保证他所做的声明及对一切问题的回答的真实性和准确。</w:t>
      </w:r>
    </w:p>
    <w:p>
      <w:pPr>
        <w:rPr>
          <w:rStyle w:val="13"/>
          <w:rFonts w:ascii="宋体"/>
          <w:color w:val="000000"/>
          <w:sz w:val="24"/>
        </w:rPr>
      </w:pPr>
      <w:r>
        <w:rPr>
          <w:rStyle w:val="13"/>
          <w:rFonts w:ascii="宋体" w:hAnsi="宋体"/>
          <w:color w:val="000000"/>
          <w:sz w:val="24"/>
        </w:rPr>
        <w:t>3、投标人提供的招标文件将由招标人使用，并据此进行评价和判断，确定投标人的能力。</w:t>
      </w:r>
    </w:p>
    <w:p>
      <w:pPr>
        <w:rPr>
          <w:rStyle w:val="13"/>
        </w:rPr>
      </w:pPr>
      <w:r>
        <w:rPr>
          <w:rStyle w:val="13"/>
          <w:rFonts w:ascii="宋体" w:hAnsi="宋体"/>
          <w:color w:val="000000"/>
          <w:sz w:val="24"/>
        </w:rPr>
        <w:t>4、投标人提交的文件将给予保密，但不退</w:t>
      </w:r>
      <w:r>
        <w:rPr>
          <w:rStyle w:val="13"/>
          <w:rFonts w:hint="eastAsia" w:ascii="宋体" w:hAnsi="宋体"/>
          <w:color w:val="000000"/>
          <w:sz w:val="24"/>
        </w:rPr>
        <w:t>。</w:t>
      </w:r>
    </w:p>
    <w:sectPr>
      <w:footerReference r:id="rId1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Style w:val="13"/>
      </w:rPr>
    </w:pPr>
  </w:p>
  <w:p>
    <w:pPr>
      <w:pStyle w:val="7"/>
      <w:jc w:val="center"/>
      <w:rPr>
        <w:rStyle w:val="1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Style w:val="13"/>
      </w:rPr>
    </w:pPr>
  </w:p>
  <w:p>
    <w:pPr>
      <w:pStyle w:val="7"/>
      <w:jc w:val="center"/>
      <w:rPr>
        <w:rStyle w:val="1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Style w:val="13"/>
      </w:rPr>
    </w:pPr>
  </w:p>
  <w:p>
    <w:pPr>
      <w:pStyle w:val="7"/>
      <w:jc w:val="center"/>
      <w:rPr>
        <w:rStyle w:val="13"/>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Style w:val="13"/>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APMKRywAQAA&#10;TwMAAA4AAAAAAAAAAQAgAAAAHgEAAGRycy9lMm9Eb2MueG1sUEsFBgAAAAAGAAYAWQEAAEAFAAAA&#10;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r>
      <w:rPr>
        <w:rStyle w:val="13"/>
      </w:rP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txbxContent>
                    </wps:txbx>
                    <wps:bodyPr lIns="0" tIns="0" rIns="0" bIns="0" upright="1"/>
                  </wps:wsp>
                </a:graphicData>
              </a:graphic>
            </wp:anchor>
          </w:drawing>
        </mc:Choice>
        <mc:Fallback>
          <w:pict>
            <v:shape id="文本框 1029" o:spid="_x0000_s1026" o:spt="202" type="#_x0000_t202" style="position:absolute;left:0pt;margin-top:0pt;height:144pt;width:144pt;mso-position-horizontal:center;mso-position-horizontal-relative:margin;z-index:251655168;mso-width-relative:page;mso-height-relative:page;" filled="f" stroked="f" coordsize="21600,21600" o:gfxdata="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5WYuvtEAAAAFAQAADwAAAAAAAAAB&#10;ACAAAAAiAAAAZHJzL2Rvd25yZXYueG1sUEsBAhQAFAAAAAgAh07iQCByU/ulAQAAMQMAAA4AAAAA&#10;AAAAAQAgAAAAIAEAAGRycy9lMm9Eb2MueG1sUEsFBgAAAAAGAAYAWQEAADcFAAAAAA==&#10;">
              <v:fill on="f" focussize="0,0"/>
              <v:stroke on="f" weight="0.5pt"/>
              <v:imagedata o:title=""/>
              <o:lock v:ext="edit" aspectratio="f"/>
              <v:textbox inset="0mm,0mm,0mm,0mm">
                <w:txbxContent>
                  <w:p/>
                </w:txbxContent>
              </v:textbox>
            </v:shape>
          </w:pict>
        </mc:Fallback>
      </mc:AlternateContent>
    </w:r>
  </w:p>
  <w:p>
    <w:pPr>
      <w:pStyle w:val="7"/>
      <w:jc w:val="center"/>
      <w:rPr>
        <w:rStyle w:val="13"/>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59" w:rightChars="171" w:firstLine="360" w:firstLineChars="200"/>
      <w:rPr>
        <w:rStyle w:val="13"/>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JwbKqsQEA&#10;AE8DAAAOAAAAAAAAAAEAIAAAAB4BAABkcnMvZTJvRG9jLnhtbFBLBQYAAAAABgAGAFkBAABBBQAA&#10;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w:rPr>
        <w:rStyle w:val="13"/>
      </w:rPr>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54144;mso-width-relative:page;mso-height-relative:page;" filled="f" stroked="f" coordsize="21600,21600" o:gfxdata="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lZi6+0QAAAAUBAAAPAAAAAAAAAAEA&#10;IAAAACIAAABkcnMvZG93bnJldi54bWxQSwECFAAUAAAACACHTuJA3uBo6aQBAAAxAwAADgAAAAAA&#10;AAABACAAAAAgAQAAZHJzL2Uyb0RvYy54bWxQSwUGAAAAAAYABgBZAQAANgUAAAAA&#10;">
              <v:fill on="f" focussize="0,0"/>
              <v:stroke on="f" weight="0.5pt"/>
              <v:imagedata o:title=""/>
              <o:lock v:ext="edit" aspectratio="f"/>
              <v:textbox inset="0mm,0mm,0mm,0mm">
                <w:txbxContent>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margin" w:hAnchor="text" w:xAlign="center" w:y="1"/>
      <w:rPr>
        <w:rStyle w:val="54"/>
      </w:rPr>
    </w:pPr>
  </w:p>
  <w:p>
    <w:pPr>
      <w:pStyle w:val="7"/>
      <w:ind w:right="360" w:firstLine="360"/>
      <w:rPr>
        <w:rStyle w:val="13"/>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Style w:val="13"/>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95</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OfjccLIB&#10;AABPAwAADgAAAAAAAAABACAAAAAeAQAAZHJzL2Uyb0RvYy54bWxQSwUGAAAAAAYABgBZAQAAQgUA&#10;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95</w:t>
                    </w:r>
                    <w:r>
                      <w:rPr>
                        <w:rFonts w:hint="eastAsia"/>
                      </w:rPr>
                      <w:fldChar w:fldCharType="end"/>
                    </w:r>
                  </w:p>
                </w:txbxContent>
              </v:textbox>
            </v:shape>
          </w:pict>
        </mc:Fallback>
      </mc:AlternateContent>
    </w:r>
    <w:r>
      <w:rPr>
        <w:rStyle w:val="13"/>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txbxContent>
                    </wps:txbx>
                    <wps:bodyPr lIns="0" tIns="0" rIns="0" bIns="0" upright="1"/>
                  </wps:wsp>
                </a:graphicData>
              </a:graphic>
            </wp:anchor>
          </w:drawing>
        </mc:Choice>
        <mc:Fallback>
          <w:pict>
            <v:shape id="文本框 1026" o:spid="_x0000_s1026" o:spt="202" type="#_x0000_t202" style="position:absolute;left:0pt;margin-top:0pt;height:144pt;width:144pt;mso-position-horizontal:center;mso-position-horizontal-relative:margin;z-index:251656192;mso-width-relative:page;mso-height-relative:page;" filled="f" stroked="f" coordsize="21600,21600" o:gfxdata="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lZi6+0QAAAAUBAAAPAAAAAAAAAAEA&#10;IAAAACIAAABkcnMvZG93bnJldi54bWxQSwECFAAUAAAACACHTuJAT3AWfqQBAAAyAwAADgAAAAAA&#10;AAABACAAAAAgAQAAZHJzL2Uyb0RvYy54bWxQSwUGAAAAAAYABgBZAQAANgUAAAAA&#10;">
              <v:fill on="f" focussize="0,0"/>
              <v:stroke on="f" weight="0.5pt"/>
              <v:imagedata o:title=""/>
              <o:lock v:ext="edit" aspectratio="f"/>
              <v:textbox inset="0mm,0mm,0mm,0mm">
                <w:txbxContent>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59" w:rightChars="171" w:firstLine="360" w:firstLineChars="200"/>
      <w:jc w:val="center"/>
      <w:rPr>
        <w:rStyle w:val="13"/>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102</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8/VHxrIB&#10;AABPAwAADgAAAAAAAAABACAAAAAeAQAAZHJzL2Uyb0RvYy54bWxQSwUGAAAAAAYABgBZAQAAQgUA&#10;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102</w:t>
                    </w:r>
                    <w:r>
                      <w:rPr>
                        <w:rFonts w:hint="eastAsia"/>
                      </w:rPr>
                      <w:fldChar w:fldCharType="end"/>
                    </w:r>
                  </w:p>
                </w:txbxContent>
              </v:textbox>
            </v:shape>
          </w:pict>
        </mc:Fallback>
      </mc:AlternateContent>
    </w:r>
    <w:r>
      <w:rPr>
        <w:rStyle w:val="13"/>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txbxContent>
                    </wps:txbx>
                    <wps:bodyPr lIns="0" tIns="0" rIns="0" bIns="0" upright="1"/>
                  </wps:wsp>
                </a:graphicData>
              </a:graphic>
            </wp:anchor>
          </w:drawing>
        </mc:Choice>
        <mc:Fallback>
          <w:pict>
            <v:shape id="文本框 1027" o:spid="_x0000_s1026" o:spt="202" type="#_x0000_t202" style="position:absolute;left:0pt;margin-top:0pt;height:144pt;width:144pt;mso-position-horizontal:center;mso-position-horizontal-relative:margin;z-index:251657216;mso-width-relative:page;mso-height-relative:page;" filled="f" stroked="f" coordsize="21600,21600" o:gfxdata="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5WYuvtEAAAAFAQAADwAAAAAAAAAB&#10;ACAAAAAiAAAAZHJzL2Rvd25yZXYueG1sUEsBAhQAFAAAAAgAh07iQIFGOx6lAQAAMgMAAA4AAAAA&#10;AAAAAQAgAAAAIAEAAGRycy9lMm9Eb2MueG1sUEsFBgAAAAAGAAYAWQEAADcFAAAAAA==&#10;">
              <v:fill on="f" focussize="0,0"/>
              <v:stroke on="f" weight="0.5pt"/>
              <v:imagedata o:title=""/>
              <o:lock v:ext="edit" aspectratio="f"/>
              <v:textbox inset="0mm,0mm,0mm,0mm">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000000" w:sz="0" w:space="1"/>
      </w:pBdr>
      <w:jc w:val="right"/>
      <w:rPr>
        <w:rStyle w:val="1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rStyle w:val="1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rPr>
        <w:rStyle w:val="1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52472C"/>
    <w:multiLevelType w:val="singleLevel"/>
    <w:tmpl w:val="CC52472C"/>
    <w:lvl w:ilvl="0" w:tentative="0">
      <w:start w:val="3"/>
      <w:numFmt w:val="chineseCounting"/>
      <w:suff w:val="space"/>
      <w:lvlText w:val="第%1章"/>
      <w:lvlJc w:val="left"/>
      <w:pPr>
        <w:textAlignment w:val="baseline"/>
      </w:pPr>
    </w:lvl>
  </w:abstractNum>
  <w:abstractNum w:abstractNumId="1">
    <w:nsid w:val="F79077BB"/>
    <w:multiLevelType w:val="singleLevel"/>
    <w:tmpl w:val="F79077BB"/>
    <w:lvl w:ilvl="0" w:tentative="0">
      <w:start w:val="1"/>
      <w:numFmt w:val="decimal"/>
      <w:lvlText w:val="%1."/>
      <w:lvlJc w:val="left"/>
      <w:pPr>
        <w:tabs>
          <w:tab w:val="left" w:pos="312"/>
        </w:tabs>
        <w:textAlignment w:val="baseline"/>
      </w:pPr>
    </w:lvl>
  </w:abstractNum>
  <w:abstractNum w:abstractNumId="2">
    <w:nsid w:val="0000000E"/>
    <w:multiLevelType w:val="multilevel"/>
    <w:tmpl w:val="0000000E"/>
    <w:lvl w:ilvl="0" w:tentative="0">
      <w:start w:val="1"/>
      <w:numFmt w:val="upperLetter"/>
      <w:pStyle w:val="18"/>
      <w:lvlText w:val="%1、"/>
      <w:lvlJc w:val="left"/>
      <w:pPr>
        <w:tabs>
          <w:tab w:val="left" w:pos="360"/>
        </w:tabs>
        <w:ind w:left="360" w:hanging="360"/>
        <w:textAlignment w:val="baseline"/>
      </w:pPr>
    </w:lvl>
    <w:lvl w:ilvl="1" w:tentative="0">
      <w:start w:val="1"/>
      <w:numFmt w:val="decimal"/>
      <w:lvlText w:val="%1."/>
      <w:lvlJc w:val="left"/>
      <w:pPr>
        <w:tabs>
          <w:tab w:val="left" w:pos="780"/>
        </w:tabs>
        <w:ind w:left="780" w:hanging="360"/>
        <w:textAlignment w:val="baseline"/>
      </w:pPr>
    </w:lvl>
    <w:lvl w:ilvl="2" w:tentative="0">
      <w:start w:val="1"/>
      <w:numFmt w:val="lowerRoman"/>
      <w:lvlText w:val="%1."/>
      <w:lvlJc w:val="right"/>
      <w:pPr>
        <w:tabs>
          <w:tab w:val="left" w:pos="1260"/>
        </w:tabs>
        <w:ind w:left="1260" w:hanging="420"/>
        <w:textAlignment w:val="baseline"/>
      </w:pPr>
    </w:lvl>
    <w:lvl w:ilvl="3" w:tentative="0">
      <w:start w:val="1"/>
      <w:numFmt w:val="decimal"/>
      <w:lvlText w:val="%1."/>
      <w:lvlJc w:val="left"/>
      <w:pPr>
        <w:tabs>
          <w:tab w:val="left" w:pos="1680"/>
        </w:tabs>
        <w:ind w:left="1680" w:hanging="420"/>
        <w:textAlignment w:val="baseline"/>
      </w:pPr>
    </w:lvl>
    <w:lvl w:ilvl="4" w:tentative="0">
      <w:start w:val="1"/>
      <w:numFmt w:val="lowerLetter"/>
      <w:lvlText w:val="%1)"/>
      <w:lvlJc w:val="left"/>
      <w:pPr>
        <w:tabs>
          <w:tab w:val="left" w:pos="2100"/>
        </w:tabs>
        <w:ind w:left="2100" w:hanging="420"/>
        <w:textAlignment w:val="baseline"/>
      </w:pPr>
    </w:lvl>
    <w:lvl w:ilvl="5" w:tentative="0">
      <w:start w:val="1"/>
      <w:numFmt w:val="lowerRoman"/>
      <w:lvlText w:val="%1."/>
      <w:lvlJc w:val="right"/>
      <w:pPr>
        <w:tabs>
          <w:tab w:val="left" w:pos="2520"/>
        </w:tabs>
        <w:ind w:left="2520" w:hanging="420"/>
        <w:textAlignment w:val="baseline"/>
      </w:pPr>
    </w:lvl>
    <w:lvl w:ilvl="6" w:tentative="0">
      <w:start w:val="1"/>
      <w:numFmt w:val="decimal"/>
      <w:lvlText w:val="%1."/>
      <w:lvlJc w:val="left"/>
      <w:pPr>
        <w:tabs>
          <w:tab w:val="left" w:pos="2940"/>
        </w:tabs>
        <w:ind w:left="2940" w:hanging="420"/>
        <w:textAlignment w:val="baseline"/>
      </w:pPr>
    </w:lvl>
    <w:lvl w:ilvl="7" w:tentative="0">
      <w:start w:val="1"/>
      <w:numFmt w:val="lowerLetter"/>
      <w:lvlText w:val="%1)"/>
      <w:lvlJc w:val="left"/>
      <w:pPr>
        <w:tabs>
          <w:tab w:val="left" w:pos="3360"/>
        </w:tabs>
        <w:ind w:left="3360" w:hanging="420"/>
        <w:textAlignment w:val="baseline"/>
      </w:pPr>
    </w:lvl>
    <w:lvl w:ilvl="8" w:tentative="0">
      <w:start w:val="1"/>
      <w:numFmt w:val="lowerRoman"/>
      <w:lvlText w:val="%1."/>
      <w:lvlJc w:val="right"/>
      <w:pPr>
        <w:tabs>
          <w:tab w:val="left" w:pos="3780"/>
        </w:tabs>
        <w:ind w:left="3780" w:hanging="420"/>
        <w:textAlignment w:val="baseline"/>
      </w:pPr>
    </w:lvl>
  </w:abstractNum>
  <w:abstractNum w:abstractNumId="3">
    <w:nsid w:val="06B55C6C"/>
    <w:multiLevelType w:val="singleLevel"/>
    <w:tmpl w:val="06B55C6C"/>
    <w:lvl w:ilvl="0" w:tentative="0">
      <w:start w:val="2"/>
      <w:numFmt w:val="decimal"/>
      <w:lvlText w:val="%1."/>
      <w:lvlJc w:val="left"/>
      <w:pPr>
        <w:tabs>
          <w:tab w:val="left" w:pos="312"/>
        </w:tabs>
        <w:ind w:left="480" w:firstLine="0"/>
        <w:textAlignment w:val="baseline"/>
      </w:pPr>
    </w:lvl>
  </w:abstractNum>
  <w:abstractNum w:abstractNumId="4">
    <w:nsid w:val="082D5C96"/>
    <w:multiLevelType w:val="multilevel"/>
    <w:tmpl w:val="082D5C96"/>
    <w:lvl w:ilvl="0" w:tentative="0">
      <w:start w:val="1"/>
      <w:numFmt w:val="decimal"/>
      <w:suff w:val="nothing"/>
      <w:lvlText w:val="%1"/>
      <w:lvlJc w:val="left"/>
      <w:pPr>
        <w:ind w:left="420" w:hanging="420"/>
        <w:textAlignment w:val="baseline"/>
      </w:pPr>
    </w:lvl>
    <w:lvl w:ilvl="1" w:tentative="0">
      <w:start w:val="1"/>
      <w:numFmt w:val="lowerLetter"/>
      <w:lvlText w:val="%1)"/>
      <w:lvlJc w:val="left"/>
      <w:pPr>
        <w:ind w:left="840" w:hanging="420"/>
        <w:textAlignment w:val="baseline"/>
      </w:pPr>
    </w:lvl>
    <w:lvl w:ilvl="2" w:tentative="0">
      <w:start w:val="1"/>
      <w:numFmt w:val="lowerRoman"/>
      <w:lvlText w:val="%1."/>
      <w:lvlJc w:val="right"/>
      <w:pPr>
        <w:ind w:left="1260" w:hanging="420"/>
        <w:textAlignment w:val="baseline"/>
      </w:pPr>
    </w:lvl>
    <w:lvl w:ilvl="3" w:tentative="0">
      <w:start w:val="1"/>
      <w:numFmt w:val="decimal"/>
      <w:lvlText w:val="%1."/>
      <w:lvlJc w:val="left"/>
      <w:pPr>
        <w:ind w:left="1680" w:hanging="420"/>
        <w:textAlignment w:val="baseline"/>
      </w:pPr>
    </w:lvl>
    <w:lvl w:ilvl="4" w:tentative="0">
      <w:start w:val="1"/>
      <w:numFmt w:val="lowerLetter"/>
      <w:lvlText w:val="%1)"/>
      <w:lvlJc w:val="left"/>
      <w:pPr>
        <w:ind w:left="2100" w:hanging="420"/>
        <w:textAlignment w:val="baseline"/>
      </w:pPr>
    </w:lvl>
    <w:lvl w:ilvl="5" w:tentative="0">
      <w:start w:val="1"/>
      <w:numFmt w:val="lowerRoman"/>
      <w:lvlText w:val="%1."/>
      <w:lvlJc w:val="right"/>
      <w:pPr>
        <w:ind w:left="2520" w:hanging="420"/>
        <w:textAlignment w:val="baseline"/>
      </w:pPr>
    </w:lvl>
    <w:lvl w:ilvl="6" w:tentative="0">
      <w:start w:val="1"/>
      <w:numFmt w:val="decimal"/>
      <w:lvlText w:val="%1."/>
      <w:lvlJc w:val="left"/>
      <w:pPr>
        <w:ind w:left="2940" w:hanging="420"/>
        <w:textAlignment w:val="baseline"/>
      </w:pPr>
    </w:lvl>
    <w:lvl w:ilvl="7" w:tentative="0">
      <w:start w:val="1"/>
      <w:numFmt w:val="lowerLetter"/>
      <w:lvlText w:val="%1)"/>
      <w:lvlJc w:val="left"/>
      <w:pPr>
        <w:ind w:left="3360" w:hanging="420"/>
        <w:textAlignment w:val="baseline"/>
      </w:pPr>
    </w:lvl>
    <w:lvl w:ilvl="8" w:tentative="0">
      <w:start w:val="1"/>
      <w:numFmt w:val="lowerRoman"/>
      <w:lvlText w:val="%1."/>
      <w:lvlJc w:val="right"/>
      <w:pPr>
        <w:ind w:left="3780" w:hanging="420"/>
        <w:textAlignment w:val="baseline"/>
      </w:pPr>
    </w:lvl>
  </w:abstractNum>
  <w:abstractNum w:abstractNumId="5">
    <w:nsid w:val="197264EC"/>
    <w:multiLevelType w:val="multilevel"/>
    <w:tmpl w:val="197264EC"/>
    <w:lvl w:ilvl="0" w:tentative="0">
      <w:start w:val="1"/>
      <w:numFmt w:val="decimal"/>
      <w:suff w:val="nothing"/>
      <w:lvlText w:val="%1"/>
      <w:lvlJc w:val="left"/>
      <w:pPr>
        <w:ind w:left="420" w:hanging="420"/>
        <w:textAlignment w:val="baseline"/>
      </w:pPr>
    </w:lvl>
    <w:lvl w:ilvl="1" w:tentative="0">
      <w:start w:val="1"/>
      <w:numFmt w:val="lowerLetter"/>
      <w:lvlText w:val="%1)"/>
      <w:lvlJc w:val="left"/>
      <w:pPr>
        <w:ind w:left="840" w:hanging="420"/>
        <w:textAlignment w:val="baseline"/>
      </w:pPr>
    </w:lvl>
    <w:lvl w:ilvl="2" w:tentative="0">
      <w:start w:val="1"/>
      <w:numFmt w:val="lowerRoman"/>
      <w:lvlText w:val="%1."/>
      <w:lvlJc w:val="right"/>
      <w:pPr>
        <w:ind w:left="1260" w:hanging="420"/>
        <w:textAlignment w:val="baseline"/>
      </w:pPr>
    </w:lvl>
    <w:lvl w:ilvl="3" w:tentative="0">
      <w:start w:val="1"/>
      <w:numFmt w:val="decimal"/>
      <w:lvlText w:val="%1."/>
      <w:lvlJc w:val="left"/>
      <w:pPr>
        <w:ind w:left="1680" w:hanging="420"/>
        <w:textAlignment w:val="baseline"/>
      </w:pPr>
    </w:lvl>
    <w:lvl w:ilvl="4" w:tentative="0">
      <w:start w:val="1"/>
      <w:numFmt w:val="lowerLetter"/>
      <w:lvlText w:val="%1)"/>
      <w:lvlJc w:val="left"/>
      <w:pPr>
        <w:ind w:left="2100" w:hanging="420"/>
        <w:textAlignment w:val="baseline"/>
      </w:pPr>
    </w:lvl>
    <w:lvl w:ilvl="5" w:tentative="0">
      <w:start w:val="1"/>
      <w:numFmt w:val="lowerRoman"/>
      <w:lvlText w:val="%1."/>
      <w:lvlJc w:val="right"/>
      <w:pPr>
        <w:ind w:left="2520" w:hanging="420"/>
        <w:textAlignment w:val="baseline"/>
      </w:pPr>
    </w:lvl>
    <w:lvl w:ilvl="6" w:tentative="0">
      <w:start w:val="1"/>
      <w:numFmt w:val="decimal"/>
      <w:lvlText w:val="%1."/>
      <w:lvlJc w:val="left"/>
      <w:pPr>
        <w:ind w:left="2940" w:hanging="420"/>
        <w:textAlignment w:val="baseline"/>
      </w:pPr>
    </w:lvl>
    <w:lvl w:ilvl="7" w:tentative="0">
      <w:start w:val="1"/>
      <w:numFmt w:val="lowerLetter"/>
      <w:lvlText w:val="%1)"/>
      <w:lvlJc w:val="left"/>
      <w:pPr>
        <w:ind w:left="3360" w:hanging="420"/>
        <w:textAlignment w:val="baseline"/>
      </w:pPr>
    </w:lvl>
    <w:lvl w:ilvl="8" w:tentative="0">
      <w:start w:val="1"/>
      <w:numFmt w:val="lowerRoman"/>
      <w:lvlText w:val="%1."/>
      <w:lvlJc w:val="right"/>
      <w:pPr>
        <w:ind w:left="3780" w:hanging="420"/>
        <w:textAlignment w:val="baseline"/>
      </w:pPr>
    </w:lvl>
  </w:abstractNum>
  <w:abstractNum w:abstractNumId="6">
    <w:nsid w:val="266B7EAF"/>
    <w:multiLevelType w:val="multilevel"/>
    <w:tmpl w:val="266B7EAF"/>
    <w:lvl w:ilvl="0" w:tentative="0">
      <w:start w:val="1"/>
      <w:numFmt w:val="decimal"/>
      <w:suff w:val="nothing"/>
      <w:lvlText w:val="%1"/>
      <w:lvlJc w:val="left"/>
      <w:pPr>
        <w:ind w:left="420" w:hanging="420"/>
        <w:textAlignment w:val="baseline"/>
      </w:pPr>
    </w:lvl>
    <w:lvl w:ilvl="1" w:tentative="0">
      <w:start w:val="1"/>
      <w:numFmt w:val="lowerLetter"/>
      <w:lvlText w:val="%1)"/>
      <w:lvlJc w:val="left"/>
      <w:pPr>
        <w:ind w:left="840" w:hanging="420"/>
        <w:textAlignment w:val="baseline"/>
      </w:pPr>
    </w:lvl>
    <w:lvl w:ilvl="2" w:tentative="0">
      <w:start w:val="1"/>
      <w:numFmt w:val="lowerRoman"/>
      <w:lvlText w:val="%1."/>
      <w:lvlJc w:val="right"/>
      <w:pPr>
        <w:ind w:left="1260" w:hanging="420"/>
        <w:textAlignment w:val="baseline"/>
      </w:pPr>
    </w:lvl>
    <w:lvl w:ilvl="3" w:tentative="0">
      <w:start w:val="1"/>
      <w:numFmt w:val="decimal"/>
      <w:lvlText w:val="%1."/>
      <w:lvlJc w:val="left"/>
      <w:pPr>
        <w:ind w:left="1680" w:hanging="420"/>
        <w:textAlignment w:val="baseline"/>
      </w:pPr>
    </w:lvl>
    <w:lvl w:ilvl="4" w:tentative="0">
      <w:start w:val="1"/>
      <w:numFmt w:val="lowerLetter"/>
      <w:lvlText w:val="%1)"/>
      <w:lvlJc w:val="left"/>
      <w:pPr>
        <w:ind w:left="2100" w:hanging="420"/>
        <w:textAlignment w:val="baseline"/>
      </w:pPr>
    </w:lvl>
    <w:lvl w:ilvl="5" w:tentative="0">
      <w:start w:val="1"/>
      <w:numFmt w:val="lowerRoman"/>
      <w:lvlText w:val="%1."/>
      <w:lvlJc w:val="right"/>
      <w:pPr>
        <w:ind w:left="2520" w:hanging="420"/>
        <w:textAlignment w:val="baseline"/>
      </w:pPr>
    </w:lvl>
    <w:lvl w:ilvl="6" w:tentative="0">
      <w:start w:val="1"/>
      <w:numFmt w:val="decimal"/>
      <w:lvlText w:val="%1."/>
      <w:lvlJc w:val="left"/>
      <w:pPr>
        <w:ind w:left="2940" w:hanging="420"/>
        <w:textAlignment w:val="baseline"/>
      </w:pPr>
    </w:lvl>
    <w:lvl w:ilvl="7" w:tentative="0">
      <w:start w:val="1"/>
      <w:numFmt w:val="lowerLetter"/>
      <w:lvlText w:val="%1)"/>
      <w:lvlJc w:val="left"/>
      <w:pPr>
        <w:ind w:left="3360" w:hanging="420"/>
        <w:textAlignment w:val="baseline"/>
      </w:pPr>
    </w:lvl>
    <w:lvl w:ilvl="8" w:tentative="0">
      <w:start w:val="1"/>
      <w:numFmt w:val="lowerRoman"/>
      <w:lvlText w:val="%1."/>
      <w:lvlJc w:val="right"/>
      <w:pPr>
        <w:ind w:left="3780" w:hanging="420"/>
        <w:textAlignment w:val="baseline"/>
      </w:pPr>
    </w:lvl>
  </w:abstractNum>
  <w:abstractNum w:abstractNumId="7">
    <w:nsid w:val="2C113D4A"/>
    <w:multiLevelType w:val="multilevel"/>
    <w:tmpl w:val="2C113D4A"/>
    <w:lvl w:ilvl="0" w:tentative="0">
      <w:start w:val="1"/>
      <w:numFmt w:val="decimal"/>
      <w:suff w:val="nothing"/>
      <w:lvlText w:val="%1"/>
      <w:lvlJc w:val="left"/>
      <w:pPr>
        <w:ind w:left="704" w:hanging="420"/>
        <w:textAlignment w:val="baseline"/>
      </w:pPr>
    </w:lvl>
    <w:lvl w:ilvl="1" w:tentative="0">
      <w:start w:val="1"/>
      <w:numFmt w:val="lowerLetter"/>
      <w:lvlText w:val="%1)"/>
      <w:lvlJc w:val="left"/>
      <w:pPr>
        <w:ind w:left="1124" w:hanging="420"/>
        <w:textAlignment w:val="baseline"/>
      </w:pPr>
    </w:lvl>
    <w:lvl w:ilvl="2" w:tentative="0">
      <w:start w:val="1"/>
      <w:numFmt w:val="lowerRoman"/>
      <w:lvlText w:val="%1."/>
      <w:lvlJc w:val="right"/>
      <w:pPr>
        <w:ind w:left="1544" w:hanging="420"/>
        <w:textAlignment w:val="baseline"/>
      </w:pPr>
    </w:lvl>
    <w:lvl w:ilvl="3" w:tentative="0">
      <w:start w:val="1"/>
      <w:numFmt w:val="decimal"/>
      <w:lvlText w:val="%1."/>
      <w:lvlJc w:val="left"/>
      <w:pPr>
        <w:ind w:left="1964" w:hanging="420"/>
        <w:textAlignment w:val="baseline"/>
      </w:pPr>
    </w:lvl>
    <w:lvl w:ilvl="4" w:tentative="0">
      <w:start w:val="1"/>
      <w:numFmt w:val="lowerLetter"/>
      <w:lvlText w:val="%1)"/>
      <w:lvlJc w:val="left"/>
      <w:pPr>
        <w:ind w:left="2384" w:hanging="420"/>
        <w:textAlignment w:val="baseline"/>
      </w:pPr>
    </w:lvl>
    <w:lvl w:ilvl="5" w:tentative="0">
      <w:start w:val="1"/>
      <w:numFmt w:val="lowerRoman"/>
      <w:lvlText w:val="%1."/>
      <w:lvlJc w:val="right"/>
      <w:pPr>
        <w:ind w:left="2804" w:hanging="420"/>
        <w:textAlignment w:val="baseline"/>
      </w:pPr>
    </w:lvl>
    <w:lvl w:ilvl="6" w:tentative="0">
      <w:start w:val="1"/>
      <w:numFmt w:val="decimal"/>
      <w:lvlText w:val="%1."/>
      <w:lvlJc w:val="left"/>
      <w:pPr>
        <w:ind w:left="3224" w:hanging="420"/>
        <w:textAlignment w:val="baseline"/>
      </w:pPr>
    </w:lvl>
    <w:lvl w:ilvl="7" w:tentative="0">
      <w:start w:val="1"/>
      <w:numFmt w:val="lowerLetter"/>
      <w:lvlText w:val="%1)"/>
      <w:lvlJc w:val="left"/>
      <w:pPr>
        <w:ind w:left="3644" w:hanging="420"/>
        <w:textAlignment w:val="baseline"/>
      </w:pPr>
    </w:lvl>
    <w:lvl w:ilvl="8" w:tentative="0">
      <w:start w:val="1"/>
      <w:numFmt w:val="lowerRoman"/>
      <w:lvlText w:val="%1."/>
      <w:lvlJc w:val="right"/>
      <w:pPr>
        <w:ind w:left="4064" w:hanging="420"/>
        <w:textAlignment w:val="baseline"/>
      </w:pPr>
    </w:lvl>
  </w:abstractNum>
  <w:abstractNum w:abstractNumId="8">
    <w:nsid w:val="3E020072"/>
    <w:multiLevelType w:val="multilevel"/>
    <w:tmpl w:val="3E020072"/>
    <w:lvl w:ilvl="0" w:tentative="0">
      <w:start w:val="1"/>
      <w:numFmt w:val="decimal"/>
      <w:lvlText w:val="%1."/>
      <w:lvlJc w:val="left"/>
      <w:pPr>
        <w:tabs>
          <w:tab w:val="left" w:pos="709"/>
        </w:tabs>
        <w:ind w:left="709" w:hanging="709"/>
        <w:textAlignment w:val="baseline"/>
      </w:pPr>
    </w:lvl>
    <w:lvl w:ilvl="1" w:tentative="0">
      <w:start w:val="1"/>
      <w:numFmt w:val="decimal"/>
      <w:pStyle w:val="85"/>
      <w:lvlText w:val="%1."/>
      <w:lvlJc w:val="left"/>
      <w:pPr>
        <w:tabs>
          <w:tab w:val="left" w:pos="420"/>
        </w:tabs>
        <w:ind w:left="420" w:hanging="420"/>
        <w:textAlignment w:val="baseline"/>
      </w:pPr>
    </w:lvl>
    <w:lvl w:ilvl="2" w:tentative="0">
      <w:start w:val="1"/>
      <w:numFmt w:val="decimal"/>
      <w:lvlText w:val="%1.%2.%3."/>
      <w:lvlJc w:val="left"/>
      <w:pPr>
        <w:tabs>
          <w:tab w:val="left" w:pos="425"/>
        </w:tabs>
        <w:ind w:left="425" w:hanging="425"/>
        <w:textAlignment w:val="baseline"/>
      </w:pPr>
    </w:lvl>
    <w:lvl w:ilvl="3" w:tentative="0">
      <w:start w:val="1"/>
      <w:numFmt w:val="decimal"/>
      <w:lvlText w:val="%1.%2.%3.%4."/>
      <w:lvlJc w:val="left"/>
      <w:pPr>
        <w:tabs>
          <w:tab w:val="left" w:pos="851"/>
        </w:tabs>
        <w:ind w:left="851" w:hanging="851"/>
        <w:textAlignment w:val="baseline"/>
      </w:pPr>
    </w:lvl>
    <w:lvl w:ilvl="4" w:tentative="0">
      <w:start w:val="1"/>
      <w:numFmt w:val="decimal"/>
      <w:lvlText w:val="%1.%2.%3.%4.%5."/>
      <w:lvlJc w:val="left"/>
      <w:pPr>
        <w:tabs>
          <w:tab w:val="left" w:pos="992"/>
        </w:tabs>
        <w:ind w:left="992" w:hanging="992"/>
        <w:textAlignment w:val="baseline"/>
      </w:pPr>
    </w:lvl>
    <w:lvl w:ilvl="5" w:tentative="0">
      <w:start w:val="1"/>
      <w:numFmt w:val="decimal"/>
      <w:lvlText w:val="%1.%2.%3.%4.%5.%6."/>
      <w:lvlJc w:val="left"/>
      <w:pPr>
        <w:tabs>
          <w:tab w:val="left" w:pos="1134"/>
        </w:tabs>
        <w:ind w:left="1134" w:hanging="1134"/>
        <w:textAlignment w:val="baseline"/>
      </w:pPr>
    </w:lvl>
    <w:lvl w:ilvl="6" w:tentative="0">
      <w:start w:val="1"/>
      <w:numFmt w:val="decimal"/>
      <w:lvlText w:val="%1.%2.%3.%4.%5.%6.%7."/>
      <w:lvlJc w:val="left"/>
      <w:pPr>
        <w:tabs>
          <w:tab w:val="left" w:pos="1276"/>
        </w:tabs>
        <w:ind w:left="1276" w:hanging="1276"/>
        <w:textAlignment w:val="baseline"/>
      </w:pPr>
    </w:lvl>
    <w:lvl w:ilvl="7" w:tentative="0">
      <w:start w:val="1"/>
      <w:numFmt w:val="decimal"/>
      <w:lvlText w:val="%1.%2.%3.%4.%5.%6.%7.%8."/>
      <w:lvlJc w:val="left"/>
      <w:pPr>
        <w:tabs>
          <w:tab w:val="left" w:pos="1418"/>
        </w:tabs>
        <w:ind w:left="1418" w:hanging="1418"/>
        <w:textAlignment w:val="baseline"/>
      </w:pPr>
    </w:lvl>
    <w:lvl w:ilvl="8" w:tentative="0">
      <w:start w:val="1"/>
      <w:numFmt w:val="decimal"/>
      <w:lvlText w:val="%1.%2.%3.%4.%5.%6.%7.%8.%9."/>
      <w:lvlJc w:val="left"/>
      <w:pPr>
        <w:tabs>
          <w:tab w:val="left" w:pos="1559"/>
        </w:tabs>
        <w:ind w:left="1559" w:hanging="1559"/>
        <w:textAlignment w:val="baseline"/>
      </w:pPr>
    </w:lvl>
  </w:abstractNum>
  <w:abstractNum w:abstractNumId="9">
    <w:nsid w:val="41871612"/>
    <w:multiLevelType w:val="multilevel"/>
    <w:tmpl w:val="41871612"/>
    <w:lvl w:ilvl="0" w:tentative="0">
      <w:start w:val="1"/>
      <w:numFmt w:val="decimal"/>
      <w:suff w:val="nothing"/>
      <w:lvlText w:val="%1"/>
      <w:lvlJc w:val="left"/>
      <w:pPr>
        <w:ind w:left="420" w:hanging="420"/>
        <w:textAlignment w:val="baseline"/>
      </w:pPr>
    </w:lvl>
    <w:lvl w:ilvl="1" w:tentative="0">
      <w:start w:val="1"/>
      <w:numFmt w:val="lowerLetter"/>
      <w:lvlText w:val="%1)"/>
      <w:lvlJc w:val="left"/>
      <w:pPr>
        <w:ind w:left="840" w:hanging="420"/>
        <w:textAlignment w:val="baseline"/>
      </w:pPr>
    </w:lvl>
    <w:lvl w:ilvl="2" w:tentative="0">
      <w:start w:val="1"/>
      <w:numFmt w:val="lowerRoman"/>
      <w:lvlText w:val="%1."/>
      <w:lvlJc w:val="right"/>
      <w:pPr>
        <w:ind w:left="1260" w:hanging="420"/>
        <w:textAlignment w:val="baseline"/>
      </w:pPr>
    </w:lvl>
    <w:lvl w:ilvl="3" w:tentative="0">
      <w:start w:val="1"/>
      <w:numFmt w:val="decimal"/>
      <w:lvlText w:val="%1."/>
      <w:lvlJc w:val="left"/>
      <w:pPr>
        <w:ind w:left="1680" w:hanging="420"/>
        <w:textAlignment w:val="baseline"/>
      </w:pPr>
    </w:lvl>
    <w:lvl w:ilvl="4" w:tentative="0">
      <w:start w:val="1"/>
      <w:numFmt w:val="lowerLetter"/>
      <w:lvlText w:val="%1)"/>
      <w:lvlJc w:val="left"/>
      <w:pPr>
        <w:ind w:left="2100" w:hanging="420"/>
        <w:textAlignment w:val="baseline"/>
      </w:pPr>
    </w:lvl>
    <w:lvl w:ilvl="5" w:tentative="0">
      <w:start w:val="1"/>
      <w:numFmt w:val="lowerRoman"/>
      <w:lvlText w:val="%1."/>
      <w:lvlJc w:val="right"/>
      <w:pPr>
        <w:ind w:left="2520" w:hanging="420"/>
        <w:textAlignment w:val="baseline"/>
      </w:pPr>
    </w:lvl>
    <w:lvl w:ilvl="6" w:tentative="0">
      <w:start w:val="1"/>
      <w:numFmt w:val="decimal"/>
      <w:lvlText w:val="%1."/>
      <w:lvlJc w:val="left"/>
      <w:pPr>
        <w:ind w:left="2940" w:hanging="420"/>
        <w:textAlignment w:val="baseline"/>
      </w:pPr>
    </w:lvl>
    <w:lvl w:ilvl="7" w:tentative="0">
      <w:start w:val="1"/>
      <w:numFmt w:val="lowerLetter"/>
      <w:lvlText w:val="%1)"/>
      <w:lvlJc w:val="left"/>
      <w:pPr>
        <w:ind w:left="3360" w:hanging="420"/>
        <w:textAlignment w:val="baseline"/>
      </w:pPr>
    </w:lvl>
    <w:lvl w:ilvl="8" w:tentative="0">
      <w:start w:val="1"/>
      <w:numFmt w:val="lowerRoman"/>
      <w:lvlText w:val="%1."/>
      <w:lvlJc w:val="right"/>
      <w:pPr>
        <w:ind w:left="3780" w:hanging="420"/>
        <w:textAlignment w:val="baseline"/>
      </w:pPr>
    </w:lvl>
  </w:abstractNum>
  <w:abstractNum w:abstractNumId="10">
    <w:nsid w:val="49686398"/>
    <w:multiLevelType w:val="multilevel"/>
    <w:tmpl w:val="49686398"/>
    <w:lvl w:ilvl="0" w:tentative="0">
      <w:start w:val="1"/>
      <w:numFmt w:val="decimal"/>
      <w:suff w:val="nothing"/>
      <w:lvlText w:val="%1"/>
      <w:lvlJc w:val="left"/>
      <w:pPr>
        <w:ind w:left="420" w:hanging="420"/>
        <w:textAlignment w:val="baseline"/>
      </w:pPr>
    </w:lvl>
    <w:lvl w:ilvl="1" w:tentative="0">
      <w:start w:val="1"/>
      <w:numFmt w:val="lowerLetter"/>
      <w:lvlText w:val="%1)"/>
      <w:lvlJc w:val="left"/>
      <w:pPr>
        <w:ind w:left="840" w:hanging="420"/>
        <w:textAlignment w:val="baseline"/>
      </w:pPr>
    </w:lvl>
    <w:lvl w:ilvl="2" w:tentative="0">
      <w:start w:val="1"/>
      <w:numFmt w:val="lowerRoman"/>
      <w:lvlText w:val="%1."/>
      <w:lvlJc w:val="right"/>
      <w:pPr>
        <w:ind w:left="1260" w:hanging="420"/>
        <w:textAlignment w:val="baseline"/>
      </w:pPr>
    </w:lvl>
    <w:lvl w:ilvl="3" w:tentative="0">
      <w:start w:val="1"/>
      <w:numFmt w:val="decimal"/>
      <w:lvlText w:val="%1."/>
      <w:lvlJc w:val="left"/>
      <w:pPr>
        <w:ind w:left="1680" w:hanging="420"/>
        <w:textAlignment w:val="baseline"/>
      </w:pPr>
    </w:lvl>
    <w:lvl w:ilvl="4" w:tentative="0">
      <w:start w:val="1"/>
      <w:numFmt w:val="lowerLetter"/>
      <w:lvlText w:val="%1)"/>
      <w:lvlJc w:val="left"/>
      <w:pPr>
        <w:ind w:left="2100" w:hanging="420"/>
        <w:textAlignment w:val="baseline"/>
      </w:pPr>
    </w:lvl>
    <w:lvl w:ilvl="5" w:tentative="0">
      <w:start w:val="1"/>
      <w:numFmt w:val="lowerRoman"/>
      <w:lvlText w:val="%1."/>
      <w:lvlJc w:val="right"/>
      <w:pPr>
        <w:ind w:left="2520" w:hanging="420"/>
        <w:textAlignment w:val="baseline"/>
      </w:pPr>
    </w:lvl>
    <w:lvl w:ilvl="6" w:tentative="0">
      <w:start w:val="1"/>
      <w:numFmt w:val="decimal"/>
      <w:lvlText w:val="%1."/>
      <w:lvlJc w:val="left"/>
      <w:pPr>
        <w:ind w:left="2940" w:hanging="420"/>
        <w:textAlignment w:val="baseline"/>
      </w:pPr>
    </w:lvl>
    <w:lvl w:ilvl="7" w:tentative="0">
      <w:start w:val="1"/>
      <w:numFmt w:val="lowerLetter"/>
      <w:lvlText w:val="%1)"/>
      <w:lvlJc w:val="left"/>
      <w:pPr>
        <w:ind w:left="3360" w:hanging="420"/>
        <w:textAlignment w:val="baseline"/>
      </w:pPr>
    </w:lvl>
    <w:lvl w:ilvl="8" w:tentative="0">
      <w:start w:val="1"/>
      <w:numFmt w:val="lowerRoman"/>
      <w:lvlText w:val="%1."/>
      <w:lvlJc w:val="right"/>
      <w:pPr>
        <w:ind w:left="3780" w:hanging="420"/>
        <w:textAlignment w:val="baseline"/>
      </w:pPr>
    </w:lvl>
  </w:abstractNum>
  <w:abstractNum w:abstractNumId="11">
    <w:nsid w:val="4E165FBF"/>
    <w:multiLevelType w:val="multilevel"/>
    <w:tmpl w:val="4E165FBF"/>
    <w:lvl w:ilvl="0" w:tentative="0">
      <w:start w:val="1"/>
      <w:numFmt w:val="chineseCountingThousand"/>
      <w:suff w:val="nothing"/>
      <w:lvlText w:val="%1、"/>
      <w:lvlJc w:val="left"/>
      <w:pPr>
        <w:ind w:left="0" w:firstLine="0"/>
        <w:textAlignment w:val="baseline"/>
      </w:pPr>
    </w:lvl>
    <w:lvl w:ilvl="1" w:tentative="0">
      <w:start w:val="1"/>
      <w:numFmt w:val="chineseCountingThousand"/>
      <w:suff w:val="nothing"/>
      <w:lvlText w:val="（%1）"/>
      <w:lvlJc w:val="left"/>
      <w:pPr>
        <w:ind w:left="0" w:firstLine="425"/>
        <w:textAlignment w:val="baseline"/>
      </w:pPr>
    </w:lvl>
    <w:lvl w:ilvl="2" w:tentative="0">
      <w:start w:val="1"/>
      <w:numFmt w:val="decimal"/>
      <w:suff w:val="nothing"/>
      <w:lvlText w:val="%1."/>
      <w:lvlJc w:val="left"/>
      <w:pPr>
        <w:ind w:left="0" w:firstLine="851"/>
        <w:textAlignment w:val="baseline"/>
      </w:pPr>
      <w:rPr>
        <w:rFonts w:ascii="Times New Roman" w:hAnsi="Times New Roman" w:eastAsia="宋体"/>
        <w:b/>
        <w:i w:val="0"/>
        <w:sz w:val="30"/>
      </w:rPr>
    </w:lvl>
    <w:lvl w:ilvl="3" w:tentative="0">
      <w:start w:val="1"/>
      <w:numFmt w:val="decimal"/>
      <w:suff w:val="nothing"/>
      <w:lvlText w:val="%1.%2."/>
      <w:lvlJc w:val="left"/>
      <w:pPr>
        <w:ind w:left="0" w:firstLine="1276"/>
        <w:textAlignment w:val="baseline"/>
      </w:pPr>
      <w:rPr>
        <w:rFonts w:ascii="Times New Roman" w:hAnsi="Times New Roman" w:eastAsia="宋体"/>
        <w:b/>
        <w:i w:val="0"/>
        <w:sz w:val="28"/>
      </w:rPr>
    </w:lvl>
    <w:lvl w:ilvl="4" w:tentative="0">
      <w:start w:val="1"/>
      <w:numFmt w:val="decimal"/>
      <w:pStyle w:val="22"/>
      <w:suff w:val="nothing"/>
      <w:lvlText w:val="%1.%2.%3."/>
      <w:lvlJc w:val="left"/>
      <w:pPr>
        <w:ind w:left="-141" w:firstLine="1701"/>
        <w:textAlignment w:val="baseline"/>
      </w:pPr>
    </w:lvl>
    <w:lvl w:ilvl="5" w:tentative="0">
      <w:start w:val="1"/>
      <w:numFmt w:val="decimal"/>
      <w:pStyle w:val="23"/>
      <w:suff w:val="nothing"/>
      <w:lvlText w:val="%1.%2.%3.%4."/>
      <w:lvlJc w:val="left"/>
      <w:pPr>
        <w:ind w:left="0" w:firstLine="2126"/>
        <w:textAlignment w:val="baseline"/>
      </w:pPr>
      <w:rPr>
        <w:rFonts w:ascii="Times New Roman" w:hAnsi="Times New Roman" w:eastAsia="宋体"/>
        <w:b w:val="0"/>
        <w:i w:val="0"/>
        <w:sz w:val="28"/>
      </w:rPr>
    </w:lvl>
    <w:lvl w:ilvl="6" w:tentative="0">
      <w:start w:val="1"/>
      <w:numFmt w:val="decimal"/>
      <w:suff w:val="nothing"/>
      <w:lvlText w:val="%1.%2.%3.%4.%5."/>
      <w:lvlJc w:val="left"/>
      <w:pPr>
        <w:ind w:left="0" w:firstLine="2552"/>
        <w:textAlignment w:val="baseline"/>
      </w:pPr>
      <w:rPr>
        <w:rFonts w:ascii="Times New Roman" w:hAnsi="Times New Roman"/>
        <w:b w:val="0"/>
        <w:bCs w:val="0"/>
        <w:i w:val="0"/>
        <w:iCs w:val="0"/>
        <w:caps w:val="0"/>
        <w:smallCaps w:val="0"/>
        <w:strike w:val="0"/>
        <w:dstrike w:val="0"/>
        <w:outline w:val="0"/>
        <w:shadow w:val="0"/>
        <w:emboss w:val="0"/>
        <w:imprint w:val="0"/>
        <w:vanish w:val="0"/>
        <w:color w:val="000000"/>
        <w:w w:val="0"/>
        <w:kern w:val="0"/>
        <w:position w:val="0"/>
        <w:sz w:val="16"/>
        <w:szCs w:val="0"/>
        <w:shd w:val="clear" w:color="auto" w:fill="000000"/>
        <w:lang w:val="zh-CN" w:eastAsia="zh-CN" w:bidi="zh-CN"/>
      </w:rPr>
    </w:lvl>
    <w:lvl w:ilvl="7" w:tentative="0">
      <w:start w:val="1"/>
      <w:numFmt w:val="decimal"/>
      <w:lvlText w:val="%1.%2.%3.%4.%5.%6.%7.%8"/>
      <w:lvlJc w:val="left"/>
      <w:pPr>
        <w:ind w:left="4394" w:hanging="1418"/>
        <w:textAlignment w:val="baseline"/>
      </w:pPr>
    </w:lvl>
    <w:lvl w:ilvl="8" w:tentative="0">
      <w:start w:val="1"/>
      <w:numFmt w:val="decimal"/>
      <w:lvlText w:val="%1.%2.%3.%4.%5.%6.%7.%8.%9"/>
      <w:lvlJc w:val="left"/>
      <w:pPr>
        <w:ind w:left="5102" w:hanging="1700"/>
        <w:textAlignment w:val="baseline"/>
      </w:pPr>
    </w:lvl>
  </w:abstractNum>
  <w:abstractNum w:abstractNumId="12">
    <w:nsid w:val="4E4A2A92"/>
    <w:multiLevelType w:val="multilevel"/>
    <w:tmpl w:val="4E4A2A92"/>
    <w:lvl w:ilvl="0" w:tentative="0">
      <w:start w:val="1"/>
      <w:numFmt w:val="decimal"/>
      <w:suff w:val="nothing"/>
      <w:lvlText w:val="%1"/>
      <w:lvlJc w:val="left"/>
      <w:pPr>
        <w:ind w:left="704" w:hanging="420"/>
        <w:textAlignment w:val="baseline"/>
      </w:pPr>
    </w:lvl>
    <w:lvl w:ilvl="1" w:tentative="0">
      <w:start w:val="1"/>
      <w:numFmt w:val="lowerLetter"/>
      <w:lvlText w:val="%1)"/>
      <w:lvlJc w:val="left"/>
      <w:pPr>
        <w:ind w:left="1124" w:hanging="420"/>
        <w:textAlignment w:val="baseline"/>
      </w:pPr>
    </w:lvl>
    <w:lvl w:ilvl="2" w:tentative="0">
      <w:start w:val="1"/>
      <w:numFmt w:val="lowerRoman"/>
      <w:lvlText w:val="%1."/>
      <w:lvlJc w:val="right"/>
      <w:pPr>
        <w:ind w:left="1544" w:hanging="420"/>
        <w:textAlignment w:val="baseline"/>
      </w:pPr>
    </w:lvl>
    <w:lvl w:ilvl="3" w:tentative="0">
      <w:start w:val="1"/>
      <w:numFmt w:val="decimal"/>
      <w:lvlText w:val="%1."/>
      <w:lvlJc w:val="left"/>
      <w:pPr>
        <w:ind w:left="1964" w:hanging="420"/>
        <w:textAlignment w:val="baseline"/>
      </w:pPr>
    </w:lvl>
    <w:lvl w:ilvl="4" w:tentative="0">
      <w:start w:val="1"/>
      <w:numFmt w:val="lowerLetter"/>
      <w:lvlText w:val="%1)"/>
      <w:lvlJc w:val="left"/>
      <w:pPr>
        <w:ind w:left="2384" w:hanging="420"/>
        <w:textAlignment w:val="baseline"/>
      </w:pPr>
    </w:lvl>
    <w:lvl w:ilvl="5" w:tentative="0">
      <w:start w:val="1"/>
      <w:numFmt w:val="lowerRoman"/>
      <w:lvlText w:val="%1."/>
      <w:lvlJc w:val="right"/>
      <w:pPr>
        <w:ind w:left="2804" w:hanging="420"/>
        <w:textAlignment w:val="baseline"/>
      </w:pPr>
    </w:lvl>
    <w:lvl w:ilvl="6" w:tentative="0">
      <w:start w:val="1"/>
      <w:numFmt w:val="decimal"/>
      <w:lvlText w:val="%1."/>
      <w:lvlJc w:val="left"/>
      <w:pPr>
        <w:ind w:left="3224" w:hanging="420"/>
        <w:textAlignment w:val="baseline"/>
      </w:pPr>
    </w:lvl>
    <w:lvl w:ilvl="7" w:tentative="0">
      <w:start w:val="1"/>
      <w:numFmt w:val="lowerLetter"/>
      <w:lvlText w:val="%1)"/>
      <w:lvlJc w:val="left"/>
      <w:pPr>
        <w:ind w:left="3644" w:hanging="420"/>
        <w:textAlignment w:val="baseline"/>
      </w:pPr>
    </w:lvl>
    <w:lvl w:ilvl="8" w:tentative="0">
      <w:start w:val="1"/>
      <w:numFmt w:val="lowerRoman"/>
      <w:lvlText w:val="%1."/>
      <w:lvlJc w:val="right"/>
      <w:pPr>
        <w:ind w:left="4064" w:hanging="420"/>
        <w:textAlignment w:val="baseline"/>
      </w:pPr>
    </w:lvl>
  </w:abstractNum>
  <w:abstractNum w:abstractNumId="13">
    <w:nsid w:val="520A7DAA"/>
    <w:multiLevelType w:val="multilevel"/>
    <w:tmpl w:val="520A7DAA"/>
    <w:lvl w:ilvl="0" w:tentative="0">
      <w:start w:val="1"/>
      <w:numFmt w:val="decimal"/>
      <w:lvlText w:val="%1、"/>
      <w:lvlJc w:val="left"/>
      <w:pPr>
        <w:tabs>
          <w:tab w:val="left" w:pos="840"/>
        </w:tabs>
        <w:ind w:left="840" w:hanging="360"/>
        <w:textAlignment w:val="baseline"/>
      </w:pPr>
    </w:lvl>
    <w:lvl w:ilvl="1" w:tentative="0">
      <w:start w:val="1"/>
      <w:numFmt w:val="lowerLetter"/>
      <w:lvlText w:val="%1)"/>
      <w:lvlJc w:val="left"/>
      <w:pPr>
        <w:tabs>
          <w:tab w:val="left" w:pos="1320"/>
        </w:tabs>
        <w:ind w:left="1320" w:hanging="420"/>
        <w:textAlignment w:val="baseline"/>
      </w:pPr>
    </w:lvl>
    <w:lvl w:ilvl="2" w:tentative="0">
      <w:start w:val="1"/>
      <w:numFmt w:val="lowerRoman"/>
      <w:lvlText w:val="%1."/>
      <w:lvlJc w:val="right"/>
      <w:pPr>
        <w:tabs>
          <w:tab w:val="left" w:pos="1740"/>
        </w:tabs>
        <w:ind w:left="1740" w:hanging="420"/>
        <w:textAlignment w:val="baseline"/>
      </w:pPr>
    </w:lvl>
    <w:lvl w:ilvl="3" w:tentative="0">
      <w:start w:val="1"/>
      <w:numFmt w:val="decimal"/>
      <w:lvlText w:val="%1."/>
      <w:lvlJc w:val="left"/>
      <w:pPr>
        <w:tabs>
          <w:tab w:val="left" w:pos="2160"/>
        </w:tabs>
        <w:ind w:left="2160" w:hanging="420"/>
        <w:textAlignment w:val="baseline"/>
      </w:pPr>
    </w:lvl>
    <w:lvl w:ilvl="4" w:tentative="0">
      <w:start w:val="1"/>
      <w:numFmt w:val="lowerLetter"/>
      <w:lvlText w:val="%1)"/>
      <w:lvlJc w:val="left"/>
      <w:pPr>
        <w:tabs>
          <w:tab w:val="left" w:pos="2580"/>
        </w:tabs>
        <w:ind w:left="2580" w:hanging="420"/>
        <w:textAlignment w:val="baseline"/>
      </w:pPr>
    </w:lvl>
    <w:lvl w:ilvl="5" w:tentative="0">
      <w:start w:val="1"/>
      <w:numFmt w:val="lowerRoman"/>
      <w:lvlText w:val="%1."/>
      <w:lvlJc w:val="right"/>
      <w:pPr>
        <w:tabs>
          <w:tab w:val="left" w:pos="3000"/>
        </w:tabs>
        <w:ind w:left="3000" w:hanging="420"/>
        <w:textAlignment w:val="baseline"/>
      </w:pPr>
    </w:lvl>
    <w:lvl w:ilvl="6" w:tentative="0">
      <w:start w:val="1"/>
      <w:numFmt w:val="decimal"/>
      <w:lvlText w:val="%1."/>
      <w:lvlJc w:val="left"/>
      <w:pPr>
        <w:tabs>
          <w:tab w:val="left" w:pos="3420"/>
        </w:tabs>
        <w:ind w:left="3420" w:hanging="420"/>
        <w:textAlignment w:val="baseline"/>
      </w:pPr>
    </w:lvl>
    <w:lvl w:ilvl="7" w:tentative="0">
      <w:start w:val="1"/>
      <w:numFmt w:val="lowerLetter"/>
      <w:lvlText w:val="%1)"/>
      <w:lvlJc w:val="left"/>
      <w:pPr>
        <w:tabs>
          <w:tab w:val="left" w:pos="3840"/>
        </w:tabs>
        <w:ind w:left="3840" w:hanging="420"/>
        <w:textAlignment w:val="baseline"/>
      </w:pPr>
    </w:lvl>
    <w:lvl w:ilvl="8" w:tentative="0">
      <w:start w:val="1"/>
      <w:numFmt w:val="lowerRoman"/>
      <w:lvlText w:val="%1."/>
      <w:lvlJc w:val="right"/>
      <w:pPr>
        <w:tabs>
          <w:tab w:val="left" w:pos="4260"/>
        </w:tabs>
        <w:ind w:left="4260" w:hanging="420"/>
        <w:textAlignment w:val="baseline"/>
      </w:pPr>
    </w:lvl>
  </w:abstractNum>
  <w:abstractNum w:abstractNumId="14">
    <w:nsid w:val="54AEFFF4"/>
    <w:multiLevelType w:val="singleLevel"/>
    <w:tmpl w:val="54AEFFF4"/>
    <w:lvl w:ilvl="0" w:tentative="0">
      <w:start w:val="1"/>
      <w:numFmt w:val="decimal"/>
      <w:suff w:val="nothing"/>
      <w:lvlText w:val="%1、"/>
      <w:lvlJc w:val="left"/>
      <w:pPr>
        <w:textAlignment w:val="baseline"/>
      </w:pPr>
    </w:lvl>
  </w:abstractNum>
  <w:abstractNum w:abstractNumId="15">
    <w:nsid w:val="55FC71F7"/>
    <w:multiLevelType w:val="multilevel"/>
    <w:tmpl w:val="55FC71F7"/>
    <w:lvl w:ilvl="0" w:tentative="0">
      <w:start w:val="1"/>
      <w:numFmt w:val="decimal"/>
      <w:suff w:val="nothing"/>
      <w:lvlText w:val="%1"/>
      <w:lvlJc w:val="left"/>
      <w:pPr>
        <w:ind w:left="420" w:hanging="420"/>
        <w:textAlignment w:val="baseline"/>
      </w:pPr>
    </w:lvl>
    <w:lvl w:ilvl="1" w:tentative="0">
      <w:start w:val="1"/>
      <w:numFmt w:val="lowerLetter"/>
      <w:lvlText w:val="%1)"/>
      <w:lvlJc w:val="left"/>
      <w:pPr>
        <w:ind w:left="840" w:hanging="420"/>
        <w:textAlignment w:val="baseline"/>
      </w:pPr>
    </w:lvl>
    <w:lvl w:ilvl="2" w:tentative="0">
      <w:start w:val="1"/>
      <w:numFmt w:val="lowerRoman"/>
      <w:lvlText w:val="%1."/>
      <w:lvlJc w:val="right"/>
      <w:pPr>
        <w:ind w:left="1260" w:hanging="420"/>
        <w:textAlignment w:val="baseline"/>
      </w:pPr>
    </w:lvl>
    <w:lvl w:ilvl="3" w:tentative="0">
      <w:start w:val="1"/>
      <w:numFmt w:val="decimal"/>
      <w:lvlText w:val="%1."/>
      <w:lvlJc w:val="left"/>
      <w:pPr>
        <w:ind w:left="1680" w:hanging="420"/>
        <w:textAlignment w:val="baseline"/>
      </w:pPr>
    </w:lvl>
    <w:lvl w:ilvl="4" w:tentative="0">
      <w:start w:val="1"/>
      <w:numFmt w:val="lowerLetter"/>
      <w:lvlText w:val="%1)"/>
      <w:lvlJc w:val="left"/>
      <w:pPr>
        <w:ind w:left="2100" w:hanging="420"/>
        <w:textAlignment w:val="baseline"/>
      </w:pPr>
    </w:lvl>
    <w:lvl w:ilvl="5" w:tentative="0">
      <w:start w:val="1"/>
      <w:numFmt w:val="lowerRoman"/>
      <w:lvlText w:val="%1."/>
      <w:lvlJc w:val="right"/>
      <w:pPr>
        <w:ind w:left="2520" w:hanging="420"/>
        <w:textAlignment w:val="baseline"/>
      </w:pPr>
    </w:lvl>
    <w:lvl w:ilvl="6" w:tentative="0">
      <w:start w:val="1"/>
      <w:numFmt w:val="decimal"/>
      <w:lvlText w:val="%1."/>
      <w:lvlJc w:val="left"/>
      <w:pPr>
        <w:ind w:left="2940" w:hanging="420"/>
        <w:textAlignment w:val="baseline"/>
      </w:pPr>
    </w:lvl>
    <w:lvl w:ilvl="7" w:tentative="0">
      <w:start w:val="1"/>
      <w:numFmt w:val="lowerLetter"/>
      <w:lvlText w:val="%1)"/>
      <w:lvlJc w:val="left"/>
      <w:pPr>
        <w:ind w:left="3360" w:hanging="420"/>
        <w:textAlignment w:val="baseline"/>
      </w:pPr>
    </w:lvl>
    <w:lvl w:ilvl="8" w:tentative="0">
      <w:start w:val="1"/>
      <w:numFmt w:val="lowerRoman"/>
      <w:lvlText w:val="%1."/>
      <w:lvlJc w:val="right"/>
      <w:pPr>
        <w:ind w:left="3780" w:hanging="420"/>
        <w:textAlignment w:val="baseline"/>
      </w:pPr>
    </w:lvl>
  </w:abstractNum>
  <w:abstractNum w:abstractNumId="16">
    <w:nsid w:val="5C2A7C72"/>
    <w:multiLevelType w:val="multilevel"/>
    <w:tmpl w:val="5C2A7C72"/>
    <w:lvl w:ilvl="0" w:tentative="0">
      <w:start w:val="1"/>
      <w:numFmt w:val="decimal"/>
      <w:suff w:val="nothing"/>
      <w:lvlText w:val="%1"/>
      <w:lvlJc w:val="left"/>
      <w:pPr>
        <w:ind w:left="420" w:hanging="420"/>
        <w:textAlignment w:val="baseline"/>
      </w:pPr>
    </w:lvl>
    <w:lvl w:ilvl="1" w:tentative="0">
      <w:start w:val="1"/>
      <w:numFmt w:val="lowerLetter"/>
      <w:lvlText w:val="%1)"/>
      <w:lvlJc w:val="left"/>
      <w:pPr>
        <w:ind w:left="840" w:hanging="420"/>
        <w:textAlignment w:val="baseline"/>
      </w:pPr>
    </w:lvl>
    <w:lvl w:ilvl="2" w:tentative="0">
      <w:start w:val="1"/>
      <w:numFmt w:val="lowerRoman"/>
      <w:lvlText w:val="%1."/>
      <w:lvlJc w:val="right"/>
      <w:pPr>
        <w:ind w:left="1260" w:hanging="420"/>
        <w:textAlignment w:val="baseline"/>
      </w:pPr>
    </w:lvl>
    <w:lvl w:ilvl="3" w:tentative="0">
      <w:start w:val="1"/>
      <w:numFmt w:val="decimal"/>
      <w:lvlText w:val="%1."/>
      <w:lvlJc w:val="left"/>
      <w:pPr>
        <w:ind w:left="1680" w:hanging="420"/>
        <w:textAlignment w:val="baseline"/>
      </w:pPr>
    </w:lvl>
    <w:lvl w:ilvl="4" w:tentative="0">
      <w:start w:val="1"/>
      <w:numFmt w:val="lowerLetter"/>
      <w:lvlText w:val="%1)"/>
      <w:lvlJc w:val="left"/>
      <w:pPr>
        <w:ind w:left="2100" w:hanging="420"/>
        <w:textAlignment w:val="baseline"/>
      </w:pPr>
    </w:lvl>
    <w:lvl w:ilvl="5" w:tentative="0">
      <w:start w:val="1"/>
      <w:numFmt w:val="lowerRoman"/>
      <w:lvlText w:val="%1."/>
      <w:lvlJc w:val="right"/>
      <w:pPr>
        <w:ind w:left="2520" w:hanging="420"/>
        <w:textAlignment w:val="baseline"/>
      </w:pPr>
    </w:lvl>
    <w:lvl w:ilvl="6" w:tentative="0">
      <w:start w:val="1"/>
      <w:numFmt w:val="decimal"/>
      <w:lvlText w:val="%1."/>
      <w:lvlJc w:val="left"/>
      <w:pPr>
        <w:ind w:left="2940" w:hanging="420"/>
        <w:textAlignment w:val="baseline"/>
      </w:pPr>
    </w:lvl>
    <w:lvl w:ilvl="7" w:tentative="0">
      <w:start w:val="1"/>
      <w:numFmt w:val="lowerLetter"/>
      <w:lvlText w:val="%1)"/>
      <w:lvlJc w:val="left"/>
      <w:pPr>
        <w:ind w:left="3360" w:hanging="420"/>
        <w:textAlignment w:val="baseline"/>
      </w:pPr>
    </w:lvl>
    <w:lvl w:ilvl="8" w:tentative="0">
      <w:start w:val="1"/>
      <w:numFmt w:val="lowerRoman"/>
      <w:lvlText w:val="%1."/>
      <w:lvlJc w:val="right"/>
      <w:pPr>
        <w:ind w:left="3780" w:hanging="420"/>
        <w:textAlignment w:val="baseline"/>
      </w:pPr>
    </w:lvl>
  </w:abstractNum>
  <w:abstractNum w:abstractNumId="17">
    <w:nsid w:val="726A27FA"/>
    <w:multiLevelType w:val="multilevel"/>
    <w:tmpl w:val="726A27FA"/>
    <w:lvl w:ilvl="0" w:tentative="0">
      <w:start w:val="1"/>
      <w:numFmt w:val="decimal"/>
      <w:suff w:val="nothing"/>
      <w:lvlText w:val="%1"/>
      <w:lvlJc w:val="left"/>
      <w:pPr>
        <w:ind w:left="420" w:hanging="420"/>
        <w:textAlignment w:val="baseline"/>
      </w:pPr>
    </w:lvl>
    <w:lvl w:ilvl="1" w:tentative="0">
      <w:start w:val="1"/>
      <w:numFmt w:val="lowerLetter"/>
      <w:lvlText w:val="%1)"/>
      <w:lvlJc w:val="left"/>
      <w:pPr>
        <w:ind w:left="840" w:hanging="420"/>
        <w:textAlignment w:val="baseline"/>
      </w:pPr>
    </w:lvl>
    <w:lvl w:ilvl="2" w:tentative="0">
      <w:start w:val="1"/>
      <w:numFmt w:val="lowerRoman"/>
      <w:lvlText w:val="%1."/>
      <w:lvlJc w:val="right"/>
      <w:pPr>
        <w:ind w:left="1260" w:hanging="420"/>
        <w:textAlignment w:val="baseline"/>
      </w:pPr>
    </w:lvl>
    <w:lvl w:ilvl="3" w:tentative="0">
      <w:start w:val="1"/>
      <w:numFmt w:val="decimal"/>
      <w:lvlText w:val="%1."/>
      <w:lvlJc w:val="left"/>
      <w:pPr>
        <w:ind w:left="1680" w:hanging="420"/>
        <w:textAlignment w:val="baseline"/>
      </w:pPr>
    </w:lvl>
    <w:lvl w:ilvl="4" w:tentative="0">
      <w:start w:val="1"/>
      <w:numFmt w:val="lowerLetter"/>
      <w:lvlText w:val="%1)"/>
      <w:lvlJc w:val="left"/>
      <w:pPr>
        <w:ind w:left="2100" w:hanging="420"/>
        <w:textAlignment w:val="baseline"/>
      </w:pPr>
    </w:lvl>
    <w:lvl w:ilvl="5" w:tentative="0">
      <w:start w:val="1"/>
      <w:numFmt w:val="lowerRoman"/>
      <w:lvlText w:val="%1."/>
      <w:lvlJc w:val="right"/>
      <w:pPr>
        <w:ind w:left="2520" w:hanging="420"/>
        <w:textAlignment w:val="baseline"/>
      </w:pPr>
    </w:lvl>
    <w:lvl w:ilvl="6" w:tentative="0">
      <w:start w:val="1"/>
      <w:numFmt w:val="decimal"/>
      <w:lvlText w:val="%1."/>
      <w:lvlJc w:val="left"/>
      <w:pPr>
        <w:ind w:left="2940" w:hanging="420"/>
        <w:textAlignment w:val="baseline"/>
      </w:pPr>
    </w:lvl>
    <w:lvl w:ilvl="7" w:tentative="0">
      <w:start w:val="1"/>
      <w:numFmt w:val="lowerLetter"/>
      <w:lvlText w:val="%1)"/>
      <w:lvlJc w:val="left"/>
      <w:pPr>
        <w:ind w:left="3360" w:hanging="420"/>
        <w:textAlignment w:val="baseline"/>
      </w:pPr>
    </w:lvl>
    <w:lvl w:ilvl="8" w:tentative="0">
      <w:start w:val="1"/>
      <w:numFmt w:val="lowerRoman"/>
      <w:lvlText w:val="%1."/>
      <w:lvlJc w:val="right"/>
      <w:pPr>
        <w:ind w:left="3780" w:hanging="420"/>
        <w:textAlignment w:val="baseline"/>
      </w:pPr>
    </w:lvl>
  </w:abstractNum>
  <w:abstractNum w:abstractNumId="18">
    <w:nsid w:val="7B0E0C46"/>
    <w:multiLevelType w:val="multilevel"/>
    <w:tmpl w:val="7B0E0C46"/>
    <w:lvl w:ilvl="0" w:tentative="0">
      <w:start w:val="1"/>
      <w:numFmt w:val="decimal"/>
      <w:suff w:val="nothing"/>
      <w:lvlText w:val="%1"/>
      <w:lvlJc w:val="left"/>
      <w:pPr>
        <w:ind w:left="420" w:hanging="420"/>
        <w:textAlignment w:val="baseline"/>
      </w:pPr>
    </w:lvl>
    <w:lvl w:ilvl="1" w:tentative="0">
      <w:start w:val="1"/>
      <w:numFmt w:val="lowerLetter"/>
      <w:lvlText w:val="%1)"/>
      <w:lvlJc w:val="left"/>
      <w:pPr>
        <w:ind w:left="840" w:hanging="420"/>
        <w:textAlignment w:val="baseline"/>
      </w:pPr>
    </w:lvl>
    <w:lvl w:ilvl="2" w:tentative="0">
      <w:start w:val="1"/>
      <w:numFmt w:val="lowerRoman"/>
      <w:lvlText w:val="%1."/>
      <w:lvlJc w:val="right"/>
      <w:pPr>
        <w:ind w:left="1260" w:hanging="420"/>
        <w:textAlignment w:val="baseline"/>
      </w:pPr>
    </w:lvl>
    <w:lvl w:ilvl="3" w:tentative="0">
      <w:start w:val="1"/>
      <w:numFmt w:val="decimal"/>
      <w:lvlText w:val="%1."/>
      <w:lvlJc w:val="left"/>
      <w:pPr>
        <w:ind w:left="1680" w:hanging="420"/>
        <w:textAlignment w:val="baseline"/>
      </w:pPr>
    </w:lvl>
    <w:lvl w:ilvl="4" w:tentative="0">
      <w:start w:val="1"/>
      <w:numFmt w:val="lowerLetter"/>
      <w:lvlText w:val="%1)"/>
      <w:lvlJc w:val="left"/>
      <w:pPr>
        <w:ind w:left="2100" w:hanging="420"/>
        <w:textAlignment w:val="baseline"/>
      </w:pPr>
    </w:lvl>
    <w:lvl w:ilvl="5" w:tentative="0">
      <w:start w:val="1"/>
      <w:numFmt w:val="lowerRoman"/>
      <w:lvlText w:val="%1."/>
      <w:lvlJc w:val="right"/>
      <w:pPr>
        <w:ind w:left="2520" w:hanging="420"/>
        <w:textAlignment w:val="baseline"/>
      </w:pPr>
    </w:lvl>
    <w:lvl w:ilvl="6" w:tentative="0">
      <w:start w:val="1"/>
      <w:numFmt w:val="decimal"/>
      <w:lvlText w:val="%1."/>
      <w:lvlJc w:val="left"/>
      <w:pPr>
        <w:ind w:left="2940" w:hanging="420"/>
        <w:textAlignment w:val="baseline"/>
      </w:pPr>
    </w:lvl>
    <w:lvl w:ilvl="7" w:tentative="0">
      <w:start w:val="1"/>
      <w:numFmt w:val="lowerLetter"/>
      <w:lvlText w:val="%1)"/>
      <w:lvlJc w:val="left"/>
      <w:pPr>
        <w:ind w:left="3360" w:hanging="420"/>
        <w:textAlignment w:val="baseline"/>
      </w:pPr>
    </w:lvl>
    <w:lvl w:ilvl="8" w:tentative="0">
      <w:start w:val="1"/>
      <w:numFmt w:val="lowerRoman"/>
      <w:lvlText w:val="%1."/>
      <w:lvlJc w:val="right"/>
      <w:pPr>
        <w:ind w:left="3780" w:hanging="420"/>
        <w:textAlignment w:val="baseline"/>
      </w:pPr>
    </w:lvl>
  </w:abstractNum>
  <w:abstractNum w:abstractNumId="19">
    <w:nsid w:val="7C259FE9"/>
    <w:multiLevelType w:val="singleLevel"/>
    <w:tmpl w:val="7C259FE9"/>
    <w:lvl w:ilvl="0" w:tentative="0">
      <w:start w:val="1"/>
      <w:numFmt w:val="chineseCounting"/>
      <w:suff w:val="nothing"/>
      <w:lvlText w:val="%1、"/>
      <w:lvlJc w:val="left"/>
      <w:pPr>
        <w:textAlignment w:val="baseline"/>
      </w:pPr>
    </w:lvl>
  </w:abstractNum>
  <w:num w:numId="1">
    <w:abstractNumId w:val="2"/>
  </w:num>
  <w:num w:numId="2">
    <w:abstractNumId w:val="11"/>
  </w:num>
  <w:num w:numId="3">
    <w:abstractNumId w:val="8"/>
  </w:num>
  <w:num w:numId="4">
    <w:abstractNumId w:val="19"/>
  </w:num>
  <w:num w:numId="5">
    <w:abstractNumId w:val="14"/>
  </w:num>
  <w:num w:numId="6">
    <w:abstractNumId w:val="0"/>
  </w:num>
  <w:num w:numId="7">
    <w:abstractNumId w:val="18"/>
  </w:num>
  <w:num w:numId="8">
    <w:abstractNumId w:val="10"/>
  </w:num>
  <w:num w:numId="9">
    <w:abstractNumId w:val="4"/>
  </w:num>
  <w:num w:numId="10">
    <w:abstractNumId w:val="15"/>
  </w:num>
  <w:num w:numId="11">
    <w:abstractNumId w:val="5"/>
  </w:num>
  <w:num w:numId="12">
    <w:abstractNumId w:val="12"/>
  </w:num>
  <w:num w:numId="13">
    <w:abstractNumId w:val="7"/>
  </w:num>
  <w:num w:numId="14">
    <w:abstractNumId w:val="16"/>
  </w:num>
  <w:num w:numId="15">
    <w:abstractNumId w:val="6"/>
  </w:num>
  <w:num w:numId="16">
    <w:abstractNumId w:val="9"/>
  </w:num>
  <w:num w:numId="17">
    <w:abstractNumId w:val="17"/>
  </w:num>
  <w:num w:numId="18">
    <w:abstractNumId w:val="13"/>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hideSpellingErrors/>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hdrShapeDefaults>
    <o:shapelayout v:ext="edit">
      <o:idmap v:ext="edit" data="2,3"/>
    </o:shapelayout>
  </w:hdrShapeDefaults>
  <w:compat>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09E"/>
    <w:rsid w:val="00002C7B"/>
    <w:rsid w:val="00011ECB"/>
    <w:rsid w:val="000433C0"/>
    <w:rsid w:val="0005538F"/>
    <w:rsid w:val="001173DA"/>
    <w:rsid w:val="001368B3"/>
    <w:rsid w:val="0019425F"/>
    <w:rsid w:val="00253332"/>
    <w:rsid w:val="002C187F"/>
    <w:rsid w:val="002D39FB"/>
    <w:rsid w:val="003976FC"/>
    <w:rsid w:val="003C01D9"/>
    <w:rsid w:val="00444D0C"/>
    <w:rsid w:val="004F4552"/>
    <w:rsid w:val="0052086E"/>
    <w:rsid w:val="005A1A94"/>
    <w:rsid w:val="0062430C"/>
    <w:rsid w:val="006E49A8"/>
    <w:rsid w:val="0075711C"/>
    <w:rsid w:val="00773A44"/>
    <w:rsid w:val="00775C74"/>
    <w:rsid w:val="00885CE7"/>
    <w:rsid w:val="00AD5313"/>
    <w:rsid w:val="00B51613"/>
    <w:rsid w:val="00BD6D5B"/>
    <w:rsid w:val="00C17691"/>
    <w:rsid w:val="00C42790"/>
    <w:rsid w:val="00C502B6"/>
    <w:rsid w:val="00CB3E85"/>
    <w:rsid w:val="00D07483"/>
    <w:rsid w:val="00D34058"/>
    <w:rsid w:val="00D825B3"/>
    <w:rsid w:val="00D866F4"/>
    <w:rsid w:val="00DB4874"/>
    <w:rsid w:val="00EB66DA"/>
    <w:rsid w:val="00EE4863"/>
    <w:rsid w:val="00F04A7B"/>
    <w:rsid w:val="00F31DD7"/>
    <w:rsid w:val="00F97A71"/>
    <w:rsid w:val="00FA4738"/>
    <w:rsid w:val="00FD609E"/>
    <w:rsid w:val="06AF0AF0"/>
    <w:rsid w:val="12A53174"/>
    <w:rsid w:val="20654B70"/>
    <w:rsid w:val="2693004B"/>
    <w:rsid w:val="28426418"/>
    <w:rsid w:val="2CCC20B1"/>
    <w:rsid w:val="309421F4"/>
    <w:rsid w:val="35D22497"/>
    <w:rsid w:val="3B8E490D"/>
    <w:rsid w:val="3D733B98"/>
    <w:rsid w:val="42891510"/>
    <w:rsid w:val="4CC51700"/>
    <w:rsid w:val="5309395F"/>
    <w:rsid w:val="541C20D7"/>
    <w:rsid w:val="549F7F7F"/>
    <w:rsid w:val="69A94CB2"/>
    <w:rsid w:val="704B4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link w:val="39"/>
    <w:qFormat/>
    <w:uiPriority w:val="0"/>
    <w:pPr>
      <w:tabs>
        <w:tab w:val="left" w:pos="9214"/>
      </w:tabs>
      <w:spacing w:after="120" w:line="400" w:lineRule="atLeast"/>
      <w:ind w:right="-58" w:firstLine="600"/>
      <w:textAlignment w:val="bottom"/>
    </w:pPr>
    <w:rPr>
      <w:rFonts w:ascii="宋体"/>
      <w:kern w:val="0"/>
      <w:sz w:val="24"/>
      <w:szCs w:val="20"/>
    </w:rPr>
  </w:style>
  <w:style w:type="paragraph" w:styleId="3">
    <w:name w:val="caption"/>
    <w:basedOn w:val="1"/>
    <w:next w:val="1"/>
    <w:qFormat/>
    <w:locked/>
    <w:uiPriority w:val="0"/>
    <w:pPr>
      <w:jc w:val="center"/>
    </w:pPr>
    <w:rPr>
      <w:rFonts w:ascii="Cambria" w:hAnsi="Cambria" w:eastAsia="黑体"/>
      <w:sz w:val="20"/>
      <w:szCs w:val="20"/>
    </w:rPr>
  </w:style>
  <w:style w:type="paragraph" w:styleId="4">
    <w:name w:val="annotation text"/>
    <w:basedOn w:val="1"/>
    <w:link w:val="98"/>
    <w:semiHidden/>
    <w:unhideWhenUsed/>
    <w:qFormat/>
    <w:uiPriority w:val="99"/>
    <w:pPr>
      <w:jc w:val="left"/>
    </w:pPr>
  </w:style>
  <w:style w:type="paragraph" w:styleId="5">
    <w:name w:val="Date"/>
    <w:basedOn w:val="1"/>
    <w:next w:val="1"/>
    <w:link w:val="41"/>
    <w:qFormat/>
    <w:uiPriority w:val="0"/>
    <w:rPr>
      <w:rFonts w:eastAsia="楷体_GB2312"/>
      <w:sz w:val="24"/>
      <w:szCs w:val="20"/>
    </w:rPr>
  </w:style>
  <w:style w:type="paragraph" w:styleId="6">
    <w:name w:val="Balloon Text"/>
    <w:basedOn w:val="1"/>
    <w:link w:val="100"/>
    <w:semiHidden/>
    <w:unhideWhenUsed/>
    <w:qFormat/>
    <w:uiPriority w:val="99"/>
    <w:rPr>
      <w:sz w:val="18"/>
      <w:szCs w:val="18"/>
    </w:rPr>
  </w:style>
  <w:style w:type="paragraph" w:styleId="7">
    <w:name w:val="footer"/>
    <w:basedOn w:val="1"/>
    <w:link w:val="44"/>
    <w:qFormat/>
    <w:uiPriority w:val="0"/>
    <w:pPr>
      <w:tabs>
        <w:tab w:val="center" w:pos="4153"/>
        <w:tab w:val="right" w:pos="8306"/>
      </w:tabs>
      <w:snapToGrid w:val="0"/>
      <w:jc w:val="left"/>
    </w:pPr>
    <w:rPr>
      <w:sz w:val="18"/>
      <w:szCs w:val="18"/>
    </w:rPr>
  </w:style>
  <w:style w:type="paragraph" w:styleId="8">
    <w:name w:val="header"/>
    <w:basedOn w:val="1"/>
    <w:link w:val="35"/>
    <w:qFormat/>
    <w:uiPriority w:val="0"/>
    <w:pPr>
      <w:pBdr>
        <w:bottom w:val="single" w:color="000000" w:sz="6" w:space="1"/>
      </w:pBdr>
      <w:tabs>
        <w:tab w:val="center" w:pos="4153"/>
        <w:tab w:val="right" w:pos="8306"/>
      </w:tabs>
      <w:snapToGrid w:val="0"/>
      <w:jc w:val="center"/>
    </w:pPr>
    <w:rPr>
      <w:rFonts w:eastAsia="楷体_GB2312"/>
      <w:sz w:val="18"/>
      <w:szCs w:val="20"/>
    </w:rPr>
  </w:style>
  <w:style w:type="paragraph" w:styleId="9">
    <w:name w:val="annotation subject"/>
    <w:basedOn w:val="4"/>
    <w:next w:val="4"/>
    <w:link w:val="99"/>
    <w:semiHidden/>
    <w:unhideWhenUsed/>
    <w:qFormat/>
    <w:uiPriority w:val="99"/>
    <w:rPr>
      <w:b/>
      <w:bCs/>
    </w:rPr>
  </w:style>
  <w:style w:type="character" w:styleId="12">
    <w:name w:val="Strong"/>
    <w:basedOn w:val="13"/>
    <w:qFormat/>
    <w:uiPriority w:val="0"/>
    <w:rPr>
      <w:b/>
    </w:rPr>
  </w:style>
  <w:style w:type="character" w:customStyle="1" w:styleId="13">
    <w:name w:val="NormalCharacter"/>
    <w:semiHidden/>
    <w:qFormat/>
    <w:uiPriority w:val="0"/>
  </w:style>
  <w:style w:type="character" w:styleId="14">
    <w:name w:val="FollowedHyperlink"/>
    <w:basedOn w:val="13"/>
    <w:qFormat/>
    <w:uiPriority w:val="0"/>
    <w:rPr>
      <w:color w:val="800080"/>
      <w:u w:val="single"/>
    </w:rPr>
  </w:style>
  <w:style w:type="character" w:styleId="15">
    <w:name w:val="Emphasis"/>
    <w:basedOn w:val="13"/>
    <w:qFormat/>
    <w:uiPriority w:val="0"/>
    <w:rPr>
      <w:i/>
    </w:rPr>
  </w:style>
  <w:style w:type="character" w:styleId="16">
    <w:name w:val="Hyperlink"/>
    <w:basedOn w:val="13"/>
    <w:qFormat/>
    <w:uiPriority w:val="0"/>
    <w:rPr>
      <w:color w:val="0000FF"/>
      <w:u w:val="single"/>
    </w:rPr>
  </w:style>
  <w:style w:type="character" w:styleId="17">
    <w:name w:val="annotation reference"/>
    <w:basedOn w:val="11"/>
    <w:semiHidden/>
    <w:unhideWhenUsed/>
    <w:qFormat/>
    <w:uiPriority w:val="99"/>
    <w:rPr>
      <w:sz w:val="21"/>
      <w:szCs w:val="21"/>
    </w:rPr>
  </w:style>
  <w:style w:type="paragraph" w:customStyle="1" w:styleId="18">
    <w:name w:val="Heading1"/>
    <w:basedOn w:val="1"/>
    <w:next w:val="1"/>
    <w:qFormat/>
    <w:uiPriority w:val="0"/>
    <w:pPr>
      <w:keepNext/>
      <w:numPr>
        <w:ilvl w:val="0"/>
        <w:numId w:val="1"/>
      </w:numPr>
    </w:pPr>
    <w:rPr>
      <w:szCs w:val="20"/>
    </w:rPr>
  </w:style>
  <w:style w:type="paragraph" w:customStyle="1" w:styleId="19">
    <w:name w:val="Heading2"/>
    <w:basedOn w:val="1"/>
    <w:next w:val="1"/>
    <w:qFormat/>
    <w:uiPriority w:val="0"/>
    <w:pPr>
      <w:keepNext/>
      <w:keepLines/>
      <w:spacing w:before="260" w:after="260" w:line="416" w:lineRule="auto"/>
    </w:pPr>
    <w:rPr>
      <w:rFonts w:ascii="Arial Black" w:hAnsi="Arial Black" w:eastAsia="黑体"/>
      <w:sz w:val="32"/>
      <w:szCs w:val="32"/>
    </w:rPr>
  </w:style>
  <w:style w:type="paragraph" w:customStyle="1" w:styleId="20">
    <w:name w:val="Heading3"/>
    <w:basedOn w:val="1"/>
    <w:next w:val="1"/>
    <w:qFormat/>
    <w:uiPriority w:val="0"/>
    <w:pPr>
      <w:keepNext/>
      <w:keepLines/>
      <w:spacing w:before="260" w:after="260" w:line="415" w:lineRule="auto"/>
    </w:pPr>
    <w:rPr>
      <w:sz w:val="32"/>
      <w:szCs w:val="32"/>
    </w:rPr>
  </w:style>
  <w:style w:type="paragraph" w:customStyle="1" w:styleId="21">
    <w:name w:val="Heading4"/>
    <w:basedOn w:val="1"/>
    <w:next w:val="1"/>
    <w:link w:val="28"/>
    <w:qFormat/>
    <w:uiPriority w:val="0"/>
    <w:pPr>
      <w:keepNext/>
      <w:jc w:val="center"/>
    </w:pPr>
    <w:rPr>
      <w:rFonts w:ascii="宋体" w:hAnsi="宋体"/>
      <w:sz w:val="28"/>
      <w:szCs w:val="20"/>
    </w:rPr>
  </w:style>
  <w:style w:type="paragraph" w:customStyle="1" w:styleId="22">
    <w:name w:val="Heading5"/>
    <w:basedOn w:val="1"/>
    <w:next w:val="1"/>
    <w:qFormat/>
    <w:locked/>
    <w:uiPriority w:val="0"/>
    <w:pPr>
      <w:keepNext/>
      <w:keepLines/>
      <w:numPr>
        <w:ilvl w:val="4"/>
        <w:numId w:val="2"/>
      </w:numPr>
      <w:spacing w:before="190" w:after="190"/>
      <w:ind w:firstLine="0"/>
    </w:pPr>
    <w:rPr>
      <w:szCs w:val="28"/>
    </w:rPr>
  </w:style>
  <w:style w:type="paragraph" w:customStyle="1" w:styleId="23">
    <w:name w:val="Heading6"/>
    <w:basedOn w:val="1"/>
    <w:next w:val="1"/>
    <w:qFormat/>
    <w:locked/>
    <w:uiPriority w:val="0"/>
    <w:pPr>
      <w:keepNext/>
      <w:keepLines/>
      <w:numPr>
        <w:ilvl w:val="5"/>
        <w:numId w:val="2"/>
      </w:numPr>
      <w:spacing w:before="240" w:after="64" w:line="319" w:lineRule="auto"/>
      <w:ind w:firstLine="0"/>
    </w:pPr>
    <w:rPr>
      <w:rFonts w:ascii="宋体" w:hAnsi="宋体"/>
      <w:szCs w:val="28"/>
    </w:rPr>
  </w:style>
  <w:style w:type="paragraph" w:customStyle="1" w:styleId="24">
    <w:name w:val="Heading7"/>
    <w:basedOn w:val="1"/>
    <w:next w:val="1"/>
    <w:qFormat/>
    <w:locked/>
    <w:uiPriority w:val="0"/>
    <w:pPr>
      <w:keepNext/>
      <w:keepLines/>
      <w:spacing w:before="240" w:after="64" w:line="320" w:lineRule="auto"/>
    </w:pPr>
    <w:rPr>
      <w:sz w:val="24"/>
    </w:rPr>
  </w:style>
  <w:style w:type="paragraph" w:customStyle="1" w:styleId="25">
    <w:name w:val="Heading8"/>
    <w:basedOn w:val="1"/>
    <w:next w:val="1"/>
    <w:qFormat/>
    <w:locked/>
    <w:uiPriority w:val="0"/>
    <w:pPr>
      <w:keepNext/>
      <w:keepLines/>
      <w:spacing w:before="240" w:after="64" w:line="320" w:lineRule="auto"/>
    </w:pPr>
    <w:rPr>
      <w:rFonts w:ascii="Cambria" w:hAnsi="Cambria"/>
      <w:sz w:val="24"/>
    </w:rPr>
  </w:style>
  <w:style w:type="paragraph" w:customStyle="1" w:styleId="26">
    <w:name w:val="Heading9"/>
    <w:basedOn w:val="1"/>
    <w:next w:val="1"/>
    <w:qFormat/>
    <w:locked/>
    <w:uiPriority w:val="0"/>
    <w:pPr>
      <w:keepNext/>
      <w:keepLines/>
      <w:spacing w:before="240" w:after="64" w:line="320" w:lineRule="auto"/>
    </w:pPr>
    <w:rPr>
      <w:rFonts w:ascii="Cambria" w:hAnsi="Cambria"/>
    </w:rPr>
  </w:style>
  <w:style w:type="table" w:customStyle="1" w:styleId="27">
    <w:name w:val="TableNormal"/>
    <w:qFormat/>
    <w:uiPriority w:val="0"/>
    <w:tblPr>
      <w:tblCellMar>
        <w:top w:w="0" w:type="dxa"/>
        <w:left w:w="0" w:type="dxa"/>
        <w:bottom w:w="0" w:type="dxa"/>
        <w:right w:w="0" w:type="dxa"/>
      </w:tblCellMar>
    </w:tblPr>
  </w:style>
  <w:style w:type="character" w:customStyle="1" w:styleId="28">
    <w:name w:val="UserStyle_0"/>
    <w:basedOn w:val="13"/>
    <w:link w:val="21"/>
    <w:qFormat/>
    <w:uiPriority w:val="0"/>
    <w:rPr>
      <w:rFonts w:ascii="宋体" w:hAnsi="宋体" w:eastAsia="宋体"/>
      <w:color w:val="000000"/>
      <w:sz w:val="22"/>
      <w:szCs w:val="22"/>
    </w:rPr>
  </w:style>
  <w:style w:type="character" w:customStyle="1" w:styleId="29">
    <w:name w:val="UserStyle_1"/>
    <w:basedOn w:val="13"/>
    <w:link w:val="30"/>
    <w:semiHidden/>
    <w:qFormat/>
    <w:locked/>
    <w:uiPriority w:val="0"/>
    <w:rPr>
      <w:sz w:val="24"/>
      <w:szCs w:val="24"/>
    </w:rPr>
  </w:style>
  <w:style w:type="paragraph" w:customStyle="1" w:styleId="30">
    <w:name w:val="BodyTextIndent2"/>
    <w:basedOn w:val="1"/>
    <w:link w:val="29"/>
    <w:qFormat/>
    <w:uiPriority w:val="0"/>
    <w:pPr>
      <w:ind w:firstLine="480"/>
    </w:pPr>
    <w:rPr>
      <w:rFonts w:ascii="宋体" w:hAnsi="宋体"/>
      <w:sz w:val="30"/>
    </w:rPr>
  </w:style>
  <w:style w:type="character" w:customStyle="1" w:styleId="31">
    <w:name w:val="UserStyle_2"/>
    <w:basedOn w:val="13"/>
    <w:qFormat/>
    <w:locked/>
    <w:uiPriority w:val="0"/>
    <w:rPr>
      <w:kern w:val="2"/>
      <w:sz w:val="18"/>
    </w:rPr>
  </w:style>
  <w:style w:type="character" w:customStyle="1" w:styleId="32">
    <w:name w:val="UserStyle_3"/>
    <w:basedOn w:val="13"/>
    <w:semiHidden/>
    <w:qFormat/>
    <w:locked/>
    <w:uiPriority w:val="0"/>
    <w:rPr>
      <w:rFonts w:ascii="Cambria" w:hAnsi="Cambria" w:eastAsia="宋体" w:cs="Times New Roman"/>
      <w:b/>
      <w:bCs/>
      <w:sz w:val="32"/>
      <w:szCs w:val="32"/>
    </w:rPr>
  </w:style>
  <w:style w:type="character" w:customStyle="1" w:styleId="33">
    <w:name w:val="UserStyle_4"/>
    <w:basedOn w:val="13"/>
    <w:link w:val="34"/>
    <w:semiHidden/>
    <w:qFormat/>
    <w:locked/>
    <w:uiPriority w:val="0"/>
    <w:rPr>
      <w:rFonts w:ascii="宋体" w:hAnsi="Courier New"/>
      <w:sz w:val="21"/>
      <w:szCs w:val="21"/>
    </w:rPr>
  </w:style>
  <w:style w:type="paragraph" w:customStyle="1" w:styleId="34">
    <w:name w:val="PlainText"/>
    <w:basedOn w:val="1"/>
    <w:link w:val="33"/>
    <w:qFormat/>
    <w:uiPriority w:val="0"/>
    <w:rPr>
      <w:rFonts w:ascii="宋体" w:hAnsi="Courier New"/>
      <w:szCs w:val="20"/>
    </w:rPr>
  </w:style>
  <w:style w:type="character" w:customStyle="1" w:styleId="35">
    <w:name w:val="页眉 Char"/>
    <w:basedOn w:val="13"/>
    <w:link w:val="8"/>
    <w:semiHidden/>
    <w:qFormat/>
    <w:locked/>
    <w:uiPriority w:val="0"/>
    <w:rPr>
      <w:sz w:val="18"/>
      <w:szCs w:val="18"/>
    </w:rPr>
  </w:style>
  <w:style w:type="character" w:customStyle="1" w:styleId="36">
    <w:name w:val="UserStyle_6"/>
    <w:basedOn w:val="13"/>
    <w:qFormat/>
    <w:uiPriority w:val="0"/>
    <w:rPr>
      <w:rFonts w:ascii="Cambria" w:hAnsi="Cambria" w:cs="Times New Roman"/>
      <w:b/>
      <w:bCs/>
      <w:sz w:val="32"/>
      <w:szCs w:val="32"/>
    </w:rPr>
  </w:style>
  <w:style w:type="character" w:customStyle="1" w:styleId="37">
    <w:name w:val="UserStyle_7"/>
    <w:basedOn w:val="13"/>
    <w:link w:val="38"/>
    <w:semiHidden/>
    <w:qFormat/>
    <w:locked/>
    <w:uiPriority w:val="0"/>
    <w:rPr>
      <w:sz w:val="24"/>
      <w:szCs w:val="24"/>
    </w:rPr>
  </w:style>
  <w:style w:type="paragraph" w:customStyle="1" w:styleId="38">
    <w:name w:val="BodyTextIndent"/>
    <w:basedOn w:val="1"/>
    <w:link w:val="37"/>
    <w:qFormat/>
    <w:uiPriority w:val="0"/>
    <w:pPr>
      <w:ind w:firstLine="480"/>
    </w:pPr>
    <w:rPr>
      <w:rFonts w:ascii="宋体" w:hAnsi="宋体"/>
      <w:sz w:val="30"/>
    </w:rPr>
  </w:style>
  <w:style w:type="character" w:customStyle="1" w:styleId="39">
    <w:name w:val="UserStyle_8"/>
    <w:basedOn w:val="13"/>
    <w:link w:val="2"/>
    <w:semiHidden/>
    <w:qFormat/>
    <w:locked/>
    <w:uiPriority w:val="0"/>
    <w:rPr>
      <w:sz w:val="24"/>
      <w:szCs w:val="24"/>
    </w:rPr>
  </w:style>
  <w:style w:type="character" w:customStyle="1" w:styleId="40">
    <w:name w:val="UserStyle_9"/>
    <w:basedOn w:val="13"/>
    <w:qFormat/>
    <w:uiPriority w:val="0"/>
    <w:rPr>
      <w:rFonts w:ascii="Times New Roman" w:hAnsi="Times New Roman"/>
    </w:rPr>
  </w:style>
  <w:style w:type="character" w:customStyle="1" w:styleId="41">
    <w:name w:val="日期 Char"/>
    <w:basedOn w:val="13"/>
    <w:link w:val="5"/>
    <w:semiHidden/>
    <w:qFormat/>
    <w:locked/>
    <w:uiPriority w:val="0"/>
    <w:rPr>
      <w:sz w:val="24"/>
      <w:szCs w:val="24"/>
    </w:rPr>
  </w:style>
  <w:style w:type="character" w:customStyle="1" w:styleId="42">
    <w:name w:val="UserStyle_11"/>
    <w:qFormat/>
    <w:uiPriority w:val="0"/>
    <w:rPr>
      <w:rFonts w:ascii="Arial" w:hAnsi="Arial"/>
      <w:b/>
      <w:sz w:val="20"/>
    </w:rPr>
  </w:style>
  <w:style w:type="character" w:customStyle="1" w:styleId="43">
    <w:name w:val="UserStyle_12"/>
    <w:basedOn w:val="13"/>
    <w:qFormat/>
    <w:uiPriority w:val="0"/>
    <w:rPr>
      <w:rFonts w:ascii="Arial Narrow" w:hAnsi="Arial Narrow" w:eastAsia="Times New Roman"/>
      <w:color w:val="000000"/>
      <w:sz w:val="22"/>
      <w:szCs w:val="22"/>
    </w:rPr>
  </w:style>
  <w:style w:type="character" w:customStyle="1" w:styleId="44">
    <w:name w:val="页脚 Char"/>
    <w:basedOn w:val="13"/>
    <w:link w:val="7"/>
    <w:semiHidden/>
    <w:qFormat/>
    <w:locked/>
    <w:uiPriority w:val="0"/>
    <w:rPr>
      <w:sz w:val="18"/>
      <w:szCs w:val="18"/>
    </w:rPr>
  </w:style>
  <w:style w:type="character" w:customStyle="1" w:styleId="45">
    <w:name w:val="UserStyle_14"/>
    <w:basedOn w:val="13"/>
    <w:qFormat/>
    <w:uiPriority w:val="0"/>
    <w:rPr>
      <w:rFonts w:ascii="宋体" w:hAnsi="宋体" w:eastAsia="宋体" w:cs="Times New Roman"/>
      <w:b/>
      <w:bCs/>
      <w:color w:val="FF0000"/>
      <w:sz w:val="22"/>
      <w:szCs w:val="22"/>
    </w:rPr>
  </w:style>
  <w:style w:type="character" w:customStyle="1" w:styleId="46">
    <w:name w:val="UserStyle_15"/>
    <w:basedOn w:val="13"/>
    <w:link w:val="47"/>
    <w:semiHidden/>
    <w:qFormat/>
    <w:locked/>
    <w:uiPriority w:val="0"/>
    <w:rPr>
      <w:sz w:val="24"/>
      <w:szCs w:val="24"/>
    </w:rPr>
  </w:style>
  <w:style w:type="paragraph" w:customStyle="1" w:styleId="47">
    <w:name w:val="BodyText2"/>
    <w:basedOn w:val="1"/>
    <w:link w:val="46"/>
    <w:qFormat/>
    <w:uiPriority w:val="0"/>
    <w:rPr>
      <w:rFonts w:ascii="宋体" w:hAnsi="宋体"/>
      <w:sz w:val="30"/>
      <w:szCs w:val="20"/>
    </w:rPr>
  </w:style>
  <w:style w:type="character" w:customStyle="1" w:styleId="48">
    <w:name w:val="UserStyle_16"/>
    <w:basedOn w:val="13"/>
    <w:qFormat/>
    <w:uiPriority w:val="0"/>
    <w:rPr>
      <w:rFonts w:ascii="Times New Roman" w:hAnsi="Times New Roman" w:eastAsia="宋体" w:cs="Times New Roman"/>
      <w:b/>
      <w:bCs/>
      <w:sz w:val="24"/>
      <w:szCs w:val="32"/>
      <w:lang w:bidi="ar-SA"/>
    </w:rPr>
  </w:style>
  <w:style w:type="character" w:customStyle="1" w:styleId="49">
    <w:name w:val="UserStyle_17"/>
    <w:basedOn w:val="13"/>
    <w:link w:val="50"/>
    <w:semiHidden/>
    <w:qFormat/>
    <w:locked/>
    <w:uiPriority w:val="0"/>
    <w:rPr>
      <w:sz w:val="18"/>
      <w:szCs w:val="18"/>
    </w:rPr>
  </w:style>
  <w:style w:type="paragraph" w:customStyle="1" w:styleId="50">
    <w:name w:val="FootnoteText"/>
    <w:basedOn w:val="1"/>
    <w:link w:val="49"/>
    <w:qFormat/>
    <w:uiPriority w:val="0"/>
    <w:pPr>
      <w:snapToGrid w:val="0"/>
      <w:jc w:val="left"/>
    </w:pPr>
    <w:rPr>
      <w:sz w:val="18"/>
      <w:szCs w:val="20"/>
    </w:rPr>
  </w:style>
  <w:style w:type="character" w:customStyle="1" w:styleId="51">
    <w:name w:val="UserStyle_18"/>
    <w:basedOn w:val="13"/>
    <w:qFormat/>
    <w:uiPriority w:val="0"/>
    <w:rPr>
      <w:rFonts w:ascii="宋体" w:hAnsi="宋体" w:eastAsia="宋体"/>
      <w:color w:val="000000"/>
      <w:sz w:val="22"/>
      <w:szCs w:val="22"/>
    </w:rPr>
  </w:style>
  <w:style w:type="character" w:customStyle="1" w:styleId="52">
    <w:name w:val="UserStyle_19"/>
    <w:qFormat/>
    <w:uiPriority w:val="0"/>
    <w:rPr>
      <w:rFonts w:ascii="Arial" w:hAnsi="Arial"/>
      <w:b/>
      <w:color w:val="000000"/>
      <w:sz w:val="20"/>
    </w:rPr>
  </w:style>
  <w:style w:type="character" w:customStyle="1" w:styleId="53">
    <w:name w:val="UserStyle_20"/>
    <w:qFormat/>
    <w:uiPriority w:val="0"/>
    <w:rPr>
      <w:rFonts w:ascii="Arial" w:hAnsi="Arial"/>
      <w:sz w:val="18"/>
    </w:rPr>
  </w:style>
  <w:style w:type="character" w:customStyle="1" w:styleId="54">
    <w:name w:val="PageNumber"/>
    <w:basedOn w:val="13"/>
    <w:qFormat/>
    <w:uiPriority w:val="0"/>
  </w:style>
  <w:style w:type="character" w:customStyle="1" w:styleId="55">
    <w:name w:val="FootnoteReference"/>
    <w:basedOn w:val="13"/>
    <w:qFormat/>
    <w:uiPriority w:val="0"/>
    <w:rPr>
      <w:vertAlign w:val="superscript"/>
    </w:rPr>
  </w:style>
  <w:style w:type="character" w:customStyle="1" w:styleId="56">
    <w:name w:val="UserStyle_21"/>
    <w:basedOn w:val="13"/>
    <w:qFormat/>
    <w:uiPriority w:val="0"/>
    <w:rPr>
      <w:rFonts w:ascii="Tahoma" w:hAnsi="Tahoma" w:eastAsia="Tahoma"/>
      <w:color w:val="000000"/>
      <w:sz w:val="24"/>
      <w:szCs w:val="24"/>
    </w:rPr>
  </w:style>
  <w:style w:type="character" w:customStyle="1" w:styleId="57">
    <w:name w:val="UserStyle_22"/>
    <w:basedOn w:val="13"/>
    <w:qFormat/>
    <w:uiPriority w:val="0"/>
    <w:rPr>
      <w:rFonts w:ascii="宋体" w:hAnsi="宋体" w:eastAsia="宋体"/>
      <w:color w:val="000000"/>
      <w:sz w:val="20"/>
      <w:szCs w:val="20"/>
    </w:rPr>
  </w:style>
  <w:style w:type="character" w:customStyle="1" w:styleId="58">
    <w:name w:val="UserStyle_23"/>
    <w:qFormat/>
    <w:uiPriority w:val="0"/>
    <w:rPr>
      <w:rFonts w:ascii="宋体" w:hAnsi="宋体" w:eastAsia="宋体"/>
      <w:color w:val="000000"/>
      <w:sz w:val="20"/>
    </w:rPr>
  </w:style>
  <w:style w:type="character" w:customStyle="1" w:styleId="59">
    <w:name w:val="UserStyle_24"/>
    <w:basedOn w:val="13"/>
    <w:semiHidden/>
    <w:qFormat/>
    <w:locked/>
    <w:uiPriority w:val="0"/>
    <w:rPr>
      <w:rFonts w:ascii="Cambria" w:hAnsi="Cambria" w:eastAsia="宋体" w:cs="Times New Roman"/>
      <w:b/>
      <w:bCs/>
      <w:sz w:val="28"/>
      <w:szCs w:val="28"/>
    </w:rPr>
  </w:style>
  <w:style w:type="character" w:customStyle="1" w:styleId="60">
    <w:name w:val="UserStyle_25"/>
    <w:basedOn w:val="13"/>
    <w:semiHidden/>
    <w:qFormat/>
    <w:locked/>
    <w:uiPriority w:val="0"/>
    <w:rPr>
      <w:rFonts w:cs="Times New Roman"/>
      <w:b/>
      <w:bCs/>
      <w:sz w:val="32"/>
      <w:szCs w:val="32"/>
    </w:rPr>
  </w:style>
  <w:style w:type="character" w:customStyle="1" w:styleId="61">
    <w:name w:val="UserStyle_26"/>
    <w:basedOn w:val="13"/>
    <w:qFormat/>
    <w:uiPriority w:val="0"/>
    <w:rPr>
      <w:rFonts w:ascii="宋体" w:hAnsi="宋体" w:eastAsia="宋体"/>
      <w:b/>
      <w:color w:val="000000"/>
      <w:sz w:val="20"/>
    </w:rPr>
  </w:style>
  <w:style w:type="character" w:customStyle="1" w:styleId="62">
    <w:name w:val="UserStyle_27"/>
    <w:link w:val="63"/>
    <w:qFormat/>
    <w:locked/>
    <w:uiPriority w:val="0"/>
    <w:rPr>
      <w:color w:val="000000"/>
      <w:sz w:val="24"/>
      <w:lang w:val="en-US" w:eastAsia="zh-CN"/>
    </w:rPr>
  </w:style>
  <w:style w:type="paragraph" w:customStyle="1" w:styleId="63">
    <w:name w:val="UserStyle_28"/>
    <w:link w:val="62"/>
    <w:qFormat/>
    <w:uiPriority w:val="0"/>
    <w:pPr>
      <w:textAlignment w:val="baseline"/>
    </w:pPr>
    <w:rPr>
      <w:rFonts w:ascii="Times New Roman" w:hAnsi="Times New Roman" w:eastAsia="宋体" w:cs="Times New Roman"/>
      <w:color w:val="000000"/>
      <w:sz w:val="24"/>
      <w:szCs w:val="24"/>
      <w:lang w:val="en-US" w:eastAsia="zh-CN" w:bidi="ar-SA"/>
    </w:rPr>
  </w:style>
  <w:style w:type="character" w:customStyle="1" w:styleId="64">
    <w:name w:val="UserStyle_29"/>
    <w:qFormat/>
    <w:uiPriority w:val="0"/>
    <w:rPr>
      <w:color w:val="116095"/>
      <w:sz w:val="24"/>
    </w:rPr>
  </w:style>
  <w:style w:type="character" w:customStyle="1" w:styleId="65">
    <w:name w:val="UserStyle_30"/>
    <w:qFormat/>
    <w:uiPriority w:val="0"/>
    <w:rPr>
      <w:rFonts w:ascii="黑体" w:hAnsi="宋体" w:eastAsia="黑体"/>
      <w:b/>
      <w:color w:val="000000"/>
      <w:sz w:val="20"/>
    </w:rPr>
  </w:style>
  <w:style w:type="character" w:customStyle="1" w:styleId="66">
    <w:name w:val="UserStyle_31"/>
    <w:basedOn w:val="13"/>
    <w:qFormat/>
    <w:uiPriority w:val="0"/>
    <w:rPr>
      <w:rFonts w:ascii="Tahoma" w:hAnsi="Tahoma" w:eastAsia="Tahoma"/>
      <w:color w:val="000000"/>
      <w:sz w:val="22"/>
      <w:szCs w:val="22"/>
    </w:rPr>
  </w:style>
  <w:style w:type="character" w:customStyle="1" w:styleId="67">
    <w:name w:val="UserStyle_32"/>
    <w:basedOn w:val="13"/>
    <w:qFormat/>
    <w:locked/>
    <w:uiPriority w:val="0"/>
    <w:rPr>
      <w:rFonts w:cs="Times New Roman"/>
      <w:b/>
      <w:bCs/>
      <w:kern w:val="44"/>
      <w:sz w:val="44"/>
      <w:szCs w:val="44"/>
    </w:rPr>
  </w:style>
  <w:style w:type="paragraph" w:customStyle="1" w:styleId="68">
    <w:name w:val="NormalIndent"/>
    <w:basedOn w:val="1"/>
    <w:qFormat/>
    <w:uiPriority w:val="0"/>
    <w:pPr>
      <w:ind w:firstLine="420" w:firstLineChars="200"/>
    </w:pPr>
  </w:style>
  <w:style w:type="paragraph" w:customStyle="1" w:styleId="69">
    <w:name w:val="UserStyle_33"/>
    <w:basedOn w:val="1"/>
    <w:qFormat/>
    <w:uiPriority w:val="0"/>
    <w:pPr>
      <w:spacing w:before="100" w:beforeAutospacing="1" w:after="100" w:afterAutospacing="1"/>
      <w:jc w:val="center"/>
    </w:pPr>
    <w:rPr>
      <w:kern w:val="0"/>
      <w:szCs w:val="21"/>
    </w:rPr>
  </w:style>
  <w:style w:type="paragraph" w:customStyle="1" w:styleId="70">
    <w:name w:val="UserStyle_34"/>
    <w:basedOn w:val="1"/>
    <w:qFormat/>
    <w:uiPriority w:val="0"/>
    <w:pPr>
      <w:tabs>
        <w:tab w:val="left" w:pos="-120"/>
      </w:tabs>
      <w:spacing w:line="560" w:lineRule="exact"/>
      <w:ind w:firstLine="600"/>
    </w:pPr>
    <w:rPr>
      <w:rFonts w:ascii="仿宋_GB2312" w:eastAsia="仿宋_GB2312"/>
      <w:color w:val="000000"/>
      <w:spacing w:val="20"/>
      <w:kern w:val="0"/>
      <w:szCs w:val="28"/>
    </w:rPr>
  </w:style>
  <w:style w:type="paragraph" w:customStyle="1" w:styleId="71">
    <w:name w:val="179"/>
    <w:basedOn w:val="1"/>
    <w:qFormat/>
    <w:uiPriority w:val="0"/>
    <w:pPr>
      <w:ind w:firstLine="420" w:firstLineChars="200"/>
    </w:pPr>
  </w:style>
  <w:style w:type="paragraph" w:customStyle="1" w:styleId="72">
    <w:name w:val="UserStyle_35"/>
    <w:basedOn w:val="1"/>
    <w:qFormat/>
    <w:uiPriority w:val="0"/>
    <w:rPr>
      <w:kern w:val="0"/>
      <w:sz w:val="52"/>
      <w:szCs w:val="52"/>
    </w:rPr>
  </w:style>
  <w:style w:type="paragraph" w:customStyle="1" w:styleId="73">
    <w:name w:val="TOC4"/>
    <w:basedOn w:val="1"/>
    <w:next w:val="1"/>
    <w:qFormat/>
    <w:uiPriority w:val="0"/>
    <w:pPr>
      <w:tabs>
        <w:tab w:val="right" w:leader="dot" w:pos="8296"/>
      </w:tabs>
      <w:snapToGrid w:val="0"/>
      <w:ind w:left="1260" w:leftChars="600"/>
    </w:pPr>
    <w:rPr>
      <w:rFonts w:ascii="Calibri" w:hAnsi="Calibri"/>
      <w:szCs w:val="22"/>
    </w:rPr>
  </w:style>
  <w:style w:type="paragraph" w:customStyle="1" w:styleId="74">
    <w:name w:val="UserStyle_36"/>
    <w:basedOn w:val="1"/>
    <w:qFormat/>
    <w:uiPriority w:val="0"/>
    <w:pPr>
      <w:tabs>
        <w:tab w:val="left" w:pos="480"/>
      </w:tabs>
      <w:jc w:val="center"/>
    </w:pPr>
    <w:rPr>
      <w:rFonts w:ascii="宋体" w:hAnsi="Tms Rmn"/>
      <w:color w:val="000000"/>
      <w:kern w:val="0"/>
    </w:rPr>
  </w:style>
  <w:style w:type="paragraph" w:customStyle="1" w:styleId="75">
    <w:name w:val="UserStyle_37"/>
    <w:basedOn w:val="1"/>
    <w:qFormat/>
    <w:uiPriority w:val="0"/>
    <w:pPr>
      <w:ind w:firstLine="420" w:firstLineChars="200"/>
    </w:pPr>
    <w:rPr>
      <w:rFonts w:ascii="Calibri" w:hAnsi="Calibri"/>
      <w:szCs w:val="21"/>
    </w:rPr>
  </w:style>
  <w:style w:type="paragraph" w:customStyle="1" w:styleId="76">
    <w:name w:val="HtmlNormal"/>
    <w:basedOn w:val="1"/>
    <w:qFormat/>
    <w:uiPriority w:val="0"/>
    <w:pPr>
      <w:spacing w:before="100" w:beforeAutospacing="1" w:after="100" w:afterAutospacing="1"/>
      <w:jc w:val="left"/>
    </w:pPr>
    <w:rPr>
      <w:rFonts w:ascii="宋体" w:hAnsi="宋体"/>
      <w:kern w:val="0"/>
      <w:sz w:val="24"/>
    </w:rPr>
  </w:style>
  <w:style w:type="paragraph" w:customStyle="1" w:styleId="77">
    <w:name w:val="UserStyle_38"/>
    <w:basedOn w:val="74"/>
    <w:next w:val="1"/>
    <w:qFormat/>
    <w:uiPriority w:val="0"/>
    <w:rPr>
      <w:rFonts w:ascii="Calibri" w:hAnsi="Calibri"/>
    </w:rPr>
  </w:style>
  <w:style w:type="paragraph" w:customStyle="1" w:styleId="78">
    <w:name w:val="UserStyle_39"/>
    <w:basedOn w:val="1"/>
    <w:qFormat/>
    <w:uiPriority w:val="0"/>
    <w:pPr>
      <w:ind w:firstLine="200" w:firstLineChars="200"/>
      <w:jc w:val="left"/>
    </w:pPr>
    <w:rPr>
      <w:rFonts w:ascii="Calibri" w:hAnsi="Calibri"/>
      <w:szCs w:val="22"/>
      <w:lang w:bidi="en-US"/>
    </w:rPr>
  </w:style>
  <w:style w:type="paragraph" w:customStyle="1" w:styleId="79">
    <w:name w:val="UserStyle_40"/>
    <w:basedOn w:val="1"/>
    <w:qFormat/>
    <w:uiPriority w:val="0"/>
    <w:pPr>
      <w:spacing w:line="560" w:lineRule="exact"/>
      <w:ind w:firstLine="723" w:firstLineChars="200"/>
      <w:jc w:val="center"/>
    </w:pPr>
    <w:rPr>
      <w:rFonts w:ascii="仿宋_GB2312" w:hAnsi="宋体" w:eastAsia="仿宋_GB2312" w:cs="宋体"/>
      <w:sz w:val="36"/>
      <w:szCs w:val="36"/>
    </w:rPr>
  </w:style>
  <w:style w:type="paragraph" w:customStyle="1" w:styleId="80">
    <w:name w:val="TOC2"/>
    <w:basedOn w:val="1"/>
    <w:next w:val="1"/>
    <w:qFormat/>
    <w:locked/>
    <w:uiPriority w:val="0"/>
    <w:pPr>
      <w:ind w:left="420" w:leftChars="200"/>
    </w:pPr>
  </w:style>
  <w:style w:type="paragraph" w:customStyle="1" w:styleId="81">
    <w:name w:val="UserStyle_41"/>
    <w:qFormat/>
    <w:uiPriority w:val="0"/>
    <w:pPr>
      <w:textAlignment w:val="baseline"/>
    </w:pPr>
    <w:rPr>
      <w:rFonts w:ascii="Arial" w:hAnsi="Arial" w:eastAsia="宋体" w:cs="Times New Roman"/>
      <w:color w:val="000000"/>
      <w:sz w:val="24"/>
      <w:szCs w:val="24"/>
      <w:lang w:val="en-US" w:eastAsia="zh-CN" w:bidi="ar-SA"/>
    </w:rPr>
  </w:style>
  <w:style w:type="paragraph" w:customStyle="1" w:styleId="82">
    <w:name w:val="UserStyle_42"/>
    <w:qFormat/>
    <w:uiPriority w:val="0"/>
    <w:pPr>
      <w:textAlignment w:val="baseline"/>
    </w:pPr>
    <w:rPr>
      <w:rFonts w:ascii="Times New Roman" w:hAnsi="Times New Roman" w:eastAsia="宋体" w:cs="Times New Roman"/>
      <w:lang w:val="en-US" w:eastAsia="zh-CN" w:bidi="ar-SA"/>
    </w:rPr>
  </w:style>
  <w:style w:type="paragraph" w:customStyle="1" w:styleId="83">
    <w:name w:val="UserStyle_43"/>
    <w:basedOn w:val="1"/>
    <w:next w:val="1"/>
    <w:qFormat/>
    <w:uiPriority w:val="0"/>
    <w:rPr>
      <w:rFonts w:ascii="宋体"/>
      <w:szCs w:val="20"/>
    </w:rPr>
  </w:style>
  <w:style w:type="paragraph" w:customStyle="1" w:styleId="84">
    <w:name w:val="UserStyle_44"/>
    <w:basedOn w:val="1"/>
    <w:qFormat/>
    <w:uiPriority w:val="0"/>
    <w:pPr>
      <w:spacing w:before="60" w:after="120" w:line="440" w:lineRule="atLeast"/>
      <w:ind w:firstLine="480"/>
    </w:pPr>
    <w:rPr>
      <w:sz w:val="24"/>
      <w:szCs w:val="20"/>
    </w:rPr>
  </w:style>
  <w:style w:type="paragraph" w:customStyle="1" w:styleId="85">
    <w:name w:val="UserStyle_45"/>
    <w:basedOn w:val="1"/>
    <w:qFormat/>
    <w:uiPriority w:val="0"/>
    <w:pPr>
      <w:numPr>
        <w:ilvl w:val="1"/>
        <w:numId w:val="3"/>
      </w:numPr>
      <w:snapToGrid w:val="0"/>
    </w:pPr>
    <w:rPr>
      <w:rFonts w:ascii="宋体" w:hAnsi="宋体"/>
      <w:kern w:val="0"/>
      <w:szCs w:val="21"/>
    </w:rPr>
  </w:style>
  <w:style w:type="paragraph" w:customStyle="1" w:styleId="86">
    <w:name w:val="TOC1"/>
    <w:basedOn w:val="1"/>
    <w:next w:val="1"/>
    <w:qFormat/>
    <w:uiPriority w:val="0"/>
  </w:style>
  <w:style w:type="paragraph" w:customStyle="1" w:styleId="87">
    <w:name w:val="UserStyle_46"/>
    <w:basedOn w:val="1"/>
    <w:qFormat/>
    <w:uiPriority w:val="0"/>
  </w:style>
  <w:style w:type="paragraph" w:customStyle="1" w:styleId="88">
    <w:name w:val="UserStyle_47"/>
    <w:basedOn w:val="1"/>
    <w:qFormat/>
    <w:uiPriority w:val="0"/>
    <w:pPr>
      <w:ind w:firstLine="480" w:firstLineChars="200"/>
    </w:pPr>
    <w:rPr>
      <w:rFonts w:ascii="宋体" w:hAnsi="宋体"/>
      <w:lang w:val="zh-CN"/>
    </w:rPr>
  </w:style>
  <w:style w:type="paragraph" w:customStyle="1" w:styleId="89">
    <w:name w:val="UserStyle_48"/>
    <w:basedOn w:val="34"/>
    <w:qFormat/>
    <w:uiPriority w:val="0"/>
    <w:pPr>
      <w:spacing w:line="240" w:lineRule="atLeast"/>
    </w:pPr>
    <w:rPr>
      <w:sz w:val="28"/>
    </w:rPr>
  </w:style>
  <w:style w:type="paragraph" w:customStyle="1" w:styleId="90">
    <w:name w:val="UserStyle_49"/>
    <w:qFormat/>
    <w:uiPriority w:val="0"/>
    <w:pPr>
      <w:textAlignment w:val="baseline"/>
    </w:pPr>
    <w:rPr>
      <w:rFonts w:ascii="Times New Roman" w:hAnsi="Times New Roman" w:eastAsia="宋体" w:cs="Times New Roman"/>
      <w:color w:val="000000"/>
      <w:sz w:val="24"/>
      <w:szCs w:val="24"/>
      <w:lang w:val="en-US" w:eastAsia="zh-CN" w:bidi="ar-SA"/>
    </w:rPr>
  </w:style>
  <w:style w:type="paragraph" w:customStyle="1" w:styleId="91">
    <w:name w:val="UserStyle_50"/>
    <w:uiPriority w:val="0"/>
    <w:pPr>
      <w:textAlignment w:val="baseline"/>
    </w:pPr>
    <w:rPr>
      <w:rFonts w:ascii="Times New Roman" w:hAnsi="Times New Roman" w:eastAsia="宋体" w:cs="Times New Roman"/>
      <w:color w:val="000000"/>
      <w:sz w:val="24"/>
      <w:szCs w:val="24"/>
      <w:lang w:val="en-US" w:eastAsia="zh-CN" w:bidi="ar-SA"/>
    </w:rPr>
  </w:style>
  <w:style w:type="paragraph" w:customStyle="1" w:styleId="92">
    <w:name w:val="UserStyle_51"/>
    <w:basedOn w:val="81"/>
    <w:next w:val="81"/>
    <w:uiPriority w:val="0"/>
    <w:pPr>
      <w:spacing w:after="263"/>
    </w:pPr>
  </w:style>
  <w:style w:type="paragraph" w:customStyle="1" w:styleId="93">
    <w:name w:val="UserStyle_52"/>
    <w:uiPriority w:val="0"/>
    <w:pPr>
      <w:ind w:firstLine="200" w:firstLineChars="200"/>
      <w:jc w:val="both"/>
      <w:textAlignment w:val="baseline"/>
    </w:pPr>
    <w:rPr>
      <w:rFonts w:ascii="宋体" w:hAnsi="Times New Roman" w:eastAsia="宋体" w:cs="Times New Roman"/>
      <w:sz w:val="21"/>
      <w:lang w:val="en-US" w:eastAsia="zh-CN" w:bidi="ar-SA"/>
    </w:rPr>
  </w:style>
  <w:style w:type="paragraph" w:customStyle="1" w:styleId="94">
    <w:name w:val="UserStyle_53"/>
    <w:basedOn w:val="18"/>
    <w:next w:val="1"/>
    <w:uiPriority w:val="0"/>
    <w:pPr>
      <w:numPr>
        <w:numId w:val="0"/>
      </w:numPr>
      <w:spacing w:before="240" w:line="259" w:lineRule="auto"/>
      <w:jc w:val="left"/>
    </w:pPr>
    <w:rPr>
      <w:rFonts w:ascii="Calibri Light" w:hAnsi="Calibri Light"/>
      <w:color w:val="2E75B5"/>
      <w:kern w:val="0"/>
      <w:sz w:val="32"/>
      <w:szCs w:val="32"/>
    </w:rPr>
  </w:style>
  <w:style w:type="paragraph" w:customStyle="1" w:styleId="95">
    <w:name w:val="UserStyle_54"/>
    <w:basedOn w:val="1"/>
    <w:uiPriority w:val="0"/>
    <w:pPr>
      <w:spacing w:after="120" w:line="360" w:lineRule="auto"/>
      <w:ind w:firstLine="425"/>
    </w:pPr>
    <w:rPr>
      <w:rFonts w:ascii="Arial" w:hAnsi="Arial"/>
      <w:spacing w:val="8"/>
      <w:sz w:val="24"/>
      <w:szCs w:val="20"/>
    </w:rPr>
  </w:style>
  <w:style w:type="table" w:customStyle="1" w:styleId="96">
    <w:name w:val="TableGrid"/>
    <w:basedOn w:val="27"/>
    <w:uiPriority w:val="0"/>
  </w:style>
  <w:style w:type="table" w:customStyle="1" w:styleId="97">
    <w:name w:val="UserStyle_55"/>
    <w:basedOn w:val="27"/>
    <w:uiPriority w:val="0"/>
  </w:style>
  <w:style w:type="character" w:customStyle="1" w:styleId="98">
    <w:name w:val="批注文字 Char"/>
    <w:basedOn w:val="11"/>
    <w:link w:val="4"/>
    <w:semiHidden/>
    <w:uiPriority w:val="99"/>
    <w:rPr>
      <w:rFonts w:ascii="Times New Roman" w:hAnsi="Times New Roman"/>
      <w:kern w:val="2"/>
      <w:sz w:val="21"/>
      <w:szCs w:val="24"/>
    </w:rPr>
  </w:style>
  <w:style w:type="character" w:customStyle="1" w:styleId="99">
    <w:name w:val="批注主题 Char"/>
    <w:basedOn w:val="98"/>
    <w:link w:val="9"/>
    <w:semiHidden/>
    <w:qFormat/>
    <w:uiPriority w:val="99"/>
    <w:rPr>
      <w:rFonts w:ascii="Times New Roman" w:hAnsi="Times New Roman"/>
      <w:b/>
      <w:bCs/>
      <w:kern w:val="2"/>
      <w:sz w:val="21"/>
      <w:szCs w:val="24"/>
    </w:rPr>
  </w:style>
  <w:style w:type="character" w:customStyle="1" w:styleId="100">
    <w:name w:val="批注框文本 Char"/>
    <w:basedOn w:val="11"/>
    <w:link w:val="6"/>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46E360-1A1F-4A06-BF5E-8BDDBEC708E2}">
  <ds:schemaRefs/>
</ds:datastoreItem>
</file>

<file path=docProps/app.xml><?xml version="1.0" encoding="utf-8"?>
<Properties xmlns="http://schemas.openxmlformats.org/officeDocument/2006/extended-properties" xmlns:vt="http://schemas.openxmlformats.org/officeDocument/2006/docPropsVTypes">
  <Template>Normal</Template>
  <Pages>130</Pages>
  <Words>12086</Words>
  <Characters>68891</Characters>
  <Lines>574</Lines>
  <Paragraphs>161</Paragraphs>
  <TotalTime>3</TotalTime>
  <ScaleCrop>false</ScaleCrop>
  <LinksUpToDate>false</LinksUpToDate>
  <CharactersWithSpaces>80816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2020-04-11T11:12:00Z</dcterms:created>
  <dc:creator>hu</dc:creator>
  <cp:lastModifiedBy>z</cp:lastModifiedBy>
  <dcterms:modified xsi:type="dcterms:W3CDTF">2020-04-13T09:09:55Z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