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205"/>
        <w:rPr>
          <w:rFonts w:hint="eastAsia" w:ascii="宋体" w:hAnsi="宋体" w:eastAsia="宋体" w:cs="宋体"/>
          <w:color w:val="auto"/>
          <w:highlight w:val="none"/>
        </w:rPr>
      </w:pPr>
      <w:bookmarkStart w:id="0" w:name="_Hlk83600134"/>
      <w:bookmarkEnd w:id="0"/>
      <w:r>
        <w:rPr>
          <w:rFonts w:hint="eastAsia" w:ascii="宋体" w:hAnsi="宋体" w:eastAsia="宋体" w:cs="宋体"/>
          <w:color w:val="auto"/>
          <w:sz w:val="72"/>
          <w:szCs w:val="72"/>
          <w:highlight w:val="none"/>
        </w:rPr>
        <w:drawing>
          <wp:anchor distT="0" distB="0" distL="0" distR="0" simplePos="0" relativeHeight="251660288" behindDoc="0" locked="0" layoutInCell="1" allowOverlap="1">
            <wp:simplePos x="0" y="0"/>
            <wp:positionH relativeFrom="column">
              <wp:posOffset>-94615</wp:posOffset>
            </wp:positionH>
            <wp:positionV relativeFrom="paragraph">
              <wp:posOffset>54610</wp:posOffset>
            </wp:positionV>
            <wp:extent cx="720090" cy="796925"/>
            <wp:effectExtent l="0" t="0" r="11430" b="10795"/>
            <wp:wrapSquare wrapText="bothSides"/>
            <wp:docPr id="1"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logo"/>
                    <pic:cNvPicPr>
                      <a:picLocks noChangeAspect="1"/>
                    </pic:cNvPicPr>
                  </pic:nvPicPr>
                  <pic:blipFill>
                    <a:blip r:embed="rId10"/>
                    <a:stretch>
                      <a:fillRect/>
                    </a:stretch>
                  </pic:blipFill>
                  <pic:spPr>
                    <a:xfrm>
                      <a:off x="0" y="0"/>
                      <a:ext cx="720090" cy="796925"/>
                    </a:xfrm>
                    <a:prstGeom prst="rect">
                      <a:avLst/>
                    </a:prstGeom>
                    <a:noFill/>
                    <a:ln>
                      <a:noFill/>
                    </a:ln>
                  </pic:spPr>
                </pic:pic>
              </a:graphicData>
            </a:graphic>
          </wp:anchor>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5"/>
        <w:keepNext w:val="0"/>
        <w:keepLines w:val="0"/>
        <w:widowControl/>
        <w:suppressLineNumbers w:val="0"/>
        <w:spacing w:line="450" w:lineRule="atLeast"/>
        <w:ind w:left="0" w:firstLine="0"/>
        <w:jc w:val="both"/>
        <w:outlineLvl w:val="9"/>
        <w:rPr>
          <w:rFonts w:hint="eastAsia" w:ascii="宋体" w:hAnsi="宋体" w:eastAsia="宋体" w:cs="宋体"/>
          <w:b/>
          <w:bCs/>
          <w:color w:val="auto"/>
          <w:sz w:val="84"/>
          <w:szCs w:val="84"/>
          <w:highlight w:val="none"/>
          <w:lang w:val="en-US" w:eastAsia="zh-CN"/>
        </w:rPr>
      </w:pPr>
    </w:p>
    <w:p>
      <w:pPr>
        <w:keepNext w:val="0"/>
        <w:keepLines w:val="0"/>
        <w:widowControl/>
        <w:suppressLineNumbers w:val="0"/>
        <w:spacing w:line="450" w:lineRule="atLeast"/>
        <w:ind w:left="0" w:firstLine="0"/>
        <w:jc w:val="center"/>
        <w:outlineLvl w:val="9"/>
        <w:rPr>
          <w:rFonts w:hint="eastAsia" w:ascii="宋体" w:hAnsi="宋体" w:eastAsia="宋体" w:cs="宋体"/>
          <w:b/>
          <w:bCs/>
          <w:color w:val="auto"/>
          <w:sz w:val="24"/>
          <w:szCs w:val="24"/>
          <w:highlight w:val="none"/>
        </w:rPr>
      </w:pPr>
      <w:bookmarkStart w:id="1" w:name="_Toc13106"/>
      <w:r>
        <w:rPr>
          <w:rFonts w:hint="eastAsia" w:ascii="宋体" w:hAnsi="宋体" w:eastAsia="宋体" w:cs="宋体"/>
          <w:b/>
          <w:bCs/>
          <w:color w:val="auto"/>
          <w:sz w:val="84"/>
          <w:szCs w:val="84"/>
          <w:highlight w:val="none"/>
          <w:lang w:val="en-US"/>
        </w:rPr>
        <w:drawing>
          <wp:anchor distT="0" distB="0" distL="114300" distR="114300" simplePos="0" relativeHeight="251659264" behindDoc="1" locked="0" layoutInCell="1" allowOverlap="1">
            <wp:simplePos x="0" y="0"/>
            <wp:positionH relativeFrom="margin">
              <wp:posOffset>359410</wp:posOffset>
            </wp:positionH>
            <wp:positionV relativeFrom="paragraph">
              <wp:posOffset>1005840</wp:posOffset>
            </wp:positionV>
            <wp:extent cx="4537710" cy="1930400"/>
            <wp:effectExtent l="240030" t="0" r="266700" b="876300"/>
            <wp:wrapNone/>
            <wp:docPr id="98" name="图片 98" descr="C:\Users\Administrator\Desktop\登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Administrator\Desktop\登山.jpg"/>
                    <pic:cNvPicPr>
                      <a:picLocks noChangeAspect="1" noChangeArrowheads="1"/>
                    </pic:cNvPicPr>
                  </pic:nvPicPr>
                  <pic:blipFill>
                    <a:blip r:embed="rId11" cstate="print">
                      <a:extLst>
                        <a:ext uri="{28A0092B-C50C-407E-A947-70E740481C1C}">
                          <a14:useLocalDpi xmlns:a14="http://schemas.microsoft.com/office/drawing/2010/main" val="0"/>
                        </a:ext>
                      </a:extLst>
                    </a:blip>
                    <a:srcRect r="313" b="9343"/>
                    <a:stretch>
                      <a:fillRect/>
                    </a:stretch>
                  </pic:blipFill>
                  <pic:spPr>
                    <a:xfrm>
                      <a:off x="0" y="0"/>
                      <a:ext cx="4895850" cy="2390775"/>
                    </a:xfrm>
                    <a:prstGeom prst="rect">
                      <a:avLst/>
                    </a:prstGeom>
                    <a:noFill/>
                    <a:ln>
                      <a:noFill/>
                    </a:ln>
                    <a:effectLst>
                      <a:reflection blurRad="6350" stA="50000" endA="300" endPos="55500" dist="101600" dir="5400000" sy="-100000" algn="bl" rotWithShape="0"/>
                    </a:effectLst>
                    <a:scene3d>
                      <a:camera prst="perspectiveRelaxedModerately"/>
                      <a:lightRig rig="threePt" dir="t"/>
                    </a:scene3d>
                  </pic:spPr>
                </pic:pic>
              </a:graphicData>
            </a:graphic>
          </wp:anchor>
        </w:drawing>
      </w:r>
      <w:r>
        <w:rPr>
          <w:rFonts w:hint="eastAsia" w:ascii="宋体" w:hAnsi="宋体" w:eastAsia="宋体" w:cs="宋体"/>
          <w:b/>
          <w:bCs/>
          <w:color w:val="auto"/>
          <w:sz w:val="84"/>
          <w:szCs w:val="84"/>
          <w:highlight w:val="none"/>
          <w:lang w:val="en-US" w:eastAsia="zh-CN"/>
        </w:rPr>
        <w:t xml:space="preserve">招 标 </w:t>
      </w:r>
      <w:r>
        <w:rPr>
          <w:rFonts w:hint="eastAsia" w:ascii="宋体" w:hAnsi="宋体" w:eastAsia="宋体" w:cs="宋体"/>
          <w:b/>
          <w:bCs/>
          <w:color w:val="auto"/>
          <w:sz w:val="84"/>
          <w:szCs w:val="84"/>
          <w:highlight w:val="none"/>
        </w:rPr>
        <w:t>文</w:t>
      </w:r>
      <w:r>
        <w:rPr>
          <w:rFonts w:hint="eastAsia" w:ascii="宋体" w:hAnsi="宋体" w:eastAsia="宋体" w:cs="宋体"/>
          <w:b/>
          <w:bCs/>
          <w:color w:val="auto"/>
          <w:sz w:val="84"/>
          <w:szCs w:val="84"/>
          <w:highlight w:val="none"/>
          <w:lang w:val="en-US" w:eastAsia="zh-CN"/>
        </w:rPr>
        <w:t xml:space="preserve"> </w:t>
      </w:r>
      <w:r>
        <w:rPr>
          <w:rFonts w:hint="eastAsia" w:ascii="宋体" w:hAnsi="宋体" w:eastAsia="宋体" w:cs="宋体"/>
          <w:b/>
          <w:bCs/>
          <w:color w:val="auto"/>
          <w:sz w:val="84"/>
          <w:szCs w:val="84"/>
          <w:highlight w:val="none"/>
        </w:rPr>
        <w:t>件</w:t>
      </w:r>
      <w:bookmarkEnd w:id="1"/>
    </w:p>
    <w:p>
      <w:pPr>
        <w:spacing w:line="360" w:lineRule="exact"/>
        <w:jc w:val="left"/>
        <w:rPr>
          <w:rFonts w:hint="eastAsia" w:ascii="宋体" w:hAnsi="宋体" w:eastAsia="宋体" w:cs="宋体"/>
          <w:b/>
          <w:bCs/>
          <w:color w:val="auto"/>
          <w:sz w:val="24"/>
          <w:szCs w:val="24"/>
          <w:highlight w:val="none"/>
        </w:rPr>
      </w:pPr>
    </w:p>
    <w:p>
      <w:pPr>
        <w:spacing w:line="360" w:lineRule="exact"/>
        <w:jc w:val="left"/>
        <w:rPr>
          <w:rFonts w:hint="eastAsia" w:ascii="宋体" w:hAnsi="宋体" w:eastAsia="宋体" w:cs="宋体"/>
          <w:b/>
          <w:bCs/>
          <w:color w:val="auto"/>
          <w:sz w:val="24"/>
          <w:szCs w:val="24"/>
          <w:highlight w:val="none"/>
        </w:rPr>
      </w:pPr>
    </w:p>
    <w:p>
      <w:pPr>
        <w:spacing w:line="360" w:lineRule="exact"/>
        <w:jc w:val="left"/>
        <w:rPr>
          <w:rFonts w:hint="eastAsia" w:ascii="宋体" w:hAnsi="宋体" w:eastAsia="宋体" w:cs="宋体"/>
          <w:b/>
          <w:bCs/>
          <w:color w:val="auto"/>
          <w:sz w:val="24"/>
          <w:szCs w:val="24"/>
          <w:highlight w:val="none"/>
        </w:rPr>
      </w:pPr>
    </w:p>
    <w:p>
      <w:pPr>
        <w:spacing w:line="360" w:lineRule="exact"/>
        <w:jc w:val="left"/>
        <w:rPr>
          <w:rFonts w:hint="eastAsia" w:ascii="宋体" w:hAnsi="宋体" w:eastAsia="宋体" w:cs="宋体"/>
          <w:b/>
          <w:bCs/>
          <w:color w:val="auto"/>
          <w:sz w:val="24"/>
          <w:szCs w:val="24"/>
          <w:highlight w:val="none"/>
        </w:rPr>
      </w:pPr>
    </w:p>
    <w:p>
      <w:pPr>
        <w:spacing w:line="360" w:lineRule="exact"/>
        <w:jc w:val="left"/>
        <w:rPr>
          <w:rFonts w:hint="eastAsia" w:ascii="宋体" w:hAnsi="宋体" w:eastAsia="宋体" w:cs="宋体"/>
          <w:b/>
          <w:bCs/>
          <w:color w:val="auto"/>
          <w:sz w:val="24"/>
          <w:szCs w:val="24"/>
          <w:highlight w:val="none"/>
        </w:rPr>
      </w:pPr>
    </w:p>
    <w:p>
      <w:pPr>
        <w:spacing w:line="360" w:lineRule="exact"/>
        <w:jc w:val="left"/>
        <w:rPr>
          <w:rFonts w:hint="eastAsia" w:ascii="宋体" w:hAnsi="宋体" w:eastAsia="宋体" w:cs="宋体"/>
          <w:b/>
          <w:bCs/>
          <w:color w:val="auto"/>
          <w:sz w:val="24"/>
          <w:szCs w:val="24"/>
          <w:highlight w:val="none"/>
        </w:rPr>
      </w:pPr>
    </w:p>
    <w:p>
      <w:pPr>
        <w:spacing w:line="360" w:lineRule="exact"/>
        <w:jc w:val="left"/>
        <w:rPr>
          <w:rFonts w:hint="eastAsia" w:ascii="宋体" w:hAnsi="宋体" w:eastAsia="宋体" w:cs="宋体"/>
          <w:b/>
          <w:bCs/>
          <w:color w:val="auto"/>
          <w:sz w:val="24"/>
          <w:szCs w:val="24"/>
          <w:highlight w:val="none"/>
        </w:rPr>
      </w:pPr>
    </w:p>
    <w:p>
      <w:pPr>
        <w:spacing w:line="360" w:lineRule="exact"/>
        <w:jc w:val="left"/>
        <w:rPr>
          <w:rFonts w:hint="eastAsia" w:ascii="宋体" w:hAnsi="宋体" w:eastAsia="宋体" w:cs="宋体"/>
          <w:b/>
          <w:bCs/>
          <w:color w:val="auto"/>
          <w:sz w:val="24"/>
          <w:szCs w:val="24"/>
          <w:highlight w:val="none"/>
        </w:rPr>
      </w:pPr>
    </w:p>
    <w:p>
      <w:pPr>
        <w:spacing w:line="360" w:lineRule="exact"/>
        <w:jc w:val="left"/>
        <w:rPr>
          <w:rFonts w:hint="eastAsia" w:ascii="宋体" w:hAnsi="宋体" w:eastAsia="宋体" w:cs="宋体"/>
          <w:b/>
          <w:bCs/>
          <w:color w:val="auto"/>
          <w:sz w:val="24"/>
          <w:szCs w:val="24"/>
          <w:highlight w:val="none"/>
        </w:rPr>
      </w:pPr>
    </w:p>
    <w:p>
      <w:pPr>
        <w:spacing w:line="360" w:lineRule="exact"/>
        <w:jc w:val="left"/>
        <w:rPr>
          <w:rFonts w:hint="eastAsia" w:ascii="宋体" w:hAnsi="宋体" w:eastAsia="宋体" w:cs="宋体"/>
          <w:b/>
          <w:bCs/>
          <w:color w:val="auto"/>
          <w:sz w:val="24"/>
          <w:szCs w:val="24"/>
          <w:highlight w:val="none"/>
        </w:rPr>
      </w:pPr>
    </w:p>
    <w:p>
      <w:pPr>
        <w:spacing w:line="360" w:lineRule="exact"/>
        <w:jc w:val="left"/>
        <w:rPr>
          <w:rFonts w:hint="eastAsia" w:ascii="宋体" w:hAnsi="宋体" w:eastAsia="宋体" w:cs="宋体"/>
          <w:b/>
          <w:bCs/>
          <w:color w:val="auto"/>
          <w:sz w:val="24"/>
          <w:szCs w:val="24"/>
          <w:highlight w:val="none"/>
        </w:rPr>
      </w:pPr>
    </w:p>
    <w:p>
      <w:pPr>
        <w:pStyle w:val="13"/>
        <w:rPr>
          <w:rFonts w:hint="eastAsia" w:ascii="宋体" w:hAnsi="宋体" w:eastAsia="宋体" w:cs="宋体"/>
          <w:b/>
          <w:bCs/>
          <w:color w:val="auto"/>
          <w:szCs w:val="24"/>
          <w:highlight w:val="none"/>
        </w:rPr>
      </w:pPr>
    </w:p>
    <w:p>
      <w:pPr>
        <w:rPr>
          <w:rFonts w:hint="eastAsia" w:ascii="宋体" w:hAnsi="宋体" w:eastAsia="宋体" w:cs="宋体"/>
          <w:b/>
          <w:bCs/>
          <w:color w:val="auto"/>
          <w:sz w:val="24"/>
          <w:szCs w:val="24"/>
          <w:highlight w:val="none"/>
        </w:rPr>
      </w:pPr>
    </w:p>
    <w:p>
      <w:pPr>
        <w:snapToGrid w:val="0"/>
        <w:spacing w:line="600" w:lineRule="exact"/>
        <w:ind w:right="-191"/>
        <w:rPr>
          <w:rFonts w:hint="eastAsia" w:ascii="宋体" w:hAnsi="宋体" w:eastAsia="宋体" w:cs="宋体"/>
          <w:b/>
          <w:color w:val="auto"/>
          <w:sz w:val="32"/>
          <w:szCs w:val="32"/>
          <w:highlight w:val="none"/>
        </w:rPr>
      </w:pPr>
    </w:p>
    <w:p>
      <w:pPr>
        <w:snapToGrid w:val="0"/>
        <w:spacing w:line="600" w:lineRule="exact"/>
        <w:ind w:left="2353" w:leftChars="347" w:right="-191" w:hanging="1590" w:hangingChars="495"/>
        <w:outlineLvl w:val="9"/>
        <w:rPr>
          <w:rFonts w:hint="eastAsia" w:ascii="宋体" w:hAnsi="宋体" w:eastAsia="宋体" w:cs="宋体"/>
          <w:b/>
          <w:color w:val="auto"/>
          <w:sz w:val="32"/>
          <w:szCs w:val="32"/>
          <w:highlight w:val="none"/>
          <w:lang w:eastAsia="zh-CN"/>
        </w:rPr>
      </w:pPr>
      <w:bookmarkStart w:id="2" w:name="_Toc23319"/>
      <w:r>
        <w:rPr>
          <w:rFonts w:hint="eastAsia" w:ascii="宋体" w:hAnsi="宋体" w:eastAsia="宋体" w:cs="宋体"/>
          <w:b/>
          <w:color w:val="auto"/>
          <w:sz w:val="32"/>
          <w:szCs w:val="32"/>
          <w:highlight w:val="none"/>
        </w:rPr>
        <w:t>项目编号：</w:t>
      </w:r>
      <w:bookmarkEnd w:id="2"/>
      <w:r>
        <w:rPr>
          <w:rFonts w:hint="eastAsia" w:ascii="宋体" w:hAnsi="宋体" w:eastAsia="宋体" w:cs="宋体"/>
          <w:b/>
          <w:color w:val="auto"/>
          <w:sz w:val="32"/>
          <w:szCs w:val="32"/>
          <w:highlight w:val="none"/>
          <w:lang w:eastAsia="zh-CN"/>
        </w:rPr>
        <w:t>TC229H113</w:t>
      </w:r>
    </w:p>
    <w:p>
      <w:pPr>
        <w:snapToGrid w:val="0"/>
        <w:spacing w:line="600" w:lineRule="exact"/>
        <w:ind w:left="2353" w:leftChars="347" w:right="-191" w:hanging="1590" w:hangingChars="495"/>
        <w:outlineLvl w:val="9"/>
        <w:rPr>
          <w:rFonts w:hint="eastAsia" w:ascii="宋体" w:hAnsi="宋体" w:eastAsia="宋体" w:cs="宋体"/>
          <w:b/>
          <w:color w:val="auto"/>
          <w:sz w:val="32"/>
          <w:szCs w:val="32"/>
          <w:highlight w:val="none"/>
          <w:lang w:val="en-US" w:eastAsia="zh-CN"/>
        </w:rPr>
      </w:pPr>
      <w:bookmarkStart w:id="3" w:name="_Toc28429"/>
      <w:r>
        <w:rPr>
          <w:rFonts w:hint="eastAsia" w:ascii="宋体" w:hAnsi="宋体" w:eastAsia="宋体" w:cs="宋体"/>
          <w:b/>
          <w:color w:val="auto"/>
          <w:sz w:val="32"/>
          <w:szCs w:val="32"/>
          <w:highlight w:val="none"/>
        </w:rPr>
        <w:t>项目名称：</w:t>
      </w:r>
      <w:bookmarkEnd w:id="3"/>
      <w:r>
        <w:rPr>
          <w:rFonts w:hint="eastAsia" w:ascii="宋体" w:hAnsi="宋体" w:eastAsia="宋体" w:cs="宋体"/>
          <w:b/>
          <w:color w:val="auto"/>
          <w:sz w:val="32"/>
          <w:szCs w:val="32"/>
          <w:highlight w:val="none"/>
        </w:rPr>
        <w:t>兵团法院2023年度审判相关业务及办公系统升级、运维服务项目</w:t>
      </w:r>
    </w:p>
    <w:p>
      <w:pPr>
        <w:snapToGrid w:val="0"/>
        <w:spacing w:line="600" w:lineRule="exact"/>
        <w:ind w:right="-191" w:firstLine="733"/>
        <w:outlineLvl w:val="9"/>
        <w:rPr>
          <w:rFonts w:hint="eastAsia" w:ascii="宋体" w:hAnsi="宋体" w:eastAsia="宋体" w:cs="宋体"/>
          <w:b/>
          <w:color w:val="auto"/>
          <w:sz w:val="32"/>
          <w:szCs w:val="32"/>
          <w:highlight w:val="none"/>
        </w:rPr>
      </w:pPr>
      <w:bookmarkStart w:id="4" w:name="_Toc15655"/>
      <w:r>
        <w:rPr>
          <w:rFonts w:hint="eastAsia" w:ascii="宋体" w:hAnsi="宋体" w:eastAsia="宋体" w:cs="宋体"/>
          <w:b/>
          <w:color w:val="auto"/>
          <w:sz w:val="32"/>
          <w:szCs w:val="32"/>
          <w:highlight w:val="none"/>
        </w:rPr>
        <w:t xml:space="preserve">采 购 人： </w:t>
      </w:r>
      <w:bookmarkEnd w:id="4"/>
      <w:r>
        <w:rPr>
          <w:rFonts w:hint="eastAsia" w:ascii="宋体" w:hAnsi="宋体" w:eastAsia="宋体" w:cs="宋体"/>
          <w:b/>
          <w:color w:val="auto"/>
          <w:sz w:val="32"/>
          <w:szCs w:val="32"/>
          <w:highlight w:val="none"/>
          <w:lang w:val="en-US" w:eastAsia="zh-CN"/>
        </w:rPr>
        <w:t>新疆维吾尔自治区高级人民法院生产建设兵团分院</w:t>
      </w:r>
      <w:r>
        <w:rPr>
          <w:rFonts w:hint="eastAsia" w:ascii="宋体" w:hAnsi="宋体" w:eastAsia="宋体" w:cs="宋体"/>
          <w:b/>
          <w:color w:val="auto"/>
          <w:sz w:val="32"/>
          <w:szCs w:val="32"/>
          <w:highlight w:val="none"/>
        </w:rPr>
        <w:t xml:space="preserve"> </w:t>
      </w:r>
    </w:p>
    <w:p>
      <w:pPr>
        <w:pStyle w:val="25"/>
        <w:outlineLvl w:val="9"/>
        <w:rPr>
          <w:rFonts w:hint="eastAsia" w:ascii="宋体" w:hAnsi="宋体" w:eastAsia="宋体" w:cs="宋体"/>
          <w:color w:val="auto"/>
          <w:highlight w:val="none"/>
        </w:rPr>
      </w:pPr>
    </w:p>
    <w:p>
      <w:pPr>
        <w:snapToGrid w:val="0"/>
        <w:spacing w:line="520" w:lineRule="exact"/>
        <w:jc w:val="center"/>
        <w:outlineLvl w:val="9"/>
        <w:rPr>
          <w:rFonts w:hint="eastAsia" w:ascii="宋体" w:hAnsi="宋体" w:eastAsia="宋体" w:cs="宋体"/>
          <w:b/>
          <w:color w:val="auto"/>
          <w:sz w:val="32"/>
          <w:szCs w:val="32"/>
          <w:highlight w:val="none"/>
        </w:rPr>
      </w:pPr>
      <w:bookmarkStart w:id="5" w:name="_Toc28181"/>
      <w:r>
        <w:rPr>
          <w:rFonts w:hint="eastAsia" w:ascii="宋体" w:hAnsi="宋体" w:eastAsia="宋体" w:cs="宋体"/>
          <w:b/>
          <w:color w:val="auto"/>
          <w:sz w:val="32"/>
          <w:szCs w:val="32"/>
          <w:highlight w:val="none"/>
        </w:rPr>
        <w:t>中招国际招标有限公司</w:t>
      </w:r>
      <w:bookmarkEnd w:id="5"/>
    </w:p>
    <w:p>
      <w:pPr>
        <w:snapToGrid w:val="0"/>
        <w:spacing w:line="520" w:lineRule="exact"/>
        <w:jc w:val="center"/>
        <w:outlineLvl w:val="9"/>
        <w:rPr>
          <w:rFonts w:hint="eastAsia" w:ascii="宋体" w:hAnsi="宋体" w:eastAsia="宋体" w:cs="宋体"/>
          <w:b/>
          <w:color w:val="auto"/>
          <w:sz w:val="32"/>
          <w:szCs w:val="32"/>
          <w:highlight w:val="none"/>
        </w:rPr>
        <w:sectPr>
          <w:footerReference r:id="rId5" w:type="first"/>
          <w:pgSz w:w="11906" w:h="16838"/>
          <w:pgMar w:top="1440" w:right="1106" w:bottom="1440" w:left="1800" w:header="851" w:footer="752" w:gutter="0"/>
          <w:pgNumType w:fmt="numberInDash" w:start="1"/>
          <w:cols w:space="720" w:num="1"/>
          <w:formProt w:val="0"/>
          <w:docGrid w:type="lines" w:linePitch="312" w:charSpace="0"/>
        </w:sectPr>
      </w:pPr>
      <w:r>
        <w:rPr>
          <w:rFonts w:hint="eastAsia" w:ascii="宋体" w:hAnsi="宋体" w:eastAsia="宋体" w:cs="宋体"/>
          <w:b/>
          <w:color w:val="auto"/>
          <w:sz w:val="32"/>
          <w:szCs w:val="32"/>
          <w:highlight w:val="none"/>
        </w:rPr>
        <w:t>2022年</w:t>
      </w:r>
      <w:r>
        <w:rPr>
          <w:rFonts w:hint="eastAsia" w:ascii="宋体" w:hAnsi="宋体" w:eastAsia="宋体" w:cs="宋体"/>
          <w:b/>
          <w:color w:val="auto"/>
          <w:sz w:val="32"/>
          <w:szCs w:val="32"/>
          <w:highlight w:val="none"/>
          <w:lang w:val="en-US" w:eastAsia="zh-CN"/>
        </w:rPr>
        <w:t>12</w:t>
      </w:r>
      <w:r>
        <w:rPr>
          <w:rFonts w:hint="eastAsia" w:ascii="宋体" w:hAnsi="宋体" w:eastAsia="宋体" w:cs="宋体"/>
          <w:b/>
          <w:color w:val="auto"/>
          <w:sz w:val="32"/>
          <w:szCs w:val="32"/>
          <w:highlight w:val="none"/>
        </w:rPr>
        <w:t>月</w:t>
      </w:r>
    </w:p>
    <w:sdt>
      <w:sdtPr>
        <w:rPr>
          <w:rFonts w:hint="eastAsia" w:ascii="宋体" w:hAnsi="宋体" w:eastAsia="宋体" w:cs="宋体"/>
          <w:color w:val="auto"/>
          <w:sz w:val="21"/>
          <w:szCs w:val="22"/>
          <w:highlight w:val="none"/>
          <w:lang w:val="zh-CN" w:eastAsia="zh-CN" w:bidi="zh-CN"/>
        </w:rPr>
        <w:id w:val="147475750"/>
        <w15:color w:val="DBDBDB"/>
        <w:docPartObj>
          <w:docPartGallery w:val="Table of Contents"/>
          <w:docPartUnique/>
        </w:docPartObj>
      </w:sdtPr>
      <w:sdtEndPr>
        <w:rPr>
          <w:rFonts w:hint="eastAsia" w:ascii="宋体" w:hAnsi="宋体" w:eastAsia="宋体" w:cs="宋体"/>
          <w:color w:val="auto"/>
          <w:sz w:val="21"/>
          <w:szCs w:val="22"/>
          <w:highlight w:val="none"/>
          <w:lang w:val="zh-CN" w:eastAsia="zh-CN" w:bidi="zh-CN"/>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sz w:val="21"/>
              <w:highlight w:val="none"/>
            </w:rPr>
            <w:t>目录</w:t>
          </w:r>
        </w:p>
        <w:p>
          <w:pPr>
            <w:pStyle w:val="47"/>
            <w:tabs>
              <w:tab w:val="left" w:pos="414"/>
              <w:tab w:val="right" w:leader="dot" w:pos="9760"/>
            </w:tabs>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"1-2" \h \u </w:instrText>
          </w:r>
          <w:r>
            <w:rPr>
              <w:rFonts w:hint="eastAsia" w:ascii="宋体" w:hAnsi="宋体" w:eastAsia="宋体" w:cs="宋体"/>
              <w:color w:val="auto"/>
              <w:highlight w:val="none"/>
            </w:rPr>
            <w:fldChar w:fldCharType="separate"/>
          </w:r>
        </w:p>
        <w:p>
          <w:pPr>
            <w:pStyle w:val="46"/>
            <w:tabs>
              <w:tab w:val="right" w:leader="dot" w:pos="9760"/>
            </w:tabs>
            <w:rPr>
              <w:rFonts w:hint="eastAsia" w:ascii="宋体" w:hAnsi="宋体" w:eastAsia="宋体" w:cs="宋体"/>
              <w:b/>
              <w:color w:val="auto"/>
              <w:highlight w:val="none"/>
            </w:rPr>
          </w:pPr>
        </w:p>
        <w:p>
          <w:pPr>
            <w:pStyle w:val="46"/>
            <w:tabs>
              <w:tab w:val="right" w:pos="2400"/>
              <w:tab w:val="right" w:leader="dot" w:pos="9760"/>
            </w:tabs>
            <w:rPr>
              <w:rFonts w:hint="eastAsia" w:ascii="宋体" w:hAnsi="宋体" w:eastAsia="宋体" w:cs="宋体"/>
              <w:b/>
              <w:color w:val="auto"/>
              <w:highlight w:val="none"/>
            </w:rPr>
          </w:pPr>
          <w:r>
            <w:rPr>
              <w:rFonts w:hint="eastAsia" w:ascii="宋体" w:hAnsi="宋体" w:eastAsia="宋体" w:cs="宋体"/>
              <w:b/>
              <w:color w:val="auto"/>
              <w:highlight w:val="none"/>
            </w:rPr>
            <w:fldChar w:fldCharType="begin"/>
          </w:r>
          <w:r>
            <w:rPr>
              <w:rFonts w:hint="eastAsia" w:ascii="宋体" w:hAnsi="宋体" w:eastAsia="宋体" w:cs="宋体"/>
              <w:b/>
              <w:color w:val="auto"/>
              <w:highlight w:val="none"/>
            </w:rPr>
            <w:instrText xml:space="preserve"> HYPERLINK \l _Toc7692 </w:instrText>
          </w:r>
          <w:r>
            <w:rPr>
              <w:rFonts w:hint="eastAsia" w:ascii="宋体" w:hAnsi="宋体" w:eastAsia="宋体" w:cs="宋体"/>
              <w:b/>
              <w:color w:val="auto"/>
              <w:highlight w:val="none"/>
            </w:rPr>
            <w:fldChar w:fldCharType="separate"/>
          </w:r>
          <w:r>
            <w:rPr>
              <w:rFonts w:hint="eastAsia" w:ascii="宋体" w:hAnsi="宋体" w:eastAsia="宋体" w:cs="宋体"/>
              <w:b/>
              <w:color w:val="auto"/>
              <w:highlight w:val="none"/>
            </w:rPr>
            <w:t>第一章</w:t>
          </w:r>
          <w:r>
            <w:rPr>
              <w:rFonts w:hint="eastAsia" w:ascii="宋体" w:hAnsi="宋体" w:eastAsia="宋体" w:cs="宋体"/>
              <w:b/>
              <w:color w:val="auto"/>
              <w:highlight w:val="none"/>
            </w:rPr>
            <w:tab/>
          </w:r>
          <w:r>
            <w:rPr>
              <w:rFonts w:hint="eastAsia" w:ascii="宋体" w:hAnsi="宋体" w:eastAsia="宋体" w:cs="宋体"/>
              <w:b/>
              <w:color w:val="auto"/>
              <w:highlight w:val="none"/>
            </w:rPr>
            <w:t>招标公告</w:t>
          </w:r>
          <w:r>
            <w:rPr>
              <w:rFonts w:hint="eastAsia" w:ascii="宋体" w:hAnsi="宋体" w:eastAsia="宋体" w:cs="宋体"/>
              <w:b/>
              <w:color w:val="auto"/>
              <w:highlight w:val="none"/>
            </w:rPr>
            <w:tab/>
          </w:r>
          <w:r>
            <w:rPr>
              <w:rFonts w:hint="eastAsia" w:ascii="宋体" w:hAnsi="宋体" w:eastAsia="宋体" w:cs="宋体"/>
              <w:b/>
              <w:color w:val="auto"/>
              <w:highlight w:val="none"/>
            </w:rPr>
            <w:fldChar w:fldCharType="begin"/>
          </w:r>
          <w:r>
            <w:rPr>
              <w:rFonts w:hint="eastAsia" w:ascii="宋体" w:hAnsi="宋体" w:eastAsia="宋体" w:cs="宋体"/>
              <w:b/>
              <w:color w:val="auto"/>
              <w:highlight w:val="none"/>
            </w:rPr>
            <w:instrText xml:space="preserve"> PAGEREF _Toc7692 \h </w:instrText>
          </w:r>
          <w:r>
            <w:rPr>
              <w:rFonts w:hint="eastAsia" w:ascii="宋体" w:hAnsi="宋体" w:eastAsia="宋体" w:cs="宋体"/>
              <w:b/>
              <w:color w:val="auto"/>
              <w:highlight w:val="none"/>
            </w:rPr>
            <w:fldChar w:fldCharType="separate"/>
          </w:r>
          <w:r>
            <w:rPr>
              <w:rFonts w:hint="eastAsia" w:ascii="宋体" w:hAnsi="宋体" w:eastAsia="宋体" w:cs="宋体"/>
              <w:b/>
              <w:color w:val="auto"/>
              <w:highlight w:val="none"/>
            </w:rPr>
            <w:t>1</w:t>
          </w:r>
          <w:r>
            <w:rPr>
              <w:rFonts w:hint="eastAsia" w:ascii="宋体" w:hAnsi="宋体" w:eastAsia="宋体" w:cs="宋体"/>
              <w:b/>
              <w:color w:val="auto"/>
              <w:highlight w:val="none"/>
            </w:rPr>
            <w:fldChar w:fldCharType="end"/>
          </w:r>
          <w:r>
            <w:rPr>
              <w:rFonts w:hint="eastAsia" w:ascii="宋体" w:hAnsi="宋体" w:eastAsia="宋体" w:cs="宋体"/>
              <w:b/>
              <w:color w:val="auto"/>
              <w:highlight w:val="none"/>
            </w:rPr>
            <w:fldChar w:fldCharType="end"/>
          </w:r>
        </w:p>
        <w:p>
          <w:pPr>
            <w:pStyle w:val="46"/>
            <w:tabs>
              <w:tab w:val="right" w:pos="2400"/>
              <w:tab w:val="right" w:leader="dot" w:pos="9760"/>
            </w:tabs>
            <w:rPr>
              <w:rFonts w:hint="eastAsia" w:ascii="宋体" w:hAnsi="宋体" w:eastAsia="宋体" w:cs="宋体"/>
              <w:b/>
              <w:color w:val="auto"/>
              <w:highlight w:val="none"/>
            </w:rPr>
          </w:pPr>
          <w:r>
            <w:rPr>
              <w:rFonts w:hint="eastAsia" w:ascii="宋体" w:hAnsi="宋体" w:eastAsia="宋体" w:cs="宋体"/>
              <w:b/>
              <w:color w:val="auto"/>
              <w:highlight w:val="none"/>
            </w:rPr>
            <w:fldChar w:fldCharType="begin"/>
          </w:r>
          <w:r>
            <w:rPr>
              <w:rFonts w:hint="eastAsia" w:ascii="宋体" w:hAnsi="宋体" w:eastAsia="宋体" w:cs="宋体"/>
              <w:b/>
              <w:color w:val="auto"/>
              <w:highlight w:val="none"/>
            </w:rPr>
            <w:instrText xml:space="preserve"> HYPERLINK \l _Toc16552 </w:instrText>
          </w:r>
          <w:r>
            <w:rPr>
              <w:rFonts w:hint="eastAsia" w:ascii="宋体" w:hAnsi="宋体" w:eastAsia="宋体" w:cs="宋体"/>
              <w:b/>
              <w:color w:val="auto"/>
              <w:highlight w:val="none"/>
            </w:rPr>
            <w:fldChar w:fldCharType="separate"/>
          </w:r>
          <w:r>
            <w:rPr>
              <w:rFonts w:hint="eastAsia" w:ascii="宋体" w:hAnsi="宋体" w:eastAsia="宋体" w:cs="宋体"/>
              <w:b/>
              <w:color w:val="auto"/>
              <w:highlight w:val="none"/>
            </w:rPr>
            <w:t>第二章</w:t>
          </w:r>
          <w:r>
            <w:rPr>
              <w:rFonts w:hint="eastAsia" w:ascii="宋体" w:hAnsi="宋体" w:eastAsia="宋体" w:cs="宋体"/>
              <w:b/>
              <w:color w:val="auto"/>
              <w:highlight w:val="none"/>
            </w:rPr>
            <w:tab/>
          </w:r>
          <w:r>
            <w:rPr>
              <w:rFonts w:hint="eastAsia" w:ascii="宋体" w:hAnsi="宋体" w:eastAsia="宋体" w:cs="宋体"/>
              <w:b/>
              <w:color w:val="auto"/>
              <w:highlight w:val="none"/>
            </w:rPr>
            <w:t>投标人须知</w:t>
          </w:r>
          <w:r>
            <w:rPr>
              <w:rFonts w:hint="eastAsia" w:ascii="宋体" w:hAnsi="宋体" w:eastAsia="宋体" w:cs="宋体"/>
              <w:b/>
              <w:color w:val="auto"/>
              <w:highlight w:val="none"/>
            </w:rPr>
            <w:tab/>
          </w:r>
          <w:r>
            <w:rPr>
              <w:rFonts w:hint="eastAsia" w:ascii="宋体" w:hAnsi="宋体" w:eastAsia="宋体" w:cs="宋体"/>
              <w:b/>
              <w:color w:val="auto"/>
              <w:highlight w:val="none"/>
            </w:rPr>
            <w:fldChar w:fldCharType="begin"/>
          </w:r>
          <w:r>
            <w:rPr>
              <w:rFonts w:hint="eastAsia" w:ascii="宋体" w:hAnsi="宋体" w:eastAsia="宋体" w:cs="宋体"/>
              <w:b/>
              <w:color w:val="auto"/>
              <w:highlight w:val="none"/>
            </w:rPr>
            <w:instrText xml:space="preserve"> PAGEREF _Toc16552 \h </w:instrText>
          </w:r>
          <w:r>
            <w:rPr>
              <w:rFonts w:hint="eastAsia" w:ascii="宋体" w:hAnsi="宋体" w:eastAsia="宋体" w:cs="宋体"/>
              <w:b/>
              <w:color w:val="auto"/>
              <w:highlight w:val="none"/>
            </w:rPr>
            <w:fldChar w:fldCharType="separate"/>
          </w:r>
          <w:r>
            <w:rPr>
              <w:rFonts w:hint="eastAsia" w:ascii="宋体" w:hAnsi="宋体" w:eastAsia="宋体" w:cs="宋体"/>
              <w:b/>
              <w:color w:val="auto"/>
              <w:highlight w:val="none"/>
            </w:rPr>
            <w:t>4</w:t>
          </w:r>
          <w:r>
            <w:rPr>
              <w:rFonts w:hint="eastAsia" w:ascii="宋体" w:hAnsi="宋体" w:eastAsia="宋体" w:cs="宋体"/>
              <w:b/>
              <w:color w:val="auto"/>
              <w:highlight w:val="none"/>
            </w:rPr>
            <w:fldChar w:fldCharType="end"/>
          </w:r>
          <w:r>
            <w:rPr>
              <w:rFonts w:hint="eastAsia" w:ascii="宋体" w:hAnsi="宋体" w:eastAsia="宋体" w:cs="宋体"/>
              <w:b/>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_Toc23785 </w:instrText>
          </w:r>
          <w:r>
            <w:rPr>
              <w:rFonts w:hint="eastAsia" w:ascii="宋体" w:hAnsi="宋体" w:eastAsia="宋体" w:cs="宋体"/>
              <w:color w:val="auto"/>
              <w:highlight w:val="none"/>
            </w:rPr>
            <w:fldChar w:fldCharType="separate"/>
          </w:r>
          <w:r>
            <w:rPr>
              <w:rFonts w:hint="eastAsia" w:ascii="宋体" w:hAnsi="宋体" w:eastAsia="宋体" w:cs="宋体"/>
              <w:bCs/>
              <w:color w:val="auto"/>
              <w:spacing w:val="0"/>
              <w:w w:val="99"/>
              <w:szCs w:val="28"/>
              <w:highlight w:val="none"/>
              <w:lang w:val="zh-CN" w:eastAsia="zh-CN" w:bidi="zh-CN"/>
            </w:rPr>
            <w:t xml:space="preserve">1. </w:t>
          </w:r>
          <w:r>
            <w:rPr>
              <w:rFonts w:hint="eastAsia" w:ascii="宋体" w:hAnsi="宋体" w:eastAsia="宋体" w:cs="宋体"/>
              <w:color w:val="auto"/>
              <w:highlight w:val="none"/>
            </w:rPr>
            <w:t>总则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_Toc23785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_Toc11782 </w:instrText>
          </w:r>
          <w:r>
            <w:rPr>
              <w:rFonts w:hint="eastAsia" w:ascii="宋体" w:hAnsi="宋体" w:eastAsia="宋体" w:cs="宋体"/>
              <w:color w:val="auto"/>
              <w:highlight w:val="none"/>
            </w:rPr>
            <w:fldChar w:fldCharType="separate"/>
          </w:r>
          <w:r>
            <w:rPr>
              <w:rFonts w:hint="eastAsia" w:ascii="宋体" w:hAnsi="宋体" w:eastAsia="宋体" w:cs="宋体"/>
              <w:bCs/>
              <w:color w:val="auto"/>
              <w:spacing w:val="0"/>
              <w:w w:val="99"/>
              <w:szCs w:val="28"/>
              <w:highlight w:val="none"/>
              <w:lang w:val="zh-CN" w:eastAsia="zh-CN" w:bidi="zh-CN"/>
            </w:rPr>
            <w:t xml:space="preserve">2. </w:t>
          </w:r>
          <w:r>
            <w:rPr>
              <w:rFonts w:hint="eastAsia" w:ascii="宋体" w:hAnsi="宋体" w:eastAsia="宋体" w:cs="宋体"/>
              <w:color w:val="auto"/>
              <w:highlight w:val="none"/>
            </w:rPr>
            <w:t>招标文件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_Toc11782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_Toc10687 </w:instrText>
          </w:r>
          <w:r>
            <w:rPr>
              <w:rFonts w:hint="eastAsia" w:ascii="宋体" w:hAnsi="宋体" w:eastAsia="宋体" w:cs="宋体"/>
              <w:color w:val="auto"/>
              <w:highlight w:val="none"/>
            </w:rPr>
            <w:fldChar w:fldCharType="separate"/>
          </w:r>
          <w:r>
            <w:rPr>
              <w:rFonts w:hint="eastAsia" w:ascii="宋体" w:hAnsi="宋体" w:eastAsia="宋体" w:cs="宋体"/>
              <w:bCs/>
              <w:color w:val="auto"/>
              <w:spacing w:val="0"/>
              <w:w w:val="99"/>
              <w:szCs w:val="28"/>
              <w:highlight w:val="none"/>
              <w:lang w:val="zh-CN" w:eastAsia="zh-CN" w:bidi="zh-CN"/>
            </w:rPr>
            <w:t xml:space="preserve">3. </w:t>
          </w:r>
          <w:r>
            <w:rPr>
              <w:rFonts w:hint="eastAsia" w:ascii="宋体" w:hAnsi="宋体" w:eastAsia="宋体" w:cs="宋体"/>
              <w:color w:val="auto"/>
              <w:highlight w:val="none"/>
            </w:rPr>
            <w:t>投标文件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_Toc10687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_Toc1880 </w:instrText>
          </w:r>
          <w:r>
            <w:rPr>
              <w:rFonts w:hint="eastAsia" w:ascii="宋体" w:hAnsi="宋体" w:eastAsia="宋体" w:cs="宋体"/>
              <w:color w:val="auto"/>
              <w:highlight w:val="none"/>
            </w:rPr>
            <w:fldChar w:fldCharType="separate"/>
          </w:r>
          <w:r>
            <w:rPr>
              <w:rFonts w:hint="eastAsia" w:ascii="宋体" w:hAnsi="宋体" w:eastAsia="宋体" w:cs="宋体"/>
              <w:bCs/>
              <w:color w:val="auto"/>
              <w:spacing w:val="0"/>
              <w:w w:val="99"/>
              <w:szCs w:val="28"/>
              <w:highlight w:val="none"/>
              <w:lang w:val="zh-CN" w:eastAsia="zh-CN" w:bidi="zh-CN"/>
            </w:rPr>
            <w:t xml:space="preserve">4. </w:t>
          </w:r>
          <w:r>
            <w:rPr>
              <w:rFonts w:hint="eastAsia" w:ascii="宋体" w:hAnsi="宋体" w:eastAsia="宋体" w:cs="宋体"/>
              <w:color w:val="auto"/>
              <w:highlight w:val="none"/>
            </w:rPr>
            <w:t>投标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_Toc1880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_Toc25201 </w:instrText>
          </w:r>
          <w:r>
            <w:rPr>
              <w:rFonts w:hint="eastAsia" w:ascii="宋体" w:hAnsi="宋体" w:eastAsia="宋体" w:cs="宋体"/>
              <w:color w:val="auto"/>
              <w:highlight w:val="none"/>
            </w:rPr>
            <w:fldChar w:fldCharType="separate"/>
          </w:r>
          <w:r>
            <w:rPr>
              <w:rFonts w:hint="eastAsia" w:ascii="宋体" w:hAnsi="宋体" w:eastAsia="宋体" w:cs="宋体"/>
              <w:bCs/>
              <w:color w:val="auto"/>
              <w:spacing w:val="0"/>
              <w:w w:val="99"/>
              <w:szCs w:val="28"/>
              <w:highlight w:val="none"/>
              <w:lang w:val="zh-CN" w:eastAsia="zh-CN" w:bidi="zh-CN"/>
            </w:rPr>
            <w:t xml:space="preserve">5. </w:t>
          </w:r>
          <w:r>
            <w:rPr>
              <w:rFonts w:hint="eastAsia" w:ascii="宋体" w:hAnsi="宋体" w:eastAsia="宋体" w:cs="宋体"/>
              <w:color w:val="auto"/>
              <w:highlight w:val="none"/>
            </w:rPr>
            <w:t>开标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_Toc25201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_Toc744 </w:instrText>
          </w:r>
          <w:r>
            <w:rPr>
              <w:rFonts w:hint="eastAsia" w:ascii="宋体" w:hAnsi="宋体" w:eastAsia="宋体" w:cs="宋体"/>
              <w:color w:val="auto"/>
              <w:highlight w:val="none"/>
            </w:rPr>
            <w:fldChar w:fldCharType="separate"/>
          </w:r>
          <w:r>
            <w:rPr>
              <w:rFonts w:hint="eastAsia" w:ascii="宋体" w:hAnsi="宋体" w:eastAsia="宋体" w:cs="宋体"/>
              <w:bCs/>
              <w:color w:val="auto"/>
              <w:spacing w:val="0"/>
              <w:w w:val="99"/>
              <w:szCs w:val="28"/>
              <w:highlight w:val="none"/>
              <w:lang w:val="zh-CN" w:eastAsia="zh-CN" w:bidi="zh-CN"/>
            </w:rPr>
            <w:t xml:space="preserve">6. </w:t>
          </w:r>
          <w:r>
            <w:rPr>
              <w:rFonts w:hint="eastAsia" w:ascii="宋体" w:hAnsi="宋体" w:eastAsia="宋体" w:cs="宋体"/>
              <w:color w:val="auto"/>
              <w:highlight w:val="none"/>
            </w:rPr>
            <w:t>评标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_Toc744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_Toc9198 </w:instrText>
          </w:r>
          <w:r>
            <w:rPr>
              <w:rFonts w:hint="eastAsia" w:ascii="宋体" w:hAnsi="宋体" w:eastAsia="宋体" w:cs="宋体"/>
              <w:color w:val="auto"/>
              <w:highlight w:val="none"/>
            </w:rPr>
            <w:fldChar w:fldCharType="separate"/>
          </w:r>
          <w:r>
            <w:rPr>
              <w:rFonts w:hint="eastAsia" w:ascii="宋体" w:hAnsi="宋体" w:eastAsia="宋体" w:cs="宋体"/>
              <w:bCs/>
              <w:color w:val="auto"/>
              <w:spacing w:val="0"/>
              <w:w w:val="99"/>
              <w:szCs w:val="28"/>
              <w:highlight w:val="none"/>
              <w:lang w:val="zh-CN" w:eastAsia="zh-CN" w:bidi="zh-CN"/>
            </w:rPr>
            <w:t xml:space="preserve">7. </w:t>
          </w:r>
          <w:r>
            <w:rPr>
              <w:rFonts w:hint="eastAsia" w:ascii="宋体" w:hAnsi="宋体" w:eastAsia="宋体" w:cs="宋体"/>
              <w:color w:val="auto"/>
              <w:highlight w:val="none"/>
            </w:rPr>
            <w:t>合同授予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_Toc9198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_Toc12941 </w:instrText>
          </w:r>
          <w:r>
            <w:rPr>
              <w:rFonts w:hint="eastAsia" w:ascii="宋体" w:hAnsi="宋体" w:eastAsia="宋体" w:cs="宋体"/>
              <w:color w:val="auto"/>
              <w:highlight w:val="none"/>
            </w:rPr>
            <w:fldChar w:fldCharType="separate"/>
          </w:r>
          <w:r>
            <w:rPr>
              <w:rFonts w:hint="eastAsia" w:ascii="宋体" w:hAnsi="宋体" w:eastAsia="宋体" w:cs="宋体"/>
              <w:bCs/>
              <w:color w:val="auto"/>
              <w:spacing w:val="0"/>
              <w:w w:val="99"/>
              <w:szCs w:val="28"/>
              <w:highlight w:val="none"/>
              <w:lang w:val="zh-CN" w:eastAsia="zh-CN" w:bidi="zh-CN"/>
            </w:rPr>
            <w:t xml:space="preserve">8. </w:t>
          </w:r>
          <w:r>
            <w:rPr>
              <w:rFonts w:hint="eastAsia" w:ascii="宋体" w:hAnsi="宋体" w:eastAsia="宋体" w:cs="宋体"/>
              <w:color w:val="auto"/>
              <w:highlight w:val="none"/>
            </w:rPr>
            <w:t>纪律和监督</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_Toc12941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_Toc1734 </w:instrText>
          </w:r>
          <w:r>
            <w:rPr>
              <w:rFonts w:hint="eastAsia" w:ascii="宋体" w:hAnsi="宋体" w:eastAsia="宋体" w:cs="宋体"/>
              <w:color w:val="auto"/>
              <w:highlight w:val="none"/>
            </w:rPr>
            <w:fldChar w:fldCharType="separate"/>
          </w:r>
          <w:r>
            <w:rPr>
              <w:rFonts w:hint="eastAsia" w:ascii="宋体" w:hAnsi="宋体" w:eastAsia="宋体" w:cs="宋体"/>
              <w:bCs/>
              <w:color w:val="auto"/>
              <w:spacing w:val="0"/>
              <w:w w:val="99"/>
              <w:szCs w:val="28"/>
              <w:highlight w:val="none"/>
              <w:lang w:val="zh-CN" w:eastAsia="zh-CN" w:bidi="zh-CN"/>
            </w:rPr>
            <w:t xml:space="preserve">9. </w:t>
          </w:r>
          <w:r>
            <w:rPr>
              <w:rFonts w:hint="eastAsia" w:ascii="宋体" w:hAnsi="宋体" w:eastAsia="宋体" w:cs="宋体"/>
              <w:color w:val="auto"/>
              <w:highlight w:val="none"/>
            </w:rPr>
            <w:t>是否采用电子招标投标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_Toc19020 </w:instrText>
          </w:r>
          <w:r>
            <w:rPr>
              <w:rFonts w:hint="eastAsia" w:ascii="宋体" w:hAnsi="宋体" w:eastAsia="宋体" w:cs="宋体"/>
              <w:color w:val="auto"/>
              <w:highlight w:val="none"/>
            </w:rPr>
            <w:fldChar w:fldCharType="separate"/>
          </w:r>
          <w:r>
            <w:rPr>
              <w:rFonts w:hint="eastAsia" w:ascii="宋体" w:hAnsi="宋体" w:eastAsia="宋体" w:cs="宋体"/>
              <w:bCs/>
              <w:color w:val="auto"/>
              <w:spacing w:val="0"/>
              <w:w w:val="99"/>
              <w:szCs w:val="28"/>
              <w:highlight w:val="none"/>
              <w:lang w:val="zh-CN" w:eastAsia="zh-CN" w:bidi="zh-CN"/>
            </w:rPr>
            <w:t xml:space="preserve">10. </w:t>
          </w:r>
          <w:r>
            <w:rPr>
              <w:rFonts w:hint="eastAsia" w:ascii="宋体" w:hAnsi="宋体" w:eastAsia="宋体" w:cs="宋体"/>
              <w:color w:val="auto"/>
              <w:highlight w:val="none"/>
            </w:rPr>
            <w:t>需要补充的其他内容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_Toc19020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6"/>
            <w:tabs>
              <w:tab w:val="right" w:pos="2400"/>
              <w:tab w:val="right" w:leader="dot" w:pos="9760"/>
            </w:tabs>
            <w:rPr>
              <w:rFonts w:hint="eastAsia" w:ascii="宋体" w:hAnsi="宋体" w:eastAsia="宋体" w:cs="宋体"/>
              <w:b/>
              <w:color w:val="auto"/>
              <w:highlight w:val="none"/>
            </w:rPr>
          </w:pPr>
          <w:r>
            <w:rPr>
              <w:rFonts w:hint="eastAsia" w:ascii="宋体" w:hAnsi="宋体" w:eastAsia="宋体" w:cs="宋体"/>
              <w:b/>
              <w:color w:val="auto"/>
              <w:highlight w:val="none"/>
            </w:rPr>
            <w:fldChar w:fldCharType="begin"/>
          </w:r>
          <w:r>
            <w:rPr>
              <w:rFonts w:hint="eastAsia" w:ascii="宋体" w:hAnsi="宋体" w:eastAsia="宋体" w:cs="宋体"/>
              <w:b/>
              <w:color w:val="auto"/>
              <w:highlight w:val="none"/>
            </w:rPr>
            <w:instrText xml:space="preserve"> HYPERLINK \l _Toc15834 </w:instrText>
          </w:r>
          <w:r>
            <w:rPr>
              <w:rFonts w:hint="eastAsia" w:ascii="宋体" w:hAnsi="宋体" w:eastAsia="宋体" w:cs="宋体"/>
              <w:b/>
              <w:color w:val="auto"/>
              <w:highlight w:val="none"/>
            </w:rPr>
            <w:fldChar w:fldCharType="separate"/>
          </w:r>
          <w:r>
            <w:rPr>
              <w:rFonts w:hint="eastAsia" w:ascii="宋体" w:hAnsi="宋体" w:eastAsia="宋体" w:cs="宋体"/>
              <w:b/>
              <w:color w:val="auto"/>
              <w:highlight w:val="none"/>
            </w:rPr>
            <w:t>第三章</w:t>
          </w:r>
          <w:r>
            <w:rPr>
              <w:rFonts w:hint="eastAsia" w:ascii="宋体" w:hAnsi="宋体" w:eastAsia="宋体" w:cs="宋体"/>
              <w:b/>
              <w:color w:val="auto"/>
              <w:highlight w:val="none"/>
            </w:rPr>
            <w:tab/>
          </w:r>
          <w:r>
            <w:rPr>
              <w:rFonts w:hint="eastAsia" w:ascii="宋体" w:hAnsi="宋体" w:eastAsia="宋体" w:cs="宋体"/>
              <w:b/>
              <w:color w:val="auto"/>
              <w:highlight w:val="none"/>
            </w:rPr>
            <w:t>评标办法（</w:t>
          </w:r>
          <w:r>
            <w:rPr>
              <w:rFonts w:hint="eastAsia" w:ascii="宋体" w:hAnsi="宋体" w:eastAsia="宋体" w:cs="宋体"/>
              <w:b/>
              <w:color w:val="auto"/>
              <w:highlight w:val="none"/>
              <w:lang w:eastAsia="zh-CN"/>
            </w:rPr>
            <w:t>综合评分法</w:t>
          </w:r>
          <w:r>
            <w:rPr>
              <w:rFonts w:hint="eastAsia" w:ascii="宋体" w:hAnsi="宋体" w:eastAsia="宋体" w:cs="宋体"/>
              <w:b/>
              <w:color w:val="auto"/>
              <w:highlight w:val="none"/>
            </w:rPr>
            <w:t>）</w:t>
          </w:r>
          <w:r>
            <w:rPr>
              <w:rFonts w:hint="eastAsia" w:ascii="宋体" w:hAnsi="宋体" w:eastAsia="宋体" w:cs="宋体"/>
              <w:b/>
              <w:color w:val="auto"/>
              <w:highlight w:val="none"/>
            </w:rPr>
            <w:tab/>
          </w:r>
          <w:r>
            <w:rPr>
              <w:rFonts w:hint="eastAsia" w:ascii="宋体" w:hAnsi="宋体" w:eastAsia="宋体" w:cs="宋体"/>
              <w:b/>
              <w:color w:val="auto"/>
              <w:highlight w:val="none"/>
            </w:rPr>
            <w:fldChar w:fldCharType="begin"/>
          </w:r>
          <w:r>
            <w:rPr>
              <w:rFonts w:hint="eastAsia" w:ascii="宋体" w:hAnsi="宋体" w:eastAsia="宋体" w:cs="宋体"/>
              <w:b/>
              <w:color w:val="auto"/>
              <w:highlight w:val="none"/>
            </w:rPr>
            <w:instrText xml:space="preserve"> PAGEREF _Toc15834 \h </w:instrText>
          </w:r>
          <w:r>
            <w:rPr>
              <w:rFonts w:hint="eastAsia" w:ascii="宋体" w:hAnsi="宋体" w:eastAsia="宋体" w:cs="宋体"/>
              <w:b/>
              <w:color w:val="auto"/>
              <w:highlight w:val="none"/>
            </w:rPr>
            <w:fldChar w:fldCharType="separate"/>
          </w:r>
          <w:r>
            <w:rPr>
              <w:rFonts w:hint="eastAsia" w:ascii="宋体" w:hAnsi="宋体" w:eastAsia="宋体" w:cs="宋体"/>
              <w:b/>
              <w:color w:val="auto"/>
              <w:highlight w:val="none"/>
            </w:rPr>
            <w:t>29</w:t>
          </w:r>
          <w:r>
            <w:rPr>
              <w:rFonts w:hint="eastAsia" w:ascii="宋体" w:hAnsi="宋体" w:eastAsia="宋体" w:cs="宋体"/>
              <w:b/>
              <w:color w:val="auto"/>
              <w:highlight w:val="none"/>
            </w:rPr>
            <w:fldChar w:fldCharType="end"/>
          </w:r>
          <w:r>
            <w:rPr>
              <w:rFonts w:hint="eastAsia" w:ascii="宋体" w:hAnsi="宋体" w:eastAsia="宋体" w:cs="宋体"/>
              <w:b/>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_Toc27840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评标办法前附表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_Toc27840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_Toc14223 </w:instrText>
          </w:r>
          <w:r>
            <w:rPr>
              <w:rFonts w:hint="eastAsia" w:ascii="宋体" w:hAnsi="宋体" w:eastAsia="宋体" w:cs="宋体"/>
              <w:color w:val="auto"/>
              <w:highlight w:val="none"/>
            </w:rPr>
            <w:fldChar w:fldCharType="separate"/>
          </w:r>
          <w:r>
            <w:rPr>
              <w:rFonts w:hint="eastAsia" w:ascii="宋体" w:hAnsi="宋体" w:eastAsia="宋体" w:cs="宋体"/>
              <w:bCs/>
              <w:color w:val="auto"/>
              <w:spacing w:val="0"/>
              <w:w w:val="99"/>
              <w:szCs w:val="28"/>
              <w:highlight w:val="none"/>
              <w:lang w:val="zh-CN" w:eastAsia="zh-CN" w:bidi="zh-CN"/>
            </w:rPr>
            <w:t xml:space="preserve">1. </w:t>
          </w:r>
          <w:r>
            <w:rPr>
              <w:rFonts w:hint="eastAsia" w:ascii="宋体" w:hAnsi="宋体" w:eastAsia="宋体" w:cs="宋体"/>
              <w:color w:val="auto"/>
              <w:highlight w:val="none"/>
            </w:rPr>
            <w:t>评标方法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_Toc14223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_Toc13324 </w:instrText>
          </w:r>
          <w:r>
            <w:rPr>
              <w:rFonts w:hint="eastAsia" w:ascii="宋体" w:hAnsi="宋体" w:eastAsia="宋体" w:cs="宋体"/>
              <w:color w:val="auto"/>
              <w:highlight w:val="none"/>
            </w:rPr>
            <w:fldChar w:fldCharType="separate"/>
          </w:r>
          <w:r>
            <w:rPr>
              <w:rFonts w:hint="eastAsia" w:ascii="宋体" w:hAnsi="宋体" w:eastAsia="宋体" w:cs="宋体"/>
              <w:bCs/>
              <w:color w:val="auto"/>
              <w:spacing w:val="0"/>
              <w:w w:val="99"/>
              <w:szCs w:val="28"/>
              <w:highlight w:val="none"/>
              <w:lang w:val="zh-CN" w:eastAsia="zh-CN" w:bidi="zh-CN"/>
            </w:rPr>
            <w:t xml:space="preserve">2. </w:t>
          </w:r>
          <w:r>
            <w:rPr>
              <w:rFonts w:hint="eastAsia" w:ascii="宋体" w:hAnsi="宋体" w:eastAsia="宋体" w:cs="宋体"/>
              <w:color w:val="auto"/>
              <w:highlight w:val="none"/>
            </w:rPr>
            <w:t>评审标准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_Toc13324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_Toc15752 </w:instrText>
          </w:r>
          <w:r>
            <w:rPr>
              <w:rFonts w:hint="eastAsia" w:ascii="宋体" w:hAnsi="宋体" w:eastAsia="宋体" w:cs="宋体"/>
              <w:color w:val="auto"/>
              <w:highlight w:val="none"/>
            </w:rPr>
            <w:fldChar w:fldCharType="separate"/>
          </w:r>
          <w:r>
            <w:rPr>
              <w:rFonts w:hint="eastAsia" w:ascii="宋体" w:hAnsi="宋体" w:eastAsia="宋体" w:cs="宋体"/>
              <w:bCs/>
              <w:color w:val="auto"/>
              <w:spacing w:val="0"/>
              <w:w w:val="99"/>
              <w:szCs w:val="28"/>
              <w:highlight w:val="none"/>
              <w:lang w:val="zh-CN" w:eastAsia="zh-CN" w:bidi="zh-CN"/>
            </w:rPr>
            <w:t xml:space="preserve">3. </w:t>
          </w:r>
          <w:r>
            <w:rPr>
              <w:rFonts w:hint="eastAsia" w:ascii="宋体" w:hAnsi="宋体" w:eastAsia="宋体" w:cs="宋体"/>
              <w:color w:val="auto"/>
              <w:highlight w:val="none"/>
            </w:rPr>
            <w:t>评标程序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_Toc15752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6"/>
            <w:tabs>
              <w:tab w:val="right" w:leader="dot" w:pos="9760"/>
            </w:tabs>
            <w:rPr>
              <w:rFonts w:hint="eastAsia" w:ascii="宋体" w:hAnsi="宋体" w:eastAsia="宋体" w:cs="宋体"/>
              <w:b/>
              <w:color w:val="auto"/>
              <w:highlight w:val="none"/>
            </w:rPr>
          </w:pPr>
          <w:r>
            <w:rPr>
              <w:rFonts w:hint="eastAsia" w:ascii="宋体" w:hAnsi="宋体" w:eastAsia="宋体" w:cs="宋体"/>
              <w:b/>
              <w:color w:val="auto"/>
              <w:highlight w:val="none"/>
            </w:rPr>
            <w:fldChar w:fldCharType="begin"/>
          </w:r>
          <w:r>
            <w:rPr>
              <w:rFonts w:hint="eastAsia" w:ascii="宋体" w:hAnsi="宋体" w:eastAsia="宋体" w:cs="宋体"/>
              <w:b/>
              <w:color w:val="auto"/>
              <w:highlight w:val="none"/>
            </w:rPr>
            <w:instrText xml:space="preserve"> HYPERLINK \l _Toc9002 </w:instrText>
          </w:r>
          <w:r>
            <w:rPr>
              <w:rFonts w:hint="eastAsia" w:ascii="宋体" w:hAnsi="宋体" w:eastAsia="宋体" w:cs="宋体"/>
              <w:b/>
              <w:color w:val="auto"/>
              <w:highlight w:val="none"/>
            </w:rPr>
            <w:fldChar w:fldCharType="separate"/>
          </w:r>
          <w:r>
            <w:rPr>
              <w:rFonts w:hint="eastAsia" w:ascii="宋体" w:hAnsi="宋体" w:eastAsia="宋体" w:cs="宋体"/>
              <w:b/>
              <w:color w:val="auto"/>
              <w:highlight w:val="none"/>
            </w:rPr>
            <w:t>第四章 合同条款及格式</w:t>
          </w:r>
          <w:r>
            <w:rPr>
              <w:rFonts w:hint="eastAsia" w:ascii="宋体" w:hAnsi="宋体" w:eastAsia="宋体" w:cs="宋体"/>
              <w:b/>
              <w:color w:val="auto"/>
              <w:highlight w:val="none"/>
            </w:rPr>
            <w:tab/>
          </w:r>
          <w:r>
            <w:rPr>
              <w:rFonts w:hint="eastAsia" w:ascii="宋体" w:hAnsi="宋体" w:eastAsia="宋体" w:cs="宋体"/>
              <w:b/>
              <w:color w:val="auto"/>
              <w:highlight w:val="none"/>
            </w:rPr>
            <w:fldChar w:fldCharType="begin"/>
          </w:r>
          <w:r>
            <w:rPr>
              <w:rFonts w:hint="eastAsia" w:ascii="宋体" w:hAnsi="宋体" w:eastAsia="宋体" w:cs="宋体"/>
              <w:b/>
              <w:color w:val="auto"/>
              <w:highlight w:val="none"/>
            </w:rPr>
            <w:instrText xml:space="preserve"> PAGEREF _Toc9002 \h </w:instrText>
          </w:r>
          <w:r>
            <w:rPr>
              <w:rFonts w:hint="eastAsia" w:ascii="宋体" w:hAnsi="宋体" w:eastAsia="宋体" w:cs="宋体"/>
              <w:b/>
              <w:color w:val="auto"/>
              <w:highlight w:val="none"/>
            </w:rPr>
            <w:fldChar w:fldCharType="separate"/>
          </w:r>
          <w:r>
            <w:rPr>
              <w:rFonts w:hint="eastAsia" w:ascii="宋体" w:hAnsi="宋体" w:eastAsia="宋体" w:cs="宋体"/>
              <w:b/>
              <w:color w:val="auto"/>
              <w:highlight w:val="none"/>
            </w:rPr>
            <w:t>36</w:t>
          </w:r>
          <w:r>
            <w:rPr>
              <w:rFonts w:hint="eastAsia" w:ascii="宋体" w:hAnsi="宋体" w:eastAsia="宋体" w:cs="宋体"/>
              <w:b/>
              <w:color w:val="auto"/>
              <w:highlight w:val="none"/>
            </w:rPr>
            <w:fldChar w:fldCharType="end"/>
          </w:r>
          <w:r>
            <w:rPr>
              <w:rFonts w:hint="eastAsia" w:ascii="宋体" w:hAnsi="宋体" w:eastAsia="宋体" w:cs="宋体"/>
              <w:b/>
              <w:color w:val="auto"/>
              <w:highlight w:val="none"/>
            </w:rPr>
            <w:fldChar w:fldCharType="end"/>
          </w:r>
        </w:p>
        <w:p>
          <w:pPr>
            <w:pStyle w:val="46"/>
            <w:tabs>
              <w:tab w:val="right" w:pos="2400"/>
              <w:tab w:val="right" w:leader="dot" w:pos="9760"/>
            </w:tabs>
            <w:rPr>
              <w:rFonts w:hint="eastAsia" w:ascii="宋体" w:hAnsi="宋体" w:eastAsia="宋体" w:cs="宋体"/>
              <w:b/>
              <w:color w:val="auto"/>
              <w:highlight w:val="none"/>
            </w:rPr>
          </w:pPr>
          <w:r>
            <w:rPr>
              <w:rFonts w:hint="eastAsia" w:ascii="宋体" w:hAnsi="宋体" w:eastAsia="宋体" w:cs="宋体"/>
              <w:b/>
              <w:color w:val="auto"/>
              <w:highlight w:val="none"/>
            </w:rPr>
            <w:fldChar w:fldCharType="begin"/>
          </w:r>
          <w:r>
            <w:rPr>
              <w:rFonts w:hint="eastAsia" w:ascii="宋体" w:hAnsi="宋体" w:eastAsia="宋体" w:cs="宋体"/>
              <w:b/>
              <w:color w:val="auto"/>
              <w:highlight w:val="none"/>
            </w:rPr>
            <w:instrText xml:space="preserve"> HYPERLINK \l _Toc12081 </w:instrText>
          </w:r>
          <w:r>
            <w:rPr>
              <w:rFonts w:hint="eastAsia" w:ascii="宋体" w:hAnsi="宋体" w:eastAsia="宋体" w:cs="宋体"/>
              <w:b/>
              <w:color w:val="auto"/>
              <w:highlight w:val="none"/>
            </w:rPr>
            <w:fldChar w:fldCharType="separate"/>
          </w:r>
          <w:r>
            <w:rPr>
              <w:rFonts w:hint="eastAsia" w:ascii="宋体" w:hAnsi="宋体" w:eastAsia="宋体" w:cs="宋体"/>
              <w:b/>
              <w:color w:val="auto"/>
              <w:highlight w:val="none"/>
            </w:rPr>
            <w:t>第五章</w:t>
          </w:r>
          <w:r>
            <w:rPr>
              <w:rFonts w:hint="eastAsia" w:ascii="宋体" w:hAnsi="宋体" w:eastAsia="宋体" w:cs="宋体"/>
              <w:b/>
              <w:color w:val="auto"/>
              <w:highlight w:val="none"/>
            </w:rPr>
            <w:tab/>
          </w:r>
          <w:r>
            <w:rPr>
              <w:rFonts w:hint="eastAsia" w:ascii="宋体" w:hAnsi="宋体" w:eastAsia="宋体" w:cs="宋体"/>
              <w:b/>
              <w:color w:val="auto"/>
              <w:highlight w:val="none"/>
            </w:rPr>
            <w:t>技术要求</w:t>
          </w:r>
          <w:r>
            <w:rPr>
              <w:rFonts w:hint="eastAsia" w:ascii="宋体" w:hAnsi="宋体" w:eastAsia="宋体" w:cs="宋体"/>
              <w:b/>
              <w:color w:val="auto"/>
              <w:highlight w:val="none"/>
            </w:rPr>
            <w:tab/>
          </w:r>
          <w:r>
            <w:rPr>
              <w:rFonts w:hint="eastAsia" w:ascii="宋体" w:hAnsi="宋体" w:eastAsia="宋体" w:cs="宋体"/>
              <w:b/>
              <w:color w:val="auto"/>
              <w:highlight w:val="none"/>
            </w:rPr>
            <w:fldChar w:fldCharType="begin"/>
          </w:r>
          <w:r>
            <w:rPr>
              <w:rFonts w:hint="eastAsia" w:ascii="宋体" w:hAnsi="宋体" w:eastAsia="宋体" w:cs="宋体"/>
              <w:b/>
              <w:color w:val="auto"/>
              <w:highlight w:val="none"/>
            </w:rPr>
            <w:instrText xml:space="preserve"> PAGEREF _Toc12081 \h </w:instrText>
          </w:r>
          <w:r>
            <w:rPr>
              <w:rFonts w:hint="eastAsia" w:ascii="宋体" w:hAnsi="宋体" w:eastAsia="宋体" w:cs="宋体"/>
              <w:b/>
              <w:color w:val="auto"/>
              <w:highlight w:val="none"/>
            </w:rPr>
            <w:fldChar w:fldCharType="separate"/>
          </w:r>
          <w:r>
            <w:rPr>
              <w:rFonts w:hint="eastAsia" w:ascii="宋体" w:hAnsi="宋体" w:eastAsia="宋体" w:cs="宋体"/>
              <w:b/>
              <w:color w:val="auto"/>
              <w:highlight w:val="none"/>
            </w:rPr>
            <w:t>49</w:t>
          </w:r>
          <w:r>
            <w:rPr>
              <w:rFonts w:hint="eastAsia" w:ascii="宋体" w:hAnsi="宋体" w:eastAsia="宋体" w:cs="宋体"/>
              <w:b/>
              <w:color w:val="auto"/>
              <w:highlight w:val="none"/>
            </w:rPr>
            <w:fldChar w:fldCharType="end"/>
          </w:r>
          <w:r>
            <w:rPr>
              <w:rFonts w:hint="eastAsia" w:ascii="宋体" w:hAnsi="宋体" w:eastAsia="宋体" w:cs="宋体"/>
              <w:b/>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_Toc19146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第三卷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_Toc19146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6"/>
            <w:tabs>
              <w:tab w:val="right" w:leader="dot" w:pos="9760"/>
            </w:tabs>
            <w:rPr>
              <w:rFonts w:hint="eastAsia" w:ascii="宋体" w:hAnsi="宋体" w:eastAsia="宋体" w:cs="宋体"/>
              <w:b/>
              <w:color w:val="auto"/>
              <w:highlight w:val="none"/>
            </w:rPr>
          </w:pPr>
          <w:r>
            <w:rPr>
              <w:rFonts w:hint="eastAsia" w:ascii="宋体" w:hAnsi="宋体" w:eastAsia="宋体" w:cs="宋体"/>
              <w:b/>
              <w:color w:val="auto"/>
              <w:highlight w:val="none"/>
            </w:rPr>
            <w:fldChar w:fldCharType="begin"/>
          </w:r>
          <w:r>
            <w:rPr>
              <w:rFonts w:hint="eastAsia" w:ascii="宋体" w:hAnsi="宋体" w:eastAsia="宋体" w:cs="宋体"/>
              <w:b/>
              <w:color w:val="auto"/>
              <w:highlight w:val="none"/>
            </w:rPr>
            <w:instrText xml:space="preserve"> HYPERLINK \l _Toc5537 </w:instrText>
          </w:r>
          <w:r>
            <w:rPr>
              <w:rFonts w:hint="eastAsia" w:ascii="宋体" w:hAnsi="宋体" w:eastAsia="宋体" w:cs="宋体"/>
              <w:b/>
              <w:color w:val="auto"/>
              <w:highlight w:val="none"/>
            </w:rPr>
            <w:fldChar w:fldCharType="separate"/>
          </w:r>
          <w:r>
            <w:rPr>
              <w:rFonts w:hint="eastAsia" w:ascii="宋体" w:hAnsi="宋体" w:eastAsia="宋体" w:cs="宋体"/>
              <w:b/>
              <w:color w:val="auto"/>
              <w:highlight w:val="none"/>
            </w:rPr>
            <w:t>第五章 投标文件格式</w:t>
          </w:r>
          <w:r>
            <w:rPr>
              <w:rFonts w:hint="eastAsia" w:ascii="宋体" w:hAnsi="宋体" w:eastAsia="宋体" w:cs="宋体"/>
              <w:b/>
              <w:color w:val="auto"/>
              <w:highlight w:val="none"/>
            </w:rPr>
            <w:tab/>
          </w:r>
          <w:r>
            <w:rPr>
              <w:rFonts w:hint="eastAsia" w:ascii="宋体" w:hAnsi="宋体" w:eastAsia="宋体" w:cs="宋体"/>
              <w:b/>
              <w:color w:val="auto"/>
              <w:highlight w:val="none"/>
            </w:rPr>
            <w:fldChar w:fldCharType="begin"/>
          </w:r>
          <w:r>
            <w:rPr>
              <w:rFonts w:hint="eastAsia" w:ascii="宋体" w:hAnsi="宋体" w:eastAsia="宋体" w:cs="宋体"/>
              <w:b/>
              <w:color w:val="auto"/>
              <w:highlight w:val="none"/>
            </w:rPr>
            <w:instrText xml:space="preserve"> PAGEREF _Toc5537 \h </w:instrText>
          </w:r>
          <w:r>
            <w:rPr>
              <w:rFonts w:hint="eastAsia" w:ascii="宋体" w:hAnsi="宋体" w:eastAsia="宋体" w:cs="宋体"/>
              <w:b/>
              <w:color w:val="auto"/>
              <w:highlight w:val="none"/>
            </w:rPr>
            <w:fldChar w:fldCharType="separate"/>
          </w:r>
          <w:r>
            <w:rPr>
              <w:rFonts w:hint="eastAsia" w:ascii="宋体" w:hAnsi="宋体" w:eastAsia="宋体" w:cs="宋体"/>
              <w:b/>
              <w:color w:val="auto"/>
              <w:highlight w:val="none"/>
            </w:rPr>
            <w:t>66</w:t>
          </w:r>
          <w:r>
            <w:rPr>
              <w:rFonts w:hint="eastAsia" w:ascii="宋体" w:hAnsi="宋体" w:eastAsia="宋体" w:cs="宋体"/>
              <w:b/>
              <w:color w:val="auto"/>
              <w:highlight w:val="none"/>
            </w:rPr>
            <w:fldChar w:fldCharType="end"/>
          </w:r>
          <w:r>
            <w:rPr>
              <w:rFonts w:hint="eastAsia" w:ascii="宋体" w:hAnsi="宋体" w:eastAsia="宋体" w:cs="宋体"/>
              <w:b/>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_Toc1576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一、投标函和开标一览表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_Toc1576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_Toc928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一、投标函和开标一览表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_Toc928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_Toc6010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二、法定代表人身份证明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_Toc6010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_Toc2778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二、授权委托书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_Toc2778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_Toc26852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三、联合体协议书(如有)</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_Toc26852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_Toc6006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四、投标保证金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_Toc6006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_Toc7712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五、商务和技术偏差表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_Toc7712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_Toc19891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六、投标报价表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_Toc19891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_Toc17458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随机供货的专用工具价格表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_Toc17458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_Toc8514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七、资格审查资料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_Toc8514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_Toc6107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八、投标设备技术性能指标的详细描述</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_Toc6107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_Toc23652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九、技术支持资料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_Toc23652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_Toc24760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十、技术服务和质保期服务计划</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_Toc24760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47"/>
            <w:tabs>
              <w:tab w:val="right" w:leader="dot" w:pos="9760"/>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_Toc15650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十一、其他资料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_Toc15650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rPr>
              <w:rFonts w:hint="eastAsia" w:ascii="宋体" w:hAnsi="宋体" w:eastAsia="宋体" w:cs="宋体"/>
              <w:color w:val="auto"/>
              <w:highlight w:val="none"/>
            </w:rPr>
          </w:pPr>
          <w:r>
            <w:rPr>
              <w:rFonts w:hint="eastAsia" w:ascii="宋体" w:hAnsi="宋体" w:eastAsia="宋体" w:cs="宋体"/>
              <w:color w:val="auto"/>
              <w:highlight w:val="none"/>
            </w:rPr>
            <w:fldChar w:fldCharType="end"/>
          </w:r>
        </w:p>
      </w:sdtContent>
    </w:sdt>
    <w:p>
      <w:pPr>
        <w:tabs>
          <w:tab w:val="left" w:pos="1444"/>
        </w:tabs>
        <w:spacing w:before="50"/>
        <w:ind w:left="0" w:right="158" w:firstLine="0"/>
        <w:jc w:val="center"/>
        <w:outlineLvl w:val="0"/>
        <w:rPr>
          <w:rFonts w:hint="eastAsia" w:ascii="宋体" w:hAnsi="宋体" w:eastAsia="宋体" w:cs="宋体"/>
          <w:b/>
          <w:color w:val="auto"/>
          <w:sz w:val="36"/>
          <w:highlight w:val="none"/>
        </w:rPr>
        <w:sectPr>
          <w:pgSz w:w="12240" w:h="15840"/>
          <w:pgMar w:top="1360" w:right="1160" w:bottom="1160" w:left="1320" w:header="878" w:footer="975" w:gutter="0"/>
          <w:cols w:space="720" w:num="1"/>
        </w:sectPr>
      </w:pPr>
      <w:bookmarkStart w:id="6" w:name="_Toc7692"/>
    </w:p>
    <w:p>
      <w:pPr>
        <w:tabs>
          <w:tab w:val="left" w:pos="1444"/>
        </w:tabs>
        <w:spacing w:before="50"/>
        <w:ind w:left="0" w:right="158" w:firstLine="0"/>
        <w:jc w:val="center"/>
        <w:outlineLvl w:val="0"/>
        <w:rPr>
          <w:rFonts w:hint="eastAsia" w:ascii="宋体" w:hAnsi="宋体" w:eastAsia="宋体" w:cs="宋体"/>
          <w:b/>
          <w:color w:val="auto"/>
          <w:sz w:val="36"/>
          <w:highlight w:val="none"/>
        </w:rPr>
      </w:pPr>
      <w:r>
        <w:rPr>
          <w:rFonts w:hint="eastAsia" w:ascii="宋体" w:hAnsi="宋体" w:eastAsia="宋体" w:cs="宋体"/>
          <w:b/>
          <w:color w:val="auto"/>
          <w:sz w:val="36"/>
          <w:highlight w:val="none"/>
        </w:rPr>
        <w:t>第一章</w:t>
      </w:r>
      <w:r>
        <w:rPr>
          <w:rFonts w:hint="eastAsia" w:ascii="宋体" w:hAnsi="宋体" w:eastAsia="宋体" w:cs="宋体"/>
          <w:b/>
          <w:color w:val="auto"/>
          <w:sz w:val="36"/>
          <w:highlight w:val="none"/>
        </w:rPr>
        <w:tab/>
      </w:r>
      <w:bookmarkStart w:id="7" w:name="_bookmark1"/>
      <w:bookmarkEnd w:id="7"/>
      <w:r>
        <w:rPr>
          <w:rFonts w:hint="eastAsia" w:ascii="宋体" w:hAnsi="宋体" w:eastAsia="宋体" w:cs="宋体"/>
          <w:b/>
          <w:color w:val="auto"/>
          <w:sz w:val="36"/>
          <w:highlight w:val="none"/>
        </w:rPr>
        <w:t>招标公告</w:t>
      </w:r>
      <w:bookmarkEnd w:id="6"/>
    </w:p>
    <w:p>
      <w:pPr>
        <w:pStyle w:val="2"/>
        <w:spacing w:before="2"/>
        <w:rPr>
          <w:rFonts w:hint="eastAsia" w:ascii="宋体" w:hAnsi="宋体" w:eastAsia="宋体" w:cs="宋体"/>
          <w:b/>
          <w:color w:val="auto"/>
          <w:sz w:val="26"/>
          <w:highlight w:val="none"/>
        </w:rPr>
      </w:pPr>
    </w:p>
    <w:p>
      <w:pPr>
        <w:spacing w:before="0" w:line="364" w:lineRule="auto"/>
        <w:ind w:left="1639" w:right="1794" w:firstLine="0"/>
        <w:jc w:val="center"/>
        <w:outlineLvl w:val="9"/>
        <w:rPr>
          <w:rFonts w:hint="eastAsia" w:ascii="宋体" w:hAnsi="宋体" w:eastAsia="宋体" w:cs="宋体"/>
          <w:b/>
          <w:color w:val="auto"/>
          <w:sz w:val="30"/>
          <w:highlight w:val="none"/>
        </w:rPr>
      </w:pPr>
      <w:bookmarkStart w:id="8" w:name="_Toc18580"/>
      <w:r>
        <w:rPr>
          <w:rFonts w:hint="eastAsia" w:ascii="宋体" w:hAnsi="宋体" w:eastAsia="宋体" w:cs="宋体"/>
          <w:b/>
          <w:color w:val="auto"/>
          <w:sz w:val="30"/>
          <w:highlight w:val="none"/>
        </w:rPr>
        <w:t>兵团法院2023年度审判相关业务及办公系统升级、运维服务项目招标公告</w:t>
      </w:r>
      <w:bookmarkEnd w:id="8"/>
    </w:p>
    <w:p>
      <w:pPr>
        <w:spacing w:line="440" w:lineRule="exact"/>
        <w:jc w:val="both"/>
        <w:outlineLvl w:val="9"/>
        <w:rPr>
          <w:rFonts w:hint="eastAsia" w:ascii="宋体" w:hAnsi="宋体" w:eastAsia="宋体" w:cs="宋体"/>
          <w:color w:val="auto"/>
          <w:sz w:val="24"/>
          <w:szCs w:val="24"/>
          <w:highlight w:val="none"/>
        </w:rPr>
      </w:pPr>
    </w:p>
    <w:p>
      <w:pPr>
        <w:spacing w:line="440" w:lineRule="exact"/>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 ：兵团法院2023年度审判相关业务及办公系统升级、运维服务项目的潜在投标人应在登录兵团政采云平台https://www.zcygov.cn/后进入</w:t>
      </w:r>
      <w:bookmarkStart w:id="9" w:name="_Hlk98422429"/>
      <w:r>
        <w:rPr>
          <w:rFonts w:hint="eastAsia" w:ascii="宋体" w:hAnsi="宋体" w:eastAsia="宋体" w:cs="宋体"/>
          <w:color w:val="auto"/>
          <w:sz w:val="24"/>
          <w:szCs w:val="24"/>
          <w:highlight w:val="none"/>
        </w:rPr>
        <w:t>“项目采购”应用，在获取采购文件菜单中选择项目，申请获取采购文件，并于20</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13</w:t>
      </w:r>
      <w:r>
        <w:rPr>
          <w:rFonts w:hint="eastAsia" w:ascii="宋体" w:hAnsi="宋体" w:eastAsia="宋体" w:cs="宋体"/>
          <w:color w:val="auto"/>
          <w:sz w:val="24"/>
          <w:szCs w:val="24"/>
          <w:highlight w:val="none"/>
        </w:rPr>
        <w:t xml:space="preserve">日11:00（北京时间）前递交投标文件。 </w:t>
      </w:r>
    </w:p>
    <w:bookmarkEnd w:id="9"/>
    <w:p>
      <w:pPr>
        <w:pStyle w:val="31"/>
        <w:spacing w:line="440" w:lineRule="exact"/>
        <w:rPr>
          <w:rFonts w:hint="eastAsia" w:ascii="宋体" w:hAnsi="宋体" w:eastAsia="宋体" w:cs="宋体"/>
          <w:b/>
          <w:color w:val="auto"/>
          <w:highlight w:val="none"/>
        </w:rPr>
      </w:pPr>
      <w:r>
        <w:rPr>
          <w:rStyle w:val="23"/>
          <w:rFonts w:hint="eastAsia" w:ascii="宋体" w:hAnsi="宋体" w:eastAsia="宋体" w:cs="宋体"/>
          <w:color w:val="auto"/>
          <w:highlight w:val="none"/>
        </w:rPr>
        <w:t>一、项目基本情况</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eastAsia="zh-CN"/>
        </w:rPr>
        <w:t>TC229H113V6</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项目名称：兵团法院2023年度审判相关业务及办公系统升级、运维服务项目</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采购方式：公开招标</w:t>
      </w:r>
    </w:p>
    <w:p>
      <w:pPr>
        <w:spacing w:after="75" w:line="440" w:lineRule="exact"/>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预算金额（元）：6</w:t>
      </w:r>
      <w:r>
        <w:rPr>
          <w:rFonts w:hint="eastAsia" w:ascii="宋体" w:hAnsi="宋体" w:eastAsia="宋体" w:cs="宋体"/>
          <w:color w:val="auto"/>
          <w:sz w:val="24"/>
          <w:szCs w:val="24"/>
          <w:highlight w:val="none"/>
          <w:lang w:val="en-US" w:eastAsia="zh-CN"/>
        </w:rPr>
        <w:t>50万元</w:t>
      </w:r>
      <w:r>
        <w:rPr>
          <w:rFonts w:hint="eastAsia" w:ascii="宋体" w:hAnsi="宋体" w:eastAsia="宋体" w:cs="宋体"/>
          <w:color w:val="auto"/>
          <w:sz w:val="24"/>
          <w:szCs w:val="24"/>
          <w:highlight w:val="none"/>
        </w:rPr>
        <w:t>人民币</w:t>
      </w:r>
    </w:p>
    <w:p>
      <w:pPr>
        <w:spacing w:before="75" w:after="75" w:line="440" w:lineRule="exact"/>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最高限价（元）：6</w:t>
      </w:r>
      <w:r>
        <w:rPr>
          <w:rFonts w:hint="eastAsia" w:ascii="宋体" w:hAnsi="宋体" w:eastAsia="宋体" w:cs="宋体"/>
          <w:color w:val="auto"/>
          <w:sz w:val="24"/>
          <w:szCs w:val="24"/>
          <w:highlight w:val="none"/>
          <w:lang w:val="en-US" w:eastAsia="zh-CN"/>
        </w:rPr>
        <w:t>50万</w:t>
      </w:r>
      <w:r>
        <w:rPr>
          <w:rFonts w:hint="eastAsia" w:ascii="宋体" w:hAnsi="宋体" w:eastAsia="宋体" w:cs="宋体"/>
          <w:color w:val="auto"/>
          <w:sz w:val="24"/>
          <w:szCs w:val="24"/>
          <w:highlight w:val="none"/>
        </w:rPr>
        <w:t>元人民币</w:t>
      </w:r>
    </w:p>
    <w:p>
      <w:pPr>
        <w:snapToGrid w:val="0"/>
        <w:spacing w:line="480" w:lineRule="exact"/>
        <w:ind w:firstLine="480" w:firstLineChars="200"/>
        <w:rPr>
          <w:rFonts w:hint="eastAsia" w:ascii="宋体" w:hAnsi="宋体" w:eastAsia="宋体" w:cs="宋体"/>
          <w:color w:val="auto"/>
          <w:sz w:val="24"/>
          <w:szCs w:val="24"/>
          <w:highlight w:val="none"/>
          <w:lang w:val="en-US" w:eastAsia="zh-CN"/>
        </w:rPr>
      </w:pPr>
      <w:bookmarkStart w:id="10" w:name="_Hlk70968461"/>
      <w:r>
        <w:rPr>
          <w:rFonts w:hint="eastAsia" w:ascii="宋体" w:hAnsi="宋体" w:eastAsia="宋体" w:cs="宋体"/>
          <w:color w:val="auto"/>
          <w:sz w:val="24"/>
          <w:szCs w:val="24"/>
          <w:highlight w:val="none"/>
          <w:lang w:val="en-US" w:eastAsia="zh-CN"/>
        </w:rPr>
        <w:t>采购需求：保障本项目所包含审判相关业务及办公系统正常稳定运行，按照信息系统升级要求完成相应系统的升级更新，逐步实现以业务和应用为导向，通过统一服务管理体系及工具等手段，实现由人为管理转向流程控制管理,由被动服务向主动运维转变，提升系统性能、提高服务效率，从而带动兵团法院系统业务应用的提升，由运维质效推动审判业务质效。详见第三章“采购需求”。</w:t>
      </w:r>
    </w:p>
    <w:p>
      <w:pPr>
        <w:snapToGrid w:val="0"/>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合同履约期限：</w:t>
      </w:r>
      <w:bookmarkEnd w:id="10"/>
      <w:r>
        <w:rPr>
          <w:rFonts w:hint="eastAsia" w:ascii="宋体" w:hAnsi="宋体" w:eastAsia="宋体" w:cs="宋体"/>
          <w:color w:val="auto"/>
          <w:sz w:val="24"/>
          <w:szCs w:val="24"/>
          <w:highlight w:val="none"/>
        </w:rPr>
        <w:t>2023年1月1日至2023年12月31日，共一年。</w:t>
      </w:r>
    </w:p>
    <w:p>
      <w:pPr>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接受联合体投标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spacing w:before="75" w:line="44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二、申请人的资格要求：</w:t>
      </w:r>
    </w:p>
    <w:p>
      <w:pPr>
        <w:pStyle w:val="18"/>
        <w:adjustRightInd w:val="0"/>
        <w:snapToGrid w:val="0"/>
        <w:spacing w:before="0" w:beforeAutospacing="0" w:after="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1.满足《中华人民共和国政府采购法》第二十二条规定；</w:t>
      </w:r>
    </w:p>
    <w:p>
      <w:pPr>
        <w:pStyle w:val="18"/>
        <w:adjustRightInd w:val="0"/>
        <w:snapToGrid w:val="0"/>
        <w:spacing w:before="0" w:beforeAutospacing="0" w:after="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落实政府采购政策需满足的资格要求：扶持中小企业、残疾人福利性单位、监狱企业政策：《政府采购促进中小企业发展管理办法》的通知（财库【2020】46号、关于促进残疾人就业政府采购政策的通知（财库【2017】141号）、财政部、司法部关于政府采购支持监狱企业发展有关问题的通知。（财库【2014】68号）（中小企业优惠、监狱企业、节能产品、环境标志产品等）</w:t>
      </w:r>
    </w:p>
    <w:p>
      <w:pPr>
        <w:pStyle w:val="18"/>
        <w:adjustRightInd w:val="0"/>
        <w:snapToGrid w:val="0"/>
        <w:spacing w:before="0" w:beforeAutospacing="0" w:after="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3.本项目的特定资格要求：</w:t>
      </w:r>
    </w:p>
    <w:p>
      <w:pPr>
        <w:pStyle w:val="18"/>
        <w:adjustRightInd w:val="0"/>
        <w:snapToGrid w:val="0"/>
        <w:spacing w:before="0" w:beforeAutospacing="0" w:after="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1、符合《中华人民共和国政府采购法》第二十二条相关规定且有承担本项目能力的投标人； </w:t>
      </w:r>
    </w:p>
    <w:p>
      <w:pPr>
        <w:pStyle w:val="18"/>
        <w:adjustRightInd w:val="0"/>
        <w:snapToGrid w:val="0"/>
        <w:spacing w:before="0" w:beforeAutospacing="0" w:after="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2、投标人未被列入“信用中国”网站(www.creditchina.gov.cn)“记录失信被执行人或重大税收违法案件当事人名单或政府采购严重违法失信行为”记录名单；未处于中国政府采购 网(www.ccgp.gov.cn)“政府采购严重违法失信行为信息记录”中（以采购代理机构于递交投标文件截止日当天在“信用中国”网站（www.creditchina.gov.cn） 及中国政府采购网(www.ccgp.gov.cn)查询结果为准，如相关失信记录已失效，投标人需提供相关证明资料）；</w:t>
      </w:r>
    </w:p>
    <w:p>
      <w:pPr>
        <w:pStyle w:val="18"/>
        <w:adjustRightInd w:val="0"/>
        <w:snapToGrid w:val="0"/>
        <w:spacing w:before="0" w:beforeAutospacing="0" w:after="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3、单位负责人为同一人或者存在直接控股、管理关系的不同投标人，不得参加同一合同项下的政府采购活动；</w:t>
      </w:r>
    </w:p>
    <w:p>
      <w:pPr>
        <w:pStyle w:val="18"/>
        <w:adjustRightInd w:val="0"/>
        <w:snapToGrid w:val="0"/>
        <w:spacing w:before="0" w:beforeAutospacing="0" w:after="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、本项目不接受联合体投标；</w:t>
      </w:r>
    </w:p>
    <w:p>
      <w:pPr>
        <w:spacing w:line="440" w:lineRule="exact"/>
        <w:rPr>
          <w:rFonts w:hint="eastAsia" w:ascii="宋体" w:hAnsi="宋体" w:eastAsia="宋体" w:cs="宋体"/>
          <w:color w:val="auto"/>
          <w:sz w:val="24"/>
          <w:szCs w:val="24"/>
          <w:highlight w:val="none"/>
        </w:rPr>
      </w:pPr>
      <w:r>
        <w:rPr>
          <w:rStyle w:val="23"/>
          <w:rFonts w:hint="eastAsia" w:ascii="宋体" w:hAnsi="宋体" w:eastAsia="宋体" w:cs="宋体"/>
          <w:color w:val="auto"/>
          <w:sz w:val="24"/>
          <w:szCs w:val="24"/>
          <w:highlight w:val="none"/>
        </w:rPr>
        <w:t>三、获取招标文件</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时间：2022年</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日至2022年</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日，</w:t>
      </w:r>
      <w:r>
        <w:rPr>
          <w:rFonts w:hint="eastAsia" w:ascii="宋体" w:hAnsi="宋体" w:eastAsia="宋体" w:cs="宋体"/>
          <w:color w:val="auto"/>
          <w:kern w:val="0"/>
          <w:sz w:val="24"/>
          <w:szCs w:val="24"/>
          <w:highlight w:val="none"/>
        </w:rPr>
        <w:t>每天上午10:00至13:00（北京时间），下午</w:t>
      </w:r>
      <w:r>
        <w:rPr>
          <w:rFonts w:hint="eastAsia" w:ascii="宋体" w:hAnsi="宋体" w:eastAsia="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:00至19:00（北京时间）</w:t>
      </w:r>
      <w:r>
        <w:rPr>
          <w:rFonts w:hint="eastAsia" w:ascii="宋体" w:hAnsi="宋体" w:eastAsia="宋体" w:cs="宋体"/>
          <w:color w:val="auto"/>
          <w:sz w:val="24"/>
          <w:szCs w:val="24"/>
          <w:highlight w:val="none"/>
        </w:rPr>
        <w:t>。</w:t>
      </w:r>
    </w:p>
    <w:p>
      <w:pPr>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地点：政采云平台线上获取（https://www.zcygov.cn/）</w:t>
      </w:r>
      <w:r>
        <w:rPr>
          <w:rFonts w:hint="eastAsia" w:ascii="宋体" w:hAnsi="宋体" w:eastAsia="宋体" w:cs="宋体"/>
          <w:color w:val="auto"/>
          <w:sz w:val="24"/>
          <w:szCs w:val="24"/>
          <w:highlight w:val="none"/>
          <w:lang w:eastAsia="zh-CN"/>
        </w:rPr>
        <w:t>。</w:t>
      </w:r>
    </w:p>
    <w:p>
      <w:pPr>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方式：投标人登录政采云平台https://www.zcygov.cn/在线申请获取采购文件（进入“项目采购”应用，在获取采购文件菜单中选择项目，申请获取采购文件）</w:t>
      </w:r>
      <w:r>
        <w:rPr>
          <w:rFonts w:hint="eastAsia" w:ascii="宋体" w:hAnsi="宋体" w:eastAsia="宋体" w:cs="宋体"/>
          <w:color w:val="auto"/>
          <w:sz w:val="24"/>
          <w:szCs w:val="24"/>
          <w:highlight w:val="none"/>
          <w:lang w:eastAsia="zh-CN"/>
        </w:rPr>
        <w:t>。</w:t>
      </w:r>
    </w:p>
    <w:p>
      <w:pPr>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售价：0元</w:t>
      </w:r>
      <w:r>
        <w:rPr>
          <w:rFonts w:hint="eastAsia" w:ascii="宋体" w:hAnsi="宋体" w:eastAsia="宋体" w:cs="宋体"/>
          <w:color w:val="auto"/>
          <w:sz w:val="24"/>
          <w:szCs w:val="24"/>
          <w:highlight w:val="none"/>
          <w:lang w:eastAsia="zh-CN"/>
        </w:rPr>
        <w:t>。</w:t>
      </w:r>
    </w:p>
    <w:p>
      <w:pPr>
        <w:spacing w:line="440" w:lineRule="exact"/>
        <w:rPr>
          <w:rStyle w:val="23"/>
          <w:rFonts w:hint="eastAsia" w:ascii="宋体" w:hAnsi="宋体" w:eastAsia="宋体" w:cs="宋体"/>
          <w:color w:val="auto"/>
          <w:sz w:val="24"/>
          <w:szCs w:val="24"/>
          <w:highlight w:val="none"/>
        </w:rPr>
      </w:pPr>
      <w:r>
        <w:rPr>
          <w:rStyle w:val="23"/>
          <w:rFonts w:hint="eastAsia" w:ascii="宋体" w:hAnsi="宋体" w:eastAsia="宋体" w:cs="宋体"/>
          <w:color w:val="auto"/>
          <w:sz w:val="24"/>
          <w:szCs w:val="24"/>
          <w:highlight w:val="none"/>
        </w:rPr>
        <w:t>四、提交投标文件截止时间、开标时间和地点</w:t>
      </w:r>
    </w:p>
    <w:p>
      <w:pPr>
        <w:spacing w:after="75" w:line="44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提交投标文件截止时间：20</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13</w:t>
      </w:r>
      <w:r>
        <w:rPr>
          <w:rFonts w:hint="eastAsia" w:ascii="宋体" w:hAnsi="宋体" w:eastAsia="宋体" w:cs="宋体"/>
          <w:color w:val="auto"/>
          <w:sz w:val="24"/>
          <w:szCs w:val="24"/>
          <w:highlight w:val="none"/>
        </w:rPr>
        <w:t>日1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:00（北京时间）</w:t>
      </w:r>
    </w:p>
    <w:p>
      <w:pPr>
        <w:spacing w:before="75" w:after="75" w:line="44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投标地点:兵团政采云（http://ccgp-bingtuan.gov.cn/）</w:t>
      </w:r>
    </w:p>
    <w:p>
      <w:pPr>
        <w:spacing w:before="75" w:after="75" w:line="44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开标时间：2022年</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13</w:t>
      </w:r>
      <w:r>
        <w:rPr>
          <w:rFonts w:hint="eastAsia" w:ascii="宋体" w:hAnsi="宋体" w:eastAsia="宋体" w:cs="宋体"/>
          <w:color w:val="auto"/>
          <w:sz w:val="24"/>
          <w:szCs w:val="24"/>
          <w:highlight w:val="none"/>
        </w:rPr>
        <w:t>日1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:00（北京时间）</w:t>
      </w:r>
    </w:p>
    <w:p>
      <w:pPr>
        <w:spacing w:before="75" w:line="44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开标地点:</w:t>
      </w:r>
      <w:r>
        <w:rPr>
          <w:rFonts w:hint="eastAsia" w:ascii="宋体" w:hAnsi="宋体" w:eastAsia="宋体" w:cs="宋体"/>
          <w:color w:val="auto"/>
          <w:sz w:val="24"/>
          <w:szCs w:val="24"/>
          <w:highlight w:val="none"/>
          <w:lang w:eastAsia="zh-CN"/>
        </w:rPr>
        <w:t>新疆乌鲁木齐市</w:t>
      </w:r>
      <w:r>
        <w:rPr>
          <w:rFonts w:hint="eastAsia" w:ascii="宋体" w:hAnsi="宋体" w:eastAsia="宋体" w:cs="宋体"/>
          <w:color w:val="auto"/>
          <w:sz w:val="24"/>
          <w:szCs w:val="24"/>
          <w:highlight w:val="none"/>
        </w:rPr>
        <w:t>486号南湖明珠二期十四栋商业写字楼8楼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兵团政采云（http://ccgp-bingtuan.gov.cn/）网上开标</w:t>
      </w:r>
    </w:p>
    <w:p>
      <w:pPr>
        <w:spacing w:before="255" w:after="255" w:line="44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五、公告期限</w:t>
      </w:r>
    </w:p>
    <w:p>
      <w:pPr>
        <w:spacing w:before="75" w:after="75" w:line="44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自本公告发布之日起5个工作日。</w:t>
      </w:r>
    </w:p>
    <w:p>
      <w:pPr>
        <w:spacing w:before="255" w:after="255" w:line="44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六、其他补充事宜</w:t>
      </w:r>
    </w:p>
    <w:p>
      <w:pPr>
        <w:spacing w:before="75"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本项目实行电子招投标，投标人须登录兵团政府采购网（</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"http://ccgp-bingtuan.gov.cn/）申请获取采购文件，并通过政采云电子投标客户端制作投标文件，同时自行承担与投标有关的一切费用。"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http://ccgp-bingtuan.gov.cn/）申请获取采购文件，并通过政采云电子投标客户端制作投标文件，同时自行承担与投标有关的一切费用。</w:t>
      </w:r>
      <w:r>
        <w:rPr>
          <w:rFonts w:hint="eastAsia" w:ascii="宋体" w:hAnsi="宋体" w:eastAsia="宋体" w:cs="宋体"/>
          <w:color w:val="auto"/>
          <w:sz w:val="24"/>
          <w:szCs w:val="24"/>
          <w:highlight w:val="none"/>
        </w:rPr>
        <w:fldChar w:fldCharType="end"/>
      </w:r>
    </w:p>
    <w:p>
      <w:pPr>
        <w:spacing w:before="75" w:line="44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2、各投标人应在开标前确保成为兵团政府采购网正式注册入库投标人，并完成CA数字证书申领。因未注册入库、未办理CA数字证书等原因造成无法投标或投标失败等后果由投标人自行承担。</w:t>
      </w:r>
    </w:p>
    <w:p>
      <w:pPr>
        <w:spacing w:before="75" w:line="44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请通过在线APP“新疆政务通”或新疆CA网点办理CA数字证书和电子签章；若单位已经办理过新疆CA证书且证书符合国产密码算法要求，可直接联系发证机构，申请增加“政采云”招投标电子签章，无需重新办理。</w:t>
      </w:r>
    </w:p>
    <w:p>
      <w:pPr>
        <w:spacing w:before="255" w:after="255"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4、投标人将政采云电子交易客户端下载、安装完成后，可通过账号密码或CA登录客户端进行投标文件的制作。在使用政采云投标客户端时，建议使用WIN7及以上操作系统。客户端请至兵团政府采购网（</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ccgp-bingtuan.gov.cn/）下载专区查看，如有问题可拨打政采云客户服务热线400-881-7190进行咨询。如因供应商自身原因导致在规定时间内无法正常解密的（如：浏览器故障、未安装相关驱动、网络故障、加密CA与解密CA不一致等），采购中心/代理机构不予异常处理，视为供应商自动弃标。"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ccgp-bingtuan.gov.cn/）下载专区查看，如有问题可拨打政采云客户服务热线400-881-7190进行咨询。如因投标人自身原因导致在规定时间内无法正常解密的（如：浏览器故障、未安装相关驱动、网络故障、加密CA与解密CA不一致等），采购代理机构不予异常处理，视为投标人自动弃标。</w:t>
      </w:r>
      <w:r>
        <w:rPr>
          <w:rFonts w:hint="eastAsia" w:ascii="宋体" w:hAnsi="宋体" w:eastAsia="宋体" w:cs="宋体"/>
          <w:color w:val="auto"/>
          <w:sz w:val="24"/>
          <w:szCs w:val="24"/>
          <w:highlight w:val="none"/>
        </w:rPr>
        <w:fldChar w:fldCharType="end"/>
      </w:r>
    </w:p>
    <w:p>
      <w:pPr>
        <w:pStyle w:val="12"/>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bCs/>
          <w:color w:val="auto"/>
          <w:kern w:val="0"/>
          <w:sz w:val="24"/>
          <w:szCs w:val="24"/>
          <w:highlight w:val="none"/>
          <w:lang w:eastAsia="zh-CN"/>
        </w:rPr>
        <w:t>各供应商应在开标前应确保成为政采云平台供应商，并完成CA数字证书（符合国密标准）申领。</w:t>
      </w:r>
    </w:p>
    <w:p>
      <w:pPr>
        <w:spacing w:before="255" w:after="255" w:line="44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七、对本次采购提出询问，请按以下方式联系</w:t>
      </w:r>
    </w:p>
    <w:p>
      <w:pPr>
        <w:spacing w:before="75" w:after="75" w:line="44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1.招标人信息</w:t>
      </w:r>
    </w:p>
    <w:p>
      <w:pPr>
        <w:pStyle w:val="27"/>
        <w:spacing w:line="360" w:lineRule="auto"/>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名称:</w:t>
      </w:r>
      <w:r>
        <w:rPr>
          <w:rFonts w:hint="eastAsia" w:ascii="宋体" w:hAnsi="宋体" w:eastAsia="宋体" w:cs="宋体"/>
          <w:color w:val="auto"/>
          <w:kern w:val="2"/>
          <w:sz w:val="24"/>
          <w:szCs w:val="24"/>
          <w:highlight w:val="none"/>
          <w:lang w:val="en-US" w:eastAsia="zh-CN"/>
        </w:rPr>
        <w:t>新疆维吾尔自治区高级人民法院生产建设兵团分院</w:t>
      </w:r>
    </w:p>
    <w:p>
      <w:pPr>
        <w:spacing w:line="44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地址：乌鲁木齐市头屯河区兵团第十二师五一农场乐业街</w:t>
      </w:r>
    </w:p>
    <w:p>
      <w:pPr>
        <w:spacing w:before="75" w:after="75" w:line="440" w:lineRule="exact"/>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val="en-US" w:eastAsia="zh-CN"/>
        </w:rPr>
        <w:t>王处</w:t>
      </w:r>
    </w:p>
    <w:p>
      <w:pPr>
        <w:spacing w:before="75" w:after="75" w:line="440" w:lineRule="exact"/>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lang w:val="en-US" w:eastAsia="zh-CN"/>
        </w:rPr>
        <w:t>0991-5987831</w:t>
      </w:r>
    </w:p>
    <w:p>
      <w:pPr>
        <w:spacing w:before="75" w:after="75" w:line="44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2.采购代理机构信息</w:t>
      </w:r>
    </w:p>
    <w:p>
      <w:pPr>
        <w:spacing w:before="75" w:after="75" w:line="44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 称：中招国际招标有限公司</w:t>
      </w:r>
    </w:p>
    <w:p>
      <w:pPr>
        <w:spacing w:before="75" w:after="75" w:line="44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lang w:eastAsia="zh-CN"/>
        </w:rPr>
        <w:t>新疆乌鲁木齐市</w:t>
      </w:r>
      <w:r>
        <w:rPr>
          <w:rFonts w:hint="eastAsia" w:ascii="宋体" w:hAnsi="宋体" w:eastAsia="宋体" w:cs="宋体"/>
          <w:color w:val="auto"/>
          <w:sz w:val="24"/>
          <w:szCs w:val="24"/>
          <w:highlight w:val="none"/>
        </w:rPr>
        <w:t>486号南湖明珠二期十四栋商业写字楼8楼</w:t>
      </w:r>
    </w:p>
    <w:p>
      <w:pPr>
        <w:spacing w:before="75" w:after="75" w:line="44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联系人：师翠婷</w:t>
      </w:r>
    </w:p>
    <w:p>
      <w:pPr>
        <w:spacing w:before="75" w:after="75" w:line="44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联系方式：13699387229</w:t>
      </w:r>
    </w:p>
    <w:p>
      <w:pPr>
        <w:spacing w:after="0"/>
        <w:rPr>
          <w:rFonts w:hint="eastAsia" w:ascii="宋体" w:hAnsi="宋体" w:eastAsia="宋体" w:cs="宋体"/>
          <w:color w:val="auto"/>
          <w:highlight w:val="none"/>
        </w:rPr>
        <w:sectPr>
          <w:footerReference r:id="rId6" w:type="default"/>
          <w:pgSz w:w="12240" w:h="15840"/>
          <w:pgMar w:top="1360" w:right="1160" w:bottom="1160" w:left="1320" w:header="878" w:footer="975" w:gutter="0"/>
          <w:pgNumType w:fmt="decimal" w:start="1"/>
          <w:cols w:space="720" w:num="1"/>
        </w:sectPr>
      </w:pPr>
    </w:p>
    <w:p>
      <w:pPr>
        <w:pStyle w:val="6"/>
        <w:tabs>
          <w:tab w:val="left" w:pos="1444"/>
        </w:tabs>
        <w:spacing w:before="49"/>
        <w:ind w:right="155"/>
        <w:outlineLvl w:val="0"/>
        <w:rPr>
          <w:rFonts w:hint="eastAsia" w:ascii="宋体" w:hAnsi="宋体" w:eastAsia="宋体" w:cs="宋体"/>
          <w:color w:val="auto"/>
          <w:highlight w:val="none"/>
        </w:rPr>
      </w:pPr>
      <w:bookmarkStart w:id="11" w:name="_Toc16552"/>
      <w:r>
        <w:rPr>
          <w:rFonts w:hint="eastAsia" w:ascii="宋体" w:hAnsi="宋体" w:eastAsia="宋体" w:cs="宋体"/>
          <w:color w:val="auto"/>
          <w:highlight w:val="none"/>
        </w:rPr>
        <w:t>第二章</w:t>
      </w:r>
      <w:r>
        <w:rPr>
          <w:rFonts w:hint="eastAsia" w:ascii="宋体" w:hAnsi="宋体" w:eastAsia="宋体" w:cs="宋体"/>
          <w:color w:val="auto"/>
          <w:highlight w:val="none"/>
        </w:rPr>
        <w:tab/>
      </w:r>
      <w:r>
        <w:rPr>
          <w:rFonts w:hint="eastAsia" w:ascii="宋体" w:hAnsi="宋体" w:eastAsia="宋体" w:cs="宋体"/>
          <w:color w:val="auto"/>
          <w:highlight w:val="none"/>
        </w:rPr>
        <w:t>投标人须知</w:t>
      </w:r>
      <w:bookmarkEnd w:id="11"/>
    </w:p>
    <w:p>
      <w:pPr>
        <w:pStyle w:val="2"/>
        <w:spacing w:before="2"/>
        <w:rPr>
          <w:rFonts w:hint="eastAsia" w:ascii="宋体" w:hAnsi="宋体" w:eastAsia="宋体" w:cs="宋体"/>
          <w:b/>
          <w:color w:val="auto"/>
          <w:sz w:val="26"/>
          <w:highlight w:val="none"/>
        </w:rPr>
      </w:pPr>
    </w:p>
    <w:p>
      <w:pPr>
        <w:jc w:val="center"/>
        <w:rPr>
          <w:rFonts w:hint="eastAsia" w:ascii="宋体" w:hAnsi="宋体" w:eastAsia="宋体" w:cs="宋体"/>
          <w:color w:val="auto"/>
          <w:sz w:val="32"/>
          <w:szCs w:val="32"/>
          <w:highlight w:val="none"/>
        </w:rPr>
      </w:pPr>
      <w:bookmarkStart w:id="12" w:name="投标人须知前附表"/>
      <w:bookmarkEnd w:id="12"/>
      <w:bookmarkStart w:id="13" w:name="_bookmark3"/>
      <w:bookmarkEnd w:id="13"/>
      <w:r>
        <w:rPr>
          <w:rFonts w:hint="eastAsia" w:ascii="宋体" w:hAnsi="宋体" w:eastAsia="宋体" w:cs="宋体"/>
          <w:color w:val="auto"/>
          <w:sz w:val="32"/>
          <w:szCs w:val="32"/>
          <w:highlight w:val="none"/>
        </w:rPr>
        <w:t>投标人须知前附表</w:t>
      </w:r>
    </w:p>
    <w:tbl>
      <w:tblPr>
        <w:tblStyle w:val="20"/>
        <w:tblW w:w="8931" w:type="dxa"/>
        <w:tblInd w:w="3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5"/>
        <w:gridCol w:w="2035"/>
        <w:gridCol w:w="5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135" w:type="dxa"/>
          </w:tcPr>
          <w:p>
            <w:pPr>
              <w:pStyle w:val="28"/>
              <w:spacing w:before="11" w:line="360" w:lineRule="auto"/>
              <w:rPr>
                <w:rFonts w:hint="eastAsia" w:ascii="宋体" w:hAnsi="宋体" w:eastAsia="宋体" w:cs="宋体"/>
                <w:b/>
                <w:color w:val="auto"/>
                <w:sz w:val="16"/>
                <w:highlight w:val="none"/>
              </w:rPr>
            </w:pPr>
          </w:p>
          <w:p>
            <w:pPr>
              <w:pStyle w:val="28"/>
              <w:spacing w:line="360" w:lineRule="auto"/>
              <w:ind w:right="241"/>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条款号</w:t>
            </w:r>
          </w:p>
        </w:tc>
        <w:tc>
          <w:tcPr>
            <w:tcW w:w="2035" w:type="dxa"/>
          </w:tcPr>
          <w:p>
            <w:pPr>
              <w:pStyle w:val="28"/>
              <w:spacing w:before="11" w:line="360" w:lineRule="auto"/>
              <w:rPr>
                <w:rFonts w:hint="eastAsia" w:ascii="宋体" w:hAnsi="宋体" w:eastAsia="宋体" w:cs="宋体"/>
                <w:b/>
                <w:color w:val="auto"/>
                <w:sz w:val="16"/>
                <w:highlight w:val="none"/>
              </w:rPr>
            </w:pPr>
          </w:p>
          <w:p>
            <w:pPr>
              <w:pStyle w:val="28"/>
              <w:spacing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条款名称</w:t>
            </w:r>
          </w:p>
        </w:tc>
        <w:tc>
          <w:tcPr>
            <w:tcW w:w="5761" w:type="dxa"/>
          </w:tcPr>
          <w:p>
            <w:pPr>
              <w:pStyle w:val="28"/>
              <w:spacing w:before="11" w:line="360" w:lineRule="auto"/>
              <w:rPr>
                <w:rFonts w:hint="eastAsia" w:ascii="宋体" w:hAnsi="宋体" w:eastAsia="宋体" w:cs="宋体"/>
                <w:b/>
                <w:color w:val="auto"/>
                <w:sz w:val="16"/>
                <w:highlight w:val="none"/>
              </w:rPr>
            </w:pPr>
          </w:p>
          <w:p>
            <w:pPr>
              <w:pStyle w:val="28"/>
              <w:spacing w:line="360" w:lineRule="auto"/>
              <w:ind w:left="2322" w:right="2316"/>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9" w:hRule="atLeast"/>
        </w:trPr>
        <w:tc>
          <w:tcPr>
            <w:tcW w:w="1135" w:type="dxa"/>
          </w:tcPr>
          <w:p>
            <w:pPr>
              <w:pStyle w:val="28"/>
              <w:spacing w:line="360" w:lineRule="auto"/>
              <w:rPr>
                <w:rFonts w:hint="eastAsia" w:ascii="宋体" w:hAnsi="宋体" w:eastAsia="宋体" w:cs="宋体"/>
                <w:b/>
                <w:color w:val="auto"/>
                <w:sz w:val="20"/>
                <w:highlight w:val="none"/>
              </w:rPr>
            </w:pPr>
          </w:p>
          <w:p>
            <w:pPr>
              <w:pStyle w:val="28"/>
              <w:spacing w:line="360" w:lineRule="auto"/>
              <w:rPr>
                <w:rFonts w:hint="eastAsia" w:ascii="宋体" w:hAnsi="宋体" w:eastAsia="宋体" w:cs="宋体"/>
                <w:b/>
                <w:color w:val="auto"/>
                <w:sz w:val="20"/>
                <w:highlight w:val="none"/>
              </w:rPr>
            </w:pPr>
          </w:p>
          <w:p>
            <w:pPr>
              <w:pStyle w:val="28"/>
              <w:spacing w:before="166"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1.1.2</w:t>
            </w:r>
          </w:p>
        </w:tc>
        <w:tc>
          <w:tcPr>
            <w:tcW w:w="2035" w:type="dxa"/>
          </w:tcPr>
          <w:p>
            <w:pPr>
              <w:pStyle w:val="28"/>
              <w:spacing w:line="360" w:lineRule="auto"/>
              <w:rPr>
                <w:rFonts w:hint="eastAsia" w:ascii="宋体" w:hAnsi="宋体" w:eastAsia="宋体" w:cs="宋体"/>
                <w:b/>
                <w:color w:val="auto"/>
                <w:sz w:val="20"/>
                <w:highlight w:val="none"/>
              </w:rPr>
            </w:pPr>
          </w:p>
          <w:p>
            <w:pPr>
              <w:pStyle w:val="28"/>
              <w:spacing w:line="360" w:lineRule="auto"/>
              <w:rPr>
                <w:rFonts w:hint="eastAsia" w:ascii="宋体" w:hAnsi="宋体" w:eastAsia="宋体" w:cs="宋体"/>
                <w:b/>
                <w:color w:val="auto"/>
                <w:sz w:val="20"/>
                <w:highlight w:val="none"/>
              </w:rPr>
            </w:pPr>
          </w:p>
          <w:p>
            <w:pPr>
              <w:pStyle w:val="28"/>
              <w:spacing w:before="166" w:line="360" w:lineRule="auto"/>
              <w:ind w:left="167" w:right="158"/>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招标人</w:t>
            </w:r>
          </w:p>
        </w:tc>
        <w:tc>
          <w:tcPr>
            <w:tcW w:w="5761" w:type="dxa"/>
          </w:tcPr>
          <w:p>
            <w:pPr>
              <w:pStyle w:val="28"/>
              <w:spacing w:before="90" w:line="360" w:lineRule="auto"/>
              <w:ind w:right="0" w:rightChars="0"/>
              <w:rPr>
                <w:rFonts w:hint="eastAsia" w:ascii="宋体" w:hAnsi="宋体" w:eastAsia="宋体" w:cs="宋体"/>
                <w:color w:val="auto"/>
                <w:spacing w:val="-5"/>
                <w:sz w:val="21"/>
                <w:highlight w:val="none"/>
                <w:lang w:eastAsia="zh-CN"/>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pacing w:val="-5"/>
                <w:sz w:val="21"/>
                <w:highlight w:val="none"/>
                <w:lang w:eastAsia="zh-CN"/>
              </w:rPr>
              <w:t>名称：</w:t>
            </w:r>
            <w:r>
              <w:rPr>
                <w:rFonts w:hint="eastAsia" w:ascii="宋体" w:hAnsi="宋体" w:eastAsia="宋体" w:cs="宋体"/>
                <w:color w:val="auto"/>
                <w:spacing w:val="-5"/>
                <w:sz w:val="21"/>
                <w:highlight w:val="none"/>
                <w:lang w:val="en-US" w:eastAsia="zh-CN"/>
              </w:rPr>
              <w:t>新疆维吾尔自治区高级人民法院生产建设兵团分院</w:t>
            </w:r>
          </w:p>
          <w:p>
            <w:pPr>
              <w:pStyle w:val="28"/>
              <w:spacing w:before="90" w:line="360" w:lineRule="auto"/>
              <w:ind w:left="684" w:leftChars="38" w:right="0" w:rightChars="0" w:hanging="600" w:hangingChars="300"/>
              <w:rPr>
                <w:rFonts w:hint="eastAsia" w:ascii="宋体" w:hAnsi="宋体" w:eastAsia="宋体" w:cs="宋体"/>
                <w:color w:val="auto"/>
                <w:spacing w:val="-5"/>
                <w:sz w:val="21"/>
                <w:highlight w:val="none"/>
                <w:lang w:eastAsia="zh-CN"/>
              </w:rPr>
            </w:pPr>
            <w:r>
              <w:rPr>
                <w:rFonts w:hint="eastAsia" w:ascii="宋体" w:hAnsi="宋体" w:eastAsia="宋体" w:cs="宋体"/>
                <w:color w:val="auto"/>
                <w:spacing w:val="-5"/>
                <w:sz w:val="21"/>
                <w:highlight w:val="none"/>
                <w:lang w:eastAsia="zh-CN"/>
              </w:rPr>
              <w:t>地址：乌鲁木齐市头屯河区兵团第十二师五一农场乐业街</w:t>
            </w:r>
          </w:p>
          <w:p>
            <w:pPr>
              <w:pStyle w:val="28"/>
              <w:spacing w:before="90" w:line="360" w:lineRule="auto"/>
              <w:ind w:left="684" w:leftChars="38" w:right="813" w:hanging="600" w:hangingChars="300"/>
              <w:rPr>
                <w:rFonts w:hint="eastAsia" w:ascii="宋体" w:hAnsi="宋体" w:eastAsia="宋体" w:cs="宋体"/>
                <w:color w:val="auto"/>
                <w:spacing w:val="-5"/>
                <w:sz w:val="21"/>
                <w:highlight w:val="none"/>
                <w:lang w:val="en-US" w:eastAsia="zh-CN"/>
              </w:rPr>
            </w:pPr>
            <w:r>
              <w:rPr>
                <w:rFonts w:hint="eastAsia" w:ascii="宋体" w:hAnsi="宋体" w:eastAsia="宋体" w:cs="宋体"/>
                <w:color w:val="auto"/>
                <w:spacing w:val="-5"/>
                <w:sz w:val="21"/>
                <w:highlight w:val="none"/>
                <w:lang w:eastAsia="zh-CN"/>
              </w:rPr>
              <w:t>联系人：</w:t>
            </w:r>
            <w:r>
              <w:rPr>
                <w:rFonts w:hint="eastAsia" w:ascii="宋体" w:hAnsi="宋体" w:eastAsia="宋体" w:cs="宋体"/>
                <w:color w:val="auto"/>
                <w:spacing w:val="-5"/>
                <w:sz w:val="21"/>
                <w:highlight w:val="none"/>
                <w:lang w:val="en-US" w:eastAsia="zh-CN"/>
              </w:rPr>
              <w:t>王处</w:t>
            </w:r>
          </w:p>
          <w:p>
            <w:pPr>
              <w:pStyle w:val="28"/>
              <w:spacing w:before="90" w:line="360" w:lineRule="auto"/>
              <w:ind w:left="684" w:leftChars="38" w:right="813" w:hanging="600" w:hangingChars="300"/>
              <w:rPr>
                <w:rFonts w:hint="eastAsia" w:ascii="宋体" w:hAnsi="宋体" w:eastAsia="宋体" w:cs="宋体"/>
                <w:color w:val="auto"/>
                <w:sz w:val="21"/>
                <w:highlight w:val="none"/>
                <w:lang w:val="en-US" w:eastAsia="zh-CN"/>
              </w:rPr>
            </w:pPr>
            <w:r>
              <w:rPr>
                <w:rFonts w:hint="eastAsia" w:ascii="宋体" w:hAnsi="宋体" w:eastAsia="宋体" w:cs="宋体"/>
                <w:color w:val="auto"/>
                <w:spacing w:val="-5"/>
                <w:sz w:val="21"/>
                <w:highlight w:val="none"/>
                <w:lang w:eastAsia="zh-CN"/>
              </w:rPr>
              <w:t>电话：</w:t>
            </w:r>
            <w:r>
              <w:rPr>
                <w:rFonts w:hint="eastAsia" w:ascii="宋体" w:hAnsi="宋体" w:eastAsia="宋体" w:cs="宋体"/>
                <w:color w:val="auto"/>
                <w:spacing w:val="-5"/>
                <w:sz w:val="21"/>
                <w:highlight w:val="none"/>
                <w:lang w:val="en-US" w:eastAsia="zh-CN"/>
              </w:rPr>
              <w:t>0991-5987831</w:t>
            </w:r>
            <w:r>
              <w:rPr>
                <w:rFonts w:hint="eastAsia" w:ascii="宋体" w:hAnsi="宋体" w:eastAsia="宋体" w:cs="宋体"/>
                <w:color w:val="auto"/>
                <w:sz w:val="21"/>
                <w:highlight w:val="non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7" w:hRule="atLeast"/>
        </w:trPr>
        <w:tc>
          <w:tcPr>
            <w:tcW w:w="1135" w:type="dxa"/>
          </w:tcPr>
          <w:p>
            <w:pPr>
              <w:pStyle w:val="28"/>
              <w:spacing w:line="360" w:lineRule="auto"/>
              <w:rPr>
                <w:rFonts w:hint="eastAsia" w:ascii="宋体" w:hAnsi="宋体" w:eastAsia="宋体" w:cs="宋体"/>
                <w:b/>
                <w:color w:val="auto"/>
                <w:sz w:val="20"/>
                <w:highlight w:val="none"/>
              </w:rPr>
            </w:pPr>
          </w:p>
          <w:p>
            <w:pPr>
              <w:pStyle w:val="28"/>
              <w:spacing w:line="360" w:lineRule="auto"/>
              <w:rPr>
                <w:rFonts w:hint="eastAsia" w:ascii="宋体" w:hAnsi="宋体" w:eastAsia="宋体" w:cs="宋体"/>
                <w:b/>
                <w:color w:val="auto"/>
                <w:sz w:val="20"/>
                <w:highlight w:val="none"/>
              </w:rPr>
            </w:pPr>
          </w:p>
          <w:p>
            <w:pPr>
              <w:pStyle w:val="28"/>
              <w:spacing w:before="11" w:line="360" w:lineRule="auto"/>
              <w:rPr>
                <w:rFonts w:hint="eastAsia" w:ascii="宋体" w:hAnsi="宋体" w:eastAsia="宋体" w:cs="宋体"/>
                <w:b/>
                <w:color w:val="auto"/>
                <w:sz w:val="14"/>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1.1.3</w:t>
            </w:r>
          </w:p>
        </w:tc>
        <w:tc>
          <w:tcPr>
            <w:tcW w:w="2035" w:type="dxa"/>
          </w:tcPr>
          <w:p>
            <w:pPr>
              <w:pStyle w:val="28"/>
              <w:spacing w:line="360" w:lineRule="auto"/>
              <w:rPr>
                <w:rFonts w:hint="eastAsia" w:ascii="宋体" w:hAnsi="宋体" w:eastAsia="宋体" w:cs="宋体"/>
                <w:b/>
                <w:color w:val="auto"/>
                <w:sz w:val="20"/>
                <w:highlight w:val="none"/>
              </w:rPr>
            </w:pPr>
          </w:p>
          <w:p>
            <w:pPr>
              <w:pStyle w:val="28"/>
              <w:spacing w:line="360" w:lineRule="auto"/>
              <w:rPr>
                <w:rFonts w:hint="eastAsia" w:ascii="宋体" w:hAnsi="宋体" w:eastAsia="宋体" w:cs="宋体"/>
                <w:b/>
                <w:color w:val="auto"/>
                <w:sz w:val="20"/>
                <w:highlight w:val="none"/>
              </w:rPr>
            </w:pPr>
          </w:p>
          <w:p>
            <w:pPr>
              <w:pStyle w:val="28"/>
              <w:spacing w:before="11" w:line="360" w:lineRule="auto"/>
              <w:rPr>
                <w:rFonts w:hint="eastAsia" w:ascii="宋体" w:hAnsi="宋体" w:eastAsia="宋体" w:cs="宋体"/>
                <w:b/>
                <w:color w:val="auto"/>
                <w:sz w:val="14"/>
                <w:highlight w:val="none"/>
              </w:rPr>
            </w:pPr>
          </w:p>
          <w:p>
            <w:pPr>
              <w:pStyle w:val="28"/>
              <w:spacing w:line="360" w:lineRule="auto"/>
              <w:ind w:left="164"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招标代理机构</w:t>
            </w:r>
          </w:p>
        </w:tc>
        <w:tc>
          <w:tcPr>
            <w:tcW w:w="5761" w:type="dxa"/>
          </w:tcPr>
          <w:p>
            <w:pPr>
              <w:pStyle w:val="28"/>
              <w:spacing w:before="90" w:line="360" w:lineRule="auto"/>
              <w:ind w:right="813"/>
              <w:rPr>
                <w:rFonts w:hint="eastAsia" w:ascii="宋体" w:hAnsi="宋体" w:eastAsia="宋体" w:cs="宋体"/>
                <w:color w:val="auto"/>
                <w:spacing w:val="-5"/>
                <w:sz w:val="21"/>
                <w:highlight w:val="none"/>
                <w:lang w:eastAsia="zh-CN"/>
              </w:rPr>
            </w:pPr>
            <w:r>
              <w:rPr>
                <w:rFonts w:hint="eastAsia" w:ascii="宋体" w:hAnsi="宋体" w:eastAsia="宋体" w:cs="宋体"/>
                <w:color w:val="auto"/>
                <w:spacing w:val="-5"/>
                <w:sz w:val="21"/>
                <w:highlight w:val="none"/>
                <w:lang w:eastAsia="zh-CN"/>
              </w:rPr>
              <w:t>名称：中招国际招标有限公司</w:t>
            </w:r>
          </w:p>
          <w:p>
            <w:pPr>
              <w:pStyle w:val="28"/>
              <w:spacing w:before="90" w:line="360" w:lineRule="auto"/>
              <w:ind w:left="84" w:right="84" w:rightChars="0"/>
              <w:rPr>
                <w:rFonts w:hint="eastAsia" w:ascii="宋体" w:hAnsi="宋体" w:eastAsia="宋体" w:cs="宋体"/>
                <w:color w:val="auto"/>
                <w:spacing w:val="-5"/>
                <w:sz w:val="21"/>
                <w:highlight w:val="none"/>
                <w:lang w:eastAsia="zh-CN"/>
              </w:rPr>
            </w:pPr>
            <w:r>
              <w:rPr>
                <w:rFonts w:hint="eastAsia" w:ascii="宋体" w:hAnsi="宋体" w:eastAsia="宋体" w:cs="宋体"/>
                <w:color w:val="auto"/>
                <w:spacing w:val="-5"/>
                <w:sz w:val="21"/>
                <w:highlight w:val="none"/>
                <w:lang w:eastAsia="zh-CN"/>
              </w:rPr>
              <w:t>地址：乌鲁木齐市水磨沟区南湖北路486号南湖明珠大厦南区8楼</w:t>
            </w:r>
          </w:p>
          <w:p>
            <w:pPr>
              <w:pStyle w:val="28"/>
              <w:spacing w:before="90" w:line="360" w:lineRule="auto"/>
              <w:ind w:left="84" w:right="813"/>
              <w:rPr>
                <w:rFonts w:hint="eastAsia" w:ascii="宋体" w:hAnsi="宋体" w:eastAsia="宋体" w:cs="宋体"/>
                <w:color w:val="auto"/>
                <w:spacing w:val="-5"/>
                <w:sz w:val="21"/>
                <w:highlight w:val="none"/>
                <w:lang w:eastAsia="zh-CN"/>
              </w:rPr>
            </w:pPr>
            <w:r>
              <w:rPr>
                <w:rFonts w:hint="eastAsia" w:ascii="宋体" w:hAnsi="宋体" w:eastAsia="宋体" w:cs="宋体"/>
                <w:color w:val="auto"/>
                <w:spacing w:val="-5"/>
                <w:sz w:val="21"/>
                <w:highlight w:val="none"/>
                <w:lang w:eastAsia="zh-CN"/>
              </w:rPr>
              <w:t>联系人：师翠婷</w:t>
            </w:r>
          </w:p>
          <w:p>
            <w:pPr>
              <w:pStyle w:val="28"/>
              <w:spacing w:before="90" w:line="360" w:lineRule="auto"/>
              <w:ind w:left="84" w:right="813"/>
              <w:rPr>
                <w:rFonts w:hint="eastAsia" w:ascii="宋体" w:hAnsi="宋体" w:eastAsia="宋体" w:cs="宋体"/>
                <w:color w:val="auto"/>
                <w:spacing w:val="-5"/>
                <w:sz w:val="21"/>
                <w:highlight w:val="none"/>
                <w:lang w:eastAsia="zh-CN"/>
              </w:rPr>
            </w:pPr>
            <w:r>
              <w:rPr>
                <w:rFonts w:hint="eastAsia" w:ascii="宋体" w:hAnsi="宋体" w:eastAsia="宋体" w:cs="宋体"/>
                <w:color w:val="auto"/>
                <w:spacing w:val="-5"/>
                <w:sz w:val="21"/>
                <w:highlight w:val="none"/>
                <w:lang w:eastAsia="zh-CN"/>
              </w:rPr>
              <w:t>电话：13699387229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11" w:line="360" w:lineRule="auto"/>
              <w:rPr>
                <w:rFonts w:hint="eastAsia" w:ascii="宋体" w:hAnsi="宋体" w:eastAsia="宋体" w:cs="宋体"/>
                <w:b/>
                <w:color w:val="auto"/>
                <w:sz w:val="15"/>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1.1.4</w:t>
            </w:r>
          </w:p>
        </w:tc>
        <w:tc>
          <w:tcPr>
            <w:tcW w:w="2035" w:type="dxa"/>
            <w:vAlign w:val="center"/>
          </w:tcPr>
          <w:p>
            <w:pPr>
              <w:pStyle w:val="28"/>
              <w:spacing w:before="11" w:line="360" w:lineRule="auto"/>
              <w:jc w:val="center"/>
              <w:rPr>
                <w:rFonts w:hint="eastAsia" w:ascii="宋体" w:hAnsi="宋体" w:eastAsia="宋体" w:cs="宋体"/>
                <w:b/>
                <w:color w:val="auto"/>
                <w:sz w:val="15"/>
                <w:highlight w:val="none"/>
              </w:rPr>
            </w:pPr>
          </w:p>
          <w:p>
            <w:pPr>
              <w:pStyle w:val="28"/>
              <w:spacing w:line="360" w:lineRule="auto"/>
              <w:ind w:left="164"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招标项目名称</w:t>
            </w:r>
          </w:p>
        </w:tc>
        <w:tc>
          <w:tcPr>
            <w:tcW w:w="5761" w:type="dxa"/>
            <w:vAlign w:val="center"/>
          </w:tcPr>
          <w:p>
            <w:pPr>
              <w:pStyle w:val="28"/>
              <w:spacing w:before="90" w:line="360" w:lineRule="auto"/>
              <w:ind w:left="84" w:right="69" w:rightChars="0"/>
              <w:jc w:val="left"/>
              <w:rPr>
                <w:rFonts w:hint="eastAsia" w:ascii="宋体" w:hAnsi="宋体" w:eastAsia="宋体" w:cs="宋体"/>
                <w:color w:val="auto"/>
                <w:spacing w:val="-5"/>
                <w:sz w:val="21"/>
                <w:highlight w:val="none"/>
                <w:lang w:eastAsia="zh-CN"/>
              </w:rPr>
            </w:pPr>
            <w:r>
              <w:rPr>
                <w:rFonts w:hint="eastAsia" w:ascii="宋体" w:hAnsi="宋体" w:eastAsia="宋体" w:cs="宋体"/>
                <w:color w:val="auto"/>
                <w:spacing w:val="-5"/>
                <w:sz w:val="21"/>
                <w:highlight w:val="none"/>
                <w:lang w:eastAsia="zh-CN"/>
              </w:rPr>
              <w:t>兵团法院2023年度审判相关业务及办公系统升级、运维服务项目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11" w:line="360" w:lineRule="auto"/>
              <w:rPr>
                <w:rFonts w:hint="eastAsia" w:ascii="宋体" w:hAnsi="宋体" w:eastAsia="宋体" w:cs="宋体"/>
                <w:b/>
                <w:color w:val="auto"/>
                <w:sz w:val="15"/>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1.2.1</w:t>
            </w:r>
          </w:p>
        </w:tc>
        <w:tc>
          <w:tcPr>
            <w:tcW w:w="2035" w:type="dxa"/>
            <w:vAlign w:val="center"/>
          </w:tcPr>
          <w:p>
            <w:pPr>
              <w:pStyle w:val="28"/>
              <w:spacing w:before="11" w:line="360" w:lineRule="auto"/>
              <w:jc w:val="center"/>
              <w:rPr>
                <w:rFonts w:hint="eastAsia" w:ascii="宋体" w:hAnsi="宋体" w:eastAsia="宋体" w:cs="宋体"/>
                <w:b/>
                <w:color w:val="auto"/>
                <w:sz w:val="15"/>
                <w:highlight w:val="none"/>
              </w:rPr>
            </w:pPr>
          </w:p>
          <w:p>
            <w:pPr>
              <w:pStyle w:val="28"/>
              <w:spacing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资金来源</w:t>
            </w:r>
          </w:p>
        </w:tc>
        <w:tc>
          <w:tcPr>
            <w:tcW w:w="5761" w:type="dxa"/>
            <w:vAlign w:val="center"/>
          </w:tcPr>
          <w:p>
            <w:pPr>
              <w:pStyle w:val="28"/>
              <w:spacing w:before="11" w:line="360" w:lineRule="auto"/>
              <w:jc w:val="left"/>
              <w:rPr>
                <w:rFonts w:hint="eastAsia" w:ascii="宋体" w:hAnsi="宋体" w:eastAsia="宋体" w:cs="宋体"/>
                <w:b/>
                <w:color w:val="auto"/>
                <w:sz w:val="15"/>
                <w:highlight w:val="none"/>
              </w:rPr>
            </w:pPr>
          </w:p>
          <w:p>
            <w:pPr>
              <w:pStyle w:val="28"/>
              <w:spacing w:line="360" w:lineRule="auto"/>
              <w:ind w:left="84"/>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rPr>
              <w:t>财政</w:t>
            </w:r>
            <w:r>
              <w:rPr>
                <w:rFonts w:hint="eastAsia" w:ascii="宋体" w:hAnsi="宋体" w:eastAsia="宋体" w:cs="宋体"/>
                <w:color w:val="auto"/>
                <w:sz w:val="21"/>
                <w:highlight w:val="none"/>
                <w:lang w:val="en-US" w:eastAsia="zh-CN"/>
              </w:rPr>
              <w:t>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10" w:line="360" w:lineRule="auto"/>
              <w:rPr>
                <w:rFonts w:hint="eastAsia" w:ascii="宋体" w:hAnsi="宋体" w:eastAsia="宋体" w:cs="宋体"/>
                <w:b/>
                <w:color w:val="auto"/>
                <w:sz w:val="15"/>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1.2.2</w:t>
            </w:r>
          </w:p>
        </w:tc>
        <w:tc>
          <w:tcPr>
            <w:tcW w:w="2035" w:type="dxa"/>
            <w:vAlign w:val="center"/>
          </w:tcPr>
          <w:p>
            <w:pPr>
              <w:pStyle w:val="28"/>
              <w:spacing w:before="10" w:line="360" w:lineRule="auto"/>
              <w:jc w:val="center"/>
              <w:rPr>
                <w:rFonts w:hint="eastAsia" w:ascii="宋体" w:hAnsi="宋体" w:eastAsia="宋体" w:cs="宋体"/>
                <w:b/>
                <w:color w:val="auto"/>
                <w:sz w:val="15"/>
                <w:highlight w:val="none"/>
              </w:rPr>
            </w:pPr>
          </w:p>
          <w:p>
            <w:pPr>
              <w:pStyle w:val="28"/>
              <w:spacing w:line="360" w:lineRule="auto"/>
              <w:ind w:left="164"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资金落实情况</w:t>
            </w:r>
          </w:p>
        </w:tc>
        <w:tc>
          <w:tcPr>
            <w:tcW w:w="5761" w:type="dxa"/>
            <w:vAlign w:val="center"/>
          </w:tcPr>
          <w:p>
            <w:pPr>
              <w:pStyle w:val="28"/>
              <w:spacing w:before="10" w:line="360" w:lineRule="auto"/>
              <w:jc w:val="left"/>
              <w:rPr>
                <w:rFonts w:hint="eastAsia" w:ascii="宋体" w:hAnsi="宋体" w:eastAsia="宋体" w:cs="宋体"/>
                <w:b/>
                <w:color w:val="auto"/>
                <w:sz w:val="15"/>
                <w:highlight w:val="none"/>
              </w:rPr>
            </w:pPr>
          </w:p>
          <w:p>
            <w:pPr>
              <w:pStyle w:val="28"/>
              <w:spacing w:line="360" w:lineRule="auto"/>
              <w:ind w:left="84"/>
              <w:jc w:val="left"/>
              <w:rPr>
                <w:rFonts w:hint="eastAsia" w:ascii="宋体" w:hAnsi="宋体" w:eastAsia="宋体" w:cs="宋体"/>
                <w:color w:val="auto"/>
                <w:sz w:val="21"/>
                <w:highlight w:val="none"/>
              </w:rPr>
            </w:pPr>
            <w:r>
              <w:rPr>
                <w:rFonts w:hint="eastAsia" w:ascii="宋体" w:hAnsi="宋体" w:eastAsia="宋体" w:cs="宋体"/>
                <w:color w:val="auto"/>
                <w:sz w:val="21"/>
                <w:highlight w:val="none"/>
              </w:rPr>
              <w:t>已到位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1135" w:type="dxa"/>
            <w:vAlign w:val="center"/>
          </w:tcPr>
          <w:p>
            <w:pPr>
              <w:pStyle w:val="28"/>
              <w:spacing w:line="360" w:lineRule="auto"/>
              <w:jc w:val="center"/>
              <w:rPr>
                <w:rFonts w:hint="eastAsia" w:ascii="宋体" w:hAnsi="宋体" w:eastAsia="宋体" w:cs="宋体"/>
                <w:b/>
                <w:color w:val="auto"/>
                <w:sz w:val="20"/>
                <w:highlight w:val="none"/>
              </w:rPr>
            </w:pPr>
          </w:p>
          <w:p>
            <w:pPr>
              <w:pStyle w:val="28"/>
              <w:spacing w:line="360" w:lineRule="auto"/>
              <w:ind w:right="292"/>
              <w:jc w:val="center"/>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1.3.1</w:t>
            </w:r>
          </w:p>
        </w:tc>
        <w:tc>
          <w:tcPr>
            <w:tcW w:w="2035" w:type="dxa"/>
            <w:vAlign w:val="center"/>
          </w:tcPr>
          <w:p>
            <w:pPr>
              <w:pStyle w:val="28"/>
              <w:spacing w:line="360" w:lineRule="auto"/>
              <w:ind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招标范围</w:t>
            </w:r>
          </w:p>
        </w:tc>
        <w:tc>
          <w:tcPr>
            <w:tcW w:w="5761" w:type="dxa"/>
            <w:vAlign w:val="center"/>
          </w:tcPr>
          <w:p>
            <w:pPr>
              <w:pStyle w:val="28"/>
              <w:spacing w:line="360" w:lineRule="auto"/>
              <w:ind w:right="160"/>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保障本项目所包含审判相关业务及办公系统正常稳定运行，按照信息系统升级要求完成相应系统的升级更新，逐步实现以业务和应用为导向，通过统一服务管理体系及工具等手段，实现由人为管理转向流程控制管理,由被动服务向主动运维转变，提升系统性能、提高服务效率，从而带动兵团法院系统业务应用的提升，由运维质效推动审判业务质效。详见第三章“采购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vAlign w:val="center"/>
          </w:tcPr>
          <w:p>
            <w:pPr>
              <w:pStyle w:val="28"/>
              <w:spacing w:line="360" w:lineRule="auto"/>
              <w:ind w:right="292"/>
              <w:jc w:val="center"/>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1.3.2</w:t>
            </w:r>
          </w:p>
        </w:tc>
        <w:tc>
          <w:tcPr>
            <w:tcW w:w="2035" w:type="dxa"/>
            <w:vAlign w:val="center"/>
          </w:tcPr>
          <w:p>
            <w:pPr>
              <w:pStyle w:val="28"/>
              <w:spacing w:line="360" w:lineRule="auto"/>
              <w:ind w:left="164"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服务期</w:t>
            </w:r>
          </w:p>
        </w:tc>
        <w:tc>
          <w:tcPr>
            <w:tcW w:w="5761" w:type="dxa"/>
            <w:vAlign w:val="center"/>
          </w:tcPr>
          <w:p>
            <w:pPr>
              <w:pStyle w:val="28"/>
              <w:spacing w:line="360" w:lineRule="auto"/>
              <w:ind w:right="160"/>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2023年1月1日至2023年12月31日，共一年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1135" w:type="dxa"/>
          </w:tcPr>
          <w:p>
            <w:pPr>
              <w:pStyle w:val="28"/>
              <w:spacing w:before="11" w:line="360" w:lineRule="auto"/>
              <w:rPr>
                <w:rFonts w:hint="eastAsia" w:ascii="宋体" w:hAnsi="宋体" w:eastAsia="宋体" w:cs="宋体"/>
                <w:b/>
                <w:color w:val="auto"/>
                <w:sz w:val="15"/>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1.3.3</w:t>
            </w:r>
          </w:p>
        </w:tc>
        <w:tc>
          <w:tcPr>
            <w:tcW w:w="2035" w:type="dxa"/>
          </w:tcPr>
          <w:p>
            <w:pPr>
              <w:pStyle w:val="28"/>
              <w:spacing w:line="360" w:lineRule="auto"/>
              <w:ind w:left="164" w:right="160"/>
              <w:jc w:val="center"/>
              <w:rPr>
                <w:rFonts w:hint="eastAsia" w:ascii="宋体" w:hAnsi="宋体" w:eastAsia="宋体" w:cs="宋体"/>
                <w:color w:val="auto"/>
                <w:sz w:val="21"/>
                <w:highlight w:val="none"/>
              </w:rPr>
            </w:pPr>
          </w:p>
          <w:p>
            <w:pPr>
              <w:pStyle w:val="28"/>
              <w:spacing w:line="360" w:lineRule="auto"/>
              <w:ind w:left="164"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项目地点</w:t>
            </w:r>
          </w:p>
        </w:tc>
        <w:tc>
          <w:tcPr>
            <w:tcW w:w="5761" w:type="dxa"/>
          </w:tcPr>
          <w:p>
            <w:pPr>
              <w:pStyle w:val="28"/>
              <w:spacing w:line="360" w:lineRule="auto"/>
              <w:ind w:left="164" w:right="160"/>
              <w:jc w:val="left"/>
              <w:rPr>
                <w:rFonts w:hint="eastAsia" w:ascii="宋体" w:hAnsi="宋体" w:eastAsia="宋体" w:cs="宋体"/>
                <w:color w:val="auto"/>
                <w:sz w:val="21"/>
                <w:highlight w:val="none"/>
              </w:rPr>
            </w:pPr>
          </w:p>
          <w:p>
            <w:pPr>
              <w:pStyle w:val="28"/>
              <w:spacing w:line="360" w:lineRule="auto"/>
              <w:ind w:left="164" w:right="160"/>
              <w:jc w:val="left"/>
              <w:rPr>
                <w:rFonts w:hint="eastAsia" w:ascii="宋体" w:hAnsi="宋体" w:eastAsia="宋体" w:cs="宋体"/>
                <w:color w:val="auto"/>
                <w:sz w:val="21"/>
                <w:highlight w:val="none"/>
              </w:rPr>
            </w:pPr>
            <w:r>
              <w:rPr>
                <w:rFonts w:hint="eastAsia" w:ascii="宋体" w:hAnsi="宋体" w:eastAsia="宋体" w:cs="宋体"/>
                <w:color w:val="auto"/>
                <w:sz w:val="21"/>
                <w:highlight w:val="none"/>
              </w:rPr>
              <w:t>乌鲁木齐市（招标人指定地点）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7"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before="165"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1.4.1</w:t>
            </w:r>
          </w:p>
        </w:tc>
        <w:tc>
          <w:tcPr>
            <w:tcW w:w="2035" w:type="dxa"/>
            <w:vAlign w:val="center"/>
          </w:tcPr>
          <w:p>
            <w:pPr>
              <w:pStyle w:val="28"/>
              <w:spacing w:line="360" w:lineRule="auto"/>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投标人资质条件、能力、信誉</w:t>
            </w:r>
          </w:p>
        </w:tc>
        <w:tc>
          <w:tcPr>
            <w:tcW w:w="5761" w:type="dxa"/>
            <w:vAlign w:val="center"/>
          </w:tcPr>
          <w:p>
            <w:pPr>
              <w:pStyle w:val="28"/>
              <w:spacing w:line="360" w:lineRule="auto"/>
              <w:jc w:val="both"/>
              <w:rPr>
                <w:rFonts w:hint="eastAsia" w:ascii="宋体" w:hAnsi="宋体" w:eastAsia="宋体" w:cs="宋体"/>
                <w:b w:val="0"/>
                <w:bCs w:val="0"/>
                <w:color w:val="auto"/>
                <w:sz w:val="21"/>
                <w:highlight w:val="none"/>
                <w:lang w:val="en-US" w:eastAsia="zh-CN"/>
              </w:rPr>
            </w:pPr>
            <w:r>
              <w:rPr>
                <w:rFonts w:hint="eastAsia" w:ascii="宋体" w:hAnsi="宋体" w:eastAsia="宋体" w:cs="宋体"/>
                <w:b w:val="0"/>
                <w:bCs w:val="0"/>
                <w:color w:val="auto"/>
                <w:sz w:val="21"/>
                <w:highlight w:val="none"/>
                <w:lang w:val="en-US" w:eastAsia="zh-CN"/>
              </w:rPr>
              <w:t>1、符合《中华人民共和国政府采购法》第二十二条相关规定且有承担本项目能力的投标人；</w:t>
            </w:r>
          </w:p>
          <w:p>
            <w:pPr>
              <w:pStyle w:val="28"/>
              <w:spacing w:line="360" w:lineRule="auto"/>
              <w:jc w:val="both"/>
              <w:rPr>
                <w:rFonts w:hint="eastAsia" w:ascii="宋体" w:hAnsi="宋体" w:eastAsia="宋体" w:cs="宋体"/>
                <w:b w:val="0"/>
                <w:bCs w:val="0"/>
                <w:color w:val="auto"/>
                <w:sz w:val="21"/>
                <w:highlight w:val="none"/>
                <w:lang w:val="en-US" w:eastAsia="zh-CN"/>
              </w:rPr>
            </w:pPr>
            <w:r>
              <w:rPr>
                <w:rFonts w:hint="eastAsia" w:ascii="宋体" w:hAnsi="宋体" w:eastAsia="宋体" w:cs="宋体"/>
                <w:b w:val="0"/>
                <w:bCs w:val="0"/>
                <w:color w:val="auto"/>
                <w:sz w:val="21"/>
                <w:highlight w:val="none"/>
                <w:lang w:val="en-US" w:eastAsia="zh-CN"/>
              </w:rPr>
              <w:t>2、投标人未被列入“信用中国”网站(www.creditchina.gov.cn)“记录失信被执行人或重大税收违法案件当事人名单或政府采购严重违法失信行为”记录名单；未处于中国政府采购 网(www.ccgp.gov.cn)“政府采购严重违法失信行为信息记录”中（以采购代理机构于递交投标文件截止日当天在“信用中国”网站（www.creditchina.gov.cn） 及中国政府采购网(www.ccgp.gov.cn)查询结果为准，如相关失信记录已失效，投标人需提供相关证明资料）；</w:t>
            </w:r>
          </w:p>
          <w:p>
            <w:pPr>
              <w:pStyle w:val="28"/>
              <w:spacing w:line="360" w:lineRule="auto"/>
              <w:jc w:val="both"/>
              <w:rPr>
                <w:rFonts w:hint="eastAsia" w:ascii="宋体" w:hAnsi="宋体" w:eastAsia="宋体" w:cs="宋体"/>
                <w:b w:val="0"/>
                <w:bCs w:val="0"/>
                <w:color w:val="auto"/>
                <w:sz w:val="21"/>
                <w:highlight w:val="none"/>
                <w:lang w:val="en-US" w:eastAsia="zh-CN"/>
              </w:rPr>
            </w:pPr>
            <w:r>
              <w:rPr>
                <w:rFonts w:hint="eastAsia" w:ascii="宋体" w:hAnsi="宋体" w:eastAsia="宋体" w:cs="宋体"/>
                <w:b w:val="0"/>
                <w:bCs w:val="0"/>
                <w:color w:val="auto"/>
                <w:sz w:val="21"/>
                <w:highlight w:val="none"/>
                <w:lang w:val="en-US" w:eastAsia="zh-CN"/>
              </w:rPr>
              <w:t>3、单位负责人为同一人或者存在直接控股、管理关系的不同投标人，不得参加同一合同项下的政府采购活动；</w:t>
            </w:r>
          </w:p>
          <w:p>
            <w:pPr>
              <w:pStyle w:val="28"/>
              <w:spacing w:line="360" w:lineRule="auto"/>
              <w:jc w:val="both"/>
              <w:rPr>
                <w:rFonts w:hint="eastAsia" w:ascii="宋体" w:hAnsi="宋体" w:eastAsia="宋体" w:cs="宋体"/>
                <w:b/>
                <w:bCs/>
                <w:color w:val="auto"/>
                <w:sz w:val="21"/>
                <w:highlight w:val="none"/>
                <w:lang w:val="en-US" w:eastAsia="zh-CN"/>
              </w:rPr>
            </w:pPr>
            <w:r>
              <w:rPr>
                <w:rFonts w:hint="eastAsia" w:ascii="宋体" w:hAnsi="宋体" w:eastAsia="宋体" w:cs="宋体"/>
                <w:b/>
                <w:bCs/>
                <w:color w:val="auto"/>
                <w:sz w:val="21"/>
                <w:highlight w:val="none"/>
                <w:lang w:val="en-US" w:eastAsia="zh-CN"/>
              </w:rPr>
              <w:t>4、本项目不接受联合体投标；</w:t>
            </w:r>
          </w:p>
          <w:p>
            <w:pPr>
              <w:pStyle w:val="28"/>
              <w:spacing w:line="360" w:lineRule="auto"/>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、本次招标拟采用的资格审查办法为：资格后审。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1135" w:type="dxa"/>
          </w:tcPr>
          <w:p>
            <w:pPr>
              <w:pStyle w:val="28"/>
              <w:spacing w:before="1" w:line="360" w:lineRule="auto"/>
              <w:rPr>
                <w:rFonts w:hint="eastAsia" w:ascii="宋体" w:hAnsi="宋体" w:eastAsia="宋体" w:cs="宋体"/>
                <w:color w:val="auto"/>
                <w:sz w:val="24"/>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1.4.2</w:t>
            </w:r>
          </w:p>
        </w:tc>
        <w:tc>
          <w:tcPr>
            <w:tcW w:w="2035" w:type="dxa"/>
          </w:tcPr>
          <w:p>
            <w:pPr>
              <w:pStyle w:val="28"/>
              <w:spacing w:before="1" w:line="360" w:lineRule="auto"/>
              <w:rPr>
                <w:rFonts w:hint="eastAsia" w:ascii="宋体" w:hAnsi="宋体" w:eastAsia="宋体" w:cs="宋体"/>
                <w:color w:val="auto"/>
                <w:sz w:val="24"/>
                <w:highlight w:val="none"/>
              </w:rPr>
            </w:pPr>
          </w:p>
          <w:p>
            <w:pPr>
              <w:pStyle w:val="28"/>
              <w:spacing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是否接受联合体投标</w:t>
            </w:r>
          </w:p>
        </w:tc>
        <w:tc>
          <w:tcPr>
            <w:tcW w:w="5761" w:type="dxa"/>
          </w:tcPr>
          <w:p>
            <w:pPr>
              <w:pStyle w:val="28"/>
              <w:spacing w:before="91"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sym w:font="Wingdings 2" w:char="0052"/>
            </w:r>
            <w:r>
              <w:rPr>
                <w:rFonts w:hint="eastAsia" w:ascii="宋体" w:hAnsi="宋体" w:eastAsia="宋体" w:cs="宋体"/>
                <w:color w:val="auto"/>
                <w:sz w:val="21"/>
                <w:highlight w:val="none"/>
              </w:rPr>
              <w:t>不接受</w:t>
            </w:r>
          </w:p>
          <w:p>
            <w:pPr>
              <w:pStyle w:val="28"/>
              <w:spacing w:before="91"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□接受，应满足下列要求：/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1135" w:type="dxa"/>
          </w:tcPr>
          <w:p>
            <w:pPr>
              <w:pStyle w:val="28"/>
              <w:spacing w:before="9" w:line="360" w:lineRule="auto"/>
              <w:jc w:val="left"/>
              <w:rPr>
                <w:rFonts w:hint="eastAsia" w:ascii="宋体" w:hAnsi="宋体" w:eastAsia="宋体" w:cs="宋体"/>
                <w:color w:val="auto"/>
                <w:sz w:val="18"/>
                <w:highlight w:val="none"/>
              </w:rPr>
            </w:pPr>
          </w:p>
          <w:p>
            <w:pPr>
              <w:pStyle w:val="28"/>
              <w:spacing w:line="360" w:lineRule="auto"/>
              <w:ind w:right="292"/>
              <w:jc w:val="lef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1.4.3</w:t>
            </w:r>
          </w:p>
        </w:tc>
        <w:tc>
          <w:tcPr>
            <w:tcW w:w="2035" w:type="dxa"/>
          </w:tcPr>
          <w:p>
            <w:pPr>
              <w:pStyle w:val="28"/>
              <w:spacing w:before="79" w:line="360" w:lineRule="auto"/>
              <w:ind w:left="607" w:leftChars="85" w:right="0" w:rightChars="0" w:hanging="420" w:hangingChars="200"/>
              <w:jc w:val="left"/>
              <w:rPr>
                <w:rFonts w:hint="eastAsia" w:ascii="宋体" w:hAnsi="宋体" w:eastAsia="宋体" w:cs="宋体"/>
                <w:color w:val="auto"/>
                <w:sz w:val="21"/>
                <w:highlight w:val="none"/>
              </w:rPr>
            </w:pPr>
            <w:r>
              <w:rPr>
                <w:rFonts w:hint="eastAsia" w:ascii="宋体" w:hAnsi="宋体" w:eastAsia="宋体" w:cs="宋体"/>
                <w:color w:val="auto"/>
                <w:sz w:val="21"/>
                <w:highlight w:val="none"/>
              </w:rPr>
              <w:t>投标人不得存在的其他情形</w:t>
            </w:r>
          </w:p>
        </w:tc>
        <w:tc>
          <w:tcPr>
            <w:tcW w:w="5761" w:type="dxa"/>
          </w:tcPr>
          <w:p>
            <w:pPr>
              <w:pStyle w:val="28"/>
              <w:spacing w:before="91" w:line="360" w:lineRule="auto"/>
              <w:ind w:left="84"/>
              <w:rPr>
                <w:rFonts w:hint="eastAsia" w:ascii="宋体" w:hAnsi="宋体" w:eastAsia="宋体" w:cs="宋体"/>
                <w:color w:val="auto"/>
                <w:sz w:val="21"/>
                <w:highlight w:val="none"/>
              </w:rPr>
            </w:pPr>
          </w:p>
          <w:p>
            <w:pPr>
              <w:pStyle w:val="28"/>
              <w:spacing w:before="91" w:line="360" w:lineRule="auto"/>
              <w:ind w:left="84"/>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6"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before="5" w:line="360" w:lineRule="auto"/>
              <w:rPr>
                <w:rFonts w:hint="eastAsia" w:ascii="宋体" w:hAnsi="宋体" w:eastAsia="宋体" w:cs="宋体"/>
                <w:color w:val="auto"/>
                <w:sz w:val="18"/>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1.9.1</w:t>
            </w:r>
          </w:p>
        </w:tc>
        <w:tc>
          <w:tcPr>
            <w:tcW w:w="2035" w:type="dxa"/>
          </w:tcPr>
          <w:p>
            <w:pPr>
              <w:pStyle w:val="28"/>
              <w:spacing w:line="360" w:lineRule="auto"/>
              <w:rPr>
                <w:rFonts w:hint="eastAsia" w:ascii="宋体" w:hAnsi="宋体" w:eastAsia="宋体" w:cs="宋体"/>
                <w:color w:val="auto"/>
                <w:sz w:val="20"/>
                <w:highlight w:val="none"/>
              </w:rPr>
            </w:pPr>
          </w:p>
          <w:p>
            <w:pPr>
              <w:pStyle w:val="28"/>
              <w:spacing w:before="5" w:line="360" w:lineRule="auto"/>
              <w:rPr>
                <w:rFonts w:hint="eastAsia" w:ascii="宋体" w:hAnsi="宋体" w:eastAsia="宋体" w:cs="宋体"/>
                <w:color w:val="auto"/>
                <w:sz w:val="18"/>
                <w:highlight w:val="none"/>
              </w:rPr>
            </w:pPr>
          </w:p>
          <w:p>
            <w:pPr>
              <w:pStyle w:val="28"/>
              <w:spacing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投标预备会</w:t>
            </w:r>
          </w:p>
        </w:tc>
        <w:tc>
          <w:tcPr>
            <w:tcW w:w="5761" w:type="dxa"/>
          </w:tcPr>
          <w:p>
            <w:pPr>
              <w:pStyle w:val="28"/>
              <w:spacing w:before="91"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sym w:font="Wingdings 2" w:char="0052"/>
            </w:r>
            <w:r>
              <w:rPr>
                <w:rFonts w:hint="eastAsia" w:ascii="宋体" w:hAnsi="宋体" w:eastAsia="宋体" w:cs="宋体"/>
                <w:color w:val="auto"/>
                <w:sz w:val="21"/>
                <w:highlight w:val="none"/>
              </w:rPr>
              <w:t>不召开</w:t>
            </w:r>
          </w:p>
          <w:p>
            <w:pPr>
              <w:pStyle w:val="28"/>
              <w:spacing w:before="91"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□召开，召开时间：/</w:t>
            </w:r>
          </w:p>
          <w:p>
            <w:pPr>
              <w:pStyle w:val="28"/>
              <w:spacing w:before="91"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召开地点：/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135" w:type="dxa"/>
            <w:vMerge w:val="restart"/>
          </w:tcPr>
          <w:p>
            <w:pPr>
              <w:pStyle w:val="28"/>
              <w:spacing w:line="360" w:lineRule="auto"/>
              <w:rPr>
                <w:rFonts w:hint="eastAsia" w:ascii="宋体" w:hAnsi="宋体" w:eastAsia="宋体" w:cs="宋体"/>
                <w:color w:val="auto"/>
                <w:sz w:val="24"/>
                <w:highlight w:val="none"/>
              </w:rPr>
            </w:pPr>
          </w:p>
          <w:p>
            <w:pPr>
              <w:pStyle w:val="28"/>
              <w:spacing w:line="360" w:lineRule="auto"/>
              <w:ind w:left="305"/>
              <w:rPr>
                <w:rFonts w:hint="eastAsia" w:ascii="宋体" w:hAnsi="宋体" w:eastAsia="宋体" w:cs="宋体"/>
                <w:color w:val="auto"/>
                <w:sz w:val="21"/>
                <w:highlight w:val="none"/>
              </w:rPr>
            </w:pPr>
            <w:r>
              <w:rPr>
                <w:rFonts w:hint="eastAsia" w:ascii="宋体" w:hAnsi="宋体" w:eastAsia="宋体" w:cs="宋体"/>
                <w:color w:val="auto"/>
                <w:sz w:val="21"/>
                <w:highlight w:val="none"/>
              </w:rPr>
              <w:t>1.9.2</w:t>
            </w:r>
          </w:p>
        </w:tc>
        <w:tc>
          <w:tcPr>
            <w:tcW w:w="2035" w:type="dxa"/>
            <w:vMerge w:val="restart"/>
          </w:tcPr>
          <w:p>
            <w:pPr>
              <w:pStyle w:val="28"/>
              <w:spacing w:before="139" w:line="360" w:lineRule="auto"/>
              <w:ind w:left="187" w:leftChars="85" w:right="178" w:firstLine="0"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rPr>
              <w:t>投标人在投标预备会前提出问题</w:t>
            </w:r>
          </w:p>
        </w:tc>
        <w:tc>
          <w:tcPr>
            <w:tcW w:w="5761" w:type="dxa"/>
          </w:tcPr>
          <w:p>
            <w:pPr>
              <w:pStyle w:val="28"/>
              <w:spacing w:before="65"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135" w:type="dxa"/>
            <w:vMerge w:val="continue"/>
            <w:tcBorders>
              <w:top w:val="nil"/>
            </w:tcBorders>
          </w:tcPr>
          <w:p>
            <w:pPr>
              <w:spacing w:line="360" w:lineRule="auto"/>
              <w:rPr>
                <w:rFonts w:hint="eastAsia" w:ascii="宋体" w:hAnsi="宋体" w:eastAsia="宋体" w:cs="宋体"/>
                <w:color w:val="auto"/>
                <w:sz w:val="2"/>
                <w:szCs w:val="2"/>
                <w:highlight w:val="none"/>
              </w:rPr>
            </w:pPr>
          </w:p>
        </w:tc>
        <w:tc>
          <w:tcPr>
            <w:tcW w:w="2035" w:type="dxa"/>
            <w:vMerge w:val="continue"/>
            <w:tcBorders>
              <w:top w:val="nil"/>
            </w:tcBorders>
          </w:tcPr>
          <w:p>
            <w:pPr>
              <w:spacing w:line="360" w:lineRule="auto"/>
              <w:rPr>
                <w:rFonts w:hint="eastAsia" w:ascii="宋体" w:hAnsi="宋体" w:eastAsia="宋体" w:cs="宋体"/>
                <w:color w:val="auto"/>
                <w:sz w:val="2"/>
                <w:szCs w:val="2"/>
                <w:highlight w:val="none"/>
              </w:rPr>
            </w:pPr>
          </w:p>
        </w:tc>
        <w:tc>
          <w:tcPr>
            <w:tcW w:w="5761" w:type="dxa"/>
          </w:tcPr>
          <w:p>
            <w:pPr>
              <w:pStyle w:val="28"/>
              <w:spacing w:before="69"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7" w:line="360" w:lineRule="auto"/>
              <w:rPr>
                <w:rFonts w:hint="eastAsia" w:ascii="宋体" w:hAnsi="宋体" w:eastAsia="宋体" w:cs="宋体"/>
                <w:color w:val="auto"/>
                <w:sz w:val="17"/>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1.9.3</w:t>
            </w:r>
          </w:p>
        </w:tc>
        <w:tc>
          <w:tcPr>
            <w:tcW w:w="2035" w:type="dxa"/>
          </w:tcPr>
          <w:p>
            <w:pPr>
              <w:pStyle w:val="28"/>
              <w:spacing w:before="68" w:line="360" w:lineRule="auto"/>
              <w:ind w:left="607" w:leftChars="85" w:right="0" w:rightChars="0" w:hanging="420" w:hangingChars="200"/>
              <w:jc w:val="left"/>
              <w:rPr>
                <w:rFonts w:hint="eastAsia" w:ascii="宋体" w:hAnsi="宋体" w:eastAsia="宋体" w:cs="宋体"/>
                <w:color w:val="auto"/>
                <w:sz w:val="21"/>
                <w:highlight w:val="none"/>
              </w:rPr>
            </w:pPr>
            <w:r>
              <w:rPr>
                <w:rFonts w:hint="eastAsia" w:ascii="宋体" w:hAnsi="宋体" w:eastAsia="宋体" w:cs="宋体"/>
                <w:color w:val="auto"/>
                <w:sz w:val="21"/>
                <w:highlight w:val="none"/>
              </w:rPr>
              <w:t>招标文件澄清发出的形式</w:t>
            </w:r>
          </w:p>
        </w:tc>
        <w:tc>
          <w:tcPr>
            <w:tcW w:w="5761" w:type="dxa"/>
            <w:vAlign w:val="center"/>
          </w:tcPr>
          <w:p>
            <w:pPr>
              <w:spacing w:line="360" w:lineRule="auto"/>
              <w:ind w:left="0" w:leftChars="0" w:right="0" w:rightChars="0"/>
              <w:rPr>
                <w:rFonts w:hint="eastAsia" w:ascii="宋体" w:hAnsi="宋体" w:eastAsia="宋体" w:cs="宋体"/>
                <w:color w:val="auto"/>
                <w:highlight w:val="none"/>
                <w:lang w:val="zh-CN" w:eastAsia="zh-CN"/>
              </w:rPr>
            </w:pPr>
            <w:r>
              <w:rPr>
                <w:rFonts w:hint="eastAsia" w:ascii="宋体" w:hAnsi="宋体" w:eastAsia="宋体" w:cs="宋体"/>
                <w:color w:val="auto"/>
                <w:highlight w:val="none"/>
              </w:rPr>
              <w:t>通过“</w:t>
            </w:r>
            <w:r>
              <w:rPr>
                <w:rFonts w:hint="eastAsia" w:ascii="宋体" w:hAnsi="宋体" w:eastAsia="宋体" w:cs="宋体"/>
                <w:color w:val="auto"/>
                <w:highlight w:val="none"/>
                <w:lang w:val="en-US" w:eastAsia="zh-CN"/>
              </w:rPr>
              <w:t>兵团政采云</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线上</w:t>
            </w:r>
            <w:r>
              <w:rPr>
                <w:rFonts w:hint="eastAsia" w:ascii="宋体" w:hAnsi="宋体" w:eastAsia="宋体" w:cs="宋体"/>
                <w:color w:val="auto"/>
                <w:highlight w:val="none"/>
              </w:rPr>
              <w:t>发出招标文件澄清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before="9" w:line="360" w:lineRule="auto"/>
              <w:rPr>
                <w:rFonts w:hint="eastAsia" w:ascii="宋体" w:hAnsi="宋体" w:eastAsia="宋体" w:cs="宋体"/>
                <w:color w:val="auto"/>
                <w:sz w:val="17"/>
                <w:highlight w:val="none"/>
              </w:rPr>
            </w:pPr>
          </w:p>
          <w:p>
            <w:pPr>
              <w:pStyle w:val="28"/>
              <w:spacing w:line="360" w:lineRule="auto"/>
              <w:ind w:right="240"/>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1.10.1</w:t>
            </w:r>
          </w:p>
        </w:tc>
        <w:tc>
          <w:tcPr>
            <w:tcW w:w="20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before="9" w:line="360" w:lineRule="auto"/>
              <w:rPr>
                <w:rFonts w:hint="eastAsia" w:ascii="宋体" w:hAnsi="宋体" w:eastAsia="宋体" w:cs="宋体"/>
                <w:color w:val="auto"/>
                <w:sz w:val="17"/>
                <w:highlight w:val="none"/>
              </w:rPr>
            </w:pPr>
          </w:p>
          <w:p>
            <w:pPr>
              <w:pStyle w:val="28"/>
              <w:spacing w:line="360" w:lineRule="auto"/>
              <w:ind w:left="164"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分包</w:t>
            </w:r>
          </w:p>
        </w:tc>
        <w:tc>
          <w:tcPr>
            <w:tcW w:w="5761" w:type="dxa"/>
          </w:tcPr>
          <w:p>
            <w:pPr>
              <w:spacing w:line="360" w:lineRule="auto"/>
              <w:ind w:left="0" w:leftChars="0" w:right="0" w:rightChars="0"/>
              <w:rPr>
                <w:rFonts w:hint="eastAsia" w:ascii="宋体" w:hAnsi="宋体" w:eastAsia="宋体" w:cs="宋体"/>
                <w:color w:val="auto"/>
                <w:highlight w:val="none"/>
              </w:rPr>
            </w:pPr>
            <w:r>
              <w:rPr>
                <w:rFonts w:hint="eastAsia" w:ascii="宋体" w:hAnsi="宋体" w:eastAsia="宋体" w:cs="宋体"/>
                <w:color w:val="auto"/>
                <w:highlight w:val="none"/>
              </w:rPr>
              <w:sym w:font="Wingdings 2" w:char="0052"/>
            </w:r>
            <w:r>
              <w:rPr>
                <w:rFonts w:hint="eastAsia" w:ascii="宋体" w:hAnsi="宋体" w:eastAsia="宋体" w:cs="宋体"/>
                <w:color w:val="auto"/>
                <w:highlight w:val="none"/>
              </w:rPr>
              <w:t>不允许</w:t>
            </w:r>
          </w:p>
          <w:p>
            <w:pPr>
              <w:spacing w:line="360" w:lineRule="auto"/>
              <w:ind w:left="0" w:leftChars="0" w:right="0" w:rightChars="0"/>
              <w:rPr>
                <w:rFonts w:hint="eastAsia" w:ascii="宋体" w:hAnsi="宋体" w:eastAsia="宋体" w:cs="宋体"/>
                <w:color w:val="auto"/>
                <w:highlight w:val="none"/>
              </w:rPr>
            </w:pPr>
            <w:r>
              <w:rPr>
                <w:rFonts w:hint="eastAsia" w:ascii="宋体" w:hAnsi="宋体" w:eastAsia="宋体" w:cs="宋体"/>
                <w:color w:val="auto"/>
                <w:highlight w:val="none"/>
              </w:rPr>
              <w:t>□允许，分包内容要求：/</w:t>
            </w:r>
          </w:p>
          <w:p>
            <w:pPr>
              <w:spacing w:line="360" w:lineRule="auto"/>
              <w:ind w:left="0" w:leftChars="0" w:right="0" w:rightChars="0"/>
              <w:rPr>
                <w:rFonts w:hint="eastAsia" w:ascii="宋体" w:hAnsi="宋体" w:eastAsia="宋体" w:cs="宋体"/>
                <w:color w:val="auto"/>
                <w:highlight w:val="none"/>
              </w:rPr>
            </w:pPr>
            <w:r>
              <w:rPr>
                <w:rFonts w:hint="eastAsia" w:ascii="宋体" w:hAnsi="宋体" w:eastAsia="宋体" w:cs="宋体"/>
                <w:color w:val="auto"/>
                <w:highlight w:val="none"/>
              </w:rPr>
              <w:t>分包金额要求：/</w:t>
            </w:r>
          </w:p>
          <w:p>
            <w:pPr>
              <w:spacing w:line="360" w:lineRule="auto"/>
              <w:ind w:left="0" w:leftChars="0" w:right="0" w:rightChars="0"/>
              <w:rPr>
                <w:rFonts w:hint="eastAsia" w:ascii="宋体" w:hAnsi="宋体" w:eastAsia="宋体" w:cs="宋体"/>
                <w:color w:val="auto"/>
                <w:highlight w:val="none"/>
              </w:rPr>
            </w:pPr>
            <w:r>
              <w:rPr>
                <w:rFonts w:hint="eastAsia" w:ascii="宋体" w:hAnsi="宋体" w:eastAsia="宋体" w:cs="宋体"/>
                <w:color w:val="auto"/>
                <w:highlight w:val="none"/>
              </w:rPr>
              <w:t>对分包人的资质要求：/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1135" w:type="dxa"/>
          </w:tcPr>
          <w:p>
            <w:pPr>
              <w:pStyle w:val="28"/>
              <w:spacing w:before="7" w:line="360" w:lineRule="auto"/>
              <w:rPr>
                <w:rFonts w:hint="eastAsia" w:ascii="宋体" w:hAnsi="宋体" w:eastAsia="宋体" w:cs="宋体"/>
                <w:color w:val="auto"/>
                <w:sz w:val="17"/>
                <w:highlight w:val="none"/>
              </w:rPr>
            </w:pPr>
          </w:p>
          <w:p>
            <w:pPr>
              <w:pStyle w:val="28"/>
              <w:spacing w:line="360" w:lineRule="auto"/>
              <w:ind w:right="240"/>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1.11.1</w:t>
            </w:r>
          </w:p>
        </w:tc>
        <w:tc>
          <w:tcPr>
            <w:tcW w:w="2035" w:type="dxa"/>
            <w:vAlign w:val="center"/>
          </w:tcPr>
          <w:p>
            <w:pPr>
              <w:pStyle w:val="28"/>
              <w:spacing w:line="360" w:lineRule="auto"/>
              <w:ind w:left="167" w:right="16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实质性要求和条件</w:t>
            </w:r>
          </w:p>
        </w:tc>
        <w:tc>
          <w:tcPr>
            <w:tcW w:w="5761" w:type="dxa"/>
            <w:vAlign w:val="center"/>
          </w:tcPr>
          <w:p>
            <w:pPr>
              <w:pStyle w:val="28"/>
              <w:spacing w:line="360" w:lineRule="auto"/>
              <w:ind w:left="167" w:right="160"/>
              <w:jc w:val="both"/>
              <w:rPr>
                <w:rFonts w:hint="eastAsia" w:ascii="宋体" w:hAnsi="宋体" w:eastAsia="宋体" w:cs="宋体"/>
                <w:color w:val="auto"/>
                <w:sz w:val="21"/>
                <w:highlight w:val="none"/>
                <w:lang w:val="zh-CN" w:eastAsia="zh-CN"/>
              </w:rPr>
            </w:pPr>
            <w:r>
              <w:rPr>
                <w:rFonts w:hint="eastAsia" w:ascii="宋体" w:hAnsi="宋体" w:eastAsia="宋体" w:cs="宋体"/>
                <w:color w:val="auto"/>
                <w:sz w:val="21"/>
                <w:highlight w:val="none"/>
                <w:lang w:eastAsia="zh-CN"/>
              </w:rPr>
              <w:t>投标有效期、</w:t>
            </w:r>
            <w:r>
              <w:rPr>
                <w:rFonts w:hint="eastAsia" w:ascii="宋体" w:hAnsi="宋体" w:eastAsia="宋体" w:cs="宋体"/>
                <w:color w:val="auto"/>
                <w:sz w:val="21"/>
                <w:highlight w:val="none"/>
                <w:lang w:val="en-US" w:eastAsia="zh-CN"/>
              </w:rPr>
              <w:t>付款方式</w:t>
            </w:r>
            <w:r>
              <w:rPr>
                <w:rFonts w:hint="eastAsia" w:ascii="宋体" w:hAnsi="宋体" w:eastAsia="宋体" w:cs="宋体"/>
                <w:color w:val="auto"/>
                <w:sz w:val="21"/>
                <w:highlight w:val="none"/>
                <w:lang w:eastAsia="zh-CN"/>
              </w:rPr>
              <w:t>、招标范围、质保期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8" w:line="360" w:lineRule="auto"/>
              <w:rPr>
                <w:rFonts w:hint="eastAsia" w:ascii="宋体" w:hAnsi="宋体" w:eastAsia="宋体" w:cs="宋体"/>
                <w:color w:val="auto"/>
                <w:sz w:val="17"/>
                <w:highlight w:val="none"/>
              </w:rPr>
            </w:pPr>
          </w:p>
          <w:p>
            <w:pPr>
              <w:pStyle w:val="28"/>
              <w:spacing w:before="1" w:line="360" w:lineRule="auto"/>
              <w:ind w:right="240"/>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1.11.3</w:t>
            </w:r>
          </w:p>
        </w:tc>
        <w:tc>
          <w:tcPr>
            <w:tcW w:w="2035" w:type="dxa"/>
            <w:vAlign w:val="center"/>
          </w:tcPr>
          <w:p>
            <w:pPr>
              <w:pStyle w:val="28"/>
              <w:spacing w:before="67" w:line="360" w:lineRule="auto"/>
              <w:ind w:left="420" w:leftChars="0" w:right="70" w:rightChars="0" w:hanging="420" w:hangingChars="20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其他可以被接受的技术支持资料</w:t>
            </w:r>
          </w:p>
        </w:tc>
        <w:tc>
          <w:tcPr>
            <w:tcW w:w="5761" w:type="dxa"/>
            <w:vAlign w:val="center"/>
          </w:tcPr>
          <w:p>
            <w:pPr>
              <w:pStyle w:val="28"/>
              <w:spacing w:before="8" w:line="360" w:lineRule="auto"/>
              <w:jc w:val="both"/>
              <w:rPr>
                <w:rFonts w:hint="eastAsia" w:ascii="宋体" w:hAnsi="宋体" w:eastAsia="宋体" w:cs="宋体"/>
                <w:color w:val="auto"/>
                <w:sz w:val="17"/>
                <w:highlight w:val="none"/>
              </w:rPr>
            </w:pPr>
          </w:p>
          <w:p>
            <w:pPr>
              <w:pStyle w:val="28"/>
              <w:spacing w:before="1" w:line="360" w:lineRule="auto"/>
              <w:ind w:left="84"/>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其他有利于招标人的资料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before="1" w:line="360" w:lineRule="auto"/>
              <w:rPr>
                <w:rFonts w:hint="eastAsia" w:ascii="宋体" w:hAnsi="宋体" w:eastAsia="宋体" w:cs="宋体"/>
                <w:color w:val="auto"/>
                <w:sz w:val="23"/>
                <w:highlight w:val="none"/>
              </w:rPr>
            </w:pPr>
          </w:p>
          <w:p>
            <w:pPr>
              <w:pStyle w:val="28"/>
              <w:spacing w:line="360" w:lineRule="auto"/>
              <w:ind w:right="240"/>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1.11.4</w:t>
            </w:r>
          </w:p>
        </w:tc>
        <w:tc>
          <w:tcPr>
            <w:tcW w:w="2035" w:type="dxa"/>
          </w:tcPr>
          <w:p>
            <w:pPr>
              <w:pStyle w:val="28"/>
              <w:spacing w:line="360" w:lineRule="auto"/>
              <w:rPr>
                <w:rFonts w:hint="eastAsia" w:ascii="宋体" w:hAnsi="宋体" w:eastAsia="宋体" w:cs="宋体"/>
                <w:color w:val="auto"/>
                <w:sz w:val="20"/>
                <w:highlight w:val="none"/>
              </w:rPr>
            </w:pPr>
          </w:p>
          <w:p>
            <w:pPr>
              <w:pStyle w:val="28"/>
              <w:spacing w:before="1" w:line="360" w:lineRule="auto"/>
              <w:rPr>
                <w:rFonts w:hint="eastAsia" w:ascii="宋体" w:hAnsi="宋体" w:eastAsia="宋体" w:cs="宋体"/>
                <w:color w:val="auto"/>
                <w:sz w:val="23"/>
                <w:highlight w:val="none"/>
              </w:rPr>
            </w:pPr>
          </w:p>
          <w:p>
            <w:pPr>
              <w:pStyle w:val="28"/>
              <w:spacing w:line="360" w:lineRule="auto"/>
              <w:ind w:left="164"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偏差</w:t>
            </w:r>
          </w:p>
        </w:tc>
        <w:tc>
          <w:tcPr>
            <w:tcW w:w="5761" w:type="dxa"/>
          </w:tcPr>
          <w:p>
            <w:pPr>
              <w:spacing w:line="360" w:lineRule="auto"/>
              <w:ind w:left="0" w:leftChars="0" w:right="0" w:rightChars="0"/>
              <w:rPr>
                <w:rFonts w:hint="eastAsia" w:ascii="宋体" w:hAnsi="宋体" w:eastAsia="宋体" w:cs="宋体"/>
                <w:color w:val="auto"/>
                <w:highlight w:val="none"/>
              </w:rPr>
            </w:pPr>
            <w:r>
              <w:rPr>
                <w:rFonts w:hint="eastAsia" w:ascii="宋体" w:hAnsi="宋体" w:eastAsia="宋体" w:cs="宋体"/>
                <w:color w:val="auto"/>
                <w:highlight w:val="none"/>
              </w:rPr>
              <w:sym w:font="Wingdings 2" w:char="0052"/>
            </w:r>
            <w:r>
              <w:rPr>
                <w:rFonts w:hint="eastAsia" w:ascii="宋体" w:hAnsi="宋体" w:eastAsia="宋体" w:cs="宋体"/>
                <w:color w:val="auto"/>
                <w:highlight w:val="none"/>
              </w:rPr>
              <w:t>不允许</w:t>
            </w:r>
          </w:p>
          <w:p>
            <w:pPr>
              <w:spacing w:line="360" w:lineRule="auto"/>
              <w:ind w:left="0" w:leftChars="0" w:right="0" w:rightChars="0"/>
              <w:rPr>
                <w:rFonts w:hint="eastAsia" w:ascii="宋体" w:hAnsi="宋体" w:eastAsia="宋体" w:cs="宋体"/>
                <w:color w:val="auto"/>
                <w:highlight w:val="none"/>
              </w:rPr>
            </w:pPr>
            <w:r>
              <w:rPr>
                <w:rFonts w:hint="eastAsia" w:ascii="宋体" w:hAnsi="宋体" w:eastAsia="宋体" w:cs="宋体"/>
                <w:color w:val="auto"/>
                <w:highlight w:val="none"/>
              </w:rPr>
              <w:t>□允许，偏差范围：/</w:t>
            </w:r>
          </w:p>
          <w:p>
            <w:pPr>
              <w:spacing w:line="360" w:lineRule="auto"/>
              <w:ind w:left="0" w:leftChars="0" w:right="0" w:rightChars="0"/>
              <w:rPr>
                <w:rFonts w:hint="eastAsia" w:ascii="宋体" w:hAnsi="宋体" w:eastAsia="宋体" w:cs="宋体"/>
                <w:color w:val="auto"/>
                <w:highlight w:val="none"/>
              </w:rPr>
            </w:pPr>
            <w:r>
              <w:rPr>
                <w:rFonts w:hint="eastAsia" w:ascii="宋体" w:hAnsi="宋体" w:eastAsia="宋体" w:cs="宋体"/>
                <w:color w:val="auto"/>
                <w:highlight w:val="none"/>
              </w:rPr>
              <w:t>最高项数：/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7" w:line="360" w:lineRule="auto"/>
              <w:rPr>
                <w:rFonts w:hint="eastAsia" w:ascii="宋体" w:hAnsi="宋体" w:eastAsia="宋体" w:cs="宋体"/>
                <w:color w:val="auto"/>
                <w:sz w:val="17"/>
                <w:highlight w:val="none"/>
              </w:rPr>
            </w:pPr>
          </w:p>
          <w:p>
            <w:pPr>
              <w:pStyle w:val="28"/>
              <w:spacing w:line="360" w:lineRule="auto"/>
              <w:ind w:left="84" w:right="76"/>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2.1</w:t>
            </w:r>
          </w:p>
        </w:tc>
        <w:tc>
          <w:tcPr>
            <w:tcW w:w="2035" w:type="dxa"/>
          </w:tcPr>
          <w:p>
            <w:pPr>
              <w:pStyle w:val="28"/>
              <w:spacing w:before="68" w:line="360" w:lineRule="auto"/>
              <w:ind w:left="766" w:leftChars="0" w:right="0" w:rightChars="0" w:hanging="579"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rPr>
              <w:t>构成招标文件的其他资料</w:t>
            </w:r>
          </w:p>
        </w:tc>
        <w:tc>
          <w:tcPr>
            <w:tcW w:w="5761" w:type="dxa"/>
          </w:tcPr>
          <w:p>
            <w:pPr>
              <w:spacing w:line="360" w:lineRule="auto"/>
              <w:ind w:left="0" w:leftChars="0" w:right="0" w:rightChars="0"/>
              <w:rPr>
                <w:rFonts w:hint="eastAsia" w:ascii="宋体" w:hAnsi="宋体" w:eastAsia="宋体" w:cs="宋体"/>
                <w:color w:val="auto"/>
                <w:highlight w:val="none"/>
              </w:rPr>
            </w:pPr>
            <w:r>
              <w:rPr>
                <w:rFonts w:hint="eastAsia" w:ascii="宋体" w:hAnsi="宋体" w:eastAsia="宋体" w:cs="宋体"/>
                <w:color w:val="auto"/>
                <w:highlight w:val="none"/>
              </w:rPr>
              <w:t>答疑、补充文件、澄清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135" w:type="dxa"/>
          </w:tcPr>
          <w:p>
            <w:pPr>
              <w:pStyle w:val="28"/>
              <w:spacing w:before="3" w:line="360" w:lineRule="auto"/>
              <w:rPr>
                <w:rFonts w:hint="eastAsia" w:ascii="宋体" w:hAnsi="宋体" w:eastAsia="宋体" w:cs="宋体"/>
                <w:color w:val="auto"/>
                <w:sz w:val="25"/>
                <w:highlight w:val="none"/>
              </w:rPr>
            </w:pPr>
          </w:p>
          <w:p>
            <w:pPr>
              <w:pStyle w:val="28"/>
              <w:spacing w:line="360" w:lineRule="auto"/>
              <w:ind w:left="305"/>
              <w:rPr>
                <w:rFonts w:hint="eastAsia" w:ascii="宋体" w:hAnsi="宋体" w:eastAsia="宋体" w:cs="宋体"/>
                <w:color w:val="auto"/>
                <w:sz w:val="21"/>
                <w:highlight w:val="none"/>
              </w:rPr>
            </w:pPr>
            <w:r>
              <w:rPr>
                <w:rFonts w:hint="eastAsia" w:ascii="宋体" w:hAnsi="宋体" w:eastAsia="宋体" w:cs="宋体"/>
                <w:color w:val="auto"/>
                <w:sz w:val="21"/>
                <w:highlight w:val="none"/>
              </w:rPr>
              <w:t>2.2.1</w:t>
            </w:r>
          </w:p>
        </w:tc>
        <w:tc>
          <w:tcPr>
            <w:tcW w:w="2035" w:type="dxa"/>
          </w:tcPr>
          <w:p>
            <w:pPr>
              <w:pStyle w:val="28"/>
              <w:spacing w:before="154" w:line="360" w:lineRule="auto"/>
              <w:ind w:left="558" w:leftChars="85" w:right="0" w:rightChars="0" w:hanging="371" w:hangingChars="177"/>
              <w:rPr>
                <w:rFonts w:hint="eastAsia" w:ascii="宋体" w:hAnsi="宋体" w:eastAsia="宋体" w:cs="宋体"/>
                <w:color w:val="auto"/>
                <w:sz w:val="21"/>
                <w:highlight w:val="none"/>
              </w:rPr>
            </w:pPr>
          </w:p>
          <w:p>
            <w:pPr>
              <w:pStyle w:val="28"/>
              <w:spacing w:before="154" w:line="360" w:lineRule="auto"/>
              <w:ind w:left="558" w:leftChars="85" w:right="0" w:rightChars="0" w:hanging="371" w:hangingChars="177"/>
              <w:rPr>
                <w:rFonts w:hint="eastAsia" w:ascii="宋体" w:hAnsi="宋体" w:eastAsia="宋体" w:cs="宋体"/>
                <w:color w:val="auto"/>
                <w:sz w:val="21"/>
                <w:highlight w:val="none"/>
              </w:rPr>
            </w:pPr>
          </w:p>
          <w:p>
            <w:pPr>
              <w:pStyle w:val="28"/>
              <w:spacing w:before="154" w:line="360" w:lineRule="auto"/>
              <w:ind w:left="558" w:leftChars="85" w:right="0" w:rightChars="0" w:hanging="371" w:hangingChars="177"/>
              <w:rPr>
                <w:rFonts w:hint="eastAsia" w:ascii="宋体" w:hAnsi="宋体" w:eastAsia="宋体" w:cs="宋体"/>
                <w:color w:val="auto"/>
                <w:sz w:val="21"/>
                <w:highlight w:val="none"/>
              </w:rPr>
            </w:pPr>
            <w:r>
              <w:rPr>
                <w:rFonts w:hint="eastAsia" w:ascii="宋体" w:hAnsi="宋体" w:eastAsia="宋体" w:cs="宋体"/>
                <w:color w:val="auto"/>
                <w:sz w:val="21"/>
                <w:highlight w:val="none"/>
              </w:rPr>
              <w:t>投标人要求澄清</w:t>
            </w:r>
            <w:r>
              <w:rPr>
                <w:rFonts w:hint="eastAsia" w:ascii="宋体" w:hAnsi="宋体" w:eastAsia="宋体" w:cs="宋体"/>
                <w:color w:val="auto"/>
                <w:sz w:val="21"/>
                <w:highlight w:val="none"/>
                <w:lang w:val="en-US" w:eastAsia="zh-CN"/>
              </w:rPr>
              <w:t>答疑</w:t>
            </w:r>
            <w:r>
              <w:rPr>
                <w:rFonts w:hint="eastAsia" w:ascii="宋体" w:hAnsi="宋体" w:eastAsia="宋体" w:cs="宋体"/>
                <w:color w:val="auto"/>
                <w:sz w:val="21"/>
                <w:highlight w:val="none"/>
              </w:rPr>
              <w:t>招标文件</w:t>
            </w:r>
          </w:p>
        </w:tc>
        <w:tc>
          <w:tcPr>
            <w:tcW w:w="5761" w:type="dxa"/>
            <w:vAlign w:val="center"/>
          </w:tcPr>
          <w:p>
            <w:pPr>
              <w:spacing w:line="360" w:lineRule="auto"/>
              <w:ind w:left="0" w:leftChars="0" w:right="0" w:righ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潜在投标人已依法获取其可质疑的招标文件的，可以对该文件提出质疑。对采购文件提出质疑的，应当在获取采购文件或者采购文件公告期限届满之日起7个工作日内一次性提出（逾期不予受理）。</w:t>
            </w:r>
          </w:p>
          <w:p>
            <w:pPr>
              <w:spacing w:line="360" w:lineRule="auto"/>
              <w:ind w:left="0" w:leftChars="0" w:right="0" w:righ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联系人：师翠婷</w:t>
            </w:r>
          </w:p>
          <w:p>
            <w:pPr>
              <w:spacing w:line="360" w:lineRule="auto"/>
              <w:ind w:left="0" w:leftChars="0" w:right="0" w:righ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联系电话：13699387229</w:t>
            </w:r>
          </w:p>
          <w:p>
            <w:pPr>
              <w:spacing w:line="360" w:lineRule="auto"/>
              <w:ind w:left="0" w:leftChars="0" w:right="0" w:righ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提交方式：将疑问或澄清文件加盖单位公章的纸质资料递交至招标公司。</w:t>
            </w:r>
          </w:p>
          <w:p>
            <w:pPr>
              <w:spacing w:line="360" w:lineRule="auto"/>
              <w:ind w:left="0" w:leftChars="0" w:right="0" w:righ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注：澄清、修改文件发出后，投标人必须使用最新的澄清文件制作电子投标文件，否则将无法完成上传。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9" w:line="360" w:lineRule="auto"/>
              <w:rPr>
                <w:rFonts w:hint="eastAsia" w:ascii="宋体" w:hAnsi="宋体" w:eastAsia="宋体" w:cs="宋体"/>
                <w:color w:val="auto"/>
                <w:sz w:val="17"/>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2.2.2</w:t>
            </w:r>
          </w:p>
        </w:tc>
        <w:tc>
          <w:tcPr>
            <w:tcW w:w="2035" w:type="dxa"/>
          </w:tcPr>
          <w:p>
            <w:pPr>
              <w:pStyle w:val="28"/>
              <w:spacing w:before="68" w:line="360" w:lineRule="auto"/>
              <w:ind w:left="607" w:leftChars="85" w:right="0" w:rightChars="0" w:hanging="420" w:hanging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招标文件澄清发出的形式</w:t>
            </w:r>
          </w:p>
        </w:tc>
        <w:tc>
          <w:tcPr>
            <w:tcW w:w="5761" w:type="dxa"/>
            <w:vAlign w:val="center"/>
          </w:tcPr>
          <w:p>
            <w:pPr>
              <w:spacing w:line="360" w:lineRule="auto"/>
              <w:ind w:left="0" w:leftChars="0" w:right="0" w:righ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通过“兵团政府采购网”发出招标文件澄清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7" w:line="360" w:lineRule="auto"/>
              <w:rPr>
                <w:rFonts w:hint="eastAsia" w:ascii="宋体" w:hAnsi="宋体" w:eastAsia="宋体" w:cs="宋体"/>
                <w:color w:val="auto"/>
                <w:sz w:val="17"/>
                <w:highlight w:val="none"/>
              </w:rPr>
            </w:pPr>
          </w:p>
          <w:p>
            <w:pPr>
              <w:pStyle w:val="28"/>
              <w:spacing w:before="1"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2.3.1</w:t>
            </w:r>
          </w:p>
        </w:tc>
        <w:tc>
          <w:tcPr>
            <w:tcW w:w="2035" w:type="dxa"/>
          </w:tcPr>
          <w:p>
            <w:pPr>
              <w:pStyle w:val="28"/>
              <w:spacing w:before="69" w:line="360" w:lineRule="auto"/>
              <w:ind w:left="670" w:leftChars="0" w:right="0" w:rightChars="0" w:hanging="483"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rPr>
              <w:t>招标文件修改发出的形式</w:t>
            </w:r>
          </w:p>
        </w:tc>
        <w:tc>
          <w:tcPr>
            <w:tcW w:w="5761" w:type="dxa"/>
          </w:tcPr>
          <w:p>
            <w:pPr>
              <w:pStyle w:val="28"/>
              <w:spacing w:before="7" w:line="360" w:lineRule="auto"/>
              <w:rPr>
                <w:rFonts w:hint="eastAsia" w:ascii="宋体" w:hAnsi="宋体" w:eastAsia="宋体" w:cs="宋体"/>
                <w:color w:val="auto"/>
                <w:sz w:val="17"/>
                <w:highlight w:val="none"/>
              </w:rPr>
            </w:pPr>
          </w:p>
          <w:p>
            <w:pPr>
              <w:pStyle w:val="28"/>
              <w:spacing w:before="1" w:line="360" w:lineRule="auto"/>
              <w:ind w:left="84"/>
              <w:rPr>
                <w:rFonts w:hint="eastAsia" w:ascii="宋体" w:hAnsi="宋体" w:eastAsia="宋体" w:cs="宋体"/>
                <w:color w:val="auto"/>
                <w:sz w:val="21"/>
                <w:highlight w:val="none"/>
              </w:rPr>
            </w:pPr>
            <w:r>
              <w:rPr>
                <w:rFonts w:hint="eastAsia" w:ascii="宋体" w:hAnsi="宋体" w:eastAsia="宋体" w:cs="宋体"/>
                <w:color w:val="auto"/>
                <w:highlight w:val="none"/>
              </w:rPr>
              <w:t>通过“</w:t>
            </w:r>
            <w:r>
              <w:rPr>
                <w:rFonts w:hint="eastAsia" w:ascii="宋体" w:hAnsi="宋体" w:eastAsia="宋体" w:cs="宋体"/>
                <w:color w:val="auto"/>
                <w:highlight w:val="none"/>
                <w:lang w:val="en-US" w:eastAsia="zh-CN"/>
              </w:rPr>
              <w:t>兵团政府采购网</w:t>
            </w:r>
            <w:r>
              <w:rPr>
                <w:rFonts w:hint="eastAsia" w:ascii="宋体" w:hAnsi="宋体" w:eastAsia="宋体" w:cs="宋体"/>
                <w:color w:val="auto"/>
                <w:highlight w:val="none"/>
              </w:rPr>
              <w:t>”发出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8" w:line="360" w:lineRule="auto"/>
              <w:rPr>
                <w:rFonts w:hint="eastAsia" w:ascii="宋体" w:hAnsi="宋体" w:eastAsia="宋体" w:cs="宋体"/>
                <w:color w:val="auto"/>
                <w:sz w:val="17"/>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3.1.1</w:t>
            </w:r>
          </w:p>
        </w:tc>
        <w:tc>
          <w:tcPr>
            <w:tcW w:w="2035" w:type="dxa"/>
          </w:tcPr>
          <w:p>
            <w:pPr>
              <w:pStyle w:val="28"/>
              <w:spacing w:before="67" w:line="360" w:lineRule="auto"/>
              <w:ind w:left="742" w:leftChars="0" w:right="58" w:rightChars="0" w:hanging="555"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rPr>
              <w:t>构成投标文件的其他资料</w:t>
            </w:r>
          </w:p>
        </w:tc>
        <w:tc>
          <w:tcPr>
            <w:tcW w:w="5761" w:type="dxa"/>
          </w:tcPr>
          <w:p>
            <w:pPr>
              <w:pStyle w:val="28"/>
              <w:spacing w:before="8" w:line="360" w:lineRule="auto"/>
              <w:rPr>
                <w:rFonts w:hint="eastAsia" w:ascii="宋体" w:hAnsi="宋体" w:eastAsia="宋体" w:cs="宋体"/>
                <w:color w:val="auto"/>
                <w:sz w:val="17"/>
                <w:highlight w:val="none"/>
              </w:rPr>
            </w:pP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见招标文件第六章第十一项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9" w:line="360" w:lineRule="auto"/>
              <w:rPr>
                <w:rFonts w:hint="eastAsia" w:ascii="宋体" w:hAnsi="宋体" w:eastAsia="宋体" w:cs="宋体"/>
                <w:color w:val="auto"/>
                <w:sz w:val="17"/>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3.2.1</w:t>
            </w:r>
          </w:p>
        </w:tc>
        <w:tc>
          <w:tcPr>
            <w:tcW w:w="2035" w:type="dxa"/>
          </w:tcPr>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增值税税金的计算方法</w:t>
            </w:r>
          </w:p>
        </w:tc>
        <w:tc>
          <w:tcPr>
            <w:tcW w:w="5761" w:type="dxa"/>
          </w:tcPr>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投标报价须包含按国家规定的增值税税金，按一般计税方法 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135" w:type="dxa"/>
          </w:tcPr>
          <w:p>
            <w:pPr>
              <w:pStyle w:val="28"/>
              <w:spacing w:before="9" w:line="360" w:lineRule="auto"/>
              <w:rPr>
                <w:rFonts w:hint="eastAsia" w:ascii="宋体" w:hAnsi="宋体" w:eastAsia="宋体" w:cs="宋体"/>
                <w:color w:val="auto"/>
                <w:sz w:val="23"/>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3.2.4</w:t>
            </w:r>
          </w:p>
        </w:tc>
        <w:tc>
          <w:tcPr>
            <w:tcW w:w="2035" w:type="dxa"/>
          </w:tcPr>
          <w:p>
            <w:pPr>
              <w:pStyle w:val="28"/>
              <w:spacing w:line="360" w:lineRule="auto"/>
              <w:ind w:left="84"/>
              <w:rPr>
                <w:rFonts w:hint="eastAsia" w:ascii="宋体" w:hAnsi="宋体" w:eastAsia="宋体" w:cs="宋体"/>
                <w:color w:val="auto"/>
                <w:sz w:val="21"/>
                <w:highlight w:val="none"/>
              </w:rPr>
            </w:pP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最高投标限价</w:t>
            </w:r>
          </w:p>
        </w:tc>
        <w:tc>
          <w:tcPr>
            <w:tcW w:w="5761" w:type="dxa"/>
          </w:tcPr>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□无</w:t>
            </w: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□√有，最高投标限价：</w:t>
            </w: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 xml:space="preserve">  650</w:t>
            </w:r>
            <w:r>
              <w:rPr>
                <w:rFonts w:hint="eastAsia" w:ascii="宋体" w:hAnsi="宋体" w:eastAsia="宋体" w:cs="宋体"/>
                <w:color w:val="auto"/>
                <w:sz w:val="21"/>
                <w:highlight w:val="none"/>
              </w:rPr>
              <w:t>万元（大写：</w:t>
            </w:r>
            <w:r>
              <w:rPr>
                <w:rFonts w:hint="eastAsia" w:ascii="宋体" w:hAnsi="宋体" w:eastAsia="宋体" w:cs="宋体"/>
                <w:color w:val="auto"/>
                <w:sz w:val="21"/>
                <w:highlight w:val="none"/>
                <w:lang w:val="en-US" w:eastAsia="zh-CN"/>
              </w:rPr>
              <w:t>陆佰伍拾万</w:t>
            </w:r>
            <w:r>
              <w:rPr>
                <w:rFonts w:hint="eastAsia" w:ascii="宋体" w:hAnsi="宋体" w:eastAsia="宋体" w:cs="宋体"/>
                <w:color w:val="auto"/>
                <w:sz w:val="21"/>
                <w:highlight w:val="none"/>
              </w:rPr>
              <w:t>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7"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before="8" w:line="360" w:lineRule="auto"/>
              <w:rPr>
                <w:rFonts w:hint="eastAsia" w:ascii="宋体" w:hAnsi="宋体" w:eastAsia="宋体" w:cs="宋体"/>
                <w:color w:val="auto"/>
                <w:sz w:val="17"/>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3.2.5</w:t>
            </w:r>
          </w:p>
        </w:tc>
        <w:tc>
          <w:tcPr>
            <w:tcW w:w="2035" w:type="dxa"/>
          </w:tcPr>
          <w:p>
            <w:pPr>
              <w:pStyle w:val="28"/>
              <w:spacing w:line="360" w:lineRule="auto"/>
              <w:ind w:left="84"/>
              <w:rPr>
                <w:rFonts w:hint="eastAsia" w:ascii="宋体" w:hAnsi="宋体" w:eastAsia="宋体" w:cs="宋体"/>
                <w:color w:val="auto"/>
                <w:sz w:val="21"/>
                <w:highlight w:val="none"/>
              </w:rPr>
            </w:pPr>
          </w:p>
          <w:p>
            <w:pPr>
              <w:pStyle w:val="28"/>
              <w:spacing w:line="360" w:lineRule="auto"/>
              <w:ind w:left="84"/>
              <w:rPr>
                <w:rFonts w:hint="eastAsia" w:ascii="宋体" w:hAnsi="宋体" w:eastAsia="宋体" w:cs="宋体"/>
                <w:color w:val="auto"/>
                <w:sz w:val="21"/>
                <w:highlight w:val="none"/>
              </w:rPr>
            </w:pPr>
          </w:p>
          <w:p>
            <w:pPr>
              <w:pStyle w:val="28"/>
              <w:spacing w:line="360" w:lineRule="auto"/>
              <w:ind w:left="84"/>
              <w:rPr>
                <w:rFonts w:hint="eastAsia" w:ascii="宋体" w:hAnsi="宋体" w:eastAsia="宋体" w:cs="宋体"/>
                <w:color w:val="auto"/>
                <w:sz w:val="21"/>
                <w:highlight w:val="none"/>
              </w:rPr>
            </w:pPr>
          </w:p>
          <w:p>
            <w:pPr>
              <w:pStyle w:val="28"/>
              <w:spacing w:line="360" w:lineRule="auto"/>
              <w:ind w:left="84"/>
              <w:rPr>
                <w:rFonts w:hint="eastAsia" w:ascii="宋体" w:hAnsi="宋体" w:eastAsia="宋体" w:cs="宋体"/>
                <w:color w:val="auto"/>
                <w:sz w:val="21"/>
                <w:highlight w:val="none"/>
              </w:rPr>
            </w:pPr>
          </w:p>
          <w:p>
            <w:pPr>
              <w:pStyle w:val="28"/>
              <w:spacing w:line="360" w:lineRule="auto"/>
              <w:ind w:left="84"/>
              <w:rPr>
                <w:rFonts w:hint="eastAsia" w:ascii="宋体" w:hAnsi="宋体" w:eastAsia="宋体" w:cs="宋体"/>
                <w:color w:val="auto"/>
                <w:sz w:val="21"/>
                <w:highlight w:val="none"/>
              </w:rPr>
            </w:pP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投标报价的其他要求</w:t>
            </w:r>
          </w:p>
        </w:tc>
        <w:tc>
          <w:tcPr>
            <w:tcW w:w="5761" w:type="dxa"/>
          </w:tcPr>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投标人应按本招标文件第六章《投标文件格式》所提供的报价表格式报出投标产品的单价和投标总价。任何有选择的报价将不予接受，每种货物只允许有一个报价。其它各类报价也只允许有一个报价（除非招标人另有约定）。</w:t>
            </w: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投标价格应包括投标系统设备本体、随机提供的备品备件和专用工具、技术资料、技术服务、人员培训及支付的仓储费、保险费、送货到招标人指定地点的运输费、装卸费、安装费、技术服务费及投标人应当支付的各种税费等有关所有费用。投标报价表上的价格应按下列方式分项填报：</w:t>
            </w: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投标报价表中标明的价格在签订合同及合同执行过程中是固定不变的，不得以任何理由予以变更（除非招标人另有约定）。</w:t>
            </w: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投标人的投标报价中若出现单价与总价有差异，则以单价累计为准，并对总价进行修正；若大写和小写的金额之间有差异，则以大写的金额为准，并对小写的金额做相应的修正。若投标人拒不接受前述修正，将有可能导致投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35" w:type="dxa"/>
          </w:tcPr>
          <w:p>
            <w:pPr>
              <w:pStyle w:val="28"/>
              <w:spacing w:line="360" w:lineRule="auto"/>
              <w:ind w:left="84"/>
              <w:rPr>
                <w:rFonts w:hint="eastAsia" w:ascii="宋体" w:hAnsi="宋体" w:eastAsia="宋体" w:cs="宋体"/>
                <w:color w:val="auto"/>
                <w:sz w:val="21"/>
                <w:highlight w:val="none"/>
              </w:rPr>
            </w:pP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3.2.6</w:t>
            </w:r>
          </w:p>
        </w:tc>
        <w:tc>
          <w:tcPr>
            <w:tcW w:w="2035" w:type="dxa"/>
            <w:vAlign w:val="center"/>
          </w:tcPr>
          <w:p>
            <w:pPr>
              <w:pStyle w:val="28"/>
              <w:spacing w:line="360" w:lineRule="auto"/>
              <w:ind w:left="84"/>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中小微型企业有关政策</w:t>
            </w:r>
          </w:p>
        </w:tc>
        <w:tc>
          <w:tcPr>
            <w:tcW w:w="5761" w:type="dxa"/>
            <w:vAlign w:val="center"/>
          </w:tcPr>
          <w:p>
            <w:pPr>
              <w:pStyle w:val="28"/>
              <w:spacing w:line="360" w:lineRule="auto"/>
              <w:ind w:left="84"/>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根据工信部等部委发布的《关于印发中小企业划型标准 规定的通知》（工信部联企业[2011]300 号）规定执行；</w:t>
            </w:r>
          </w:p>
          <w:p>
            <w:pPr>
              <w:pStyle w:val="28"/>
              <w:spacing w:line="360" w:lineRule="auto"/>
              <w:ind w:left="84"/>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价格扣除幅度：价格给予 </w:t>
            </w:r>
            <w:r>
              <w:rPr>
                <w:rFonts w:hint="eastAsia" w:ascii="宋体" w:hAnsi="宋体" w:eastAsia="宋体" w:cs="宋体"/>
                <w:color w:val="auto"/>
                <w:sz w:val="21"/>
                <w:highlight w:val="none"/>
                <w:lang w:val="en-US" w:eastAsia="zh-CN"/>
              </w:rPr>
              <w:t>10</w:t>
            </w:r>
            <w:r>
              <w:rPr>
                <w:rFonts w:hint="eastAsia" w:ascii="宋体" w:hAnsi="宋体" w:eastAsia="宋体" w:cs="宋体"/>
                <w:color w:val="auto"/>
                <w:sz w:val="21"/>
                <w:highlight w:val="none"/>
              </w:rPr>
              <w:t>%的扣除。</w:t>
            </w:r>
            <w:r>
              <w:rPr>
                <w:rFonts w:hint="eastAsia" w:ascii="宋体" w:hAnsi="宋体" w:eastAsia="宋体" w:cs="宋体"/>
                <w:color w:val="auto"/>
                <w:sz w:val="21"/>
                <w:highlight w:val="none"/>
              </w:rPr>
              <w:br w:type="textWrapping"/>
            </w:r>
            <w:r>
              <w:rPr>
                <w:rFonts w:hint="eastAsia" w:ascii="宋体" w:hAnsi="宋体" w:eastAsia="宋体" w:cs="宋体"/>
                <w:color w:val="auto"/>
                <w:sz w:val="21"/>
                <w:highlight w:val="none"/>
                <w:lang w:val="en-US" w:eastAsia="zh-CN"/>
              </w:rPr>
              <w:t>本项目所属行业：软件和信息技术服务业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8" w:line="360" w:lineRule="auto"/>
              <w:rPr>
                <w:rFonts w:hint="eastAsia" w:ascii="宋体" w:hAnsi="宋体" w:eastAsia="宋体" w:cs="宋体"/>
                <w:color w:val="auto"/>
                <w:sz w:val="17"/>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3.3.1</w:t>
            </w:r>
          </w:p>
        </w:tc>
        <w:tc>
          <w:tcPr>
            <w:tcW w:w="2035" w:type="dxa"/>
          </w:tcPr>
          <w:p>
            <w:pPr>
              <w:pStyle w:val="28"/>
              <w:spacing w:before="8" w:line="360" w:lineRule="auto"/>
              <w:rPr>
                <w:rFonts w:hint="eastAsia" w:ascii="宋体" w:hAnsi="宋体" w:eastAsia="宋体" w:cs="宋体"/>
                <w:color w:val="auto"/>
                <w:sz w:val="17"/>
                <w:highlight w:val="none"/>
              </w:rPr>
            </w:pPr>
          </w:p>
          <w:p>
            <w:pPr>
              <w:pStyle w:val="28"/>
              <w:spacing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投标有效期</w:t>
            </w:r>
          </w:p>
        </w:tc>
        <w:tc>
          <w:tcPr>
            <w:tcW w:w="5761" w:type="dxa"/>
          </w:tcPr>
          <w:p>
            <w:pPr>
              <w:pStyle w:val="28"/>
              <w:spacing w:line="360" w:lineRule="auto"/>
              <w:ind w:left="84"/>
              <w:jc w:val="left"/>
              <w:rPr>
                <w:rFonts w:hint="eastAsia" w:ascii="宋体" w:hAnsi="宋体" w:eastAsia="宋体" w:cs="宋体"/>
                <w:color w:val="auto"/>
                <w:sz w:val="21"/>
                <w:highlight w:val="none"/>
              </w:rPr>
            </w:pPr>
          </w:p>
          <w:p>
            <w:pPr>
              <w:pStyle w:val="28"/>
              <w:spacing w:line="360" w:lineRule="auto"/>
              <w:ind w:left="84"/>
              <w:jc w:val="left"/>
              <w:rPr>
                <w:rFonts w:hint="eastAsia" w:ascii="宋体" w:hAnsi="宋体" w:eastAsia="宋体" w:cs="宋体"/>
                <w:color w:val="auto"/>
                <w:sz w:val="21"/>
                <w:highlight w:val="none"/>
              </w:rPr>
            </w:pPr>
            <w:r>
              <w:rPr>
                <w:rFonts w:hint="eastAsia" w:ascii="宋体" w:hAnsi="宋体" w:eastAsia="宋体" w:cs="宋体"/>
                <w:color w:val="auto"/>
                <w:sz w:val="21"/>
                <w:highlight w:val="none"/>
              </w:rPr>
              <w:t>自投标截止时间之日起 90日历日内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8"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before="8" w:line="360" w:lineRule="auto"/>
              <w:rPr>
                <w:rFonts w:hint="eastAsia" w:ascii="宋体" w:hAnsi="宋体" w:eastAsia="宋体" w:cs="宋体"/>
                <w:color w:val="auto"/>
                <w:sz w:val="24"/>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3.4.1</w:t>
            </w:r>
          </w:p>
        </w:tc>
        <w:tc>
          <w:tcPr>
            <w:tcW w:w="20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before="8" w:line="360" w:lineRule="auto"/>
              <w:rPr>
                <w:rFonts w:hint="eastAsia" w:ascii="宋体" w:hAnsi="宋体" w:eastAsia="宋体" w:cs="宋体"/>
                <w:color w:val="auto"/>
                <w:sz w:val="24"/>
                <w:highlight w:val="none"/>
              </w:rPr>
            </w:pPr>
          </w:p>
          <w:p>
            <w:pPr>
              <w:pStyle w:val="28"/>
              <w:spacing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投标保证金</w:t>
            </w:r>
          </w:p>
        </w:tc>
        <w:tc>
          <w:tcPr>
            <w:tcW w:w="5761" w:type="dxa"/>
          </w:tcPr>
          <w:p>
            <w:pPr>
              <w:pStyle w:val="28"/>
              <w:spacing w:before="78"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是否要求投标人递交投标保证金：</w:t>
            </w:r>
          </w:p>
          <w:p>
            <w:pPr>
              <w:pStyle w:val="28"/>
              <w:spacing w:before="78"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√□要求，投标保证金的形式：电汇投标保证金的金额：</w:t>
            </w:r>
          </w:p>
          <w:p>
            <w:pPr>
              <w:pStyle w:val="28"/>
              <w:spacing w:before="78"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u w:val="single"/>
                <w:lang w:val="en-US" w:eastAsia="zh-CN"/>
              </w:rPr>
              <w:t>6</w:t>
            </w:r>
            <w:r>
              <w:rPr>
                <w:rFonts w:hint="eastAsia" w:ascii="宋体" w:hAnsi="宋体" w:eastAsia="宋体" w:cs="宋体"/>
                <w:color w:val="auto"/>
                <w:sz w:val="21"/>
                <w:highlight w:val="none"/>
              </w:rPr>
              <w:t>万元（大写：</w:t>
            </w:r>
            <w:r>
              <w:rPr>
                <w:rFonts w:hint="eastAsia" w:ascii="宋体" w:hAnsi="宋体" w:eastAsia="宋体" w:cs="宋体"/>
                <w:color w:val="auto"/>
                <w:sz w:val="21"/>
                <w:highlight w:val="none"/>
                <w:lang w:val="en-US" w:eastAsia="zh-CN"/>
              </w:rPr>
              <w:t>陆万</w:t>
            </w:r>
            <w:r>
              <w:rPr>
                <w:rFonts w:hint="eastAsia" w:ascii="宋体" w:hAnsi="宋体" w:eastAsia="宋体" w:cs="宋体"/>
                <w:color w:val="auto"/>
                <w:sz w:val="21"/>
                <w:highlight w:val="none"/>
              </w:rPr>
              <w:t>元整 ）</w:t>
            </w:r>
          </w:p>
          <w:p>
            <w:pPr>
              <w:pStyle w:val="28"/>
              <w:spacing w:before="78" w:line="360" w:lineRule="auto"/>
              <w:ind w:left="84"/>
              <w:rPr>
                <w:rFonts w:hint="eastAsia" w:ascii="宋体" w:hAnsi="宋体" w:eastAsia="宋体" w:cs="宋体"/>
                <w:b/>
                <w:bCs/>
                <w:color w:val="auto"/>
                <w:sz w:val="21"/>
                <w:highlight w:val="none"/>
                <w:lang w:eastAsia="zh-CN"/>
              </w:rPr>
            </w:pPr>
            <w:r>
              <w:rPr>
                <w:rFonts w:hint="eastAsia" w:ascii="宋体" w:hAnsi="宋体" w:eastAsia="宋体" w:cs="宋体"/>
                <w:b/>
                <w:bCs/>
                <w:color w:val="auto"/>
                <w:sz w:val="21"/>
                <w:highlight w:val="none"/>
              </w:rPr>
              <w:t>到账截止时间：20</w:t>
            </w:r>
            <w:r>
              <w:rPr>
                <w:rFonts w:hint="eastAsia" w:ascii="宋体" w:hAnsi="宋体" w:eastAsia="宋体" w:cs="宋体"/>
                <w:b/>
                <w:bCs/>
                <w:color w:val="auto"/>
                <w:sz w:val="21"/>
                <w:highlight w:val="none"/>
                <w:lang w:val="en-US" w:eastAsia="zh-CN"/>
              </w:rPr>
              <w:t>23</w:t>
            </w:r>
            <w:r>
              <w:rPr>
                <w:rFonts w:hint="eastAsia" w:ascii="宋体" w:hAnsi="宋体" w:eastAsia="宋体" w:cs="宋体"/>
                <w:b/>
                <w:bCs/>
                <w:color w:val="auto"/>
                <w:sz w:val="21"/>
                <w:highlight w:val="none"/>
              </w:rPr>
              <w:t>年</w:t>
            </w:r>
            <w:r>
              <w:rPr>
                <w:rFonts w:hint="eastAsia" w:ascii="宋体" w:hAnsi="宋体" w:eastAsia="宋体" w:cs="宋体"/>
                <w:b/>
                <w:bCs/>
                <w:color w:val="auto"/>
                <w:sz w:val="21"/>
                <w:highlight w:val="none"/>
                <w:lang w:val="en-US" w:eastAsia="zh-CN"/>
              </w:rPr>
              <w:t>1</w:t>
            </w:r>
            <w:r>
              <w:rPr>
                <w:rFonts w:hint="eastAsia" w:ascii="宋体" w:hAnsi="宋体" w:eastAsia="宋体" w:cs="宋体"/>
                <w:b/>
                <w:bCs/>
                <w:color w:val="auto"/>
                <w:sz w:val="21"/>
                <w:highlight w:val="none"/>
              </w:rPr>
              <w:t>月</w:t>
            </w:r>
            <w:r>
              <w:rPr>
                <w:rFonts w:hint="eastAsia" w:cs="宋体"/>
                <w:b/>
                <w:bCs/>
                <w:color w:val="auto"/>
                <w:sz w:val="21"/>
                <w:highlight w:val="none"/>
                <w:lang w:val="en-US" w:eastAsia="zh-CN"/>
              </w:rPr>
              <w:t>13</w:t>
            </w:r>
            <w:r>
              <w:rPr>
                <w:rFonts w:hint="eastAsia" w:ascii="宋体" w:hAnsi="宋体" w:eastAsia="宋体" w:cs="宋体"/>
                <w:b/>
                <w:bCs/>
                <w:color w:val="auto"/>
                <w:sz w:val="21"/>
                <w:highlight w:val="none"/>
              </w:rPr>
              <w:t>日11点00分(北京时间)</w:t>
            </w:r>
            <w:r>
              <w:rPr>
                <w:rFonts w:hint="eastAsia" w:ascii="宋体" w:hAnsi="宋体" w:eastAsia="宋体" w:cs="宋体"/>
                <w:b/>
                <w:bCs/>
                <w:color w:val="auto"/>
                <w:sz w:val="21"/>
                <w:highlight w:val="none"/>
                <w:lang w:eastAsia="zh-CN"/>
              </w:rPr>
              <w:t>（</w:t>
            </w:r>
            <w:r>
              <w:rPr>
                <w:rFonts w:hint="eastAsia" w:ascii="宋体" w:hAnsi="宋体" w:eastAsia="宋体" w:cs="宋体"/>
                <w:b/>
                <w:bCs/>
                <w:color w:val="auto"/>
                <w:sz w:val="21"/>
                <w:highlight w:val="none"/>
                <w:lang w:val="en-US" w:eastAsia="zh-CN"/>
              </w:rPr>
              <w:t>同投标文件递交截止时间</w:t>
            </w:r>
            <w:r>
              <w:rPr>
                <w:rFonts w:hint="eastAsia" w:ascii="宋体" w:hAnsi="宋体" w:eastAsia="宋体" w:cs="宋体"/>
                <w:b/>
                <w:bCs/>
                <w:color w:val="auto"/>
                <w:sz w:val="21"/>
                <w:highlight w:val="none"/>
                <w:lang w:eastAsia="zh-CN"/>
              </w:rPr>
              <w:t>）（</w:t>
            </w:r>
            <w:r>
              <w:rPr>
                <w:rFonts w:hint="eastAsia" w:ascii="宋体" w:hAnsi="宋体" w:eastAsia="宋体" w:cs="宋体"/>
                <w:b/>
                <w:bCs/>
                <w:color w:val="auto"/>
                <w:sz w:val="21"/>
                <w:highlight w:val="none"/>
                <w:lang w:val="en-US" w:eastAsia="zh-CN"/>
              </w:rPr>
              <w:t>附备注：兵团法院2023年、运维服务项目</w:t>
            </w:r>
            <w:r>
              <w:rPr>
                <w:rFonts w:hint="eastAsia" w:ascii="宋体" w:hAnsi="宋体" w:eastAsia="宋体" w:cs="宋体"/>
                <w:b/>
                <w:bCs/>
                <w:color w:val="auto"/>
                <w:sz w:val="21"/>
                <w:highlight w:val="none"/>
                <w:lang w:eastAsia="zh-CN"/>
              </w:rPr>
              <w:t>）</w:t>
            </w:r>
          </w:p>
          <w:p>
            <w:pPr>
              <w:pStyle w:val="53"/>
              <w:shd w:val="clear" w:color="auto" w:fill="FFFFFF"/>
              <w:spacing w:line="360" w:lineRule="auto"/>
              <w:ind w:left="227" w:leftChars="103" w:firstLine="0" w:firstLineChars="0"/>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账户名称：中招国际招标有限公司新疆分公司</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开户行名称：中国光大银行乌鲁木齐民主路支行</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账号：5084 0188 0000 0014 6</w:t>
            </w:r>
          </w:p>
          <w:p>
            <w:pPr>
              <w:pStyle w:val="28"/>
              <w:spacing w:before="78"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注：(1)投标保证金以网银、银行柜台等转账的形式由投标人的企业账户汇出(个体工商户除外)，并汇入至中招国际招标有限公司保证金缴纳账户。</w:t>
            </w:r>
          </w:p>
          <w:p>
            <w:pPr>
              <w:pStyle w:val="28"/>
              <w:spacing w:before="78"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(2)投标保证金必须在</w:t>
            </w:r>
            <w:bookmarkStart w:id="315" w:name="_GoBack"/>
            <w:bookmarkEnd w:id="315"/>
            <w:r>
              <w:rPr>
                <w:rFonts w:hint="eastAsia" w:ascii="宋体" w:hAnsi="宋体" w:eastAsia="宋体" w:cs="宋体"/>
                <w:color w:val="auto"/>
                <w:sz w:val="21"/>
                <w:highlight w:val="none"/>
              </w:rPr>
              <w:t>投标截止时间（开标时间）前缴纳至中招国际招标有限公司保证金账户，投标人必须在投标截止时间前完成保证金缴纳工作。投标人需自行评估因异地、跨行、公休日等因素造成的投标保证金到账延迟风险，并承担相应责任。</w:t>
            </w:r>
          </w:p>
          <w:p>
            <w:pPr>
              <w:pStyle w:val="28"/>
              <w:spacing w:before="78"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(3)投标保证金的提交以中招国际招标有限公司保证金账户到账时间为准。</w:t>
            </w:r>
          </w:p>
          <w:p>
            <w:pPr>
              <w:pStyle w:val="28"/>
              <w:spacing w:before="78"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□不要求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1"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before="9" w:line="360" w:lineRule="auto"/>
              <w:rPr>
                <w:rFonts w:hint="eastAsia" w:ascii="宋体" w:hAnsi="宋体" w:eastAsia="宋体" w:cs="宋体"/>
                <w:color w:val="auto"/>
                <w:sz w:val="17"/>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3.4.4</w:t>
            </w:r>
          </w:p>
        </w:tc>
        <w:tc>
          <w:tcPr>
            <w:tcW w:w="20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ind w:left="399" w:right="178" w:hanging="212"/>
              <w:rPr>
                <w:rFonts w:hint="eastAsia" w:ascii="宋体" w:hAnsi="宋体" w:eastAsia="宋体" w:cs="宋体"/>
                <w:color w:val="auto"/>
                <w:sz w:val="21"/>
                <w:highlight w:val="none"/>
              </w:rPr>
            </w:pPr>
            <w:r>
              <w:rPr>
                <w:rFonts w:hint="eastAsia" w:ascii="宋体" w:hAnsi="宋体" w:eastAsia="宋体" w:cs="宋体"/>
                <w:color w:val="auto"/>
                <w:sz w:val="21"/>
                <w:highlight w:val="none"/>
              </w:rPr>
              <w:t>其他可以不予退还投标保证金的情形</w:t>
            </w:r>
          </w:p>
        </w:tc>
        <w:tc>
          <w:tcPr>
            <w:tcW w:w="5761" w:type="dxa"/>
          </w:tcPr>
          <w:p>
            <w:pPr>
              <w:pStyle w:val="28"/>
              <w:numPr>
                <w:ilvl w:val="0"/>
                <w:numId w:val="1"/>
              </w:numPr>
              <w:tabs>
                <w:tab w:val="left" w:pos="610"/>
              </w:tabs>
              <w:spacing w:before="148" w:after="0" w:line="240" w:lineRule="auto"/>
              <w:ind w:left="526" w:leftChars="0" w:right="0" w:hanging="526"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投标人在投标截止时间后对投标文件做实质性修改；</w:t>
            </w:r>
          </w:p>
          <w:p>
            <w:pPr>
              <w:pStyle w:val="28"/>
              <w:numPr>
                <w:ilvl w:val="0"/>
                <w:numId w:val="1"/>
              </w:numPr>
              <w:tabs>
                <w:tab w:val="left" w:pos="610"/>
              </w:tabs>
              <w:spacing w:before="148" w:after="0" w:line="240" w:lineRule="auto"/>
              <w:ind w:left="118" w:leftChars="0" w:right="0" w:hanging="118"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投标人恶意串通，妨碍其他投标人的竞争行为，损害招标人或者其他投标人的合法权益的。有下列情形之一的， 视为投标人串通投标，其投标无效：</w:t>
            </w:r>
          </w:p>
          <w:p>
            <w:pPr>
              <w:pStyle w:val="28"/>
              <w:numPr>
                <w:ilvl w:val="0"/>
                <w:numId w:val="1"/>
              </w:numPr>
              <w:tabs>
                <w:tab w:val="left" w:pos="610"/>
              </w:tabs>
              <w:spacing w:before="148" w:after="0" w:line="240" w:lineRule="auto"/>
              <w:ind w:left="118" w:leftChars="0" w:right="0" w:hanging="118"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不同投标人的投标文件由同一单位或者个人编制；</w:t>
            </w:r>
          </w:p>
          <w:p>
            <w:pPr>
              <w:pStyle w:val="28"/>
              <w:numPr>
                <w:ilvl w:val="0"/>
                <w:numId w:val="1"/>
              </w:numPr>
              <w:tabs>
                <w:tab w:val="left" w:pos="610"/>
              </w:tabs>
              <w:spacing w:before="148" w:after="0" w:line="240" w:lineRule="auto"/>
              <w:ind w:left="118" w:leftChars="0" w:right="0" w:hanging="118"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不同投标人委托同一单位或者个人办理投标事宜；</w:t>
            </w:r>
          </w:p>
          <w:p>
            <w:pPr>
              <w:pStyle w:val="28"/>
              <w:numPr>
                <w:ilvl w:val="0"/>
                <w:numId w:val="1"/>
              </w:numPr>
              <w:tabs>
                <w:tab w:val="left" w:pos="610"/>
              </w:tabs>
              <w:spacing w:before="148" w:after="0" w:line="240" w:lineRule="auto"/>
              <w:ind w:left="118" w:leftChars="0" w:right="0" w:hanging="118"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不同投标人的投标文件载明的项目管理成员或者联系 人员为同一人；</w:t>
            </w:r>
          </w:p>
          <w:p>
            <w:pPr>
              <w:pStyle w:val="28"/>
              <w:numPr>
                <w:ilvl w:val="0"/>
                <w:numId w:val="1"/>
              </w:numPr>
              <w:tabs>
                <w:tab w:val="left" w:pos="610"/>
              </w:tabs>
              <w:spacing w:before="148" w:after="0" w:line="240" w:lineRule="auto"/>
              <w:ind w:left="118" w:leftChars="0" w:right="0" w:hanging="118"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不同投标人的投标文件异常一致或者投标报价呈规律 性差异；</w:t>
            </w:r>
          </w:p>
          <w:p>
            <w:pPr>
              <w:pStyle w:val="28"/>
              <w:numPr>
                <w:ilvl w:val="0"/>
                <w:numId w:val="1"/>
              </w:numPr>
              <w:tabs>
                <w:tab w:val="left" w:pos="610"/>
              </w:tabs>
              <w:spacing w:before="148" w:after="0" w:line="240" w:lineRule="auto"/>
              <w:ind w:left="118" w:leftChars="0" w:right="0" w:hanging="118"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不同投标人的投标文件相互混装；</w:t>
            </w:r>
          </w:p>
          <w:p>
            <w:pPr>
              <w:pStyle w:val="28"/>
              <w:numPr>
                <w:ilvl w:val="0"/>
                <w:numId w:val="1"/>
              </w:numPr>
              <w:tabs>
                <w:tab w:val="left" w:pos="610"/>
              </w:tabs>
              <w:spacing w:before="148" w:after="0" w:line="240" w:lineRule="auto"/>
              <w:ind w:left="118" w:leftChars="0" w:right="0" w:hanging="118" w:firstLineChars="0"/>
              <w:jc w:val="left"/>
              <w:rPr>
                <w:rFonts w:hint="eastAsia" w:ascii="宋体" w:hAnsi="宋体" w:eastAsia="宋体" w:cs="宋体"/>
                <w:color w:val="auto"/>
                <w:sz w:val="21"/>
                <w:highlight w:val="none"/>
              </w:rPr>
            </w:pPr>
            <w:r>
              <w:rPr>
                <w:rFonts w:hint="eastAsia" w:ascii="宋体" w:hAnsi="宋体" w:eastAsia="宋体" w:cs="宋体"/>
                <w:color w:val="auto"/>
                <w:sz w:val="21"/>
                <w:szCs w:val="21"/>
                <w:highlight w:val="none"/>
              </w:rPr>
              <w:t>不同投标人的投标保证金从同一单位或者个人的账户 转出。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before="160" w:line="360" w:lineRule="auto"/>
              <w:ind w:left="84" w:right="76"/>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3.5</w:t>
            </w:r>
          </w:p>
        </w:tc>
        <w:tc>
          <w:tcPr>
            <w:tcW w:w="20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before="3" w:line="360" w:lineRule="auto"/>
              <w:rPr>
                <w:rFonts w:hint="eastAsia" w:ascii="宋体" w:hAnsi="宋体" w:eastAsia="宋体" w:cs="宋体"/>
                <w:color w:val="auto"/>
                <w:sz w:val="22"/>
                <w:highlight w:val="none"/>
              </w:rPr>
            </w:pPr>
          </w:p>
          <w:p>
            <w:pPr>
              <w:pStyle w:val="28"/>
              <w:spacing w:line="360" w:lineRule="auto"/>
              <w:ind w:left="709" w:leftChars="85" w:right="0" w:rightChars="0" w:hanging="522" w:hangingChars="249"/>
              <w:rPr>
                <w:rFonts w:hint="eastAsia" w:ascii="宋体" w:hAnsi="宋体" w:eastAsia="宋体" w:cs="宋体"/>
                <w:color w:val="auto"/>
                <w:sz w:val="21"/>
                <w:highlight w:val="none"/>
              </w:rPr>
            </w:pPr>
            <w:r>
              <w:rPr>
                <w:rFonts w:hint="eastAsia" w:ascii="宋体" w:hAnsi="宋体" w:eastAsia="宋体" w:cs="宋体"/>
                <w:color w:val="auto"/>
                <w:sz w:val="21"/>
                <w:highlight w:val="none"/>
              </w:rPr>
              <w:t>资格审查资料的特殊要求</w:t>
            </w:r>
          </w:p>
        </w:tc>
        <w:tc>
          <w:tcPr>
            <w:tcW w:w="5761" w:type="dxa"/>
          </w:tcPr>
          <w:p>
            <w:pPr>
              <w:pStyle w:val="28"/>
              <w:spacing w:line="360" w:lineRule="auto"/>
              <w:rPr>
                <w:rFonts w:hint="eastAsia" w:ascii="宋体" w:hAnsi="宋体" w:eastAsia="宋体" w:cs="宋体"/>
                <w:color w:val="auto"/>
                <w:sz w:val="16"/>
                <w:highlight w:val="none"/>
              </w:rPr>
            </w:pP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□无</w:t>
            </w:r>
          </w:p>
          <w:p>
            <w:pPr>
              <w:pStyle w:val="28"/>
              <w:spacing w:before="91" w:line="360" w:lineRule="auto"/>
              <w:ind w:left="84"/>
              <w:rPr>
                <w:rFonts w:hint="eastAsia" w:ascii="宋体" w:hAnsi="宋体" w:eastAsia="宋体" w:cs="宋体"/>
                <w:color w:val="auto"/>
                <w:sz w:val="21"/>
                <w:highlight w:val="none"/>
              </w:rPr>
            </w:pPr>
            <w:r>
              <w:rPr>
                <w:rFonts w:hint="eastAsia" w:ascii="宋体" w:hAnsi="宋体" w:eastAsia="宋体" w:cs="宋体"/>
                <w:color w:val="auto"/>
                <w:spacing w:val="-24"/>
                <w:w w:val="99"/>
                <w:sz w:val="21"/>
                <w:highlight w:val="none"/>
              </w:rPr>
              <w:sym w:font="Wingdings 2" w:char="0052"/>
            </w:r>
            <w:r>
              <w:rPr>
                <w:rFonts w:hint="eastAsia" w:ascii="宋体" w:hAnsi="宋体" w:eastAsia="宋体" w:cs="宋体"/>
                <w:color w:val="auto"/>
                <w:spacing w:val="-24"/>
                <w:w w:val="99"/>
                <w:sz w:val="21"/>
                <w:highlight w:val="none"/>
              </w:rPr>
              <w:t>有，具体要求：</w:t>
            </w:r>
          </w:p>
          <w:p>
            <w:pPr>
              <w:pStyle w:val="28"/>
              <w:numPr>
                <w:ilvl w:val="0"/>
                <w:numId w:val="2"/>
              </w:numPr>
              <w:tabs>
                <w:tab w:val="left" w:pos="611"/>
              </w:tabs>
              <w:spacing w:before="0" w:after="0" w:line="360" w:lineRule="auto"/>
              <w:ind w:left="84" w:right="-29" w:firstLine="0"/>
              <w:jc w:val="left"/>
              <w:rPr>
                <w:rFonts w:hint="eastAsia" w:ascii="宋体" w:hAnsi="宋体" w:eastAsia="宋体" w:cs="宋体"/>
                <w:color w:val="auto"/>
                <w:sz w:val="21"/>
                <w:highlight w:val="none"/>
              </w:rPr>
            </w:pPr>
            <w:r>
              <w:rPr>
                <w:rFonts w:hint="eastAsia" w:ascii="宋体" w:hAnsi="宋体" w:eastAsia="宋体" w:cs="宋体"/>
                <w:color w:val="auto"/>
                <w:sz w:val="21"/>
                <w:highlight w:val="none"/>
              </w:rPr>
              <w:t>投标文件中，凡投标人单位落款处均须加盖投标人单 位公章</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lang w:val="en-US" w:eastAsia="zh-CN"/>
              </w:rPr>
              <w:t>电子章或纸质版盖章扫描均可</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rPr>
              <w:t>，要求由投标人法定代表人或其授权代表签字处均须签字（</w:t>
            </w:r>
            <w:r>
              <w:rPr>
                <w:rFonts w:hint="eastAsia" w:ascii="宋体" w:hAnsi="宋体" w:eastAsia="宋体" w:cs="宋体"/>
                <w:b/>
                <w:bCs/>
                <w:color w:val="auto"/>
                <w:sz w:val="21"/>
                <w:highlight w:val="none"/>
              </w:rPr>
              <w:t>如无特殊说明，法定代表人签字可由私章</w:t>
            </w:r>
            <w:r>
              <w:rPr>
                <w:rFonts w:hint="eastAsia" w:ascii="宋体" w:hAnsi="宋体" w:eastAsia="宋体" w:cs="宋体"/>
                <w:b/>
                <w:bCs/>
                <w:color w:val="auto"/>
                <w:sz w:val="21"/>
                <w:highlight w:val="none"/>
                <w:lang w:val="en-US" w:eastAsia="zh-CN"/>
              </w:rPr>
              <w:t>或电子章</w:t>
            </w:r>
            <w:r>
              <w:rPr>
                <w:rFonts w:hint="eastAsia" w:ascii="宋体" w:hAnsi="宋体" w:eastAsia="宋体" w:cs="宋体"/>
                <w:b/>
                <w:bCs/>
                <w:color w:val="auto"/>
                <w:sz w:val="21"/>
                <w:highlight w:val="none"/>
              </w:rPr>
              <w:t>代替</w:t>
            </w:r>
            <w:r>
              <w:rPr>
                <w:rFonts w:hint="eastAsia" w:ascii="宋体" w:hAnsi="宋体" w:eastAsia="宋体" w:cs="宋体"/>
                <w:color w:val="auto"/>
                <w:sz w:val="21"/>
                <w:highlight w:val="none"/>
              </w:rPr>
              <w:t>）；</w:t>
            </w:r>
          </w:p>
          <w:p>
            <w:pPr>
              <w:pStyle w:val="28"/>
              <w:numPr>
                <w:ilvl w:val="0"/>
                <w:numId w:val="2"/>
              </w:numPr>
              <w:tabs>
                <w:tab w:val="left" w:pos="611"/>
              </w:tabs>
              <w:spacing w:before="0" w:after="0" w:line="360" w:lineRule="auto"/>
              <w:ind w:left="84" w:right="-29" w:firstLine="0"/>
              <w:jc w:val="left"/>
              <w:rPr>
                <w:rFonts w:hint="eastAsia" w:ascii="宋体" w:hAnsi="宋体" w:eastAsia="宋体" w:cs="宋体"/>
                <w:color w:val="auto"/>
                <w:sz w:val="21"/>
                <w:highlight w:val="none"/>
              </w:rPr>
            </w:pPr>
            <w:r>
              <w:rPr>
                <w:rFonts w:hint="eastAsia" w:ascii="宋体" w:hAnsi="宋体" w:eastAsia="宋体" w:cs="宋体"/>
                <w:color w:val="auto"/>
                <w:sz w:val="21"/>
                <w:highlight w:val="none"/>
              </w:rPr>
              <w:t>除按本款要求编制外，投标文件正本中所附的各类资格证件（含人员）、财务报表、业绩证明文件（合同或中标通知书）、诉讼及仲裁情况材料、设备检测报告（如有）、 业主评价意见等</w:t>
            </w:r>
            <w:r>
              <w:rPr>
                <w:rFonts w:hint="eastAsia" w:ascii="宋体" w:hAnsi="宋体" w:eastAsia="宋体" w:cs="宋体"/>
                <w:b/>
                <w:bCs/>
                <w:color w:val="auto"/>
                <w:sz w:val="21"/>
                <w:highlight w:val="none"/>
              </w:rPr>
              <w:t>复印件上均须加盖投标人单位公章</w:t>
            </w:r>
            <w:r>
              <w:rPr>
                <w:rFonts w:hint="eastAsia" w:ascii="宋体" w:hAnsi="宋体" w:eastAsia="宋体" w:cs="宋体"/>
                <w:color w:val="auto"/>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0" w:hRule="atLeast"/>
        </w:trPr>
        <w:tc>
          <w:tcPr>
            <w:tcW w:w="1135" w:type="dxa"/>
          </w:tcPr>
          <w:p>
            <w:pPr>
              <w:pStyle w:val="28"/>
              <w:spacing w:before="9" w:line="360" w:lineRule="auto"/>
              <w:rPr>
                <w:rFonts w:hint="eastAsia" w:ascii="宋体" w:hAnsi="宋体" w:eastAsia="宋体" w:cs="宋体"/>
                <w:color w:val="auto"/>
                <w:sz w:val="17"/>
                <w:highlight w:val="none"/>
              </w:rPr>
            </w:pPr>
          </w:p>
          <w:p>
            <w:pPr>
              <w:pStyle w:val="28"/>
              <w:spacing w:line="360" w:lineRule="auto"/>
              <w:ind w:right="292"/>
              <w:jc w:val="right"/>
              <w:rPr>
                <w:rFonts w:hint="eastAsia" w:ascii="宋体" w:hAnsi="宋体" w:eastAsia="宋体" w:cs="宋体"/>
                <w:color w:val="auto"/>
                <w:w w:val="95"/>
                <w:sz w:val="21"/>
                <w:highlight w:val="none"/>
              </w:rPr>
            </w:pPr>
          </w:p>
          <w:p>
            <w:pPr>
              <w:pStyle w:val="28"/>
              <w:spacing w:line="360" w:lineRule="auto"/>
              <w:ind w:right="292"/>
              <w:jc w:val="right"/>
              <w:rPr>
                <w:rFonts w:hint="eastAsia" w:ascii="宋体" w:hAnsi="宋体" w:eastAsia="宋体" w:cs="宋体"/>
                <w:color w:val="auto"/>
                <w:w w:val="95"/>
                <w:sz w:val="21"/>
                <w:highlight w:val="none"/>
              </w:rPr>
            </w:pPr>
          </w:p>
          <w:p>
            <w:pPr>
              <w:pStyle w:val="28"/>
              <w:spacing w:line="360" w:lineRule="auto"/>
              <w:ind w:right="292"/>
              <w:jc w:val="right"/>
              <w:rPr>
                <w:rFonts w:hint="eastAsia" w:ascii="宋体" w:hAnsi="宋体" w:eastAsia="宋体" w:cs="宋体"/>
                <w:color w:val="auto"/>
                <w:w w:val="95"/>
                <w:sz w:val="21"/>
                <w:highlight w:val="none"/>
              </w:rPr>
            </w:pPr>
          </w:p>
          <w:p>
            <w:pPr>
              <w:pStyle w:val="28"/>
              <w:spacing w:line="360" w:lineRule="auto"/>
              <w:ind w:right="292"/>
              <w:jc w:val="right"/>
              <w:rPr>
                <w:rFonts w:hint="eastAsia" w:ascii="宋体" w:hAnsi="宋体" w:eastAsia="宋体" w:cs="宋体"/>
                <w:color w:val="auto"/>
                <w:w w:val="95"/>
                <w:sz w:val="21"/>
                <w:highlight w:val="none"/>
              </w:rPr>
            </w:pPr>
          </w:p>
          <w:p>
            <w:pPr>
              <w:pStyle w:val="28"/>
              <w:spacing w:line="360" w:lineRule="auto"/>
              <w:ind w:right="292"/>
              <w:jc w:val="right"/>
              <w:rPr>
                <w:rFonts w:hint="eastAsia" w:ascii="宋体" w:hAnsi="宋体" w:eastAsia="宋体" w:cs="宋体"/>
                <w:color w:val="auto"/>
                <w:w w:val="95"/>
                <w:sz w:val="21"/>
                <w:highlight w:val="none"/>
              </w:rPr>
            </w:pPr>
          </w:p>
          <w:p>
            <w:pPr>
              <w:pStyle w:val="28"/>
              <w:spacing w:line="360" w:lineRule="auto"/>
              <w:ind w:right="292"/>
              <w:jc w:val="right"/>
              <w:rPr>
                <w:rFonts w:hint="eastAsia" w:ascii="宋体" w:hAnsi="宋体" w:eastAsia="宋体" w:cs="宋体"/>
                <w:color w:val="auto"/>
                <w:sz w:val="21"/>
                <w:highlight w:val="none"/>
                <w:lang w:eastAsia="zh-CN"/>
              </w:rPr>
            </w:pPr>
            <w:r>
              <w:rPr>
                <w:rFonts w:hint="eastAsia" w:ascii="宋体" w:hAnsi="宋体" w:eastAsia="宋体" w:cs="宋体"/>
                <w:color w:val="auto"/>
                <w:w w:val="95"/>
                <w:sz w:val="21"/>
                <w:highlight w:val="none"/>
              </w:rPr>
              <w:t>3.5</w:t>
            </w:r>
            <w:r>
              <w:rPr>
                <w:rFonts w:hint="eastAsia" w:ascii="宋体" w:hAnsi="宋体" w:eastAsia="宋体" w:cs="宋体"/>
                <w:color w:val="auto"/>
                <w:w w:val="95"/>
                <w:sz w:val="21"/>
                <w:highlight w:val="none"/>
                <w:lang w:eastAsia="zh-CN"/>
              </w:rPr>
              <w:t>（</w:t>
            </w:r>
            <w:r>
              <w:rPr>
                <w:rFonts w:hint="eastAsia" w:ascii="宋体" w:hAnsi="宋体" w:eastAsia="宋体" w:cs="宋体"/>
                <w:color w:val="auto"/>
                <w:w w:val="95"/>
                <w:sz w:val="21"/>
                <w:highlight w:val="none"/>
                <w:lang w:val="en-US" w:eastAsia="zh-CN"/>
              </w:rPr>
              <w:t>1</w:t>
            </w:r>
            <w:r>
              <w:rPr>
                <w:rFonts w:hint="eastAsia" w:ascii="宋体" w:hAnsi="宋体" w:eastAsia="宋体" w:cs="宋体"/>
                <w:color w:val="auto"/>
                <w:w w:val="95"/>
                <w:sz w:val="21"/>
                <w:highlight w:val="none"/>
                <w:lang w:eastAsia="zh-CN"/>
              </w:rPr>
              <w:t>）</w:t>
            </w:r>
          </w:p>
        </w:tc>
        <w:tc>
          <w:tcPr>
            <w:tcW w:w="2035" w:type="dxa"/>
          </w:tcPr>
          <w:p>
            <w:pPr>
              <w:pStyle w:val="28"/>
              <w:spacing w:before="175" w:line="360" w:lineRule="auto"/>
              <w:ind w:left="819" w:right="178" w:hanging="632"/>
              <w:rPr>
                <w:rFonts w:hint="eastAsia" w:ascii="宋体" w:hAnsi="宋体" w:eastAsia="宋体" w:cs="宋体"/>
                <w:color w:val="auto"/>
                <w:sz w:val="21"/>
                <w:highlight w:val="none"/>
                <w:lang w:val="en-US" w:eastAsia="zh-CN"/>
              </w:rPr>
            </w:pPr>
          </w:p>
          <w:p>
            <w:pPr>
              <w:pStyle w:val="28"/>
              <w:spacing w:before="175" w:line="360" w:lineRule="auto"/>
              <w:ind w:left="819" w:right="178" w:hanging="632"/>
              <w:rPr>
                <w:rFonts w:hint="eastAsia" w:ascii="宋体" w:hAnsi="宋体" w:eastAsia="宋体" w:cs="宋体"/>
                <w:color w:val="auto"/>
                <w:sz w:val="21"/>
                <w:highlight w:val="none"/>
                <w:lang w:val="en-US" w:eastAsia="zh-CN"/>
              </w:rPr>
            </w:pPr>
          </w:p>
          <w:p>
            <w:pPr>
              <w:pStyle w:val="28"/>
              <w:spacing w:before="175" w:line="360" w:lineRule="auto"/>
              <w:ind w:left="819" w:right="178" w:hanging="632"/>
              <w:rPr>
                <w:rFonts w:hint="eastAsia" w:ascii="宋体" w:hAnsi="宋体" w:eastAsia="宋体" w:cs="宋体"/>
                <w:color w:val="auto"/>
                <w:sz w:val="21"/>
                <w:highlight w:val="none"/>
                <w:lang w:val="en-US" w:eastAsia="zh-CN"/>
              </w:rPr>
            </w:pPr>
          </w:p>
          <w:p>
            <w:pPr>
              <w:pStyle w:val="28"/>
              <w:spacing w:before="175" w:line="360" w:lineRule="auto"/>
              <w:ind w:left="819" w:right="178" w:hanging="632"/>
              <w:rPr>
                <w:rFonts w:hint="eastAsia" w:ascii="宋体" w:hAnsi="宋体" w:eastAsia="宋体" w:cs="宋体"/>
                <w:color w:val="auto"/>
                <w:sz w:val="21"/>
                <w:highlight w:val="none"/>
                <w:lang w:val="en-US" w:eastAsia="zh-CN"/>
              </w:rPr>
            </w:pPr>
          </w:p>
          <w:p>
            <w:pPr>
              <w:pStyle w:val="28"/>
              <w:spacing w:before="175" w:line="360" w:lineRule="auto"/>
              <w:ind w:left="819" w:right="178" w:hanging="632"/>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资格审查要求</w:t>
            </w:r>
          </w:p>
        </w:tc>
        <w:tc>
          <w:tcPr>
            <w:tcW w:w="5761" w:type="dxa"/>
          </w:tcPr>
          <w:p>
            <w:pPr>
              <w:pStyle w:val="28"/>
              <w:spacing w:before="175" w:line="360" w:lineRule="auto"/>
              <w:ind w:left="819" w:right="178" w:hanging="632"/>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（一）具有独立承担民事责任的能力（营业执照）</w:t>
            </w:r>
          </w:p>
          <w:p>
            <w:pPr>
              <w:pStyle w:val="28"/>
              <w:spacing w:before="175" w:line="360" w:lineRule="auto"/>
              <w:ind w:left="819" w:right="178" w:hanging="632"/>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（二）具有良好的商业信誉和健全的财务会计制度</w:t>
            </w:r>
          </w:p>
          <w:p>
            <w:pPr>
              <w:pStyle w:val="28"/>
              <w:spacing w:before="175" w:line="360" w:lineRule="auto"/>
              <w:ind w:left="819" w:right="178" w:hanging="632"/>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（三）有依法缴纳税收和社会保障资金的良好记录</w:t>
            </w:r>
          </w:p>
          <w:p>
            <w:pPr>
              <w:pStyle w:val="28"/>
              <w:spacing w:before="175" w:line="360" w:lineRule="auto"/>
              <w:ind w:left="819" w:right="178" w:hanging="632"/>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（四）具有履行合同所必需的设备和专业技术能力</w:t>
            </w:r>
          </w:p>
          <w:p>
            <w:pPr>
              <w:pStyle w:val="28"/>
              <w:spacing w:before="175" w:line="360" w:lineRule="auto"/>
              <w:ind w:left="819" w:right="178" w:hanging="632"/>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（五）参加政府采购活动前三年内，在经营活动中没有重大违法记录</w:t>
            </w:r>
          </w:p>
          <w:p>
            <w:pPr>
              <w:pStyle w:val="28"/>
              <w:spacing w:before="175" w:line="360" w:lineRule="auto"/>
              <w:ind w:left="819" w:right="178" w:hanging="632"/>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（六）供应商未列入失信被执行人、重大税收违法案件当事人名单、政府采购严重违法失信行为记录名单</w:t>
            </w:r>
          </w:p>
          <w:p>
            <w:pPr>
              <w:pStyle w:val="28"/>
              <w:spacing w:before="175" w:line="360" w:lineRule="auto"/>
              <w:ind w:left="819" w:right="178" w:hanging="632"/>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（七）联合体（如有）</w:t>
            </w:r>
          </w:p>
          <w:p>
            <w:pPr>
              <w:pStyle w:val="28"/>
              <w:spacing w:before="175" w:line="360" w:lineRule="auto"/>
              <w:ind w:left="819" w:right="178" w:hanging="632"/>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（八）资质证书：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1135" w:type="dxa"/>
          </w:tcPr>
          <w:p>
            <w:pPr>
              <w:pStyle w:val="28"/>
              <w:spacing w:before="10" w:line="360" w:lineRule="auto"/>
              <w:rPr>
                <w:rFonts w:hint="eastAsia" w:ascii="宋体" w:hAnsi="宋体" w:eastAsia="宋体" w:cs="宋体"/>
                <w:color w:val="auto"/>
                <w:sz w:val="26"/>
                <w:highlight w:val="none"/>
              </w:rPr>
            </w:pPr>
          </w:p>
          <w:p>
            <w:pPr>
              <w:pStyle w:val="28"/>
              <w:spacing w:line="360" w:lineRule="auto"/>
              <w:ind w:right="292"/>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3.6.1</w:t>
            </w:r>
          </w:p>
        </w:tc>
        <w:tc>
          <w:tcPr>
            <w:tcW w:w="2035" w:type="dxa"/>
          </w:tcPr>
          <w:p>
            <w:pPr>
              <w:pStyle w:val="28"/>
              <w:spacing w:before="175" w:line="360" w:lineRule="auto"/>
              <w:ind w:left="607" w:leftChars="85" w:right="0" w:rightChars="0" w:hanging="420" w:hanging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是否允许递交备选投标方案</w:t>
            </w:r>
          </w:p>
        </w:tc>
        <w:tc>
          <w:tcPr>
            <w:tcW w:w="5761" w:type="dxa"/>
          </w:tcPr>
          <w:p>
            <w:pPr>
              <w:pStyle w:val="28"/>
              <w:spacing w:before="175" w:line="360" w:lineRule="auto"/>
              <w:ind w:left="819" w:right="178" w:hanging="632"/>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sym w:font="Wingdings 2" w:char="0052"/>
            </w:r>
            <w:r>
              <w:rPr>
                <w:rFonts w:hint="eastAsia" w:ascii="宋体" w:hAnsi="宋体" w:eastAsia="宋体" w:cs="宋体"/>
                <w:color w:val="auto"/>
                <w:sz w:val="21"/>
                <w:highlight w:val="none"/>
                <w:lang w:val="en-US" w:eastAsia="zh-CN"/>
              </w:rPr>
              <w:t>不允许</w:t>
            </w:r>
          </w:p>
          <w:p>
            <w:pPr>
              <w:pStyle w:val="28"/>
              <w:spacing w:before="175" w:line="360" w:lineRule="auto"/>
              <w:ind w:left="819" w:right="178" w:hanging="632"/>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8"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before="5" w:line="360" w:lineRule="auto"/>
              <w:rPr>
                <w:rFonts w:hint="eastAsia" w:ascii="宋体" w:hAnsi="宋体" w:eastAsia="宋体" w:cs="宋体"/>
                <w:color w:val="auto"/>
                <w:sz w:val="26"/>
                <w:highlight w:val="none"/>
              </w:rPr>
            </w:pPr>
          </w:p>
          <w:p>
            <w:pPr>
              <w:pStyle w:val="28"/>
              <w:spacing w:before="1" w:line="360" w:lineRule="auto"/>
              <w:ind w:left="84" w:right="-15"/>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3.7.3（2）</w:t>
            </w:r>
          </w:p>
        </w:tc>
        <w:tc>
          <w:tcPr>
            <w:tcW w:w="20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before="168" w:line="360" w:lineRule="auto"/>
              <w:ind w:left="305" w:leftChars="0" w:right="0" w:rightChars="0" w:hanging="118"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rPr>
              <w:t>投标文件副本份数及其他要求</w:t>
            </w:r>
          </w:p>
        </w:tc>
        <w:tc>
          <w:tcPr>
            <w:tcW w:w="5761" w:type="dxa"/>
          </w:tcPr>
          <w:p>
            <w:pPr>
              <w:pStyle w:val="42"/>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1．本项目采用远程不见面交易的模式，投标人需要递交电子投标文件。加密的电子投标文件，在投标截止时间前通过兵团政采云平台上传到指定位置，无需递交纸质文件。</w:t>
            </w:r>
          </w:p>
          <w:p>
            <w:pPr>
              <w:pStyle w:val="26"/>
              <w:spacing w:line="360" w:lineRule="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本项目采用远程不见面交易的模式。开标当日，投标人无需到达开标现场，仅需在任意地点兵团政采云http://ccgp-bingtuan.gov.cn/网上开标完成远程解密、提疑澄清、开标唱标、结果公布等交互环节。投标人必须使用能正确解密投标文件的“兵团政采云数字证书”在规定的时间内完成远程解密，因投标人原因未能解密、解密失败或解密超时，视为投标人撤销其投标文件，系统内投标文件将被退回；因招标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pPr>
              <w:pStyle w:val="26"/>
              <w:spacing w:line="360" w:lineRule="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不见面开标默认解密时长：</w:t>
            </w:r>
            <w:r>
              <w:rPr>
                <w:rFonts w:hint="eastAsia" w:ascii="宋体" w:hAnsi="宋体" w:eastAsia="宋体" w:cs="宋体"/>
                <w:color w:val="auto"/>
                <w:kern w:val="2"/>
                <w:sz w:val="21"/>
                <w:szCs w:val="21"/>
                <w:highlight w:val="none"/>
                <w:lang w:val="en-US" w:eastAsia="zh-CN"/>
              </w:rPr>
              <w:t>20分钟</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由于供应商自身原因导致无法按时解密，后果由供应商自行承担</w:t>
            </w:r>
            <w:r>
              <w:rPr>
                <w:rFonts w:hint="eastAsia" w:ascii="宋体" w:hAnsi="宋体" w:eastAsia="宋体" w:cs="宋体"/>
                <w:color w:val="auto"/>
                <w:kern w:val="2"/>
                <w:sz w:val="21"/>
                <w:szCs w:val="21"/>
                <w:highlight w:val="none"/>
                <w:lang w:eastAsia="zh-CN"/>
              </w:rPr>
              <w:t>）。</w:t>
            </w:r>
          </w:p>
          <w:p>
            <w:pPr>
              <w:pStyle w:val="28"/>
              <w:spacing w:before="91"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szCs w:val="21"/>
                <w:highlight w:val="none"/>
              </w:rPr>
              <w:t>3.中标单位在领取中标通知书时须向递交纸质投标文件三份（正本一份，副本两份）。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4"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5"/>
                <w:highlight w:val="none"/>
              </w:rPr>
            </w:pPr>
          </w:p>
          <w:p>
            <w:pPr>
              <w:pStyle w:val="28"/>
              <w:spacing w:line="360" w:lineRule="auto"/>
              <w:ind w:left="84" w:right="74"/>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4.1.2</w:t>
            </w:r>
          </w:p>
        </w:tc>
        <w:tc>
          <w:tcPr>
            <w:tcW w:w="20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封套上应载明的信息</w:t>
            </w:r>
          </w:p>
        </w:tc>
        <w:tc>
          <w:tcPr>
            <w:tcW w:w="5761" w:type="dxa"/>
          </w:tcPr>
          <w:p>
            <w:pPr>
              <w:pStyle w:val="28"/>
              <w:spacing w:before="159" w:line="360" w:lineRule="auto"/>
              <w:ind w:left="84" w:right="4173"/>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招标人名称： </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招标人地址：</w:t>
            </w:r>
          </w:p>
          <w:p>
            <w:pPr>
              <w:pStyle w:val="28"/>
              <w:tabs>
                <w:tab w:val="left" w:pos="1344"/>
                <w:tab w:val="left" w:pos="4179"/>
              </w:tabs>
              <w:spacing w:line="360" w:lineRule="auto"/>
              <w:ind w:left="84" w:right="707" w:hanging="1"/>
              <w:rPr>
                <w:rFonts w:hint="eastAsia" w:ascii="宋体" w:hAnsi="宋体" w:eastAsia="宋体" w:cs="宋体"/>
                <w:color w:val="auto"/>
                <w:sz w:val="21"/>
                <w:highlight w:val="none"/>
              </w:rPr>
            </w:pPr>
            <w:r>
              <w:rPr>
                <w:rFonts w:hint="eastAsia" w:ascii="宋体" w:hAnsi="宋体" w:eastAsia="宋体" w:cs="宋体"/>
                <w:color w:val="auto"/>
                <w:w w:val="99"/>
                <w:sz w:val="21"/>
                <w:highlight w:val="none"/>
                <w:u w:val="single"/>
              </w:rPr>
              <w:t xml:space="preserve"> </w:t>
            </w:r>
            <w:r>
              <w:rPr>
                <w:rFonts w:hint="eastAsia" w:ascii="宋体" w:hAnsi="宋体" w:eastAsia="宋体" w:cs="宋体"/>
                <w:color w:val="auto"/>
                <w:sz w:val="21"/>
                <w:highlight w:val="none"/>
                <w:u w:val="single"/>
              </w:rPr>
              <w:tab/>
            </w:r>
            <w:r>
              <w:rPr>
                <w:rFonts w:hint="eastAsia" w:ascii="宋体" w:hAnsi="宋体" w:eastAsia="宋体" w:cs="宋体"/>
                <w:color w:val="auto"/>
                <w:sz w:val="21"/>
                <w:highlight w:val="none"/>
                <w:u w:val="single"/>
              </w:rPr>
              <w:t>（项目名称）</w:t>
            </w:r>
            <w:r>
              <w:rPr>
                <w:rFonts w:hint="eastAsia" w:ascii="宋体" w:hAnsi="宋体" w:eastAsia="宋体" w:cs="宋体"/>
                <w:color w:val="auto"/>
                <w:spacing w:val="-3"/>
                <w:sz w:val="21"/>
                <w:highlight w:val="none"/>
                <w:u w:val="single"/>
              </w:rPr>
              <w:t xml:space="preserve"> </w:t>
            </w:r>
            <w:r>
              <w:rPr>
                <w:rFonts w:hint="eastAsia" w:ascii="宋体" w:hAnsi="宋体" w:eastAsia="宋体" w:cs="宋体"/>
                <w:color w:val="auto"/>
                <w:sz w:val="21"/>
                <w:highlight w:val="none"/>
              </w:rPr>
              <w:t>投标文件（第</w:t>
            </w:r>
            <w:r>
              <w:rPr>
                <w:rFonts w:hint="eastAsia" w:ascii="宋体" w:hAnsi="宋体" w:eastAsia="宋体" w:cs="宋体"/>
                <w:color w:val="auto"/>
                <w:sz w:val="21"/>
                <w:highlight w:val="none"/>
              </w:rPr>
              <w:tab/>
            </w:r>
            <w:r>
              <w:rPr>
                <w:rFonts w:hint="eastAsia" w:ascii="宋体" w:hAnsi="宋体" w:eastAsia="宋体" w:cs="宋体"/>
                <w:color w:val="auto"/>
                <w:sz w:val="21"/>
                <w:highlight w:val="none"/>
              </w:rPr>
              <w:t>标段</w:t>
            </w:r>
            <w:r>
              <w:rPr>
                <w:rFonts w:hint="eastAsia" w:ascii="宋体" w:hAnsi="宋体" w:eastAsia="宋体" w:cs="宋体"/>
                <w:color w:val="auto"/>
                <w:spacing w:val="-16"/>
                <w:sz w:val="21"/>
                <w:highlight w:val="none"/>
              </w:rPr>
              <w:t>）</w:t>
            </w:r>
            <w:r>
              <w:rPr>
                <w:rFonts w:hint="eastAsia" w:ascii="宋体" w:hAnsi="宋体" w:eastAsia="宋体" w:cs="宋体"/>
                <w:color w:val="auto"/>
                <w:spacing w:val="-16"/>
                <w:sz w:val="21"/>
                <w:highlight w:val="none"/>
                <w:lang w:val="en-US" w:eastAsia="zh-CN"/>
              </w:rPr>
              <w:t xml:space="preserve">  </w:t>
            </w:r>
            <w:r>
              <w:rPr>
                <w:rFonts w:hint="eastAsia" w:ascii="宋体" w:hAnsi="宋体" w:eastAsia="宋体" w:cs="宋体"/>
                <w:color w:val="auto"/>
                <w:spacing w:val="-16"/>
                <w:sz w:val="21"/>
                <w:highlight w:val="none"/>
              </w:rPr>
              <w:t xml:space="preserve"> </w:t>
            </w:r>
            <w:r>
              <w:rPr>
                <w:rFonts w:hint="eastAsia" w:ascii="宋体" w:hAnsi="宋体" w:eastAsia="宋体" w:cs="宋体"/>
                <w:color w:val="auto"/>
                <w:sz w:val="21"/>
                <w:highlight w:val="none"/>
              </w:rPr>
              <w:t>招标项目编号：</w:t>
            </w:r>
          </w:p>
          <w:p>
            <w:pPr>
              <w:pStyle w:val="28"/>
              <w:spacing w:line="360" w:lineRule="auto"/>
              <w:ind w:left="84" w:right="3333"/>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投标人名称（盖章）： </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投标人地址：</w:t>
            </w:r>
          </w:p>
          <w:p>
            <w:pPr>
              <w:pStyle w:val="28"/>
              <w:tabs>
                <w:tab w:val="left" w:pos="713"/>
                <w:tab w:val="left" w:pos="1239"/>
                <w:tab w:val="left" w:pos="1764"/>
                <w:tab w:val="left" w:pos="2290"/>
              </w:tabs>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在</w:t>
            </w:r>
            <w:r>
              <w:rPr>
                <w:rFonts w:hint="eastAsia" w:ascii="宋体" w:hAnsi="宋体" w:eastAsia="宋体" w:cs="宋体"/>
                <w:color w:val="auto"/>
                <w:sz w:val="21"/>
                <w:highlight w:val="none"/>
              </w:rPr>
              <w:tab/>
            </w:r>
            <w:r>
              <w:rPr>
                <w:rFonts w:hint="eastAsia" w:ascii="宋体" w:hAnsi="宋体" w:eastAsia="宋体" w:cs="宋体"/>
                <w:color w:val="auto"/>
                <w:sz w:val="21"/>
                <w:highlight w:val="none"/>
              </w:rPr>
              <w:t>年</w:t>
            </w:r>
            <w:r>
              <w:rPr>
                <w:rFonts w:hint="eastAsia" w:ascii="宋体" w:hAnsi="宋体" w:eastAsia="宋体" w:cs="宋体"/>
                <w:color w:val="auto"/>
                <w:sz w:val="21"/>
                <w:highlight w:val="none"/>
              </w:rPr>
              <w:tab/>
            </w:r>
            <w:r>
              <w:rPr>
                <w:rFonts w:hint="eastAsia" w:ascii="宋体" w:hAnsi="宋体" w:eastAsia="宋体" w:cs="宋体"/>
                <w:color w:val="auto"/>
                <w:sz w:val="21"/>
                <w:highlight w:val="none"/>
              </w:rPr>
              <w:t>月</w:t>
            </w:r>
            <w:r>
              <w:rPr>
                <w:rFonts w:hint="eastAsia" w:ascii="宋体" w:hAnsi="宋体" w:eastAsia="宋体" w:cs="宋体"/>
                <w:color w:val="auto"/>
                <w:sz w:val="21"/>
                <w:highlight w:val="none"/>
              </w:rPr>
              <w:tab/>
            </w:r>
            <w:r>
              <w:rPr>
                <w:rFonts w:hint="eastAsia" w:ascii="宋体" w:hAnsi="宋体" w:eastAsia="宋体" w:cs="宋体"/>
                <w:color w:val="auto"/>
                <w:sz w:val="21"/>
                <w:highlight w:val="none"/>
              </w:rPr>
              <w:t>日</w:t>
            </w:r>
            <w:r>
              <w:rPr>
                <w:rFonts w:hint="eastAsia" w:ascii="宋体" w:hAnsi="宋体" w:eastAsia="宋体" w:cs="宋体"/>
                <w:color w:val="auto"/>
                <w:sz w:val="21"/>
                <w:highlight w:val="none"/>
              </w:rPr>
              <w:tab/>
            </w:r>
            <w:r>
              <w:rPr>
                <w:rFonts w:hint="eastAsia" w:ascii="宋体" w:hAnsi="宋体" w:eastAsia="宋体" w:cs="宋体"/>
                <w:color w:val="auto"/>
                <w:sz w:val="21"/>
                <w:highlight w:val="none"/>
              </w:rPr>
              <w:t>时前不得开启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9" w:line="360" w:lineRule="auto"/>
              <w:rPr>
                <w:rFonts w:hint="eastAsia" w:ascii="宋体" w:hAnsi="宋体" w:eastAsia="宋体" w:cs="宋体"/>
                <w:color w:val="auto"/>
                <w:sz w:val="17"/>
                <w:highlight w:val="none"/>
              </w:rPr>
            </w:pPr>
          </w:p>
          <w:p>
            <w:pPr>
              <w:pStyle w:val="28"/>
              <w:spacing w:line="360" w:lineRule="auto"/>
              <w:ind w:left="84" w:right="74"/>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4.2.1</w:t>
            </w:r>
          </w:p>
        </w:tc>
        <w:tc>
          <w:tcPr>
            <w:tcW w:w="2035" w:type="dxa"/>
          </w:tcPr>
          <w:p>
            <w:pPr>
              <w:pStyle w:val="28"/>
              <w:spacing w:before="9" w:line="360" w:lineRule="auto"/>
              <w:rPr>
                <w:rFonts w:hint="eastAsia" w:ascii="宋体" w:hAnsi="宋体" w:eastAsia="宋体" w:cs="宋体"/>
                <w:color w:val="auto"/>
                <w:sz w:val="17"/>
                <w:highlight w:val="none"/>
              </w:rPr>
            </w:pPr>
          </w:p>
          <w:p>
            <w:pPr>
              <w:pStyle w:val="28"/>
              <w:spacing w:line="360" w:lineRule="auto"/>
              <w:ind w:left="164"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投标截止时间</w:t>
            </w:r>
          </w:p>
        </w:tc>
        <w:tc>
          <w:tcPr>
            <w:tcW w:w="5761" w:type="dxa"/>
          </w:tcPr>
          <w:p>
            <w:pPr>
              <w:pStyle w:val="28"/>
              <w:spacing w:before="9" w:line="360" w:lineRule="auto"/>
              <w:rPr>
                <w:rFonts w:hint="eastAsia" w:ascii="宋体" w:hAnsi="宋体" w:eastAsia="宋体" w:cs="宋体"/>
                <w:color w:val="auto"/>
                <w:sz w:val="17"/>
                <w:highlight w:val="none"/>
              </w:rPr>
            </w:pP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u w:val="single"/>
              </w:rPr>
              <w:t>20</w:t>
            </w:r>
            <w:r>
              <w:rPr>
                <w:rFonts w:hint="eastAsia" w:ascii="宋体" w:hAnsi="宋体" w:eastAsia="宋体" w:cs="宋体"/>
                <w:color w:val="auto"/>
                <w:sz w:val="21"/>
                <w:highlight w:val="none"/>
                <w:u w:val="single"/>
                <w:lang w:val="en-US" w:eastAsia="zh-CN"/>
              </w:rPr>
              <w:t>23</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年</w:t>
            </w:r>
            <w:r>
              <w:rPr>
                <w:rFonts w:hint="eastAsia" w:ascii="宋体" w:hAnsi="宋体" w:eastAsia="宋体" w:cs="宋体"/>
                <w:color w:val="auto"/>
                <w:sz w:val="21"/>
                <w:highlight w:val="none"/>
                <w:u w:val="single"/>
                <w:lang w:val="en-US" w:eastAsia="zh-CN"/>
              </w:rPr>
              <w:t xml:space="preserve">  </w:t>
            </w:r>
            <w:r>
              <w:rPr>
                <w:rFonts w:hint="eastAsia" w:ascii="宋体" w:hAnsi="宋体" w:eastAsia="宋体" w:cs="宋体"/>
                <w:color w:val="auto"/>
                <w:sz w:val="21"/>
                <w:highlight w:val="none"/>
              </w:rPr>
              <w:t>月</w:t>
            </w:r>
            <w:r>
              <w:rPr>
                <w:rFonts w:hint="eastAsia" w:ascii="宋体" w:hAnsi="宋体" w:eastAsia="宋体" w:cs="宋体"/>
                <w:color w:val="auto"/>
                <w:sz w:val="21"/>
                <w:highlight w:val="none"/>
                <w:u w:val="single"/>
                <w:lang w:val="en-US" w:eastAsia="zh-CN"/>
              </w:rPr>
              <w:t xml:space="preserve"> </w:t>
            </w:r>
            <w:r>
              <w:rPr>
                <w:rFonts w:hint="eastAsia" w:ascii="宋体" w:hAnsi="宋体" w:eastAsia="宋体" w:cs="宋体"/>
                <w:color w:val="auto"/>
                <w:sz w:val="21"/>
                <w:highlight w:val="none"/>
              </w:rPr>
              <w:t>日</w:t>
            </w:r>
            <w:r>
              <w:rPr>
                <w:rFonts w:hint="eastAsia" w:ascii="宋体" w:hAnsi="宋体" w:eastAsia="宋体" w:cs="宋体"/>
                <w:color w:val="auto"/>
                <w:sz w:val="21"/>
                <w:highlight w:val="none"/>
                <w:u w:val="single"/>
              </w:rPr>
              <w:t xml:space="preserve"> 1</w:t>
            </w:r>
            <w:r>
              <w:rPr>
                <w:rFonts w:hint="eastAsia" w:ascii="宋体" w:hAnsi="宋体" w:eastAsia="宋体" w:cs="宋体"/>
                <w:color w:val="auto"/>
                <w:sz w:val="21"/>
                <w:highlight w:val="none"/>
                <w:u w:val="single"/>
                <w:lang w:val="en-US" w:eastAsia="zh-CN"/>
              </w:rPr>
              <w:t>1</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时</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u w:val="single"/>
                <w:lang w:val="en-US" w:eastAsia="zh-CN"/>
              </w:rPr>
              <w:t>0</w:t>
            </w:r>
            <w:r>
              <w:rPr>
                <w:rFonts w:hint="eastAsia" w:ascii="宋体" w:hAnsi="宋体" w:eastAsia="宋体" w:cs="宋体"/>
                <w:color w:val="auto"/>
                <w:sz w:val="21"/>
                <w:highlight w:val="none"/>
                <w:u w:val="single"/>
              </w:rPr>
              <w:t xml:space="preserve">0 </w:t>
            </w:r>
            <w:r>
              <w:rPr>
                <w:rFonts w:hint="eastAsia" w:ascii="宋体" w:hAnsi="宋体" w:eastAsia="宋体" w:cs="宋体"/>
                <w:color w:val="auto"/>
                <w:sz w:val="21"/>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1135" w:type="dxa"/>
          </w:tcPr>
          <w:p>
            <w:pPr>
              <w:pStyle w:val="28"/>
              <w:spacing w:line="360" w:lineRule="auto"/>
              <w:rPr>
                <w:rFonts w:hint="eastAsia" w:ascii="宋体" w:hAnsi="宋体" w:eastAsia="宋体" w:cs="宋体"/>
                <w:color w:val="auto"/>
                <w:sz w:val="25"/>
                <w:highlight w:val="none"/>
              </w:rPr>
            </w:pPr>
          </w:p>
          <w:p>
            <w:pPr>
              <w:pStyle w:val="28"/>
              <w:spacing w:line="360" w:lineRule="auto"/>
              <w:ind w:left="84" w:right="74"/>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4.2.2</w:t>
            </w:r>
          </w:p>
        </w:tc>
        <w:tc>
          <w:tcPr>
            <w:tcW w:w="2035" w:type="dxa"/>
          </w:tcPr>
          <w:p>
            <w:pPr>
              <w:pStyle w:val="28"/>
              <w:spacing w:line="360" w:lineRule="auto"/>
              <w:ind w:left="164" w:right="160"/>
              <w:jc w:val="center"/>
              <w:rPr>
                <w:rFonts w:hint="eastAsia" w:ascii="宋体" w:hAnsi="宋体" w:eastAsia="宋体" w:cs="宋体"/>
                <w:color w:val="auto"/>
                <w:sz w:val="21"/>
                <w:highlight w:val="none"/>
              </w:rPr>
            </w:pPr>
          </w:p>
          <w:p>
            <w:pPr>
              <w:pStyle w:val="28"/>
              <w:spacing w:line="360" w:lineRule="auto"/>
              <w:ind w:left="164"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递交投标文件地点</w:t>
            </w:r>
          </w:p>
        </w:tc>
        <w:tc>
          <w:tcPr>
            <w:tcW w:w="5761" w:type="dxa"/>
          </w:tcPr>
          <w:p>
            <w:pPr>
              <w:pStyle w:val="28"/>
              <w:spacing w:line="360" w:lineRule="auto"/>
              <w:ind w:left="164" w:right="160"/>
              <w:jc w:val="both"/>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投标地点：中招国际招标有限公司会议室 </w:t>
            </w:r>
          </w:p>
          <w:p>
            <w:pPr>
              <w:pStyle w:val="28"/>
              <w:spacing w:line="360" w:lineRule="auto"/>
              <w:ind w:left="164" w:right="160"/>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eastAsia="zh-CN"/>
              </w:rPr>
              <w:t>地址：兵团政采云（http://ccgp-bingtuan.gov.cn/）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1135" w:type="dxa"/>
          </w:tcPr>
          <w:p>
            <w:pPr>
              <w:pStyle w:val="28"/>
              <w:spacing w:before="10" w:line="360" w:lineRule="auto"/>
              <w:rPr>
                <w:rFonts w:hint="eastAsia" w:ascii="宋体" w:hAnsi="宋体" w:eastAsia="宋体" w:cs="宋体"/>
                <w:color w:val="auto"/>
                <w:sz w:val="24"/>
                <w:highlight w:val="none"/>
              </w:rPr>
            </w:pPr>
          </w:p>
          <w:p>
            <w:pPr>
              <w:pStyle w:val="28"/>
              <w:spacing w:line="360" w:lineRule="auto"/>
              <w:ind w:left="84" w:right="74"/>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4.2.3</w:t>
            </w:r>
          </w:p>
        </w:tc>
        <w:tc>
          <w:tcPr>
            <w:tcW w:w="2035" w:type="dxa"/>
          </w:tcPr>
          <w:p>
            <w:pPr>
              <w:pStyle w:val="28"/>
              <w:spacing w:before="10" w:line="360" w:lineRule="auto"/>
              <w:rPr>
                <w:rFonts w:hint="eastAsia" w:ascii="宋体" w:hAnsi="宋体" w:eastAsia="宋体" w:cs="宋体"/>
                <w:color w:val="auto"/>
                <w:sz w:val="24"/>
                <w:highlight w:val="none"/>
              </w:rPr>
            </w:pPr>
          </w:p>
          <w:p>
            <w:pPr>
              <w:pStyle w:val="28"/>
              <w:spacing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投标文件是否退还</w:t>
            </w:r>
          </w:p>
        </w:tc>
        <w:tc>
          <w:tcPr>
            <w:tcW w:w="5761" w:type="dxa"/>
          </w:tcPr>
          <w:p>
            <w:pPr>
              <w:pStyle w:val="28"/>
              <w:spacing w:before="140" w:line="360" w:lineRule="auto"/>
              <w:ind w:left="84"/>
              <w:rPr>
                <w:rFonts w:hint="eastAsia" w:ascii="宋体" w:hAnsi="宋体" w:eastAsia="宋体" w:cs="宋体"/>
                <w:color w:val="auto"/>
                <w:sz w:val="21"/>
                <w:highlight w:val="none"/>
              </w:rPr>
            </w:pPr>
            <w:r>
              <w:rPr>
                <w:rFonts w:hint="eastAsia" w:ascii="宋体" w:hAnsi="宋体" w:eastAsia="宋体" w:cs="宋体"/>
                <w:color w:val="auto"/>
                <w:spacing w:val="-70"/>
                <w:w w:val="99"/>
                <w:sz w:val="21"/>
                <w:highlight w:val="none"/>
              </w:rPr>
              <w:t>√</w:t>
            </w:r>
            <w:r>
              <w:rPr>
                <w:rFonts w:hint="eastAsia" w:ascii="宋体" w:hAnsi="宋体" w:eastAsia="宋体" w:cs="宋体"/>
                <w:color w:val="auto"/>
                <w:sz w:val="21"/>
                <w:highlight w:val="none"/>
              </w:rPr>
              <w:sym w:font="Wingdings 2" w:char="0052"/>
            </w:r>
            <w:r>
              <w:rPr>
                <w:rFonts w:hint="eastAsia" w:ascii="宋体" w:hAnsi="宋体" w:eastAsia="宋体" w:cs="宋体"/>
                <w:color w:val="auto"/>
                <w:spacing w:val="-70"/>
                <w:w w:val="99"/>
                <w:sz w:val="21"/>
                <w:highlight w:val="none"/>
              </w:rPr>
              <w:t>否</w:t>
            </w:r>
          </w:p>
          <w:p>
            <w:pPr>
              <w:pStyle w:val="28"/>
              <w:spacing w:before="90"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□是，退还时间：/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1135" w:type="dxa"/>
          </w:tcPr>
          <w:p>
            <w:pPr>
              <w:pStyle w:val="28"/>
              <w:spacing w:before="8" w:line="360" w:lineRule="auto"/>
              <w:rPr>
                <w:rFonts w:hint="eastAsia" w:ascii="宋体" w:hAnsi="宋体" w:eastAsia="宋体" w:cs="宋体"/>
                <w:color w:val="auto"/>
                <w:sz w:val="24"/>
                <w:highlight w:val="none"/>
              </w:rPr>
            </w:pPr>
          </w:p>
          <w:p>
            <w:pPr>
              <w:pStyle w:val="28"/>
              <w:spacing w:line="360" w:lineRule="auto"/>
              <w:ind w:left="84" w:right="76"/>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5.1</w:t>
            </w:r>
          </w:p>
        </w:tc>
        <w:tc>
          <w:tcPr>
            <w:tcW w:w="2035" w:type="dxa"/>
          </w:tcPr>
          <w:p>
            <w:pPr>
              <w:pStyle w:val="28"/>
              <w:spacing w:before="8" w:line="360" w:lineRule="auto"/>
              <w:rPr>
                <w:rFonts w:hint="eastAsia" w:ascii="宋体" w:hAnsi="宋体" w:eastAsia="宋体" w:cs="宋体"/>
                <w:color w:val="auto"/>
                <w:sz w:val="24"/>
                <w:highlight w:val="none"/>
              </w:rPr>
            </w:pPr>
          </w:p>
          <w:p>
            <w:pPr>
              <w:pStyle w:val="28"/>
              <w:spacing w:line="360" w:lineRule="auto"/>
              <w:ind w:left="167" w:right="158"/>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开标时间和地点</w:t>
            </w:r>
          </w:p>
        </w:tc>
        <w:tc>
          <w:tcPr>
            <w:tcW w:w="5761" w:type="dxa"/>
          </w:tcPr>
          <w:p>
            <w:pPr>
              <w:pStyle w:val="28"/>
              <w:spacing w:before="149" w:line="360" w:lineRule="auto"/>
              <w:ind w:left="84" w:right="2913"/>
              <w:rPr>
                <w:rFonts w:hint="eastAsia" w:ascii="宋体" w:hAnsi="宋体" w:eastAsia="宋体" w:cs="宋体"/>
                <w:color w:val="auto"/>
                <w:sz w:val="21"/>
                <w:highlight w:val="none"/>
              </w:rPr>
            </w:pPr>
            <w:r>
              <w:rPr>
                <w:rFonts w:hint="eastAsia" w:ascii="宋体" w:hAnsi="宋体" w:eastAsia="宋体" w:cs="宋体"/>
                <w:color w:val="auto"/>
                <w:sz w:val="21"/>
                <w:highlight w:val="none"/>
              </w:rPr>
              <w:t>开标时间：同投标截止时间开标地点：同投标地点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9" w:line="360" w:lineRule="auto"/>
              <w:rPr>
                <w:rFonts w:hint="eastAsia" w:ascii="宋体" w:hAnsi="宋体" w:eastAsia="宋体" w:cs="宋体"/>
                <w:color w:val="auto"/>
                <w:sz w:val="17"/>
                <w:highlight w:val="none"/>
              </w:rPr>
            </w:pPr>
          </w:p>
          <w:p>
            <w:pPr>
              <w:pStyle w:val="28"/>
              <w:spacing w:line="360" w:lineRule="auto"/>
              <w:ind w:left="84" w:right="77"/>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5.2（4）</w:t>
            </w:r>
          </w:p>
        </w:tc>
        <w:tc>
          <w:tcPr>
            <w:tcW w:w="2035" w:type="dxa"/>
          </w:tcPr>
          <w:p>
            <w:pPr>
              <w:pStyle w:val="28"/>
              <w:spacing w:before="9" w:line="360" w:lineRule="auto"/>
              <w:rPr>
                <w:rFonts w:hint="eastAsia" w:ascii="宋体" w:hAnsi="宋体" w:eastAsia="宋体" w:cs="宋体"/>
                <w:color w:val="auto"/>
                <w:sz w:val="17"/>
                <w:highlight w:val="none"/>
              </w:rPr>
            </w:pPr>
          </w:p>
          <w:p>
            <w:pPr>
              <w:pStyle w:val="28"/>
              <w:spacing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开标程序</w:t>
            </w:r>
          </w:p>
        </w:tc>
        <w:tc>
          <w:tcPr>
            <w:tcW w:w="5761" w:type="dxa"/>
          </w:tcPr>
          <w:p>
            <w:pPr>
              <w:pStyle w:val="28"/>
              <w:spacing w:before="9" w:line="360" w:lineRule="auto"/>
              <w:rPr>
                <w:rFonts w:hint="eastAsia" w:ascii="宋体" w:hAnsi="宋体" w:eastAsia="宋体" w:cs="宋体"/>
                <w:color w:val="auto"/>
                <w:sz w:val="17"/>
                <w:highlight w:val="none"/>
              </w:rPr>
            </w:pP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开标顺序：递交投标文件时间的顺序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0"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before="10" w:line="360" w:lineRule="auto"/>
              <w:rPr>
                <w:rFonts w:hint="eastAsia" w:ascii="宋体" w:hAnsi="宋体" w:eastAsia="宋体" w:cs="宋体"/>
                <w:color w:val="auto"/>
                <w:sz w:val="20"/>
                <w:highlight w:val="none"/>
              </w:rPr>
            </w:pPr>
          </w:p>
          <w:p>
            <w:pPr>
              <w:pStyle w:val="28"/>
              <w:spacing w:line="360" w:lineRule="auto"/>
              <w:ind w:left="84" w:right="74"/>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6.1.1</w:t>
            </w:r>
          </w:p>
        </w:tc>
        <w:tc>
          <w:tcPr>
            <w:tcW w:w="2035" w:type="dxa"/>
          </w:tcPr>
          <w:p>
            <w:pPr>
              <w:pStyle w:val="28"/>
              <w:spacing w:line="360" w:lineRule="auto"/>
              <w:rPr>
                <w:rFonts w:hint="eastAsia" w:ascii="宋体" w:hAnsi="宋体" w:eastAsia="宋体" w:cs="宋体"/>
                <w:color w:val="auto"/>
                <w:sz w:val="20"/>
                <w:highlight w:val="none"/>
              </w:rPr>
            </w:pPr>
          </w:p>
          <w:p>
            <w:pPr>
              <w:pStyle w:val="28"/>
              <w:spacing w:before="10" w:line="360" w:lineRule="auto"/>
              <w:rPr>
                <w:rFonts w:hint="eastAsia" w:ascii="宋体" w:hAnsi="宋体" w:eastAsia="宋体" w:cs="宋体"/>
                <w:color w:val="auto"/>
                <w:sz w:val="20"/>
                <w:highlight w:val="none"/>
              </w:rPr>
            </w:pPr>
          </w:p>
          <w:p>
            <w:pPr>
              <w:pStyle w:val="28"/>
              <w:spacing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评标委员会的组建</w:t>
            </w:r>
          </w:p>
        </w:tc>
        <w:tc>
          <w:tcPr>
            <w:tcW w:w="5761" w:type="dxa"/>
          </w:tcPr>
          <w:p>
            <w:pPr>
              <w:pStyle w:val="28"/>
              <w:spacing w:before="144"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评标委员会构成：</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u w:val="single"/>
                <w:lang w:val="en-US" w:eastAsia="zh-CN"/>
              </w:rPr>
              <w:t>5</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人</w:t>
            </w:r>
          </w:p>
          <w:p>
            <w:pPr>
              <w:pStyle w:val="28"/>
              <w:spacing w:before="90"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其中招标人代表</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u w:val="single"/>
                <w:lang w:val="en-US" w:eastAsia="zh-CN"/>
              </w:rPr>
              <w:t>1</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人，专家</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u w:val="single"/>
                <w:lang w:val="en-US" w:eastAsia="zh-CN"/>
              </w:rPr>
              <w:t>4</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人；</w:t>
            </w:r>
          </w:p>
          <w:p>
            <w:pPr>
              <w:pStyle w:val="28"/>
              <w:spacing w:before="91" w:line="360" w:lineRule="auto"/>
              <w:ind w:left="84"/>
              <w:rPr>
                <w:rFonts w:hint="eastAsia" w:ascii="宋体" w:hAnsi="宋体" w:eastAsia="宋体" w:cs="宋体"/>
                <w:color w:val="auto"/>
                <w:sz w:val="21"/>
                <w:highlight w:val="none"/>
              </w:rPr>
            </w:pPr>
            <w:r>
              <w:rPr>
                <w:rFonts w:hint="eastAsia" w:ascii="宋体" w:hAnsi="宋体" w:eastAsia="宋体" w:cs="宋体"/>
                <w:color w:val="auto"/>
                <w:spacing w:val="-10"/>
                <w:sz w:val="21"/>
                <w:highlight w:val="none"/>
              </w:rPr>
              <w:t>评标专家确定方式：</w:t>
            </w:r>
            <w:r>
              <w:rPr>
                <w:rFonts w:hint="eastAsia" w:ascii="宋体" w:hAnsi="宋体" w:eastAsia="宋体" w:cs="宋体"/>
                <w:color w:val="auto"/>
                <w:spacing w:val="-10"/>
                <w:sz w:val="21"/>
                <w:highlight w:val="none"/>
                <w:lang w:val="en-US" w:eastAsia="zh-CN"/>
              </w:rPr>
              <w:t>兵团</w:t>
            </w:r>
            <w:r>
              <w:rPr>
                <w:rFonts w:hint="eastAsia" w:ascii="宋体" w:hAnsi="宋体" w:eastAsia="宋体" w:cs="宋体"/>
                <w:color w:val="auto"/>
                <w:spacing w:val="-10"/>
                <w:sz w:val="21"/>
                <w:highlight w:val="none"/>
              </w:rPr>
              <w:t>政府采购政采云专家库中随机抽取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135" w:type="dxa"/>
          </w:tcPr>
          <w:p>
            <w:pPr>
              <w:pStyle w:val="28"/>
              <w:spacing w:before="8" w:line="360" w:lineRule="auto"/>
              <w:rPr>
                <w:rFonts w:hint="eastAsia" w:ascii="宋体" w:hAnsi="宋体" w:eastAsia="宋体" w:cs="宋体"/>
                <w:color w:val="auto"/>
                <w:sz w:val="17"/>
                <w:highlight w:val="none"/>
              </w:rPr>
            </w:pPr>
          </w:p>
          <w:p>
            <w:pPr>
              <w:pStyle w:val="28"/>
              <w:spacing w:before="1" w:line="360" w:lineRule="auto"/>
              <w:ind w:left="84" w:right="74"/>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6.3.2</w:t>
            </w:r>
          </w:p>
        </w:tc>
        <w:tc>
          <w:tcPr>
            <w:tcW w:w="2035" w:type="dxa"/>
          </w:tcPr>
          <w:p>
            <w:pPr>
              <w:pStyle w:val="28"/>
              <w:spacing w:before="67" w:line="360" w:lineRule="auto"/>
              <w:ind w:left="106" w:leftChars="48" w:right="0" w:rightChars="0" w:firstLine="0"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rPr>
              <w:t>评标委员会推荐中标候选人的人数</w:t>
            </w:r>
          </w:p>
        </w:tc>
        <w:tc>
          <w:tcPr>
            <w:tcW w:w="5761" w:type="dxa"/>
          </w:tcPr>
          <w:p>
            <w:pPr>
              <w:pStyle w:val="28"/>
              <w:spacing w:before="8" w:line="360" w:lineRule="auto"/>
              <w:rPr>
                <w:rFonts w:hint="eastAsia" w:ascii="宋体" w:hAnsi="宋体" w:eastAsia="宋体" w:cs="宋体"/>
                <w:color w:val="auto"/>
                <w:sz w:val="17"/>
                <w:highlight w:val="none"/>
              </w:rPr>
            </w:pPr>
          </w:p>
          <w:p>
            <w:pPr>
              <w:pStyle w:val="28"/>
              <w:spacing w:before="1"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前</w:t>
            </w:r>
            <w:r>
              <w:rPr>
                <w:rFonts w:hint="eastAsia" w:ascii="宋体" w:hAnsi="宋体" w:eastAsia="宋体" w:cs="宋体"/>
                <w:color w:val="auto"/>
                <w:sz w:val="21"/>
                <w:highlight w:val="none"/>
                <w:u w:val="single"/>
              </w:rPr>
              <w:t xml:space="preserve"> 3 </w:t>
            </w:r>
            <w:r>
              <w:rPr>
                <w:rFonts w:hint="eastAsia" w:ascii="宋体" w:hAnsi="宋体" w:eastAsia="宋体" w:cs="宋体"/>
                <w:color w:val="auto"/>
                <w:sz w:val="21"/>
                <w:highlight w:val="none"/>
              </w:rPr>
              <w:t>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135" w:type="dxa"/>
          </w:tcPr>
          <w:p>
            <w:pPr>
              <w:pStyle w:val="28"/>
              <w:spacing w:before="8" w:line="360" w:lineRule="auto"/>
              <w:rPr>
                <w:rFonts w:hint="eastAsia" w:ascii="宋体" w:hAnsi="宋体" w:eastAsia="宋体" w:cs="宋体"/>
                <w:color w:val="auto"/>
                <w:sz w:val="28"/>
                <w:highlight w:val="none"/>
              </w:rPr>
            </w:pPr>
          </w:p>
          <w:p>
            <w:pPr>
              <w:pStyle w:val="28"/>
              <w:spacing w:line="360" w:lineRule="auto"/>
              <w:ind w:left="84" w:right="76"/>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7.1</w:t>
            </w:r>
          </w:p>
        </w:tc>
        <w:tc>
          <w:tcPr>
            <w:tcW w:w="2035" w:type="dxa"/>
          </w:tcPr>
          <w:p>
            <w:pPr>
              <w:pStyle w:val="28"/>
              <w:spacing w:line="360" w:lineRule="auto"/>
              <w:rPr>
                <w:rFonts w:hint="eastAsia" w:ascii="宋体" w:hAnsi="宋体" w:eastAsia="宋体" w:cs="宋体"/>
                <w:color w:val="auto"/>
                <w:sz w:val="17"/>
                <w:highlight w:val="none"/>
              </w:rPr>
            </w:pPr>
          </w:p>
          <w:p>
            <w:pPr>
              <w:pStyle w:val="28"/>
              <w:spacing w:line="360" w:lineRule="auto"/>
              <w:ind w:left="607" w:leftChars="85" w:right="0" w:rightChars="0" w:hanging="420" w:hanging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中标候选人公示媒介及期限</w:t>
            </w:r>
          </w:p>
        </w:tc>
        <w:tc>
          <w:tcPr>
            <w:tcW w:w="5761" w:type="dxa"/>
          </w:tcPr>
          <w:p>
            <w:pPr>
              <w:pStyle w:val="28"/>
              <w:spacing w:before="184" w:line="360" w:lineRule="auto"/>
              <w:ind w:left="84" w:right="2073"/>
              <w:rPr>
                <w:rFonts w:hint="eastAsia" w:ascii="宋体" w:hAnsi="宋体" w:eastAsia="宋体" w:cs="宋体"/>
                <w:color w:val="auto"/>
                <w:sz w:val="21"/>
                <w:highlight w:val="none"/>
              </w:rPr>
            </w:pPr>
            <w:r>
              <w:rPr>
                <w:rFonts w:hint="eastAsia" w:ascii="宋体" w:hAnsi="宋体" w:eastAsia="宋体" w:cs="宋体"/>
                <w:color w:val="auto"/>
                <w:sz w:val="21"/>
                <w:highlight w:val="none"/>
              </w:rPr>
              <w:t>公示媒介：发布招标公告的相同媒介</w:t>
            </w:r>
          </w:p>
          <w:p>
            <w:pPr>
              <w:pStyle w:val="28"/>
              <w:spacing w:before="184" w:line="360" w:lineRule="auto"/>
              <w:ind w:left="84" w:right="2073"/>
              <w:rPr>
                <w:rFonts w:hint="eastAsia" w:ascii="宋体" w:hAnsi="宋体" w:eastAsia="宋体" w:cs="宋体"/>
                <w:color w:val="auto"/>
                <w:sz w:val="21"/>
                <w:highlight w:val="none"/>
              </w:rPr>
            </w:pPr>
            <w:r>
              <w:rPr>
                <w:rFonts w:hint="eastAsia" w:ascii="宋体" w:hAnsi="宋体" w:eastAsia="宋体" w:cs="宋体"/>
                <w:color w:val="auto"/>
                <w:sz w:val="21"/>
                <w:highlight w:val="none"/>
              </w:rPr>
              <w:t>公示期限：</w:t>
            </w:r>
            <w:r>
              <w:rPr>
                <w:rFonts w:hint="eastAsia" w:ascii="宋体" w:hAnsi="宋体" w:eastAsia="宋体" w:cs="宋体"/>
                <w:color w:val="auto"/>
                <w:sz w:val="21"/>
                <w:highlight w:val="none"/>
                <w:u w:val="single"/>
              </w:rPr>
              <w:t xml:space="preserve"> 1 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1135" w:type="dxa"/>
          </w:tcPr>
          <w:p>
            <w:pPr>
              <w:pStyle w:val="28"/>
              <w:spacing w:before="5" w:line="360" w:lineRule="auto"/>
              <w:rPr>
                <w:rFonts w:hint="eastAsia" w:ascii="宋体" w:hAnsi="宋体" w:eastAsia="宋体" w:cs="宋体"/>
                <w:color w:val="auto"/>
                <w:sz w:val="24"/>
                <w:highlight w:val="none"/>
              </w:rPr>
            </w:pPr>
          </w:p>
          <w:p>
            <w:pPr>
              <w:pStyle w:val="28"/>
              <w:spacing w:line="360" w:lineRule="auto"/>
              <w:ind w:left="84" w:right="76"/>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7.4</w:t>
            </w:r>
          </w:p>
        </w:tc>
        <w:tc>
          <w:tcPr>
            <w:tcW w:w="2035" w:type="dxa"/>
          </w:tcPr>
          <w:p>
            <w:pPr>
              <w:pStyle w:val="28"/>
              <w:spacing w:before="145" w:line="360" w:lineRule="auto"/>
              <w:ind w:right="178"/>
              <w:rPr>
                <w:rFonts w:hint="eastAsia" w:ascii="宋体" w:hAnsi="宋体" w:eastAsia="宋体" w:cs="宋体"/>
                <w:color w:val="auto"/>
                <w:sz w:val="21"/>
                <w:highlight w:val="none"/>
              </w:rPr>
            </w:pPr>
            <w:r>
              <w:rPr>
                <w:rFonts w:hint="eastAsia" w:ascii="宋体" w:hAnsi="宋体" w:eastAsia="宋体" w:cs="宋体"/>
                <w:color w:val="auto"/>
                <w:sz w:val="21"/>
                <w:highlight w:val="none"/>
              </w:rPr>
              <w:t>是否授权评标委员会确定中标人</w:t>
            </w:r>
          </w:p>
        </w:tc>
        <w:tc>
          <w:tcPr>
            <w:tcW w:w="5761" w:type="dxa"/>
          </w:tcPr>
          <w:p>
            <w:pPr>
              <w:pStyle w:val="28"/>
              <w:spacing w:before="135" w:line="360" w:lineRule="auto"/>
              <w:ind w:left="84"/>
              <w:rPr>
                <w:rFonts w:hint="eastAsia" w:ascii="宋体" w:hAnsi="宋体" w:eastAsia="宋体" w:cs="宋体"/>
                <w:color w:val="auto"/>
                <w:sz w:val="21"/>
                <w:highlight w:val="none"/>
              </w:rPr>
            </w:pPr>
            <w:r>
              <w:rPr>
                <w:rFonts w:hint="eastAsia" w:ascii="宋体" w:hAnsi="宋体" w:eastAsia="宋体" w:cs="宋体"/>
                <w:color w:val="auto"/>
                <w:spacing w:val="-1"/>
                <w:w w:val="95"/>
                <w:sz w:val="21"/>
                <w:highlight w:val="none"/>
              </w:rPr>
              <w:t>□是</w:t>
            </w:r>
          </w:p>
          <w:p>
            <w:pPr>
              <w:pStyle w:val="28"/>
              <w:spacing w:before="91" w:line="360" w:lineRule="auto"/>
              <w:ind w:left="84"/>
              <w:rPr>
                <w:rFonts w:hint="eastAsia" w:ascii="宋体" w:hAnsi="宋体" w:eastAsia="宋体" w:cs="宋体"/>
                <w:color w:val="auto"/>
                <w:sz w:val="21"/>
                <w:highlight w:val="none"/>
              </w:rPr>
            </w:pPr>
            <w:r>
              <w:rPr>
                <w:rFonts w:hint="eastAsia" w:ascii="宋体" w:hAnsi="宋体" w:eastAsia="宋体" w:cs="宋体"/>
                <w:color w:val="auto"/>
                <w:spacing w:val="-70"/>
                <w:w w:val="99"/>
                <w:sz w:val="21"/>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before="9" w:line="360" w:lineRule="auto"/>
              <w:rPr>
                <w:rFonts w:hint="eastAsia" w:ascii="宋体" w:hAnsi="宋体" w:eastAsia="宋体" w:cs="宋体"/>
                <w:color w:val="auto"/>
                <w:sz w:val="15"/>
                <w:highlight w:val="none"/>
              </w:rPr>
            </w:pPr>
          </w:p>
          <w:p>
            <w:pPr>
              <w:pStyle w:val="28"/>
              <w:spacing w:before="1" w:line="360" w:lineRule="auto"/>
              <w:ind w:left="305"/>
              <w:rPr>
                <w:rFonts w:hint="eastAsia" w:ascii="宋体" w:hAnsi="宋体" w:eastAsia="宋体" w:cs="宋体"/>
                <w:color w:val="auto"/>
                <w:sz w:val="21"/>
                <w:highlight w:val="none"/>
              </w:rPr>
            </w:pPr>
            <w:r>
              <w:rPr>
                <w:rFonts w:hint="eastAsia" w:ascii="宋体" w:hAnsi="宋体" w:eastAsia="宋体" w:cs="宋体"/>
                <w:color w:val="auto"/>
                <w:sz w:val="21"/>
                <w:highlight w:val="none"/>
              </w:rPr>
              <w:t>7.</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.1</w:t>
            </w:r>
          </w:p>
        </w:tc>
        <w:tc>
          <w:tcPr>
            <w:tcW w:w="2035" w:type="dxa"/>
          </w:tcPr>
          <w:p>
            <w:pPr>
              <w:pStyle w:val="28"/>
              <w:spacing w:line="360" w:lineRule="auto"/>
              <w:rPr>
                <w:rFonts w:hint="eastAsia" w:ascii="宋体" w:hAnsi="宋体" w:eastAsia="宋体" w:cs="宋体"/>
                <w:color w:val="auto"/>
                <w:sz w:val="20"/>
                <w:highlight w:val="none"/>
              </w:rPr>
            </w:pPr>
          </w:p>
          <w:p>
            <w:pPr>
              <w:pStyle w:val="28"/>
              <w:spacing w:before="9" w:line="360" w:lineRule="auto"/>
              <w:rPr>
                <w:rFonts w:hint="eastAsia" w:ascii="宋体" w:hAnsi="宋体" w:eastAsia="宋体" w:cs="宋体"/>
                <w:color w:val="auto"/>
                <w:sz w:val="15"/>
                <w:highlight w:val="none"/>
              </w:rPr>
            </w:pPr>
          </w:p>
          <w:p>
            <w:pPr>
              <w:pStyle w:val="28"/>
              <w:spacing w:before="1"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履约保证金</w:t>
            </w:r>
          </w:p>
        </w:tc>
        <w:tc>
          <w:tcPr>
            <w:tcW w:w="5761" w:type="dxa"/>
          </w:tcPr>
          <w:p>
            <w:pPr>
              <w:pStyle w:val="28"/>
              <w:spacing w:before="136"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是否要求中标人提交履约保证金：</w:t>
            </w:r>
          </w:p>
          <w:p>
            <w:pPr>
              <w:pStyle w:val="28"/>
              <w:spacing w:before="91" w:line="360" w:lineRule="auto"/>
              <w:ind w:left="924" w:right="813" w:hanging="840"/>
              <w:rPr>
                <w:rFonts w:hint="eastAsia" w:ascii="宋体" w:hAnsi="宋体" w:eastAsia="宋体" w:cs="宋体"/>
                <w:color w:val="auto"/>
                <w:spacing w:val="-15"/>
                <w:w w:val="99"/>
                <w:sz w:val="21"/>
                <w:highlight w:val="none"/>
              </w:rPr>
            </w:pPr>
            <w:r>
              <w:rPr>
                <w:rFonts w:hint="eastAsia" w:ascii="宋体" w:hAnsi="宋体" w:eastAsia="宋体" w:cs="宋体"/>
                <w:color w:val="auto"/>
                <w:spacing w:val="-15"/>
                <w:w w:val="99"/>
                <w:sz w:val="21"/>
                <w:highlight w:val="none"/>
              </w:rPr>
              <w:t>□要求，履约保证金的形式：</w:t>
            </w:r>
          </w:p>
          <w:p>
            <w:pPr>
              <w:pStyle w:val="28"/>
              <w:spacing w:before="91" w:line="360" w:lineRule="auto"/>
              <w:ind w:left="924" w:right="813" w:hanging="840"/>
              <w:rPr>
                <w:rFonts w:hint="eastAsia" w:ascii="宋体" w:hAnsi="宋体" w:eastAsia="宋体" w:cs="宋体"/>
                <w:color w:val="auto"/>
                <w:sz w:val="21"/>
                <w:highlight w:val="none"/>
              </w:rPr>
            </w:pPr>
            <w:r>
              <w:rPr>
                <w:rFonts w:hint="eastAsia" w:ascii="宋体" w:hAnsi="宋体" w:eastAsia="宋体" w:cs="宋体"/>
                <w:color w:val="auto"/>
                <w:spacing w:val="-18"/>
                <w:sz w:val="21"/>
                <w:highlight w:val="none"/>
              </w:rPr>
              <w:t>金额：</w:t>
            </w: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sym w:font="Wingdings 2" w:char="0052"/>
            </w:r>
            <w:r>
              <w:rPr>
                <w:rFonts w:hint="eastAsia" w:ascii="宋体" w:hAnsi="宋体" w:eastAsia="宋体" w:cs="宋体"/>
                <w:color w:val="auto"/>
                <w:sz w:val="21"/>
                <w:highlight w:val="none"/>
              </w:rPr>
              <w:t>不要求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1135" w:type="dxa"/>
          </w:tcPr>
          <w:p>
            <w:pPr>
              <w:pStyle w:val="28"/>
              <w:spacing w:before="8" w:line="360" w:lineRule="auto"/>
              <w:rPr>
                <w:rFonts w:hint="eastAsia" w:ascii="宋体" w:hAnsi="宋体" w:eastAsia="宋体" w:cs="宋体"/>
                <w:color w:val="auto"/>
                <w:sz w:val="24"/>
                <w:highlight w:val="none"/>
              </w:rPr>
            </w:pPr>
          </w:p>
          <w:p>
            <w:pPr>
              <w:pStyle w:val="28"/>
              <w:spacing w:line="360" w:lineRule="auto"/>
              <w:ind w:left="8"/>
              <w:jc w:val="center"/>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9</w:t>
            </w:r>
          </w:p>
        </w:tc>
        <w:tc>
          <w:tcPr>
            <w:tcW w:w="2035" w:type="dxa"/>
          </w:tcPr>
          <w:p>
            <w:pPr>
              <w:pStyle w:val="28"/>
              <w:spacing w:before="147" w:line="360" w:lineRule="auto"/>
              <w:ind w:left="817" w:leftChars="85" w:right="0" w:rightChars="0" w:hanging="630" w:hangingChars="300"/>
              <w:rPr>
                <w:rFonts w:hint="eastAsia" w:ascii="宋体" w:hAnsi="宋体" w:eastAsia="宋体" w:cs="宋体"/>
                <w:color w:val="auto"/>
                <w:sz w:val="21"/>
                <w:highlight w:val="none"/>
              </w:rPr>
            </w:pPr>
            <w:r>
              <w:rPr>
                <w:rFonts w:hint="eastAsia" w:ascii="宋体" w:hAnsi="宋体" w:eastAsia="宋体" w:cs="宋体"/>
                <w:color w:val="auto"/>
                <w:sz w:val="21"/>
                <w:highlight w:val="none"/>
              </w:rPr>
              <w:t>是否采用电子招标投标</w:t>
            </w:r>
          </w:p>
        </w:tc>
        <w:tc>
          <w:tcPr>
            <w:tcW w:w="5761" w:type="dxa"/>
          </w:tcPr>
          <w:p>
            <w:pPr>
              <w:pStyle w:val="28"/>
              <w:spacing w:before="138" w:line="360" w:lineRule="auto"/>
              <w:ind w:left="84"/>
              <w:rPr>
                <w:rFonts w:hint="eastAsia" w:ascii="宋体" w:hAnsi="宋体" w:eastAsia="宋体" w:cs="宋体"/>
                <w:color w:val="auto"/>
                <w:sz w:val="21"/>
                <w:highlight w:val="none"/>
              </w:rPr>
            </w:pPr>
            <w:r>
              <w:rPr>
                <w:rFonts w:hint="eastAsia" w:ascii="宋体" w:hAnsi="宋体" w:eastAsia="宋体" w:cs="宋体"/>
                <w:color w:val="auto"/>
                <w:spacing w:val="-70"/>
                <w:w w:val="99"/>
                <w:sz w:val="21"/>
                <w:highlight w:val="none"/>
              </w:rPr>
              <w:sym w:font="Wingdings 2" w:char="0052"/>
            </w:r>
            <w:r>
              <w:rPr>
                <w:rFonts w:hint="eastAsia" w:ascii="宋体" w:hAnsi="宋体" w:eastAsia="宋体" w:cs="宋体"/>
                <w:color w:val="auto"/>
                <w:spacing w:val="-70"/>
                <w:w w:val="99"/>
                <w:sz w:val="21"/>
                <w:highlight w:val="none"/>
              </w:rPr>
              <w:t>否</w:t>
            </w:r>
          </w:p>
          <w:p>
            <w:pPr>
              <w:pStyle w:val="28"/>
              <w:spacing w:before="91"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□是，具体要求：/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8" w:line="360" w:lineRule="auto"/>
              <w:rPr>
                <w:rFonts w:hint="eastAsia" w:ascii="宋体" w:hAnsi="宋体" w:eastAsia="宋体" w:cs="宋体"/>
                <w:color w:val="auto"/>
                <w:sz w:val="17"/>
                <w:highlight w:val="none"/>
              </w:rPr>
            </w:pPr>
          </w:p>
          <w:p>
            <w:pPr>
              <w:pStyle w:val="28"/>
              <w:spacing w:line="360" w:lineRule="auto"/>
              <w:ind w:left="84" w:right="76"/>
              <w:jc w:val="center"/>
              <w:rPr>
                <w:rFonts w:hint="eastAsia" w:ascii="宋体" w:hAnsi="宋体" w:eastAsia="宋体" w:cs="宋体"/>
                <w:color w:val="auto"/>
                <w:sz w:val="21"/>
                <w:highlight w:val="none"/>
              </w:rPr>
            </w:pPr>
          </w:p>
          <w:p>
            <w:pPr>
              <w:pStyle w:val="28"/>
              <w:spacing w:line="360" w:lineRule="auto"/>
              <w:ind w:left="84" w:right="76"/>
              <w:jc w:val="center"/>
              <w:rPr>
                <w:rFonts w:hint="eastAsia" w:ascii="宋体" w:hAnsi="宋体" w:eastAsia="宋体" w:cs="宋体"/>
                <w:color w:val="auto"/>
                <w:sz w:val="21"/>
                <w:highlight w:val="none"/>
              </w:rPr>
            </w:pPr>
          </w:p>
          <w:p>
            <w:pPr>
              <w:pStyle w:val="28"/>
              <w:spacing w:line="360" w:lineRule="auto"/>
              <w:ind w:left="84" w:right="76"/>
              <w:jc w:val="center"/>
              <w:rPr>
                <w:rFonts w:hint="eastAsia" w:ascii="宋体" w:hAnsi="宋体" w:eastAsia="宋体" w:cs="宋体"/>
                <w:color w:val="auto"/>
                <w:sz w:val="21"/>
                <w:highlight w:val="none"/>
              </w:rPr>
            </w:pPr>
          </w:p>
          <w:p>
            <w:pPr>
              <w:pStyle w:val="28"/>
              <w:spacing w:line="360" w:lineRule="auto"/>
              <w:ind w:left="84" w:right="76"/>
              <w:jc w:val="center"/>
              <w:rPr>
                <w:rFonts w:hint="eastAsia" w:ascii="宋体" w:hAnsi="宋体" w:eastAsia="宋体" w:cs="宋体"/>
                <w:color w:val="auto"/>
                <w:sz w:val="21"/>
                <w:highlight w:val="none"/>
              </w:rPr>
            </w:pPr>
          </w:p>
          <w:p>
            <w:pPr>
              <w:pStyle w:val="28"/>
              <w:spacing w:line="360" w:lineRule="auto"/>
              <w:ind w:left="84" w:right="76"/>
              <w:jc w:val="center"/>
              <w:rPr>
                <w:rFonts w:hint="eastAsia" w:ascii="宋体" w:hAnsi="宋体" w:eastAsia="宋体" w:cs="宋体"/>
                <w:color w:val="auto"/>
                <w:sz w:val="21"/>
                <w:highlight w:val="none"/>
              </w:rPr>
            </w:pPr>
          </w:p>
          <w:p>
            <w:pPr>
              <w:pStyle w:val="28"/>
              <w:spacing w:line="360" w:lineRule="auto"/>
              <w:ind w:left="84" w:right="76"/>
              <w:jc w:val="center"/>
              <w:rPr>
                <w:rFonts w:hint="eastAsia" w:ascii="宋体" w:hAnsi="宋体" w:eastAsia="宋体" w:cs="宋体"/>
                <w:color w:val="auto"/>
                <w:sz w:val="21"/>
                <w:highlight w:val="none"/>
              </w:rPr>
            </w:pPr>
          </w:p>
          <w:p>
            <w:pPr>
              <w:pStyle w:val="28"/>
              <w:spacing w:line="360" w:lineRule="auto"/>
              <w:ind w:left="84" w:right="76"/>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10</w:t>
            </w:r>
          </w:p>
        </w:tc>
        <w:tc>
          <w:tcPr>
            <w:tcW w:w="2035" w:type="dxa"/>
          </w:tcPr>
          <w:p>
            <w:pPr>
              <w:pStyle w:val="28"/>
              <w:spacing w:before="8" w:line="360" w:lineRule="auto"/>
              <w:rPr>
                <w:rFonts w:hint="eastAsia" w:ascii="宋体" w:hAnsi="宋体" w:eastAsia="宋体" w:cs="宋体"/>
                <w:color w:val="auto"/>
                <w:sz w:val="17"/>
                <w:highlight w:val="none"/>
              </w:rPr>
            </w:pPr>
          </w:p>
          <w:p>
            <w:pPr>
              <w:pStyle w:val="28"/>
              <w:spacing w:line="360" w:lineRule="auto"/>
              <w:ind w:left="167" w:right="160"/>
              <w:jc w:val="center"/>
              <w:rPr>
                <w:rFonts w:hint="eastAsia" w:ascii="宋体" w:hAnsi="宋体" w:eastAsia="宋体" w:cs="宋体"/>
                <w:color w:val="auto"/>
                <w:sz w:val="21"/>
                <w:highlight w:val="none"/>
              </w:rPr>
            </w:pPr>
          </w:p>
          <w:p>
            <w:pPr>
              <w:pStyle w:val="28"/>
              <w:spacing w:line="360" w:lineRule="auto"/>
              <w:ind w:left="167" w:right="160"/>
              <w:jc w:val="center"/>
              <w:rPr>
                <w:rFonts w:hint="eastAsia" w:ascii="宋体" w:hAnsi="宋体" w:eastAsia="宋体" w:cs="宋体"/>
                <w:color w:val="auto"/>
                <w:sz w:val="21"/>
                <w:highlight w:val="none"/>
              </w:rPr>
            </w:pPr>
          </w:p>
          <w:p>
            <w:pPr>
              <w:pStyle w:val="28"/>
              <w:spacing w:line="360" w:lineRule="auto"/>
              <w:ind w:left="167" w:right="160"/>
              <w:jc w:val="center"/>
              <w:rPr>
                <w:rFonts w:hint="eastAsia" w:ascii="宋体" w:hAnsi="宋体" w:eastAsia="宋体" w:cs="宋体"/>
                <w:color w:val="auto"/>
                <w:sz w:val="21"/>
                <w:highlight w:val="none"/>
              </w:rPr>
            </w:pPr>
          </w:p>
          <w:p>
            <w:pPr>
              <w:pStyle w:val="28"/>
              <w:spacing w:line="360" w:lineRule="auto"/>
              <w:ind w:left="167" w:right="160"/>
              <w:jc w:val="center"/>
              <w:rPr>
                <w:rFonts w:hint="eastAsia" w:ascii="宋体" w:hAnsi="宋体" w:eastAsia="宋体" w:cs="宋体"/>
                <w:color w:val="auto"/>
                <w:sz w:val="21"/>
                <w:highlight w:val="none"/>
              </w:rPr>
            </w:pPr>
          </w:p>
          <w:p>
            <w:pPr>
              <w:pStyle w:val="28"/>
              <w:spacing w:line="360" w:lineRule="auto"/>
              <w:ind w:left="167" w:right="160"/>
              <w:jc w:val="center"/>
              <w:rPr>
                <w:rFonts w:hint="eastAsia" w:ascii="宋体" w:hAnsi="宋体" w:eastAsia="宋体" w:cs="宋体"/>
                <w:color w:val="auto"/>
                <w:sz w:val="21"/>
                <w:highlight w:val="none"/>
              </w:rPr>
            </w:pPr>
          </w:p>
          <w:p>
            <w:pPr>
              <w:pStyle w:val="28"/>
              <w:spacing w:line="360" w:lineRule="auto"/>
              <w:ind w:left="167" w:right="160"/>
              <w:jc w:val="center"/>
              <w:rPr>
                <w:rFonts w:hint="eastAsia" w:ascii="宋体" w:hAnsi="宋体" w:eastAsia="宋体" w:cs="宋体"/>
                <w:color w:val="auto"/>
                <w:sz w:val="21"/>
                <w:highlight w:val="none"/>
              </w:rPr>
            </w:pPr>
          </w:p>
          <w:p>
            <w:pPr>
              <w:pStyle w:val="28"/>
              <w:spacing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需要补充的其他内容</w:t>
            </w:r>
          </w:p>
        </w:tc>
        <w:tc>
          <w:tcPr>
            <w:tcW w:w="5761" w:type="dxa"/>
          </w:tcPr>
          <w:p>
            <w:pPr>
              <w:pStyle w:val="28"/>
              <w:numPr>
                <w:ilvl w:val="0"/>
                <w:numId w:val="3"/>
              </w:num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各投标单位在网上及时查询本项目的澄清、修改和补充等内容，如未及时查询相关内容，造成后果自行承担。</w:t>
            </w:r>
          </w:p>
          <w:p>
            <w:pPr>
              <w:pStyle w:val="42"/>
              <w:spacing w:line="360" w:lineRule="auto"/>
              <w:rPr>
                <w:rFonts w:hint="eastAsia" w:ascii="宋体" w:hAnsi="宋体" w:eastAsia="宋体" w:cs="宋体"/>
                <w:color w:val="auto"/>
                <w:sz w:val="24"/>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招标代理服务费：</w:t>
            </w:r>
            <w:r>
              <w:rPr>
                <w:rFonts w:hint="eastAsia" w:ascii="宋体" w:hAnsi="宋体" w:eastAsia="宋体" w:cs="宋体"/>
                <w:color w:val="auto"/>
                <w:sz w:val="21"/>
                <w:szCs w:val="21"/>
                <w:highlight w:val="none"/>
              </w:rPr>
              <w:t>中标人在《中标通知书》核发时至核发后，须向招标代理机构缴纳招标代理服务费，招标代理服务费的计算基数是中标人投标报价的总金额，即中标通知书载明的中标金额。</w:t>
            </w:r>
          </w:p>
          <w:p>
            <w:pPr>
              <w:pStyle w:val="42"/>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本项目招标代理服务费支付标准：以投标人中标费率计算出的中标金额为基准，代理报酬按计价格【2002】1980号及发改办价格【2011】534号文计取，</w:t>
            </w:r>
            <w:r>
              <w:rPr>
                <w:rFonts w:hint="eastAsia" w:ascii="宋体" w:hAnsi="宋体" w:eastAsia="宋体" w:cs="宋体"/>
                <w:color w:val="auto"/>
                <w:sz w:val="21"/>
                <w:szCs w:val="21"/>
                <w:highlight w:val="none"/>
                <w:lang w:val="en-US" w:eastAsia="zh-CN"/>
              </w:rPr>
              <w:t>不足5000按5000计，</w:t>
            </w:r>
            <w:r>
              <w:rPr>
                <w:rFonts w:hint="eastAsia" w:ascii="宋体" w:hAnsi="宋体" w:eastAsia="宋体" w:cs="宋体"/>
                <w:color w:val="auto"/>
                <w:sz w:val="21"/>
                <w:szCs w:val="21"/>
                <w:highlight w:val="none"/>
              </w:rPr>
              <w:t>由中标单位支付招标代理服务费；</w:t>
            </w:r>
          </w:p>
          <w:p>
            <w:pPr>
              <w:pStyle w:val="42"/>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支付方式：电汇，由中标人一次性支付或由招标代理直接在投标保证金中扣除。</w:t>
            </w:r>
          </w:p>
          <w:p>
            <w:pPr>
              <w:pStyle w:val="42"/>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支付时间：领取中标通知书前。</w:t>
            </w:r>
          </w:p>
          <w:p>
            <w:pPr>
              <w:pStyle w:val="28"/>
              <w:numPr>
                <w:ilvl w:val="0"/>
                <w:numId w:val="0"/>
              </w:numPr>
              <w:spacing w:line="360" w:lineRule="auto"/>
              <w:ind w:right="0" w:rightChars="0"/>
              <w:rPr>
                <w:rFonts w:hint="eastAsia" w:ascii="宋体" w:hAnsi="宋体" w:eastAsia="宋体" w:cs="宋体"/>
                <w:color w:val="auto"/>
                <w:sz w:val="20"/>
                <w:highlight w:val="none"/>
              </w:rPr>
            </w:pPr>
            <w:r>
              <w:rPr>
                <w:rFonts w:hint="eastAsia" w:ascii="宋体" w:hAnsi="宋体" w:eastAsia="宋体" w:cs="宋体"/>
                <w:color w:val="auto"/>
                <w:sz w:val="21"/>
                <w:szCs w:val="21"/>
                <w:highlight w:val="none"/>
              </w:rPr>
              <w:t>招标代理服务费不需在投标报价表中单列。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9" w:line="360" w:lineRule="auto"/>
              <w:rPr>
                <w:rFonts w:hint="eastAsia" w:ascii="宋体" w:hAnsi="宋体" w:eastAsia="宋体" w:cs="宋体"/>
                <w:color w:val="auto"/>
                <w:sz w:val="17"/>
                <w:highlight w:val="none"/>
              </w:rPr>
            </w:pPr>
          </w:p>
          <w:p>
            <w:pPr>
              <w:pStyle w:val="28"/>
              <w:spacing w:line="360" w:lineRule="auto"/>
              <w:ind w:left="427"/>
              <w:rPr>
                <w:rFonts w:hint="eastAsia" w:ascii="宋体" w:hAnsi="宋体" w:eastAsia="宋体" w:cs="宋体"/>
                <w:color w:val="auto"/>
                <w:sz w:val="21"/>
                <w:highlight w:val="none"/>
              </w:rPr>
            </w:pPr>
            <w:r>
              <w:rPr>
                <w:rFonts w:hint="eastAsia" w:ascii="宋体" w:hAnsi="宋体" w:eastAsia="宋体" w:cs="宋体"/>
                <w:color w:val="auto"/>
                <w:sz w:val="21"/>
                <w:highlight w:val="none"/>
              </w:rPr>
              <w:t>10.1</w:t>
            </w:r>
          </w:p>
        </w:tc>
        <w:tc>
          <w:tcPr>
            <w:tcW w:w="2035" w:type="dxa"/>
          </w:tcPr>
          <w:p>
            <w:pPr>
              <w:pStyle w:val="28"/>
              <w:spacing w:before="9" w:line="360" w:lineRule="auto"/>
              <w:rPr>
                <w:rFonts w:hint="eastAsia" w:ascii="宋体" w:hAnsi="宋体" w:eastAsia="宋体" w:cs="宋体"/>
                <w:color w:val="auto"/>
                <w:sz w:val="17"/>
                <w:highlight w:val="none"/>
              </w:rPr>
            </w:pPr>
          </w:p>
          <w:p>
            <w:pPr>
              <w:pStyle w:val="28"/>
              <w:spacing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词语定义</w:t>
            </w:r>
          </w:p>
        </w:tc>
        <w:tc>
          <w:tcPr>
            <w:tcW w:w="5761" w:type="dxa"/>
          </w:tcPr>
          <w:p>
            <w:pPr>
              <w:pStyle w:val="28"/>
              <w:spacing w:line="360" w:lineRule="auto"/>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8" w:line="360" w:lineRule="auto"/>
              <w:rPr>
                <w:rFonts w:hint="eastAsia" w:ascii="宋体" w:hAnsi="宋体" w:eastAsia="宋体" w:cs="宋体"/>
                <w:color w:val="auto"/>
                <w:sz w:val="17"/>
                <w:highlight w:val="none"/>
              </w:rPr>
            </w:pPr>
          </w:p>
          <w:p>
            <w:pPr>
              <w:pStyle w:val="28"/>
              <w:spacing w:line="360" w:lineRule="auto"/>
              <w:ind w:left="324"/>
              <w:rPr>
                <w:rFonts w:hint="eastAsia" w:ascii="宋体" w:hAnsi="宋体" w:eastAsia="宋体" w:cs="宋体"/>
                <w:color w:val="auto"/>
                <w:sz w:val="21"/>
                <w:highlight w:val="none"/>
              </w:rPr>
            </w:pPr>
            <w:r>
              <w:rPr>
                <w:rFonts w:hint="eastAsia" w:ascii="宋体" w:hAnsi="宋体" w:eastAsia="宋体" w:cs="宋体"/>
                <w:color w:val="auto"/>
                <w:sz w:val="21"/>
                <w:highlight w:val="none"/>
              </w:rPr>
              <w:t>10.1.1</w:t>
            </w:r>
          </w:p>
        </w:tc>
        <w:tc>
          <w:tcPr>
            <w:tcW w:w="7796" w:type="dxa"/>
            <w:gridSpan w:val="2"/>
          </w:tcPr>
          <w:p>
            <w:pPr>
              <w:pStyle w:val="28"/>
              <w:spacing w:before="8" w:line="360" w:lineRule="auto"/>
              <w:rPr>
                <w:rFonts w:hint="eastAsia" w:ascii="宋体" w:hAnsi="宋体" w:eastAsia="宋体" w:cs="宋体"/>
                <w:color w:val="auto"/>
                <w:sz w:val="17"/>
                <w:highlight w:val="none"/>
              </w:rPr>
            </w:pPr>
          </w:p>
          <w:p>
            <w:pPr>
              <w:pStyle w:val="28"/>
              <w:spacing w:line="360" w:lineRule="auto"/>
              <w:ind w:left="84"/>
              <w:rPr>
                <w:rFonts w:hint="eastAsia" w:ascii="宋体" w:hAnsi="宋体" w:eastAsia="宋体" w:cs="宋体"/>
                <w:color w:val="auto"/>
                <w:sz w:val="21"/>
                <w:highlight w:val="none"/>
              </w:rPr>
            </w:pPr>
            <w:r>
              <w:rPr>
                <w:rFonts w:hint="eastAsia" w:ascii="宋体" w:hAnsi="宋体" w:eastAsia="宋体" w:cs="宋体"/>
                <w:color w:val="auto"/>
                <w:sz w:val="21"/>
                <w:highlight w:val="none"/>
              </w:rPr>
              <w:t>“类似项目”是指与本次招标工程内容、类型、使用功能相似的</w:t>
            </w:r>
            <w:r>
              <w:rPr>
                <w:rFonts w:hint="eastAsia" w:ascii="宋体" w:hAnsi="宋体" w:eastAsia="宋体" w:cs="宋体"/>
                <w:color w:val="auto"/>
                <w:sz w:val="21"/>
                <w:highlight w:val="none"/>
                <w:lang w:val="en-US" w:eastAsia="zh-CN"/>
              </w:rPr>
              <w:t>平台</w:t>
            </w:r>
            <w:r>
              <w:rPr>
                <w:rFonts w:hint="eastAsia" w:ascii="宋体" w:hAnsi="宋体" w:eastAsia="宋体" w:cs="宋体"/>
                <w:color w:val="auto"/>
                <w:sz w:val="21"/>
                <w:highlight w:val="none"/>
              </w:rPr>
              <w:t>案例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7" w:line="360" w:lineRule="auto"/>
              <w:rPr>
                <w:rFonts w:hint="eastAsia" w:ascii="宋体" w:hAnsi="宋体" w:eastAsia="宋体" w:cs="宋体"/>
                <w:color w:val="auto"/>
                <w:sz w:val="17"/>
                <w:highlight w:val="none"/>
              </w:rPr>
            </w:pPr>
          </w:p>
          <w:p>
            <w:pPr>
              <w:pStyle w:val="28"/>
              <w:spacing w:line="360" w:lineRule="auto"/>
              <w:ind w:left="355"/>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10.</w:t>
            </w:r>
            <w:r>
              <w:rPr>
                <w:rFonts w:hint="eastAsia" w:ascii="宋体" w:hAnsi="宋体" w:eastAsia="宋体" w:cs="宋体"/>
                <w:color w:val="auto"/>
                <w:sz w:val="21"/>
                <w:highlight w:val="none"/>
                <w:lang w:val="en-US" w:eastAsia="zh-CN"/>
              </w:rPr>
              <w:t>2</w:t>
            </w:r>
          </w:p>
        </w:tc>
        <w:tc>
          <w:tcPr>
            <w:tcW w:w="2035" w:type="dxa"/>
            <w:vAlign w:val="center"/>
          </w:tcPr>
          <w:p>
            <w:pPr>
              <w:pStyle w:val="28"/>
              <w:spacing w:before="68" w:line="360" w:lineRule="auto"/>
              <w:ind w:left="740" w:leftChars="0" w:right="0" w:rightChars="0" w:hanging="552" w:firstLineChars="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投标文件的陈述及澄清</w:t>
            </w:r>
          </w:p>
        </w:tc>
        <w:tc>
          <w:tcPr>
            <w:tcW w:w="5761" w:type="dxa"/>
            <w:vAlign w:val="center"/>
          </w:tcPr>
          <w:p>
            <w:pPr>
              <w:pStyle w:val="28"/>
              <w:spacing w:line="360" w:lineRule="auto"/>
              <w:ind w:firstLine="600" w:firstLineChars="300"/>
              <w:jc w:val="both"/>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135" w:type="dxa"/>
          </w:tcPr>
          <w:p>
            <w:pPr>
              <w:pStyle w:val="28"/>
              <w:spacing w:before="8" w:line="360" w:lineRule="auto"/>
              <w:rPr>
                <w:rFonts w:hint="eastAsia" w:ascii="宋体" w:hAnsi="宋体" w:eastAsia="宋体" w:cs="宋体"/>
                <w:color w:val="auto"/>
                <w:sz w:val="17"/>
                <w:highlight w:val="none"/>
              </w:rPr>
            </w:pPr>
          </w:p>
          <w:p>
            <w:pPr>
              <w:pStyle w:val="28"/>
              <w:spacing w:line="360" w:lineRule="auto"/>
              <w:ind w:left="355"/>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10.</w:t>
            </w:r>
            <w:r>
              <w:rPr>
                <w:rFonts w:hint="eastAsia" w:ascii="宋体" w:hAnsi="宋体" w:eastAsia="宋体" w:cs="宋体"/>
                <w:color w:val="auto"/>
                <w:sz w:val="21"/>
                <w:highlight w:val="none"/>
                <w:lang w:val="en-US" w:eastAsia="zh-CN"/>
              </w:rPr>
              <w:t>3</w:t>
            </w:r>
          </w:p>
        </w:tc>
        <w:tc>
          <w:tcPr>
            <w:tcW w:w="2035" w:type="dxa"/>
          </w:tcPr>
          <w:p>
            <w:pPr>
              <w:pStyle w:val="28"/>
              <w:spacing w:before="8" w:line="360" w:lineRule="auto"/>
              <w:rPr>
                <w:rFonts w:hint="eastAsia" w:ascii="宋体" w:hAnsi="宋体" w:eastAsia="宋体" w:cs="宋体"/>
                <w:color w:val="auto"/>
                <w:sz w:val="17"/>
                <w:highlight w:val="none"/>
              </w:rPr>
            </w:pPr>
          </w:p>
          <w:p>
            <w:pPr>
              <w:pStyle w:val="28"/>
              <w:spacing w:line="360" w:lineRule="auto"/>
              <w:ind w:left="167" w:right="16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知识产权</w:t>
            </w:r>
          </w:p>
        </w:tc>
        <w:tc>
          <w:tcPr>
            <w:tcW w:w="5761" w:type="dxa"/>
          </w:tcPr>
          <w:p>
            <w:pPr>
              <w:pStyle w:val="28"/>
              <w:spacing w:line="360" w:lineRule="auto"/>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1135" w:type="dxa"/>
          </w:tcPr>
          <w:p>
            <w:pPr>
              <w:pStyle w:val="28"/>
              <w:spacing w:before="5" w:line="360" w:lineRule="auto"/>
              <w:rPr>
                <w:rFonts w:hint="eastAsia" w:ascii="宋体" w:hAnsi="宋体" w:eastAsia="宋体" w:cs="宋体"/>
                <w:color w:val="auto"/>
                <w:sz w:val="26"/>
                <w:highlight w:val="none"/>
              </w:rPr>
            </w:pPr>
            <w:bookmarkStart w:id="14" w:name="1.  总则"/>
            <w:bookmarkEnd w:id="14"/>
          </w:p>
          <w:p>
            <w:pPr>
              <w:pStyle w:val="28"/>
              <w:spacing w:line="360" w:lineRule="auto"/>
              <w:ind w:left="84" w:right="74"/>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10.</w:t>
            </w:r>
            <w:r>
              <w:rPr>
                <w:rFonts w:hint="eastAsia" w:ascii="宋体" w:hAnsi="宋体" w:eastAsia="宋体" w:cs="宋体"/>
                <w:color w:val="auto"/>
                <w:sz w:val="21"/>
                <w:highlight w:val="none"/>
                <w:lang w:val="en-US" w:eastAsia="zh-CN"/>
              </w:rPr>
              <w:t>3</w:t>
            </w:r>
            <w:r>
              <w:rPr>
                <w:rFonts w:hint="eastAsia" w:ascii="宋体" w:hAnsi="宋体" w:eastAsia="宋体" w:cs="宋体"/>
                <w:color w:val="auto"/>
                <w:sz w:val="21"/>
                <w:highlight w:val="none"/>
              </w:rPr>
              <w:t>.1</w:t>
            </w:r>
          </w:p>
        </w:tc>
        <w:tc>
          <w:tcPr>
            <w:tcW w:w="7796" w:type="dxa"/>
            <w:gridSpan w:val="2"/>
          </w:tcPr>
          <w:p>
            <w:pPr>
              <w:pStyle w:val="28"/>
              <w:spacing w:before="66" w:line="360" w:lineRule="auto"/>
              <w:ind w:right="76"/>
              <w:rPr>
                <w:rFonts w:hint="eastAsia" w:ascii="宋体" w:hAnsi="宋体" w:eastAsia="宋体" w:cs="宋体"/>
                <w:color w:val="auto"/>
                <w:sz w:val="21"/>
                <w:highlight w:val="none"/>
              </w:rPr>
            </w:pPr>
            <w:r>
              <w:rPr>
                <w:rFonts w:hint="eastAsia" w:ascii="宋体" w:hAnsi="宋体" w:eastAsia="宋体" w:cs="宋体"/>
                <w:color w:val="auto"/>
                <w:sz w:val="21"/>
                <w:highlight w:val="none"/>
              </w:rPr>
              <w:t>构成本招标文件各个组成部分的文件，未经招标人书面同意，投标人不得擅自复印和用于非本招标项目所需的其他目的。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1135" w:type="dxa"/>
          </w:tcPr>
          <w:p>
            <w:pPr>
              <w:pStyle w:val="28"/>
              <w:spacing w:before="6" w:line="360" w:lineRule="auto"/>
              <w:rPr>
                <w:rFonts w:hint="eastAsia" w:ascii="宋体" w:hAnsi="宋体" w:eastAsia="宋体" w:cs="宋体"/>
                <w:color w:val="auto"/>
                <w:sz w:val="24"/>
                <w:highlight w:val="none"/>
              </w:rPr>
            </w:pPr>
          </w:p>
          <w:p>
            <w:pPr>
              <w:pStyle w:val="28"/>
              <w:spacing w:before="1" w:line="360" w:lineRule="auto"/>
              <w:ind w:left="84" w:right="74"/>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10.</w:t>
            </w:r>
            <w:r>
              <w:rPr>
                <w:rFonts w:hint="eastAsia" w:ascii="宋体" w:hAnsi="宋体" w:eastAsia="宋体" w:cs="宋体"/>
                <w:color w:val="auto"/>
                <w:sz w:val="21"/>
                <w:highlight w:val="none"/>
                <w:lang w:val="en-US" w:eastAsia="zh-CN"/>
              </w:rPr>
              <w:t>3</w:t>
            </w:r>
            <w:r>
              <w:rPr>
                <w:rFonts w:hint="eastAsia" w:ascii="宋体" w:hAnsi="宋体" w:eastAsia="宋体" w:cs="宋体"/>
                <w:color w:val="auto"/>
                <w:sz w:val="21"/>
                <w:highlight w:val="none"/>
              </w:rPr>
              <w:t>.2</w:t>
            </w:r>
          </w:p>
        </w:tc>
        <w:tc>
          <w:tcPr>
            <w:tcW w:w="7796" w:type="dxa"/>
            <w:gridSpan w:val="2"/>
          </w:tcPr>
          <w:p>
            <w:pPr>
              <w:pStyle w:val="28"/>
              <w:spacing w:before="45" w:line="360" w:lineRule="auto"/>
              <w:ind w:right="76"/>
              <w:rPr>
                <w:rFonts w:hint="eastAsia" w:ascii="宋体" w:hAnsi="宋体" w:eastAsia="宋体" w:cs="宋体"/>
                <w:color w:val="auto"/>
                <w:sz w:val="21"/>
                <w:highlight w:val="none"/>
              </w:rPr>
            </w:pPr>
            <w:r>
              <w:rPr>
                <w:rFonts w:hint="eastAsia" w:ascii="宋体" w:hAnsi="宋体" w:eastAsia="宋体" w:cs="宋体"/>
                <w:color w:val="auto"/>
                <w:sz w:val="21"/>
                <w:highlight w:val="none"/>
              </w:rPr>
              <w:t>中标人应保护招标人不受到来自第三方侵权的投诉或索赔，否则中标人应承担由此所产生的一切责任。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35" w:type="dxa"/>
          </w:tcPr>
          <w:p>
            <w:pPr>
              <w:pStyle w:val="28"/>
              <w:spacing w:before="8" w:line="360" w:lineRule="auto"/>
              <w:rPr>
                <w:rFonts w:hint="eastAsia" w:ascii="宋体" w:hAnsi="宋体" w:eastAsia="宋体" w:cs="宋体"/>
                <w:color w:val="auto"/>
                <w:sz w:val="17"/>
                <w:highlight w:val="none"/>
              </w:rPr>
            </w:pPr>
          </w:p>
          <w:p>
            <w:pPr>
              <w:pStyle w:val="28"/>
              <w:spacing w:line="360" w:lineRule="auto"/>
              <w:ind w:left="84" w:right="76"/>
              <w:jc w:val="center"/>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10.</w:t>
            </w:r>
            <w:r>
              <w:rPr>
                <w:rFonts w:hint="eastAsia" w:ascii="宋体" w:hAnsi="宋体" w:eastAsia="宋体" w:cs="宋体"/>
                <w:color w:val="auto"/>
                <w:sz w:val="21"/>
                <w:highlight w:val="none"/>
                <w:lang w:val="en-US" w:eastAsia="zh-CN"/>
              </w:rPr>
              <w:t>4</w:t>
            </w:r>
          </w:p>
        </w:tc>
        <w:tc>
          <w:tcPr>
            <w:tcW w:w="2035" w:type="dxa"/>
          </w:tcPr>
          <w:p>
            <w:pPr>
              <w:pStyle w:val="28"/>
              <w:spacing w:before="8" w:line="360" w:lineRule="auto"/>
              <w:rPr>
                <w:rFonts w:hint="eastAsia" w:ascii="宋体" w:hAnsi="宋体" w:eastAsia="宋体" w:cs="宋体"/>
                <w:color w:val="auto"/>
                <w:sz w:val="17"/>
                <w:highlight w:val="none"/>
              </w:rPr>
            </w:pPr>
          </w:p>
          <w:p>
            <w:pPr>
              <w:pStyle w:val="28"/>
              <w:spacing w:line="360" w:lineRule="auto"/>
              <w:ind w:left="167" w:right="158"/>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解释权</w:t>
            </w:r>
          </w:p>
        </w:tc>
        <w:tc>
          <w:tcPr>
            <w:tcW w:w="5761" w:type="dxa"/>
          </w:tcPr>
          <w:p>
            <w:pPr>
              <w:pStyle w:val="28"/>
              <w:spacing w:line="360" w:lineRule="auto"/>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before="2" w:line="360" w:lineRule="auto"/>
              <w:rPr>
                <w:rFonts w:hint="eastAsia" w:ascii="宋体" w:hAnsi="宋体" w:eastAsia="宋体" w:cs="宋体"/>
                <w:color w:val="auto"/>
                <w:sz w:val="22"/>
                <w:highlight w:val="none"/>
              </w:rPr>
            </w:pPr>
          </w:p>
          <w:p>
            <w:pPr>
              <w:pStyle w:val="28"/>
              <w:spacing w:line="360" w:lineRule="auto"/>
              <w:ind w:left="84" w:right="74"/>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10.</w:t>
            </w:r>
            <w:r>
              <w:rPr>
                <w:rFonts w:hint="eastAsia" w:ascii="宋体" w:hAnsi="宋体" w:eastAsia="宋体" w:cs="宋体"/>
                <w:color w:val="auto"/>
                <w:sz w:val="21"/>
                <w:highlight w:val="none"/>
                <w:lang w:val="en-US" w:eastAsia="zh-CN"/>
              </w:rPr>
              <w:t>4</w:t>
            </w:r>
            <w:r>
              <w:rPr>
                <w:rFonts w:hint="eastAsia" w:ascii="宋体" w:hAnsi="宋体" w:eastAsia="宋体" w:cs="宋体"/>
                <w:color w:val="auto"/>
                <w:sz w:val="21"/>
                <w:highlight w:val="none"/>
              </w:rPr>
              <w:t>.1</w:t>
            </w:r>
          </w:p>
        </w:tc>
        <w:tc>
          <w:tcPr>
            <w:tcW w:w="7796" w:type="dxa"/>
            <w:gridSpan w:val="2"/>
          </w:tcPr>
          <w:p>
            <w:pPr>
              <w:pStyle w:val="28"/>
              <w:spacing w:before="68" w:line="360" w:lineRule="auto"/>
              <w:ind w:left="84" w:right="71" w:firstLine="208"/>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本文件是根据《中华人民共和国政府采购法》、《中华人民共和国政府采购法实</w:t>
            </w:r>
            <w:r>
              <w:rPr>
                <w:rFonts w:hint="eastAsia" w:ascii="宋体" w:hAnsi="宋体" w:eastAsia="宋体" w:cs="宋体"/>
                <w:color w:val="auto"/>
                <w:spacing w:val="-6"/>
                <w:sz w:val="21"/>
                <w:highlight w:val="none"/>
              </w:rPr>
              <w:t>施条例》、《政府采购货物和服务招标投标管理办法》</w:t>
            </w:r>
            <w:r>
              <w:rPr>
                <w:rFonts w:hint="eastAsia" w:ascii="宋体" w:hAnsi="宋体" w:eastAsia="宋体" w:cs="宋体"/>
                <w:color w:val="auto"/>
                <w:sz w:val="21"/>
                <w:highlight w:val="none"/>
              </w:rPr>
              <w:t>（</w:t>
            </w:r>
            <w:r>
              <w:rPr>
                <w:rFonts w:hint="eastAsia" w:ascii="宋体" w:hAnsi="宋体" w:eastAsia="宋体" w:cs="宋体"/>
                <w:color w:val="auto"/>
                <w:spacing w:val="-10"/>
                <w:sz w:val="21"/>
                <w:highlight w:val="none"/>
              </w:rPr>
              <w:t xml:space="preserve">财政部令第 </w:t>
            </w:r>
            <w:r>
              <w:rPr>
                <w:rFonts w:hint="eastAsia" w:ascii="宋体" w:hAnsi="宋体" w:eastAsia="宋体" w:cs="宋体"/>
                <w:color w:val="auto"/>
                <w:sz w:val="21"/>
                <w:highlight w:val="none"/>
              </w:rPr>
              <w:t>87</w:t>
            </w:r>
            <w:r>
              <w:rPr>
                <w:rFonts w:hint="eastAsia" w:ascii="宋体" w:hAnsi="宋体" w:eastAsia="宋体" w:cs="宋体"/>
                <w:color w:val="auto"/>
                <w:spacing w:val="-30"/>
                <w:sz w:val="21"/>
                <w:highlight w:val="none"/>
              </w:rPr>
              <w:t xml:space="preserve"> 号</w:t>
            </w:r>
            <w:r>
              <w:rPr>
                <w:rFonts w:hint="eastAsia" w:ascii="宋体" w:hAnsi="宋体" w:eastAsia="宋体" w:cs="宋体"/>
                <w:color w:val="auto"/>
                <w:spacing w:val="-8"/>
                <w:sz w:val="21"/>
                <w:highlight w:val="none"/>
              </w:rPr>
              <w:t>）</w:t>
            </w:r>
            <w:r>
              <w:rPr>
                <w:rFonts w:hint="eastAsia" w:ascii="宋体" w:hAnsi="宋体" w:eastAsia="宋体" w:cs="宋体"/>
                <w:color w:val="auto"/>
                <w:sz w:val="21"/>
                <w:highlight w:val="none"/>
              </w:rPr>
              <w:t>等规定编制的，解释权属招标代理机构。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1135" w:type="dxa"/>
          </w:tcPr>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line="360" w:lineRule="auto"/>
              <w:rPr>
                <w:rFonts w:hint="eastAsia" w:ascii="宋体" w:hAnsi="宋体" w:eastAsia="宋体" w:cs="宋体"/>
                <w:color w:val="auto"/>
                <w:sz w:val="20"/>
                <w:highlight w:val="none"/>
              </w:rPr>
            </w:pPr>
          </w:p>
          <w:p>
            <w:pPr>
              <w:pStyle w:val="28"/>
              <w:spacing w:before="9" w:line="360" w:lineRule="auto"/>
              <w:rPr>
                <w:rFonts w:hint="eastAsia" w:ascii="宋体" w:hAnsi="宋体" w:eastAsia="宋体" w:cs="宋体"/>
                <w:color w:val="auto"/>
                <w:sz w:val="27"/>
                <w:highlight w:val="none"/>
              </w:rPr>
            </w:pPr>
          </w:p>
          <w:p>
            <w:pPr>
              <w:pStyle w:val="28"/>
              <w:spacing w:line="360" w:lineRule="auto"/>
              <w:ind w:left="84" w:right="74"/>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10.6.2</w:t>
            </w:r>
          </w:p>
        </w:tc>
        <w:tc>
          <w:tcPr>
            <w:tcW w:w="7796" w:type="dxa"/>
            <w:gridSpan w:val="2"/>
          </w:tcPr>
          <w:p>
            <w:pPr>
              <w:pStyle w:val="28"/>
              <w:spacing w:before="9" w:line="360" w:lineRule="auto"/>
              <w:rPr>
                <w:rFonts w:hint="eastAsia" w:ascii="宋体" w:hAnsi="宋体" w:eastAsia="宋体" w:cs="宋体"/>
                <w:color w:val="auto"/>
                <w:sz w:val="16"/>
                <w:highlight w:val="none"/>
              </w:rPr>
            </w:pPr>
          </w:p>
          <w:p>
            <w:pPr>
              <w:pStyle w:val="28"/>
              <w:spacing w:line="360" w:lineRule="auto"/>
              <w:ind w:left="84" w:right="74" w:firstLine="208"/>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构成本招标文件的各个组成文件应互为解释，互为说明；如有不明确或不一致， 构成合同文件组成内容，以合同文件约定内容为准，且以专用合同条款约定的合同文件优先顺序解释；除招标文件中有特别规定外，仅适用于招标投标阶段的规定， 按招标公告（投标邀请书）、投标人须知、评标办法、投标文件格式的先后顺序解释；同一组成文件中就同一事项的规定或约定不一致的，以编排顺序在后者为准； 同一组成文件不同版本之间有不一致的，以形成时间在后者为准。按本款前述规定仍不形成结论的，由招标代理机构负责解释。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1135" w:type="dxa"/>
          </w:tcPr>
          <w:p>
            <w:pPr>
              <w:pStyle w:val="28"/>
              <w:spacing w:before="1" w:line="360" w:lineRule="auto"/>
              <w:rPr>
                <w:rFonts w:hint="eastAsia" w:ascii="宋体" w:hAnsi="宋体" w:eastAsia="宋体" w:cs="宋体"/>
                <w:color w:val="auto"/>
                <w:sz w:val="19"/>
                <w:highlight w:val="none"/>
              </w:rPr>
            </w:pPr>
          </w:p>
          <w:p>
            <w:pPr>
              <w:pStyle w:val="28"/>
              <w:spacing w:line="360" w:lineRule="auto"/>
              <w:ind w:left="84" w:right="76"/>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10.7</w:t>
            </w:r>
          </w:p>
        </w:tc>
        <w:tc>
          <w:tcPr>
            <w:tcW w:w="2035" w:type="dxa"/>
          </w:tcPr>
          <w:p>
            <w:pPr>
              <w:pStyle w:val="28"/>
              <w:spacing w:line="360" w:lineRule="auto"/>
              <w:ind w:left="84" w:right="74" w:firstLine="208"/>
              <w:jc w:val="both"/>
              <w:rPr>
                <w:rFonts w:hint="eastAsia" w:ascii="宋体" w:hAnsi="宋体" w:eastAsia="宋体" w:cs="宋体"/>
                <w:color w:val="auto"/>
                <w:sz w:val="21"/>
                <w:highlight w:val="none"/>
              </w:rPr>
            </w:pPr>
          </w:p>
          <w:p>
            <w:pPr>
              <w:pStyle w:val="28"/>
              <w:spacing w:line="360" w:lineRule="auto"/>
              <w:ind w:left="84" w:right="74" w:firstLine="208"/>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付款方式</w:t>
            </w:r>
          </w:p>
        </w:tc>
        <w:tc>
          <w:tcPr>
            <w:tcW w:w="5761" w:type="dxa"/>
          </w:tcPr>
          <w:p>
            <w:pPr>
              <w:pStyle w:val="28"/>
              <w:spacing w:line="360" w:lineRule="auto"/>
              <w:ind w:left="84" w:right="74" w:firstLine="208"/>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第一期：合同金额的90%，于合同签定后，90日内支付。</w:t>
            </w:r>
          </w:p>
          <w:p>
            <w:pPr>
              <w:pStyle w:val="28"/>
              <w:spacing w:line="360" w:lineRule="auto"/>
              <w:ind w:left="84" w:right="74" w:firstLine="208"/>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第二期：合同金额的10%，于服务满一年后，90日内支付。</w:t>
            </w:r>
          </w:p>
        </w:tc>
      </w:tr>
    </w:tbl>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8"/>
        <w:numPr>
          <w:ilvl w:val="0"/>
          <w:numId w:val="4"/>
        </w:numPr>
        <w:tabs>
          <w:tab w:val="left" w:pos="1039"/>
          <w:tab w:val="left" w:pos="1040"/>
        </w:tabs>
        <w:spacing w:before="62" w:after="0" w:line="240" w:lineRule="auto"/>
        <w:ind w:left="1039" w:right="0" w:hanging="563"/>
        <w:jc w:val="left"/>
        <w:outlineLvl w:val="1"/>
        <w:rPr>
          <w:rFonts w:hint="eastAsia" w:ascii="宋体" w:hAnsi="宋体" w:eastAsia="宋体" w:cs="宋体"/>
          <w:color w:val="auto"/>
          <w:highlight w:val="none"/>
        </w:rPr>
      </w:pPr>
      <w:bookmarkStart w:id="15" w:name="_Toc23785"/>
      <w:r>
        <w:rPr>
          <w:rFonts w:hint="eastAsia" w:ascii="宋体" w:hAnsi="宋体" w:eastAsia="宋体" w:cs="宋体"/>
          <w:color w:val="auto"/>
          <w:highlight w:val="none"/>
        </w:rPr>
        <w:t>总则</w:t>
      </w:r>
      <w:bookmarkEnd w:id="15"/>
    </w:p>
    <w:p>
      <w:pPr>
        <w:pStyle w:val="10"/>
        <w:numPr>
          <w:ilvl w:val="1"/>
          <w:numId w:val="4"/>
        </w:numPr>
        <w:tabs>
          <w:tab w:val="left" w:pos="1440"/>
        </w:tabs>
        <w:spacing w:before="245" w:after="0" w:line="240" w:lineRule="auto"/>
        <w:ind w:left="1440" w:right="0" w:hanging="483"/>
        <w:jc w:val="both"/>
        <w:rPr>
          <w:rFonts w:hint="eastAsia" w:ascii="宋体" w:hAnsi="宋体" w:eastAsia="宋体" w:cs="宋体"/>
          <w:color w:val="auto"/>
          <w:highlight w:val="none"/>
        </w:rPr>
      </w:pPr>
      <w:r>
        <w:rPr>
          <w:rFonts w:hint="eastAsia" w:ascii="宋体" w:hAnsi="宋体" w:eastAsia="宋体" w:cs="宋体"/>
          <w:color w:val="auto"/>
          <w:highlight w:val="none"/>
        </w:rPr>
        <w:t>招标项目概况</w:t>
      </w:r>
    </w:p>
    <w:p>
      <w:pPr>
        <w:pStyle w:val="29"/>
        <w:numPr>
          <w:ilvl w:val="2"/>
          <w:numId w:val="4"/>
        </w:numPr>
        <w:tabs>
          <w:tab w:val="left" w:pos="1678"/>
        </w:tabs>
        <w:spacing w:before="158"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根据《中华人民共和国政府采购法》、《中华人民共和国政府采购法实施条例》等有关法律、法规和规章的规定，本招标项目已具备招标条件，现对设备</w:t>
      </w:r>
      <w:r>
        <w:rPr>
          <w:rFonts w:hint="eastAsia" w:ascii="宋体" w:hAnsi="宋体" w:eastAsia="宋体" w:cs="宋体"/>
          <w:color w:val="auto"/>
          <w:sz w:val="24"/>
          <w:highlight w:val="none"/>
        </w:rPr>
        <w:t>采购进行招标。</w:t>
      </w:r>
    </w:p>
    <w:p>
      <w:pPr>
        <w:pStyle w:val="29"/>
        <w:numPr>
          <w:ilvl w:val="2"/>
          <w:numId w:val="4"/>
        </w:numPr>
        <w:tabs>
          <w:tab w:val="left" w:pos="1678"/>
        </w:tabs>
        <w:spacing w:before="0" w:after="0" w:line="307" w:lineRule="exact"/>
        <w:ind w:left="1820" w:leftChars="0" w:right="0" w:hanging="721" w:firstLineChars="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招标人：见投标人须知前附表。</w:t>
      </w:r>
    </w:p>
    <w:p>
      <w:pPr>
        <w:pStyle w:val="29"/>
        <w:numPr>
          <w:ilvl w:val="2"/>
          <w:numId w:val="4"/>
        </w:numPr>
        <w:tabs>
          <w:tab w:val="left" w:pos="1678"/>
        </w:tabs>
        <w:spacing w:before="158" w:after="0" w:line="240" w:lineRule="auto"/>
        <w:ind w:left="1820" w:leftChars="0" w:right="0" w:hanging="721" w:firstLineChars="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招标代理机构：见投标人须知前附表。</w:t>
      </w:r>
    </w:p>
    <w:p>
      <w:pPr>
        <w:pStyle w:val="29"/>
        <w:numPr>
          <w:ilvl w:val="2"/>
          <w:numId w:val="4"/>
        </w:numPr>
        <w:tabs>
          <w:tab w:val="left" w:pos="1678"/>
        </w:tabs>
        <w:spacing w:before="161" w:after="0" w:line="240" w:lineRule="auto"/>
        <w:ind w:left="1820" w:leftChars="0" w:right="0" w:hanging="721" w:firstLineChars="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招标项目名称：见投标人须知前附表。</w:t>
      </w:r>
    </w:p>
    <w:p>
      <w:pPr>
        <w:pStyle w:val="10"/>
        <w:numPr>
          <w:ilvl w:val="1"/>
          <w:numId w:val="4"/>
        </w:numPr>
        <w:tabs>
          <w:tab w:val="left" w:pos="1559"/>
          <w:tab w:val="left" w:pos="1560"/>
        </w:tabs>
        <w:spacing w:before="160"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招标项目的资金来源和落实情况</w:t>
      </w:r>
    </w:p>
    <w:p>
      <w:pPr>
        <w:pStyle w:val="29"/>
        <w:numPr>
          <w:ilvl w:val="2"/>
          <w:numId w:val="4"/>
        </w:numPr>
        <w:tabs>
          <w:tab w:val="left" w:pos="1678"/>
        </w:tabs>
        <w:spacing w:before="158"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资金来源：见投标人须知前附表。</w:t>
      </w:r>
    </w:p>
    <w:p>
      <w:pPr>
        <w:pStyle w:val="29"/>
        <w:numPr>
          <w:ilvl w:val="2"/>
          <w:numId w:val="4"/>
        </w:numPr>
        <w:tabs>
          <w:tab w:val="left" w:pos="1678"/>
        </w:tabs>
        <w:spacing w:before="161"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资金落实情况：见投标人须知前附表。</w:t>
      </w:r>
    </w:p>
    <w:p>
      <w:pPr>
        <w:pStyle w:val="10"/>
        <w:numPr>
          <w:ilvl w:val="1"/>
          <w:numId w:val="4"/>
        </w:numPr>
        <w:tabs>
          <w:tab w:val="left" w:pos="1440"/>
        </w:tabs>
        <w:spacing w:before="158" w:after="0" w:line="240" w:lineRule="auto"/>
        <w:ind w:left="1440" w:right="0" w:hanging="483"/>
        <w:jc w:val="left"/>
        <w:rPr>
          <w:rFonts w:hint="eastAsia" w:ascii="宋体" w:hAnsi="宋体" w:eastAsia="宋体" w:cs="宋体"/>
          <w:color w:val="auto"/>
          <w:highlight w:val="none"/>
        </w:rPr>
      </w:pPr>
      <w:r>
        <w:rPr>
          <w:rFonts w:hint="eastAsia" w:ascii="宋体" w:hAnsi="宋体" w:eastAsia="宋体" w:cs="宋体"/>
          <w:color w:val="auto"/>
          <w:highlight w:val="none"/>
        </w:rPr>
        <w:t>招标范围、</w:t>
      </w:r>
      <w:r>
        <w:rPr>
          <w:rFonts w:hint="eastAsia" w:ascii="宋体" w:hAnsi="宋体" w:eastAsia="宋体" w:cs="宋体"/>
          <w:color w:val="auto"/>
          <w:highlight w:val="none"/>
          <w:lang w:val="en-US" w:eastAsia="zh-CN"/>
        </w:rPr>
        <w:t>服务</w:t>
      </w:r>
      <w:r>
        <w:rPr>
          <w:rFonts w:hint="eastAsia" w:ascii="宋体" w:hAnsi="宋体" w:eastAsia="宋体" w:cs="宋体"/>
          <w:color w:val="auto"/>
          <w:highlight w:val="none"/>
        </w:rPr>
        <w:t>期、</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地点</w:t>
      </w:r>
    </w:p>
    <w:p>
      <w:pPr>
        <w:pStyle w:val="29"/>
        <w:numPr>
          <w:ilvl w:val="2"/>
          <w:numId w:val="4"/>
        </w:numPr>
        <w:tabs>
          <w:tab w:val="left" w:pos="1678"/>
        </w:tabs>
        <w:spacing w:before="161"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招标范围：见投标人须知前附表。</w:t>
      </w:r>
    </w:p>
    <w:p>
      <w:pPr>
        <w:pStyle w:val="29"/>
        <w:numPr>
          <w:ilvl w:val="2"/>
          <w:numId w:val="4"/>
        </w:numPr>
        <w:tabs>
          <w:tab w:val="left" w:pos="1678"/>
        </w:tabs>
        <w:spacing w:before="158"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服务期</w:t>
      </w:r>
      <w:r>
        <w:rPr>
          <w:rFonts w:hint="eastAsia" w:ascii="宋体" w:hAnsi="宋体" w:eastAsia="宋体" w:cs="宋体"/>
          <w:color w:val="auto"/>
          <w:sz w:val="24"/>
          <w:highlight w:val="none"/>
        </w:rPr>
        <w:t>：见投标人须知前附表。</w:t>
      </w:r>
    </w:p>
    <w:p>
      <w:pPr>
        <w:pStyle w:val="29"/>
        <w:numPr>
          <w:ilvl w:val="2"/>
          <w:numId w:val="4"/>
        </w:numPr>
        <w:tabs>
          <w:tab w:val="left" w:pos="1678"/>
        </w:tabs>
        <w:spacing w:before="160"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项目地点：见投标人须知前附表。</w:t>
      </w:r>
    </w:p>
    <w:p>
      <w:pPr>
        <w:pStyle w:val="10"/>
        <w:numPr>
          <w:ilvl w:val="1"/>
          <w:numId w:val="4"/>
        </w:numPr>
        <w:tabs>
          <w:tab w:val="left" w:pos="1440"/>
        </w:tabs>
        <w:spacing w:before="161" w:after="0" w:line="240" w:lineRule="auto"/>
        <w:ind w:left="1440" w:right="0" w:hanging="483"/>
        <w:jc w:val="left"/>
        <w:rPr>
          <w:rFonts w:hint="eastAsia" w:ascii="宋体" w:hAnsi="宋体" w:eastAsia="宋体" w:cs="宋体"/>
          <w:color w:val="auto"/>
          <w:highlight w:val="none"/>
        </w:rPr>
      </w:pPr>
      <w:r>
        <w:rPr>
          <w:rFonts w:hint="eastAsia" w:ascii="宋体" w:hAnsi="宋体" w:eastAsia="宋体" w:cs="宋体"/>
          <w:color w:val="auto"/>
          <w:highlight w:val="none"/>
        </w:rPr>
        <w:t>投标人资格要求</w:t>
      </w:r>
    </w:p>
    <w:p>
      <w:pPr>
        <w:pStyle w:val="29"/>
        <w:numPr>
          <w:ilvl w:val="2"/>
          <w:numId w:val="4"/>
        </w:numPr>
        <w:tabs>
          <w:tab w:val="left" w:pos="1678"/>
        </w:tabs>
        <w:spacing w:before="158"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投标人应具备承担本招标项目资质条件、能力和信誉：</w:t>
      </w:r>
    </w:p>
    <w:p>
      <w:pPr>
        <w:pStyle w:val="29"/>
        <w:numPr>
          <w:ilvl w:val="0"/>
          <w:numId w:val="5"/>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资质要求：见投标人须知前附表；</w:t>
      </w:r>
    </w:p>
    <w:p>
      <w:pPr>
        <w:pStyle w:val="29"/>
        <w:numPr>
          <w:ilvl w:val="0"/>
          <w:numId w:val="5"/>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信誉要求：见投标人须知前附表；</w:t>
      </w:r>
    </w:p>
    <w:p>
      <w:pPr>
        <w:pStyle w:val="29"/>
        <w:numPr>
          <w:ilvl w:val="2"/>
          <w:numId w:val="4"/>
        </w:numPr>
        <w:tabs>
          <w:tab w:val="left" w:pos="1692"/>
        </w:tabs>
        <w:spacing w:before="158" w:after="0" w:line="240" w:lineRule="auto"/>
        <w:ind w:left="1835" w:leftChars="0" w:right="0" w:hanging="735" w:firstLineChars="0"/>
        <w:jc w:val="left"/>
        <w:rPr>
          <w:rFonts w:hint="eastAsia" w:ascii="宋体" w:hAnsi="宋体" w:eastAsia="宋体" w:cs="宋体"/>
          <w:color w:val="auto"/>
          <w:sz w:val="24"/>
          <w:highlight w:val="none"/>
        </w:rPr>
      </w:pPr>
      <w:r>
        <w:rPr>
          <w:rFonts w:hint="eastAsia" w:ascii="宋体" w:hAnsi="宋体" w:eastAsia="宋体" w:cs="宋体"/>
          <w:color w:val="auto"/>
          <w:spacing w:val="15"/>
          <w:sz w:val="24"/>
          <w:highlight w:val="none"/>
        </w:rPr>
        <w:t>投标人须知前附表规定接受联合体投标的，联合体除应符合本章第</w:t>
      </w:r>
    </w:p>
    <w:p>
      <w:pPr>
        <w:pStyle w:val="29"/>
        <w:numPr>
          <w:ilvl w:val="2"/>
          <w:numId w:val="6"/>
        </w:numPr>
        <w:tabs>
          <w:tab w:val="left" w:pos="1198"/>
        </w:tabs>
        <w:spacing w:before="161" w:after="0" w:line="240" w:lineRule="auto"/>
        <w:ind w:left="1197" w:right="0" w:hanging="721"/>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项和投标人须知前附表的要求外，还应遵守以下规定：</w:t>
      </w:r>
    </w:p>
    <w:p>
      <w:pPr>
        <w:pStyle w:val="29"/>
        <w:numPr>
          <w:ilvl w:val="3"/>
          <w:numId w:val="6"/>
        </w:numPr>
        <w:tabs>
          <w:tab w:val="left" w:pos="1559"/>
        </w:tabs>
        <w:spacing w:before="160" w:after="0" w:line="362"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pacing w:val="-3"/>
          <w:sz w:val="24"/>
          <w:highlight w:val="none"/>
        </w:rPr>
        <w:t>联合体各方应按招标文件提供的格式签订联合体协议书，明确联合体牵</w:t>
      </w:r>
      <w:r>
        <w:rPr>
          <w:rFonts w:hint="eastAsia" w:ascii="宋体" w:hAnsi="宋体" w:eastAsia="宋体" w:cs="宋体"/>
          <w:color w:val="auto"/>
          <w:spacing w:val="-4"/>
          <w:sz w:val="24"/>
          <w:highlight w:val="none"/>
        </w:rPr>
        <w:t>头人和各方权利义务，并承诺就中标项目向招标人承担连带责任；</w:t>
      </w:r>
    </w:p>
    <w:p>
      <w:pPr>
        <w:pStyle w:val="29"/>
        <w:numPr>
          <w:ilvl w:val="3"/>
          <w:numId w:val="6"/>
        </w:numPr>
        <w:tabs>
          <w:tab w:val="left" w:pos="1559"/>
        </w:tabs>
        <w:spacing w:before="5"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pacing w:val="-8"/>
          <w:sz w:val="24"/>
          <w:highlight w:val="none"/>
        </w:rPr>
        <w:t>由同一专业的单位组成的联合体，按照资质等级较低的单位确定资质等级；</w:t>
      </w:r>
    </w:p>
    <w:p>
      <w:pPr>
        <w:pStyle w:val="29"/>
        <w:numPr>
          <w:ilvl w:val="3"/>
          <w:numId w:val="6"/>
        </w:numPr>
        <w:tabs>
          <w:tab w:val="left" w:pos="1570"/>
        </w:tabs>
        <w:spacing w:before="158" w:after="0" w:line="364"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联合体各方不得再以自己名义单独或参加其他联合体在本招标项目中投标，否则各相关投标均无效。</w:t>
      </w:r>
    </w:p>
    <w:p>
      <w:pPr>
        <w:spacing w:after="0" w:line="364" w:lineRule="auto"/>
        <w:jc w:val="left"/>
        <w:rPr>
          <w:rFonts w:hint="eastAsia" w:ascii="宋体" w:hAnsi="宋体" w:eastAsia="宋体" w:cs="宋体"/>
          <w:color w:val="auto"/>
          <w:sz w:val="24"/>
          <w:highlight w:val="none"/>
        </w:rPr>
        <w:sectPr>
          <w:pgSz w:w="12240" w:h="15840"/>
          <w:pgMar w:top="1360" w:right="1160" w:bottom="1160" w:left="1320" w:header="878" w:footer="975" w:gutter="0"/>
          <w:pgNumType w:fmt="decimal"/>
          <w:cols w:space="720" w:num="1"/>
        </w:sectPr>
      </w:pPr>
    </w:p>
    <w:p>
      <w:pPr>
        <w:pStyle w:val="29"/>
        <w:numPr>
          <w:ilvl w:val="2"/>
          <w:numId w:val="7"/>
        </w:numPr>
        <w:tabs>
          <w:tab w:val="left" w:pos="1678"/>
        </w:tabs>
        <w:spacing w:before="65" w:after="0" w:line="240" w:lineRule="auto"/>
        <w:ind w:left="1677" w:right="0" w:hanging="721"/>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投标人不得存在下列情形之一：</w:t>
      </w:r>
    </w:p>
    <w:p>
      <w:pPr>
        <w:pStyle w:val="29"/>
        <w:numPr>
          <w:ilvl w:val="0"/>
          <w:numId w:val="8"/>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与招标人存在利害关系且可能影响招标公正性；</w:t>
      </w:r>
    </w:p>
    <w:p>
      <w:pPr>
        <w:pStyle w:val="29"/>
        <w:numPr>
          <w:ilvl w:val="0"/>
          <w:numId w:val="8"/>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与本招标项目的其他投标人为同一个单位负责人；</w:t>
      </w:r>
    </w:p>
    <w:p>
      <w:pPr>
        <w:pStyle w:val="29"/>
        <w:numPr>
          <w:ilvl w:val="0"/>
          <w:numId w:val="8"/>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与本招标项目的其他投标人存在控股、管理关系；</w:t>
      </w:r>
    </w:p>
    <w:p>
      <w:pPr>
        <w:pStyle w:val="29"/>
        <w:numPr>
          <w:ilvl w:val="0"/>
          <w:numId w:val="8"/>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为本招标项目提供过设计、编制技术规范和其他文件的咨询服务；</w:t>
      </w:r>
    </w:p>
    <w:p>
      <w:pPr>
        <w:pStyle w:val="29"/>
        <w:numPr>
          <w:ilvl w:val="0"/>
          <w:numId w:val="8"/>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为本招标项目的代建人；</w:t>
      </w:r>
    </w:p>
    <w:p>
      <w:pPr>
        <w:pStyle w:val="29"/>
        <w:numPr>
          <w:ilvl w:val="0"/>
          <w:numId w:val="8"/>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为本招标项目的招标代理机构；</w:t>
      </w:r>
    </w:p>
    <w:p>
      <w:pPr>
        <w:pStyle w:val="29"/>
        <w:numPr>
          <w:ilvl w:val="0"/>
          <w:numId w:val="8"/>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与本招标项目的代建人或招标代理机构同为一个法定代表人；</w:t>
      </w:r>
    </w:p>
    <w:p>
      <w:pPr>
        <w:pStyle w:val="29"/>
        <w:numPr>
          <w:ilvl w:val="0"/>
          <w:numId w:val="8"/>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与本招标项目的代建人或招标代理机构存在控股或参股关系；</w:t>
      </w:r>
    </w:p>
    <w:p>
      <w:pPr>
        <w:pStyle w:val="29"/>
        <w:numPr>
          <w:ilvl w:val="0"/>
          <w:numId w:val="8"/>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被依法暂停或者取消投标资格；</w:t>
      </w:r>
    </w:p>
    <w:p>
      <w:pPr>
        <w:pStyle w:val="29"/>
        <w:numPr>
          <w:ilvl w:val="0"/>
          <w:numId w:val="8"/>
        </w:numPr>
        <w:tabs>
          <w:tab w:val="left" w:pos="1679"/>
        </w:tabs>
        <w:spacing w:before="158" w:after="0" w:line="240" w:lineRule="auto"/>
        <w:ind w:left="1678" w:right="0" w:hanging="72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被责令停产停业、暂扣或者吊销许可证、暂扣或者吊销执照；</w:t>
      </w:r>
    </w:p>
    <w:p>
      <w:pPr>
        <w:pStyle w:val="29"/>
        <w:numPr>
          <w:ilvl w:val="0"/>
          <w:numId w:val="8"/>
        </w:numPr>
        <w:tabs>
          <w:tab w:val="left" w:pos="1679"/>
        </w:tabs>
        <w:spacing w:before="161" w:after="0" w:line="240" w:lineRule="auto"/>
        <w:ind w:left="1678" w:right="0" w:hanging="72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进入清算程序，或被宣告破产，或其他丧失履约能力的情形；</w:t>
      </w:r>
    </w:p>
    <w:p>
      <w:pPr>
        <w:pStyle w:val="29"/>
        <w:numPr>
          <w:ilvl w:val="0"/>
          <w:numId w:val="8"/>
        </w:numPr>
        <w:tabs>
          <w:tab w:val="left" w:pos="1679"/>
        </w:tabs>
        <w:spacing w:before="160" w:after="0" w:line="362"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在最近三年内发生重大产品质量问题（</w:t>
      </w:r>
      <w:r>
        <w:rPr>
          <w:rFonts w:hint="eastAsia" w:ascii="宋体" w:hAnsi="宋体" w:eastAsia="宋体" w:cs="宋体"/>
          <w:color w:val="auto"/>
          <w:spacing w:val="-2"/>
          <w:sz w:val="24"/>
          <w:highlight w:val="none"/>
        </w:rPr>
        <w:t>以相关行业主管部门的行政处罚</w:t>
      </w:r>
      <w:r>
        <w:rPr>
          <w:rFonts w:hint="eastAsia" w:ascii="宋体" w:hAnsi="宋体" w:eastAsia="宋体" w:cs="宋体"/>
          <w:color w:val="auto"/>
          <w:sz w:val="24"/>
          <w:highlight w:val="none"/>
        </w:rPr>
        <w:t>决定或司法 机关出具的有关法律文书为准）；</w:t>
      </w:r>
    </w:p>
    <w:p>
      <w:pPr>
        <w:pStyle w:val="29"/>
        <w:numPr>
          <w:ilvl w:val="0"/>
          <w:numId w:val="8"/>
        </w:numPr>
        <w:tabs>
          <w:tab w:val="left" w:pos="1679"/>
        </w:tabs>
        <w:spacing w:before="5" w:after="0" w:line="362"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被工商行政管理机关在全国企业信用信息公示系统中列入严重违法失信</w:t>
      </w:r>
      <w:r>
        <w:rPr>
          <w:rFonts w:hint="eastAsia" w:ascii="宋体" w:hAnsi="宋体" w:eastAsia="宋体" w:cs="宋体"/>
          <w:color w:val="auto"/>
          <w:sz w:val="24"/>
          <w:highlight w:val="none"/>
        </w:rPr>
        <w:t>企业名单；</w:t>
      </w:r>
    </w:p>
    <w:p>
      <w:pPr>
        <w:pStyle w:val="29"/>
        <w:numPr>
          <w:ilvl w:val="0"/>
          <w:numId w:val="8"/>
        </w:numPr>
        <w:tabs>
          <w:tab w:val="left" w:pos="1679"/>
        </w:tabs>
        <w:spacing w:before="5" w:after="0" w:line="362"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被最高人民法院在“信用中国”网站（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\h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highlight w:val="none"/>
        </w:rPr>
        <w:t>www.creditchina.gov.cn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w:t>
      </w:r>
      <w:r>
        <w:rPr>
          <w:rFonts w:hint="eastAsia" w:ascii="宋体" w:hAnsi="宋体" w:eastAsia="宋体" w:cs="宋体"/>
          <w:color w:val="auto"/>
          <w:spacing w:val="-8"/>
          <w:sz w:val="24"/>
          <w:highlight w:val="none"/>
        </w:rPr>
        <w:t>或各</w:t>
      </w:r>
      <w:r>
        <w:rPr>
          <w:rFonts w:hint="eastAsia" w:ascii="宋体" w:hAnsi="宋体" w:eastAsia="宋体" w:cs="宋体"/>
          <w:color w:val="auto"/>
          <w:sz w:val="24"/>
          <w:highlight w:val="none"/>
        </w:rPr>
        <w:t>级信用信息共享平台中列入失信被执行人名单；</w:t>
      </w:r>
    </w:p>
    <w:p>
      <w:pPr>
        <w:pStyle w:val="29"/>
        <w:numPr>
          <w:ilvl w:val="0"/>
          <w:numId w:val="8"/>
        </w:numPr>
        <w:tabs>
          <w:tab w:val="left" w:pos="1679"/>
        </w:tabs>
        <w:spacing w:before="5" w:after="0" w:line="362"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在近三年内投标人或其法定代表人、拟委任的项目负责人有行贿犯罪行</w:t>
      </w:r>
      <w:r>
        <w:rPr>
          <w:rFonts w:hint="eastAsia" w:ascii="宋体" w:hAnsi="宋体" w:eastAsia="宋体" w:cs="宋体"/>
          <w:color w:val="auto"/>
          <w:sz w:val="24"/>
          <w:highlight w:val="none"/>
        </w:rPr>
        <w:t>为的（以检察机关职务犯罪预防部门出具的查询结果为准）；</w:t>
      </w:r>
    </w:p>
    <w:p>
      <w:pPr>
        <w:pStyle w:val="29"/>
        <w:numPr>
          <w:ilvl w:val="0"/>
          <w:numId w:val="8"/>
        </w:numPr>
        <w:tabs>
          <w:tab w:val="left" w:pos="1679"/>
        </w:tabs>
        <w:spacing w:before="5" w:after="0" w:line="240" w:lineRule="auto"/>
        <w:ind w:left="1678" w:right="0" w:hanging="72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法律法规或投标人须知前附表规定的其他情形。</w:t>
      </w:r>
    </w:p>
    <w:p>
      <w:pPr>
        <w:pStyle w:val="29"/>
        <w:numPr>
          <w:ilvl w:val="2"/>
          <w:numId w:val="7"/>
        </w:numPr>
        <w:tabs>
          <w:tab w:val="left" w:pos="1678"/>
        </w:tabs>
        <w:spacing w:before="158" w:after="0" w:line="364"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单位负责人为同一个或者存在直接控股、管理关系的不同供应商，不得</w:t>
      </w:r>
      <w:r>
        <w:rPr>
          <w:rFonts w:hint="eastAsia" w:ascii="宋体" w:hAnsi="宋体" w:eastAsia="宋体" w:cs="宋体"/>
          <w:color w:val="auto"/>
          <w:sz w:val="24"/>
          <w:highlight w:val="none"/>
        </w:rPr>
        <w:t>参加同一合同项下的政府采购活动。</w:t>
      </w:r>
    </w:p>
    <w:p>
      <w:pPr>
        <w:pStyle w:val="10"/>
        <w:numPr>
          <w:ilvl w:val="1"/>
          <w:numId w:val="4"/>
        </w:numPr>
        <w:tabs>
          <w:tab w:val="left" w:pos="1559"/>
          <w:tab w:val="left" w:pos="1560"/>
        </w:tabs>
        <w:spacing w:before="2"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费用承担</w:t>
      </w:r>
    </w:p>
    <w:p>
      <w:pPr>
        <w:pStyle w:val="2"/>
        <w:spacing w:before="158" w:line="362" w:lineRule="auto"/>
        <w:ind w:left="477" w:right="515" w:firstLine="480"/>
        <w:rPr>
          <w:rFonts w:hint="eastAsia" w:ascii="宋体" w:hAnsi="宋体" w:eastAsia="宋体" w:cs="宋体"/>
          <w:color w:val="auto"/>
          <w:highlight w:val="none"/>
        </w:rPr>
      </w:pPr>
      <w:r>
        <w:rPr>
          <w:rFonts w:hint="eastAsia" w:ascii="宋体" w:hAnsi="宋体" w:eastAsia="宋体" w:cs="宋体"/>
          <w:color w:val="auto"/>
          <w:spacing w:val="-7"/>
          <w:highlight w:val="none"/>
        </w:rPr>
        <w:t xml:space="preserve">投标人准备和参加投标活动发生的费用自理，评审费由招标代理机构代付代收， </w:t>
      </w:r>
      <w:r>
        <w:rPr>
          <w:rFonts w:hint="eastAsia" w:ascii="宋体" w:hAnsi="宋体" w:eastAsia="宋体" w:cs="宋体"/>
          <w:color w:val="auto"/>
          <w:highlight w:val="none"/>
        </w:rPr>
        <w:t>最终由中标单位支付。</w:t>
      </w:r>
    </w:p>
    <w:p>
      <w:pPr>
        <w:pStyle w:val="10"/>
        <w:numPr>
          <w:ilvl w:val="1"/>
          <w:numId w:val="4"/>
        </w:numPr>
        <w:tabs>
          <w:tab w:val="left" w:pos="1440"/>
        </w:tabs>
        <w:spacing w:before="5" w:after="0" w:line="240" w:lineRule="auto"/>
        <w:ind w:left="1440" w:right="0" w:hanging="483"/>
        <w:jc w:val="left"/>
        <w:rPr>
          <w:rFonts w:hint="eastAsia" w:ascii="宋体" w:hAnsi="宋体" w:eastAsia="宋体" w:cs="宋体"/>
          <w:color w:val="auto"/>
          <w:highlight w:val="none"/>
        </w:rPr>
      </w:pPr>
      <w:r>
        <w:rPr>
          <w:rFonts w:hint="eastAsia" w:ascii="宋体" w:hAnsi="宋体" w:eastAsia="宋体" w:cs="宋体"/>
          <w:color w:val="auto"/>
          <w:highlight w:val="none"/>
        </w:rPr>
        <w:t>保密</w:t>
      </w:r>
    </w:p>
    <w:p>
      <w:pPr>
        <w:pStyle w:val="2"/>
        <w:spacing w:before="158"/>
        <w:ind w:left="957"/>
        <w:rPr>
          <w:rFonts w:hint="eastAsia" w:ascii="宋体" w:hAnsi="宋体" w:eastAsia="宋体" w:cs="宋体"/>
          <w:color w:val="auto"/>
          <w:highlight w:val="none"/>
        </w:rPr>
      </w:pPr>
      <w:r>
        <w:rPr>
          <w:rFonts w:hint="eastAsia" w:ascii="宋体" w:hAnsi="宋体" w:eastAsia="宋体" w:cs="宋体"/>
          <w:color w:val="auto"/>
          <w:highlight w:val="none"/>
        </w:rPr>
        <w:t>参与招标投标活动的各方应对招标文件和投标文件中的商业和技术等秘密保</w:t>
      </w:r>
    </w:p>
    <w:p>
      <w:pPr>
        <w:spacing w:after="0"/>
        <w:rPr>
          <w:rFonts w:hint="eastAsia" w:ascii="宋体" w:hAnsi="宋体" w:eastAsia="宋体" w:cs="宋体"/>
          <w:color w:val="auto"/>
          <w:highlight w:val="none"/>
        </w:rPr>
        <w:sectPr>
          <w:pgSz w:w="12240" w:h="15840"/>
          <w:pgMar w:top="1360" w:right="1160" w:bottom="1160" w:left="1320" w:header="878" w:footer="975" w:gutter="0"/>
          <w:pgNumType w:fmt="decimal"/>
          <w:cols w:space="720" w:num="1"/>
        </w:sectPr>
      </w:pPr>
    </w:p>
    <w:p>
      <w:pPr>
        <w:pStyle w:val="2"/>
        <w:spacing w:before="65"/>
        <w:ind w:left="477"/>
        <w:rPr>
          <w:rFonts w:hint="eastAsia" w:ascii="宋体" w:hAnsi="宋体" w:eastAsia="宋体" w:cs="宋体"/>
          <w:color w:val="auto"/>
          <w:highlight w:val="none"/>
        </w:rPr>
      </w:pPr>
      <w:r>
        <w:rPr>
          <w:rFonts w:hint="eastAsia" w:ascii="宋体" w:hAnsi="宋体" w:eastAsia="宋体" w:cs="宋体"/>
          <w:color w:val="auto"/>
          <w:highlight w:val="none"/>
        </w:rPr>
        <w:t>密，否则应承担相应的法律责任。</w:t>
      </w:r>
    </w:p>
    <w:p>
      <w:pPr>
        <w:pStyle w:val="10"/>
        <w:numPr>
          <w:ilvl w:val="1"/>
          <w:numId w:val="4"/>
        </w:numPr>
        <w:tabs>
          <w:tab w:val="left" w:pos="1559"/>
          <w:tab w:val="left" w:pos="1560"/>
        </w:tabs>
        <w:spacing w:before="161"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w w:val="95"/>
          <w:highlight w:val="none"/>
        </w:rPr>
        <w:t>语言文字</w:t>
      </w:r>
    </w:p>
    <w:p>
      <w:pPr>
        <w:pStyle w:val="2"/>
        <w:spacing w:before="158"/>
        <w:ind w:left="957"/>
        <w:rPr>
          <w:rFonts w:hint="eastAsia" w:ascii="宋体" w:hAnsi="宋体" w:eastAsia="宋体" w:cs="宋体"/>
          <w:color w:val="auto"/>
          <w:highlight w:val="none"/>
        </w:rPr>
      </w:pPr>
      <w:r>
        <w:rPr>
          <w:rFonts w:hint="eastAsia" w:ascii="宋体" w:hAnsi="宋体" w:eastAsia="宋体" w:cs="宋体"/>
          <w:color w:val="auto"/>
          <w:highlight w:val="none"/>
        </w:rPr>
        <w:t>招标投标文件使用的语言文字为中文。专用术语使用外文的，应附有中文注释。</w:t>
      </w:r>
    </w:p>
    <w:p>
      <w:pPr>
        <w:pStyle w:val="10"/>
        <w:numPr>
          <w:ilvl w:val="1"/>
          <w:numId w:val="4"/>
        </w:numPr>
        <w:tabs>
          <w:tab w:val="left" w:pos="1440"/>
        </w:tabs>
        <w:spacing w:before="161" w:after="0" w:line="240" w:lineRule="auto"/>
        <w:ind w:left="1440" w:right="0" w:hanging="483"/>
        <w:jc w:val="left"/>
        <w:rPr>
          <w:rFonts w:hint="eastAsia" w:ascii="宋体" w:hAnsi="宋体" w:eastAsia="宋体" w:cs="宋体"/>
          <w:color w:val="auto"/>
          <w:highlight w:val="none"/>
        </w:rPr>
      </w:pPr>
      <w:r>
        <w:rPr>
          <w:rFonts w:hint="eastAsia" w:ascii="宋体" w:hAnsi="宋体" w:eastAsia="宋体" w:cs="宋体"/>
          <w:color w:val="auto"/>
          <w:highlight w:val="none"/>
        </w:rPr>
        <w:t>计量单位</w:t>
      </w:r>
    </w:p>
    <w:p>
      <w:pPr>
        <w:pStyle w:val="2"/>
        <w:spacing w:before="158"/>
        <w:ind w:left="957"/>
        <w:rPr>
          <w:rFonts w:hint="eastAsia" w:ascii="宋体" w:hAnsi="宋体" w:eastAsia="宋体" w:cs="宋体"/>
          <w:color w:val="auto"/>
          <w:highlight w:val="none"/>
        </w:rPr>
      </w:pPr>
      <w:r>
        <w:rPr>
          <w:rFonts w:hint="eastAsia" w:ascii="宋体" w:hAnsi="宋体" w:eastAsia="宋体" w:cs="宋体"/>
          <w:color w:val="auto"/>
          <w:highlight w:val="none"/>
        </w:rPr>
        <w:t>所有计量均采用中华人民共和国法定计量单位。</w:t>
      </w:r>
    </w:p>
    <w:p>
      <w:pPr>
        <w:pStyle w:val="10"/>
        <w:numPr>
          <w:ilvl w:val="1"/>
          <w:numId w:val="4"/>
        </w:numPr>
        <w:tabs>
          <w:tab w:val="left" w:pos="1440"/>
        </w:tabs>
        <w:spacing w:before="160" w:after="0" w:line="240" w:lineRule="auto"/>
        <w:ind w:left="1440" w:right="0" w:hanging="483"/>
        <w:jc w:val="left"/>
        <w:rPr>
          <w:rFonts w:hint="eastAsia" w:ascii="宋体" w:hAnsi="宋体" w:eastAsia="宋体" w:cs="宋体"/>
          <w:color w:val="auto"/>
          <w:highlight w:val="none"/>
        </w:rPr>
      </w:pPr>
      <w:r>
        <w:rPr>
          <w:rFonts w:hint="eastAsia" w:ascii="宋体" w:hAnsi="宋体" w:eastAsia="宋体" w:cs="宋体"/>
          <w:color w:val="auto"/>
          <w:highlight w:val="none"/>
        </w:rPr>
        <w:t>投标预备会</w:t>
      </w:r>
    </w:p>
    <w:p>
      <w:pPr>
        <w:pStyle w:val="29"/>
        <w:numPr>
          <w:ilvl w:val="2"/>
          <w:numId w:val="4"/>
        </w:numPr>
        <w:tabs>
          <w:tab w:val="left" w:pos="1678"/>
        </w:tabs>
        <w:spacing w:before="158" w:after="0" w:line="364" w:lineRule="auto"/>
        <w:ind w:left="620" w:leftChars="0" w:right="63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投标人须知前附表规定召开投标预备会的，招标人按投标人须知前附表</w:t>
      </w:r>
      <w:r>
        <w:rPr>
          <w:rFonts w:hint="eastAsia" w:ascii="宋体" w:hAnsi="宋体" w:eastAsia="宋体" w:cs="宋体"/>
          <w:color w:val="auto"/>
          <w:sz w:val="24"/>
          <w:highlight w:val="none"/>
        </w:rPr>
        <w:t>规定的时间和地点召开投标预备会，澄清投标人提出的问题。</w:t>
      </w:r>
    </w:p>
    <w:p>
      <w:pPr>
        <w:pStyle w:val="29"/>
        <w:numPr>
          <w:ilvl w:val="2"/>
          <w:numId w:val="4"/>
        </w:numPr>
        <w:tabs>
          <w:tab w:val="left" w:pos="1678"/>
        </w:tabs>
        <w:spacing w:before="1" w:after="0" w:line="362" w:lineRule="auto"/>
        <w:ind w:left="620" w:leftChars="0" w:right="63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投标人应按投标人须知前附表规定的时间和形式将提出的问题送达招标</w:t>
      </w:r>
      <w:r>
        <w:rPr>
          <w:rFonts w:hint="eastAsia" w:ascii="宋体" w:hAnsi="宋体" w:eastAsia="宋体" w:cs="宋体"/>
          <w:color w:val="auto"/>
          <w:sz w:val="24"/>
          <w:highlight w:val="none"/>
        </w:rPr>
        <w:t>人，以便招标人在会议期间澄清。</w:t>
      </w:r>
    </w:p>
    <w:p>
      <w:pPr>
        <w:pStyle w:val="29"/>
        <w:numPr>
          <w:ilvl w:val="2"/>
          <w:numId w:val="4"/>
        </w:numPr>
        <w:tabs>
          <w:tab w:val="left" w:pos="1678"/>
        </w:tabs>
        <w:spacing w:before="3" w:after="0" w:line="364" w:lineRule="auto"/>
        <w:ind w:left="620" w:leftChars="0" w:right="51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投标预备会后，招标人将对投标人所提问题的澄清，以投标人须知前附</w:t>
      </w:r>
      <w:r>
        <w:rPr>
          <w:rFonts w:hint="eastAsia" w:ascii="宋体" w:hAnsi="宋体" w:eastAsia="宋体" w:cs="宋体"/>
          <w:color w:val="auto"/>
          <w:spacing w:val="-7"/>
          <w:sz w:val="24"/>
          <w:highlight w:val="none"/>
        </w:rPr>
        <w:t>表规定的形式通知所有购买招标文件的投标人。该澄清内容为招标文件的组成部分。</w:t>
      </w:r>
    </w:p>
    <w:p>
      <w:pPr>
        <w:pStyle w:val="10"/>
        <w:numPr>
          <w:ilvl w:val="1"/>
          <w:numId w:val="4"/>
        </w:numPr>
        <w:tabs>
          <w:tab w:val="left" w:pos="1560"/>
        </w:tabs>
        <w:spacing w:before="1"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w w:val="95"/>
          <w:highlight w:val="none"/>
        </w:rPr>
        <w:t>分包</w:t>
      </w:r>
    </w:p>
    <w:p>
      <w:pPr>
        <w:pStyle w:val="29"/>
        <w:numPr>
          <w:ilvl w:val="2"/>
          <w:numId w:val="4"/>
        </w:numPr>
        <w:tabs>
          <w:tab w:val="left" w:pos="1678"/>
        </w:tabs>
        <w:spacing w:before="1" w:after="0" w:line="362" w:lineRule="auto"/>
        <w:ind w:left="620" w:leftChars="0" w:right="63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投标人拟在中标后将中标项目的非主体设备进行分包的，应符合投标人须知前附表规定的分包内容、分包金额和资质要求等限制性条件，除投标人须知前附表规定的非主体设备外，其他工作不得分包。</w:t>
      </w:r>
    </w:p>
    <w:p>
      <w:pPr>
        <w:pStyle w:val="29"/>
        <w:numPr>
          <w:ilvl w:val="2"/>
          <w:numId w:val="4"/>
        </w:numPr>
        <w:tabs>
          <w:tab w:val="left" w:pos="1678"/>
        </w:tabs>
        <w:spacing w:before="1" w:after="0" w:line="362" w:lineRule="auto"/>
        <w:ind w:left="620" w:leftChars="0" w:right="635" w:firstLine="480" w:firstLineChars="0"/>
        <w:jc w:val="left"/>
        <w:rPr>
          <w:rFonts w:hint="eastAsia" w:ascii="宋体" w:hAnsi="宋体" w:eastAsia="宋体" w:cs="宋体"/>
          <w:color w:val="auto"/>
          <w:spacing w:val="-1"/>
          <w:sz w:val="24"/>
          <w:highlight w:val="none"/>
        </w:rPr>
      </w:pPr>
      <w:r>
        <w:rPr>
          <w:rFonts w:hint="eastAsia" w:ascii="宋体" w:hAnsi="宋体" w:eastAsia="宋体" w:cs="宋体"/>
          <w:color w:val="auto"/>
          <w:spacing w:val="-1"/>
          <w:sz w:val="24"/>
          <w:highlight w:val="none"/>
        </w:rPr>
        <w:t>中标人不得向他人转让中标项目，接受分包的人不得再次分包。中标人应当就分包项目向招标人负责，接受分包的人就分包项目承担连带责任。</w:t>
      </w:r>
    </w:p>
    <w:p>
      <w:pPr>
        <w:pStyle w:val="10"/>
        <w:numPr>
          <w:ilvl w:val="1"/>
          <w:numId w:val="4"/>
        </w:numPr>
        <w:tabs>
          <w:tab w:val="left" w:pos="1560"/>
        </w:tabs>
        <w:spacing w:before="5" w:after="0" w:line="240" w:lineRule="auto"/>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响应和偏差</w:t>
      </w:r>
    </w:p>
    <w:p>
      <w:pPr>
        <w:pStyle w:val="29"/>
        <w:numPr>
          <w:ilvl w:val="2"/>
          <w:numId w:val="4"/>
        </w:numPr>
        <w:tabs>
          <w:tab w:val="left" w:pos="1800"/>
        </w:tabs>
        <w:spacing w:before="158"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投标文件应当对招标文件的实质性要求和条件作出满足性或更有利于</w:t>
      </w:r>
      <w:r>
        <w:rPr>
          <w:rFonts w:hint="eastAsia" w:ascii="宋体" w:hAnsi="宋体" w:eastAsia="宋体" w:cs="宋体"/>
          <w:color w:val="auto"/>
          <w:spacing w:val="-1"/>
          <w:sz w:val="24"/>
          <w:highlight w:val="none"/>
        </w:rPr>
        <w:t>招标人的响应，否则，投标人的投标将被否决。实质性要求和条件见投标人须知前</w:t>
      </w:r>
      <w:r>
        <w:rPr>
          <w:rFonts w:hint="eastAsia" w:ascii="宋体" w:hAnsi="宋体" w:eastAsia="宋体" w:cs="宋体"/>
          <w:color w:val="auto"/>
          <w:sz w:val="24"/>
          <w:highlight w:val="none"/>
        </w:rPr>
        <w:t>附表。</w:t>
      </w:r>
    </w:p>
    <w:p>
      <w:pPr>
        <w:pStyle w:val="29"/>
        <w:numPr>
          <w:ilvl w:val="2"/>
          <w:numId w:val="4"/>
        </w:numPr>
        <w:tabs>
          <w:tab w:val="left" w:pos="1798"/>
        </w:tabs>
        <w:spacing w:before="0" w:after="0" w:line="364" w:lineRule="auto"/>
        <w:ind w:left="620" w:leftChars="0" w:right="520"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投标人应根据招标文件的要求提供投标设备技术性能指标的详细描述、</w:t>
      </w:r>
      <w:r>
        <w:rPr>
          <w:rFonts w:hint="eastAsia" w:ascii="宋体" w:hAnsi="宋体" w:eastAsia="宋体" w:cs="宋体"/>
          <w:color w:val="auto"/>
          <w:sz w:val="24"/>
          <w:highlight w:val="none"/>
        </w:rPr>
        <w:t>技术支持资料及技术服务和质保期服务计划等内容以对招标文件作出响应。</w:t>
      </w:r>
    </w:p>
    <w:p>
      <w:pPr>
        <w:pStyle w:val="29"/>
        <w:numPr>
          <w:ilvl w:val="2"/>
          <w:numId w:val="4"/>
        </w:numPr>
        <w:tabs>
          <w:tab w:val="left" w:pos="1800"/>
        </w:tabs>
        <w:spacing w:before="0" w:after="0" w:line="364" w:lineRule="auto"/>
        <w:ind w:left="620" w:leftChars="0" w:right="51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投标文件中应针对实质性要求和条件中列明的技术要求提供技术支持资料。技术支持资料以制造商公开发布的印刷资料，或检测机构出具的检测报告或</w:t>
      </w:r>
      <w:r>
        <w:rPr>
          <w:rFonts w:hint="eastAsia" w:ascii="宋体" w:hAnsi="宋体" w:eastAsia="宋体" w:cs="宋体"/>
          <w:color w:val="auto"/>
          <w:spacing w:val="-7"/>
          <w:sz w:val="24"/>
          <w:highlight w:val="none"/>
        </w:rPr>
        <w:t xml:space="preserve">投标人须知前附表允许的其他形式为准，不符合前述要求的，视为无技术支持资料， </w:t>
      </w:r>
      <w:r>
        <w:rPr>
          <w:rFonts w:hint="eastAsia" w:ascii="宋体" w:hAnsi="宋体" w:eastAsia="宋体" w:cs="宋体"/>
          <w:color w:val="auto"/>
          <w:sz w:val="24"/>
          <w:highlight w:val="none"/>
        </w:rPr>
        <w:t>其投标将被否决。</w:t>
      </w:r>
    </w:p>
    <w:p>
      <w:pPr>
        <w:pStyle w:val="29"/>
        <w:numPr>
          <w:ilvl w:val="2"/>
          <w:numId w:val="4"/>
        </w:numPr>
        <w:tabs>
          <w:tab w:val="left" w:pos="1798"/>
        </w:tabs>
        <w:spacing w:before="65"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6"/>
          <w:sz w:val="24"/>
          <w:highlight w:val="none"/>
        </w:rPr>
        <w:t>投标人须知前附表规定了可以偏差的范围和最高偏差项数的，偏差应当</w:t>
      </w:r>
      <w:r>
        <w:rPr>
          <w:rFonts w:hint="eastAsia" w:ascii="宋体" w:hAnsi="宋体" w:eastAsia="宋体" w:cs="宋体"/>
          <w:color w:val="auto"/>
          <w:spacing w:val="-1"/>
          <w:sz w:val="24"/>
          <w:highlight w:val="none"/>
        </w:rPr>
        <w:t>符合投标人须知前附表规定的偏差范围和最高项数，超出偏差范围和最高偏差项数</w:t>
      </w:r>
      <w:r>
        <w:rPr>
          <w:rFonts w:hint="eastAsia" w:ascii="宋体" w:hAnsi="宋体" w:eastAsia="宋体" w:cs="宋体"/>
          <w:color w:val="auto"/>
          <w:sz w:val="24"/>
          <w:highlight w:val="none"/>
        </w:rPr>
        <w:t>的投标将被否决。</w:t>
      </w:r>
    </w:p>
    <w:p>
      <w:pPr>
        <w:pStyle w:val="29"/>
        <w:numPr>
          <w:ilvl w:val="2"/>
          <w:numId w:val="4"/>
        </w:numPr>
        <w:tabs>
          <w:tab w:val="left" w:pos="1798"/>
        </w:tabs>
        <w:spacing w:before="0" w:after="0" w:line="362"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9"/>
          <w:sz w:val="24"/>
          <w:highlight w:val="none"/>
        </w:rPr>
        <w:t>投标文件对招标文件的全部偏差，均应在投标文件的商务和技术偏差表</w:t>
      </w:r>
      <w:r>
        <w:rPr>
          <w:rFonts w:hint="eastAsia" w:ascii="宋体" w:hAnsi="宋体" w:eastAsia="宋体" w:cs="宋体"/>
          <w:color w:val="auto"/>
          <w:sz w:val="24"/>
          <w:highlight w:val="none"/>
        </w:rPr>
        <w:t>中列明，除列明的内容外，视为投标人响应招标文件的全部要求。</w:t>
      </w:r>
    </w:p>
    <w:p>
      <w:pPr>
        <w:pStyle w:val="2"/>
        <w:spacing w:before="2"/>
        <w:rPr>
          <w:rFonts w:hint="eastAsia" w:ascii="宋体" w:hAnsi="宋体" w:eastAsia="宋体" w:cs="宋体"/>
          <w:color w:val="auto"/>
          <w:sz w:val="19"/>
          <w:highlight w:val="none"/>
        </w:rPr>
      </w:pPr>
    </w:p>
    <w:p>
      <w:pPr>
        <w:pStyle w:val="8"/>
        <w:numPr>
          <w:ilvl w:val="0"/>
          <w:numId w:val="4"/>
        </w:numPr>
        <w:tabs>
          <w:tab w:val="left" w:pos="1039"/>
          <w:tab w:val="left" w:pos="1040"/>
        </w:tabs>
        <w:spacing w:before="0" w:after="0" w:line="240" w:lineRule="auto"/>
        <w:ind w:left="1039" w:right="0" w:hanging="563"/>
        <w:jc w:val="left"/>
        <w:outlineLvl w:val="1"/>
        <w:rPr>
          <w:rFonts w:hint="eastAsia" w:ascii="宋体" w:hAnsi="宋体" w:eastAsia="宋体" w:cs="宋体"/>
          <w:color w:val="auto"/>
          <w:highlight w:val="none"/>
        </w:rPr>
      </w:pPr>
      <w:bookmarkStart w:id="16" w:name="_bookmark5"/>
      <w:bookmarkEnd w:id="16"/>
      <w:bookmarkStart w:id="17" w:name="2.  招标文件"/>
      <w:bookmarkEnd w:id="17"/>
      <w:bookmarkStart w:id="18" w:name="_bookmark5"/>
      <w:bookmarkEnd w:id="18"/>
      <w:bookmarkStart w:id="19" w:name="_Toc11782"/>
      <w:r>
        <w:rPr>
          <w:rFonts w:hint="eastAsia" w:ascii="宋体" w:hAnsi="宋体" w:eastAsia="宋体" w:cs="宋体"/>
          <w:color w:val="auto"/>
          <w:highlight w:val="none"/>
        </w:rPr>
        <w:t>招标文件</w:t>
      </w:r>
      <w:bookmarkEnd w:id="19"/>
    </w:p>
    <w:p>
      <w:pPr>
        <w:pStyle w:val="10"/>
        <w:numPr>
          <w:ilvl w:val="1"/>
          <w:numId w:val="4"/>
        </w:numPr>
        <w:tabs>
          <w:tab w:val="left" w:pos="1559"/>
          <w:tab w:val="left" w:pos="1560"/>
        </w:tabs>
        <w:spacing w:before="0" w:after="0" w:line="306" w:lineRule="exact"/>
        <w:ind w:left="1560" w:right="0" w:hanging="603"/>
        <w:jc w:val="left"/>
        <w:rPr>
          <w:rFonts w:hint="eastAsia" w:ascii="宋体" w:hAnsi="宋体" w:eastAsia="宋体" w:cs="宋体"/>
          <w:color w:val="auto"/>
          <w:sz w:val="24"/>
          <w:highlight w:val="none"/>
          <w:lang w:val="en-US" w:eastAsia="zh-CN"/>
        </w:rPr>
      </w:pPr>
      <w:r>
        <w:rPr>
          <w:rFonts w:hint="eastAsia" w:ascii="宋体" w:hAnsi="宋体" w:eastAsia="宋体" w:cs="宋体"/>
          <w:color w:val="auto"/>
          <w:highlight w:val="none"/>
        </w:rPr>
        <w:t>招标文件的</w:t>
      </w:r>
      <w:r>
        <w:rPr>
          <w:rFonts w:hint="eastAsia" w:ascii="宋体" w:hAnsi="宋体" w:eastAsia="宋体" w:cs="宋体"/>
          <w:color w:val="auto"/>
          <w:highlight w:val="none"/>
          <w:lang w:val="en-US" w:eastAsia="zh-CN"/>
        </w:rPr>
        <w:t>组成</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auto"/>
          <w:sz w:val="24"/>
          <w:szCs w:val="24"/>
          <w:highlight w:val="none"/>
          <w:lang w:val="en-US" w:eastAsia="zh-CN"/>
        </w:rPr>
        <w:t xml:space="preserve">  本招标文件包括：</w:t>
      </w:r>
    </w:p>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         </w:t>
      </w:r>
    </w:p>
    <w:p>
      <w:pPr>
        <w:pStyle w:val="29"/>
        <w:numPr>
          <w:ilvl w:val="0"/>
          <w:numId w:val="9"/>
        </w:numPr>
        <w:tabs>
          <w:tab w:val="left" w:pos="1559"/>
        </w:tabs>
        <w:spacing w:before="0" w:after="0" w:line="306" w:lineRule="exact"/>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招标公告；</w:t>
      </w:r>
    </w:p>
    <w:p>
      <w:pPr>
        <w:pStyle w:val="29"/>
        <w:numPr>
          <w:ilvl w:val="0"/>
          <w:numId w:val="9"/>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投标人须知；</w:t>
      </w:r>
    </w:p>
    <w:p>
      <w:pPr>
        <w:pStyle w:val="29"/>
        <w:numPr>
          <w:ilvl w:val="0"/>
          <w:numId w:val="9"/>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评标办法；</w:t>
      </w:r>
    </w:p>
    <w:p>
      <w:pPr>
        <w:pStyle w:val="29"/>
        <w:numPr>
          <w:ilvl w:val="0"/>
          <w:numId w:val="9"/>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合同条款及格式；</w:t>
      </w:r>
    </w:p>
    <w:p>
      <w:pPr>
        <w:pStyle w:val="29"/>
        <w:numPr>
          <w:ilvl w:val="0"/>
          <w:numId w:val="9"/>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技术要求；</w:t>
      </w:r>
    </w:p>
    <w:p>
      <w:pPr>
        <w:pStyle w:val="29"/>
        <w:numPr>
          <w:ilvl w:val="0"/>
          <w:numId w:val="9"/>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投标文件格式；</w:t>
      </w:r>
    </w:p>
    <w:p>
      <w:pPr>
        <w:pStyle w:val="29"/>
        <w:numPr>
          <w:ilvl w:val="0"/>
          <w:numId w:val="9"/>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投标人须知前附表规定的其他资料。</w:t>
      </w:r>
    </w:p>
    <w:p>
      <w:pPr>
        <w:pStyle w:val="2"/>
        <w:spacing w:before="160" w:line="364" w:lineRule="auto"/>
        <w:ind w:left="477" w:right="635" w:firstLine="480"/>
        <w:rPr>
          <w:rFonts w:hint="eastAsia" w:ascii="宋体" w:hAnsi="宋体" w:eastAsia="宋体" w:cs="宋体"/>
          <w:color w:val="auto"/>
          <w:highlight w:val="none"/>
        </w:rPr>
      </w:pPr>
      <w:r>
        <w:rPr>
          <w:rFonts w:hint="eastAsia" w:ascii="宋体" w:hAnsi="宋体" w:eastAsia="宋体" w:cs="宋体"/>
          <w:color w:val="auto"/>
          <w:highlight w:val="none"/>
        </w:rPr>
        <w:t>根据本章第 1.9</w:t>
      </w:r>
      <w:r>
        <w:rPr>
          <w:rFonts w:hint="eastAsia" w:ascii="宋体" w:hAnsi="宋体" w:eastAsia="宋体" w:cs="宋体"/>
          <w:color w:val="auto"/>
          <w:spacing w:val="-8"/>
          <w:highlight w:val="none"/>
        </w:rPr>
        <w:t xml:space="preserve"> 款、第 </w:t>
      </w:r>
      <w:r>
        <w:rPr>
          <w:rFonts w:hint="eastAsia" w:ascii="宋体" w:hAnsi="宋体" w:eastAsia="宋体" w:cs="宋体"/>
          <w:color w:val="auto"/>
          <w:highlight w:val="none"/>
        </w:rPr>
        <w:t>2.2 款和第 2.3</w:t>
      </w:r>
      <w:r>
        <w:rPr>
          <w:rFonts w:hint="eastAsia" w:ascii="宋体" w:hAnsi="宋体" w:eastAsia="宋体" w:cs="宋体"/>
          <w:color w:val="auto"/>
          <w:spacing w:val="-7"/>
          <w:highlight w:val="none"/>
        </w:rPr>
        <w:t xml:space="preserve"> 款对招标文件所作的澄清、修改，构</w:t>
      </w:r>
      <w:r>
        <w:rPr>
          <w:rFonts w:hint="eastAsia" w:ascii="宋体" w:hAnsi="宋体" w:eastAsia="宋体" w:cs="宋体"/>
          <w:color w:val="auto"/>
          <w:highlight w:val="none"/>
        </w:rPr>
        <w:t>成招标文件的组成部分。</w:t>
      </w:r>
    </w:p>
    <w:p>
      <w:pPr>
        <w:pStyle w:val="10"/>
        <w:numPr>
          <w:ilvl w:val="1"/>
          <w:numId w:val="4"/>
        </w:numPr>
        <w:tabs>
          <w:tab w:val="left" w:pos="1559"/>
          <w:tab w:val="left" w:pos="1560"/>
        </w:tabs>
        <w:spacing w:before="0" w:after="0" w:line="306" w:lineRule="exact"/>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招标文件的澄清</w:t>
      </w:r>
    </w:p>
    <w:p>
      <w:pPr>
        <w:pStyle w:val="29"/>
        <w:numPr>
          <w:ilvl w:val="2"/>
          <w:numId w:val="4"/>
        </w:numPr>
        <w:tabs>
          <w:tab w:val="left" w:pos="1678"/>
        </w:tabs>
        <w:spacing w:before="161" w:after="0" w:line="362" w:lineRule="auto"/>
        <w:ind w:left="620" w:leftChars="0" w:right="51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pacing w:val="-7"/>
          <w:sz w:val="24"/>
          <w:highlight w:val="none"/>
        </w:rPr>
        <w:t xml:space="preserve">投标人应仔细阅读和检查招标文件的全部内容。如发现缺页或附件不全， </w:t>
      </w:r>
      <w:r>
        <w:rPr>
          <w:rFonts w:hint="eastAsia" w:ascii="宋体" w:hAnsi="宋体" w:eastAsia="宋体" w:cs="宋体"/>
          <w:color w:val="auto"/>
          <w:sz w:val="24"/>
          <w:highlight w:val="none"/>
        </w:rPr>
        <w:t>应及时向招标人提出，以便补齐。如有疑问，应按投标人须知前附表规定的时间和形式将提出的问题送达招标人，要求招标人对招标文件予以澄清。</w:t>
      </w:r>
    </w:p>
    <w:p>
      <w:pPr>
        <w:pStyle w:val="29"/>
        <w:numPr>
          <w:ilvl w:val="2"/>
          <w:numId w:val="4"/>
        </w:numPr>
        <w:tabs>
          <w:tab w:val="left" w:pos="1678"/>
        </w:tabs>
        <w:spacing w:before="6"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招标文件的澄清以投标人须知前附表规定的形式发给所有购买招标文件</w:t>
      </w:r>
      <w:r>
        <w:rPr>
          <w:rFonts w:hint="eastAsia" w:ascii="宋体" w:hAnsi="宋体" w:eastAsia="宋体" w:cs="宋体"/>
          <w:color w:val="auto"/>
          <w:spacing w:val="-11"/>
          <w:sz w:val="24"/>
          <w:highlight w:val="none"/>
        </w:rPr>
        <w:t xml:space="preserve">的投标人，但不指明澄清问题的来源。澄清发出的时间距本章第 </w:t>
      </w:r>
      <w:r>
        <w:rPr>
          <w:rFonts w:hint="eastAsia" w:ascii="宋体" w:hAnsi="宋体" w:eastAsia="宋体" w:cs="宋体"/>
          <w:color w:val="auto"/>
          <w:sz w:val="24"/>
          <w:highlight w:val="none"/>
        </w:rPr>
        <w:t>4.2.1</w:t>
      </w:r>
      <w:r>
        <w:rPr>
          <w:rFonts w:hint="eastAsia" w:ascii="宋体" w:hAnsi="宋体" w:eastAsia="宋体" w:cs="宋体"/>
          <w:color w:val="auto"/>
          <w:spacing w:val="-3"/>
          <w:sz w:val="24"/>
          <w:highlight w:val="none"/>
        </w:rPr>
        <w:t xml:space="preserve"> 项规定的投</w:t>
      </w:r>
      <w:r>
        <w:rPr>
          <w:rFonts w:hint="eastAsia" w:ascii="宋体" w:hAnsi="宋体" w:eastAsia="宋体" w:cs="宋体"/>
          <w:color w:val="auto"/>
          <w:sz w:val="24"/>
          <w:highlight w:val="none"/>
        </w:rPr>
        <w:t>标截止时间不足 15</w:t>
      </w:r>
      <w:r>
        <w:rPr>
          <w:rFonts w:hint="eastAsia" w:ascii="宋体" w:hAnsi="宋体" w:eastAsia="宋体" w:cs="宋体"/>
          <w:color w:val="auto"/>
          <w:spacing w:val="-1"/>
          <w:sz w:val="24"/>
          <w:highlight w:val="none"/>
        </w:rPr>
        <w:t xml:space="preserve"> 日的，并且澄清内容可能影响投标文件编制的，将相应延长投</w:t>
      </w:r>
      <w:r>
        <w:rPr>
          <w:rFonts w:hint="eastAsia" w:ascii="宋体" w:hAnsi="宋体" w:eastAsia="宋体" w:cs="宋体"/>
          <w:color w:val="auto"/>
          <w:sz w:val="24"/>
          <w:highlight w:val="none"/>
        </w:rPr>
        <w:t>标截止时间。</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除非招标人认为确有必要答复，否则，招标人有权拒绝回复投标人在本</w:t>
      </w:r>
      <w:r>
        <w:rPr>
          <w:rFonts w:hint="eastAsia" w:ascii="宋体" w:hAnsi="宋体" w:eastAsia="宋体" w:cs="宋体"/>
          <w:color w:val="auto"/>
          <w:sz w:val="24"/>
          <w:highlight w:val="none"/>
        </w:rPr>
        <w:t>章第 2.2.1 项规定的时间后的任何澄清要求。</w:t>
      </w:r>
    </w:p>
    <w:p>
      <w:pPr>
        <w:pStyle w:val="10"/>
        <w:numPr>
          <w:ilvl w:val="1"/>
          <w:numId w:val="4"/>
        </w:numPr>
        <w:tabs>
          <w:tab w:val="left" w:pos="1560"/>
        </w:tabs>
        <w:spacing w:before="0" w:after="0" w:line="306" w:lineRule="exact"/>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招标文件的修改</w:t>
      </w:r>
    </w:p>
    <w:p>
      <w:pPr>
        <w:pStyle w:val="29"/>
        <w:numPr>
          <w:ilvl w:val="2"/>
          <w:numId w:val="4"/>
        </w:numPr>
        <w:tabs>
          <w:tab w:val="left" w:pos="1798"/>
        </w:tabs>
        <w:spacing w:before="161" w:after="0" w:line="364" w:lineRule="auto"/>
        <w:ind w:left="620" w:leftChars="0" w:right="515" w:firstLine="480" w:firstLineChars="0"/>
        <w:jc w:val="both"/>
        <w:rPr>
          <w:rFonts w:hint="eastAsia" w:ascii="宋体" w:hAnsi="宋体" w:eastAsia="宋体" w:cs="宋体"/>
          <w:color w:val="auto"/>
          <w:spacing w:val="-13"/>
          <w:sz w:val="24"/>
          <w:highlight w:val="none"/>
        </w:rPr>
      </w:pPr>
      <w:r>
        <w:rPr>
          <w:rFonts w:hint="eastAsia" w:ascii="宋体" w:hAnsi="宋体" w:eastAsia="宋体" w:cs="宋体"/>
          <w:color w:val="auto"/>
          <w:spacing w:val="-13"/>
          <w:sz w:val="24"/>
          <w:highlight w:val="none"/>
        </w:rPr>
        <w:t>无论出于何种原因，采购代理机构主动或出于解答投标人疑问对已发出的招标文件进行必要澄清或修改的，应当在招标文件要求提交投标文件截止时间15日前，以当面交接、邮寄、传真或电子邮件、网站披露等其中至少一种方式，向潜在投标人发出澄清、修改的补充文件。需要为此调整投标文件提交截止时间的，应当重新确定，并就变更后的投标截止时间重新发出通知。</w:t>
      </w:r>
    </w:p>
    <w:p>
      <w:pPr>
        <w:pStyle w:val="29"/>
        <w:numPr>
          <w:ilvl w:val="2"/>
          <w:numId w:val="4"/>
        </w:numPr>
        <w:tabs>
          <w:tab w:val="left" w:pos="1798"/>
        </w:tabs>
        <w:spacing w:before="161" w:after="0" w:line="364" w:lineRule="auto"/>
        <w:ind w:left="620" w:leftChars="0" w:right="515" w:firstLine="480" w:firstLineChars="0"/>
        <w:jc w:val="both"/>
        <w:rPr>
          <w:rFonts w:hint="eastAsia" w:ascii="宋体" w:hAnsi="宋体" w:eastAsia="宋体" w:cs="宋体"/>
          <w:color w:val="auto"/>
          <w:spacing w:val="-13"/>
          <w:sz w:val="24"/>
          <w:highlight w:val="none"/>
        </w:rPr>
      </w:pPr>
      <w:r>
        <w:rPr>
          <w:rFonts w:hint="eastAsia" w:ascii="宋体" w:hAnsi="宋体" w:eastAsia="宋体" w:cs="宋体"/>
          <w:color w:val="auto"/>
          <w:spacing w:val="-13"/>
          <w:sz w:val="24"/>
          <w:highlight w:val="none"/>
        </w:rPr>
        <w:t>特殊情况下，采购代理机构发布澄清、修改文件后，征得投标人同意，可不改变投标截止时间和开标时间。</w:t>
      </w:r>
    </w:p>
    <w:p>
      <w:pPr>
        <w:pStyle w:val="29"/>
        <w:numPr>
          <w:ilvl w:val="2"/>
          <w:numId w:val="4"/>
        </w:numPr>
        <w:tabs>
          <w:tab w:val="left" w:pos="1798"/>
        </w:tabs>
        <w:spacing w:before="161" w:after="0" w:line="364" w:lineRule="auto"/>
        <w:ind w:left="620" w:leftChars="0" w:right="515" w:firstLine="480" w:firstLineChars="0"/>
        <w:jc w:val="both"/>
        <w:rPr>
          <w:rFonts w:hint="eastAsia" w:ascii="宋体" w:hAnsi="宋体" w:eastAsia="宋体" w:cs="宋体"/>
          <w:color w:val="auto"/>
          <w:spacing w:val="-13"/>
          <w:sz w:val="24"/>
          <w:highlight w:val="none"/>
        </w:rPr>
      </w:pPr>
      <w:r>
        <w:rPr>
          <w:rFonts w:hint="eastAsia" w:ascii="宋体" w:hAnsi="宋体" w:eastAsia="宋体" w:cs="宋体"/>
          <w:color w:val="auto"/>
          <w:spacing w:val="-13"/>
          <w:sz w:val="24"/>
          <w:highlight w:val="none"/>
        </w:rPr>
        <w:t>采购代理机构对招标文件作出的澄清、修改在兵团政采云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pPr>
        <w:pStyle w:val="29"/>
        <w:numPr>
          <w:ilvl w:val="2"/>
          <w:numId w:val="4"/>
        </w:numPr>
        <w:tabs>
          <w:tab w:val="left" w:pos="1798"/>
        </w:tabs>
        <w:spacing w:before="161" w:after="0" w:line="364" w:lineRule="auto"/>
        <w:ind w:left="620" w:leftChars="0" w:right="515" w:firstLine="480" w:firstLineChars="0"/>
        <w:jc w:val="both"/>
        <w:rPr>
          <w:rFonts w:hint="eastAsia" w:ascii="宋体" w:hAnsi="宋体" w:eastAsia="宋体" w:cs="宋体"/>
          <w:color w:val="auto"/>
          <w:spacing w:val="-13"/>
          <w:sz w:val="24"/>
          <w:highlight w:val="none"/>
        </w:rPr>
      </w:pPr>
      <w:r>
        <w:rPr>
          <w:rFonts w:hint="eastAsia" w:ascii="宋体" w:hAnsi="宋体" w:eastAsia="宋体" w:cs="宋体"/>
          <w:color w:val="auto"/>
          <w:spacing w:val="-13"/>
          <w:sz w:val="24"/>
          <w:highlight w:val="none"/>
        </w:rPr>
        <w:t>上述澄清、修改在交易平台上发布的同时，交易平台将通过第三方短信群发方式提醒投标人进行查询。此短信仅系友情提示，并不具有任何约束性和必要性，采购代理机构不承担投标人未收到短信而引起的一切后果和法律责任。</w:t>
      </w:r>
    </w:p>
    <w:p>
      <w:pPr>
        <w:pStyle w:val="29"/>
        <w:numPr>
          <w:ilvl w:val="2"/>
          <w:numId w:val="4"/>
        </w:numPr>
        <w:tabs>
          <w:tab w:val="left" w:pos="1798"/>
        </w:tabs>
        <w:spacing w:before="161" w:after="0" w:line="364" w:lineRule="auto"/>
        <w:ind w:left="620" w:leftChars="0" w:right="515" w:firstLine="480" w:firstLineChars="0"/>
        <w:jc w:val="both"/>
        <w:rPr>
          <w:rFonts w:hint="eastAsia" w:ascii="宋体" w:hAnsi="宋体" w:eastAsia="宋体" w:cs="宋体"/>
          <w:color w:val="auto"/>
          <w:spacing w:val="-13"/>
          <w:sz w:val="24"/>
          <w:highlight w:val="none"/>
        </w:rPr>
      </w:pPr>
      <w:r>
        <w:rPr>
          <w:rFonts w:hint="eastAsia" w:ascii="宋体" w:hAnsi="宋体" w:eastAsia="宋体" w:cs="宋体"/>
          <w:color w:val="auto"/>
          <w:spacing w:val="-13"/>
          <w:sz w:val="24"/>
          <w:highlight w:val="none"/>
        </w:rPr>
        <w:t>采购代理机构一旦对招标文件作出了澄清、修改，即刻发生效力，采购代理机构有关的补充文件，将作为招标文件的组成部分，对所有现实的或潜在的投标人均具有约束力，而无论是否已经实际收到上述文件。同时，采购代理机构和投标人的权利及义务将受到新的截止期的约束。</w:t>
      </w:r>
    </w:p>
    <w:p>
      <w:pPr>
        <w:pStyle w:val="8"/>
        <w:numPr>
          <w:ilvl w:val="0"/>
          <w:numId w:val="4"/>
        </w:numPr>
        <w:tabs>
          <w:tab w:val="left" w:pos="1039"/>
          <w:tab w:val="left" w:pos="1040"/>
        </w:tabs>
        <w:spacing w:before="0" w:after="0" w:line="240" w:lineRule="auto"/>
        <w:ind w:left="1039" w:right="0" w:hanging="563"/>
        <w:jc w:val="left"/>
        <w:outlineLvl w:val="1"/>
        <w:rPr>
          <w:rFonts w:hint="eastAsia" w:ascii="宋体" w:hAnsi="宋体" w:eastAsia="宋体" w:cs="宋体"/>
          <w:color w:val="auto"/>
          <w:highlight w:val="none"/>
        </w:rPr>
      </w:pPr>
      <w:bookmarkStart w:id="20" w:name="_bookmark6"/>
      <w:bookmarkEnd w:id="20"/>
      <w:bookmarkStart w:id="21" w:name="3.  投标文件"/>
      <w:bookmarkEnd w:id="21"/>
      <w:bookmarkStart w:id="22" w:name="_bookmark6"/>
      <w:bookmarkEnd w:id="22"/>
      <w:bookmarkStart w:id="23" w:name="_Toc10687"/>
      <w:r>
        <w:rPr>
          <w:rFonts w:hint="eastAsia" w:ascii="宋体" w:hAnsi="宋体" w:eastAsia="宋体" w:cs="宋体"/>
          <w:color w:val="auto"/>
          <w:highlight w:val="none"/>
        </w:rPr>
        <w:t>投标文件</w:t>
      </w:r>
      <w:bookmarkEnd w:id="23"/>
    </w:p>
    <w:p>
      <w:pPr>
        <w:pStyle w:val="10"/>
        <w:numPr>
          <w:ilvl w:val="1"/>
          <w:numId w:val="4"/>
        </w:numPr>
        <w:tabs>
          <w:tab w:val="left" w:pos="1560"/>
        </w:tabs>
        <w:spacing w:before="243" w:after="0" w:line="240" w:lineRule="auto"/>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投标文件的组成</w:t>
      </w:r>
    </w:p>
    <w:p>
      <w:pPr>
        <w:pStyle w:val="29"/>
        <w:numPr>
          <w:ilvl w:val="2"/>
          <w:numId w:val="4"/>
        </w:numPr>
        <w:tabs>
          <w:tab w:val="left" w:pos="1678"/>
        </w:tabs>
        <w:spacing w:before="158"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投标文件应包括下列内容：</w:t>
      </w:r>
    </w:p>
    <w:p>
      <w:pPr>
        <w:pStyle w:val="29"/>
        <w:numPr>
          <w:ilvl w:val="0"/>
          <w:numId w:val="10"/>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p>
      <w:pPr>
        <w:pStyle w:val="29"/>
        <w:numPr>
          <w:ilvl w:val="0"/>
          <w:numId w:val="10"/>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法定代表人（单位负责人）身份证明或授权委托书；</w:t>
      </w:r>
    </w:p>
    <w:p>
      <w:pPr>
        <w:pStyle w:val="29"/>
        <w:numPr>
          <w:ilvl w:val="0"/>
          <w:numId w:val="10"/>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联合体协议书（如有）；</w:t>
      </w:r>
    </w:p>
    <w:p>
      <w:pPr>
        <w:pStyle w:val="29"/>
        <w:numPr>
          <w:ilvl w:val="0"/>
          <w:numId w:val="10"/>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投标保证金；</w:t>
      </w:r>
    </w:p>
    <w:p>
      <w:pPr>
        <w:pStyle w:val="29"/>
        <w:numPr>
          <w:ilvl w:val="0"/>
          <w:numId w:val="10"/>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商务和技术偏差表；</w:t>
      </w:r>
    </w:p>
    <w:p>
      <w:pPr>
        <w:pStyle w:val="29"/>
        <w:numPr>
          <w:ilvl w:val="0"/>
          <w:numId w:val="10"/>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分项报价表；</w:t>
      </w:r>
    </w:p>
    <w:p>
      <w:pPr>
        <w:pStyle w:val="29"/>
        <w:numPr>
          <w:ilvl w:val="0"/>
          <w:numId w:val="10"/>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资格审查资料；</w:t>
      </w:r>
    </w:p>
    <w:p>
      <w:pPr>
        <w:pStyle w:val="29"/>
        <w:numPr>
          <w:ilvl w:val="0"/>
          <w:numId w:val="10"/>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投标设备技术性能指标的详细描述；</w:t>
      </w:r>
    </w:p>
    <w:p>
      <w:pPr>
        <w:pStyle w:val="29"/>
        <w:numPr>
          <w:ilvl w:val="0"/>
          <w:numId w:val="10"/>
        </w:numPr>
        <w:tabs>
          <w:tab w:val="left" w:pos="1559"/>
        </w:tabs>
        <w:spacing w:before="159"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技术支持资料；</w:t>
      </w:r>
    </w:p>
    <w:p>
      <w:pPr>
        <w:pStyle w:val="29"/>
        <w:numPr>
          <w:ilvl w:val="0"/>
          <w:numId w:val="10"/>
        </w:numPr>
        <w:tabs>
          <w:tab w:val="left" w:pos="1679"/>
        </w:tabs>
        <w:spacing w:before="160" w:after="0" w:line="240" w:lineRule="auto"/>
        <w:ind w:left="1678" w:right="0" w:hanging="72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技术服务和质保期服务计划；</w:t>
      </w:r>
    </w:p>
    <w:p>
      <w:pPr>
        <w:pStyle w:val="29"/>
        <w:numPr>
          <w:ilvl w:val="0"/>
          <w:numId w:val="10"/>
        </w:numPr>
        <w:tabs>
          <w:tab w:val="left" w:pos="1679"/>
        </w:tabs>
        <w:spacing w:before="158" w:after="0" w:line="364"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投标人须知前附表规定的其他资料。投标人在评标过程中作出的符合法</w:t>
      </w:r>
      <w:r>
        <w:rPr>
          <w:rFonts w:hint="eastAsia" w:ascii="宋体" w:hAnsi="宋体" w:eastAsia="宋体" w:cs="宋体"/>
          <w:color w:val="auto"/>
          <w:sz w:val="24"/>
          <w:highlight w:val="none"/>
        </w:rPr>
        <w:t>律法规和招标文件规定的澄清确认，构成投标文件的组成部分。</w:t>
      </w:r>
    </w:p>
    <w:p>
      <w:pPr>
        <w:pStyle w:val="29"/>
        <w:numPr>
          <w:ilvl w:val="2"/>
          <w:numId w:val="4"/>
        </w:numPr>
        <w:tabs>
          <w:tab w:val="left" w:pos="1678"/>
        </w:tabs>
        <w:spacing w:before="65"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投标人须知前附表规定不接受联合体投标的，或投标人没有组成联合体</w:t>
      </w:r>
      <w:r>
        <w:rPr>
          <w:rFonts w:hint="eastAsia" w:ascii="宋体" w:hAnsi="宋体" w:eastAsia="宋体" w:cs="宋体"/>
          <w:color w:val="auto"/>
          <w:sz w:val="24"/>
          <w:highlight w:val="none"/>
        </w:rPr>
        <w:t>的，投标文件不包括本章第 3.1.1（3）目所指的联合体协议书。</w:t>
      </w:r>
    </w:p>
    <w:p>
      <w:pPr>
        <w:pStyle w:val="29"/>
        <w:numPr>
          <w:ilvl w:val="2"/>
          <w:numId w:val="4"/>
        </w:numPr>
        <w:tabs>
          <w:tab w:val="left" w:pos="1685"/>
        </w:tabs>
        <w:spacing w:before="0"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6"/>
          <w:sz w:val="24"/>
          <w:highlight w:val="none"/>
        </w:rPr>
        <w:t>投标人须知前附表未要求提交投标保证金的，投标文件不包括本章第3.1.1（4）目所指的投标保证金。</w:t>
      </w:r>
    </w:p>
    <w:p>
      <w:pPr>
        <w:pStyle w:val="10"/>
        <w:numPr>
          <w:ilvl w:val="1"/>
          <w:numId w:val="4"/>
        </w:numPr>
        <w:tabs>
          <w:tab w:val="left" w:pos="1560"/>
        </w:tabs>
        <w:spacing w:before="0" w:after="0" w:line="306" w:lineRule="exact"/>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投标报价</w:t>
      </w:r>
    </w:p>
    <w:p>
      <w:pPr>
        <w:pStyle w:val="29"/>
        <w:numPr>
          <w:ilvl w:val="2"/>
          <w:numId w:val="4"/>
        </w:numPr>
        <w:tabs>
          <w:tab w:val="left" w:pos="1678"/>
        </w:tabs>
        <w:spacing w:before="160"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投标报价应包括国家规定的增值税税金，除投标人须知前附表另有规定</w:t>
      </w:r>
      <w:r>
        <w:rPr>
          <w:rFonts w:hint="eastAsia" w:ascii="宋体" w:hAnsi="宋体" w:eastAsia="宋体" w:cs="宋体"/>
          <w:color w:val="auto"/>
          <w:spacing w:val="-2"/>
          <w:sz w:val="24"/>
          <w:highlight w:val="none"/>
        </w:rPr>
        <w:t>外，增值税税金按一般计税方法计算。投标人应按第六章“投标文件格式”的要求</w:t>
      </w:r>
      <w:r>
        <w:rPr>
          <w:rFonts w:hint="eastAsia" w:ascii="宋体" w:hAnsi="宋体" w:eastAsia="宋体" w:cs="宋体"/>
          <w:color w:val="auto"/>
          <w:sz w:val="24"/>
          <w:highlight w:val="none"/>
        </w:rPr>
        <w:t>在投标函中进行报价并填写分项报价表。</w:t>
      </w:r>
    </w:p>
    <w:p>
      <w:pPr>
        <w:pStyle w:val="29"/>
        <w:numPr>
          <w:ilvl w:val="2"/>
          <w:numId w:val="4"/>
        </w:numPr>
        <w:tabs>
          <w:tab w:val="left" w:pos="1678"/>
        </w:tabs>
        <w:spacing w:before="0" w:after="0" w:line="307" w:lineRule="exact"/>
        <w:ind w:left="1820" w:leftChars="0" w:right="0" w:hanging="721" w:firstLineChars="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投标人应充分了解该项目的总体情况以及影响投标报价的其他要素。</w:t>
      </w:r>
    </w:p>
    <w:p>
      <w:pPr>
        <w:pStyle w:val="29"/>
        <w:numPr>
          <w:ilvl w:val="2"/>
          <w:numId w:val="4"/>
        </w:numPr>
        <w:tabs>
          <w:tab w:val="left" w:pos="1678"/>
        </w:tabs>
        <w:spacing w:before="158" w:after="0" w:line="364" w:lineRule="auto"/>
        <w:ind w:left="620" w:leftChars="0" w:right="51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pacing w:val="-9"/>
          <w:sz w:val="24"/>
          <w:highlight w:val="none"/>
        </w:rPr>
        <w:t xml:space="preserve">投标报价为各分项报价金额之和，投标报价与分项报价的合价不一致的， </w:t>
      </w:r>
      <w:r>
        <w:rPr>
          <w:rFonts w:hint="eastAsia" w:ascii="宋体" w:hAnsi="宋体" w:eastAsia="宋体" w:cs="宋体"/>
          <w:color w:val="auto"/>
          <w:sz w:val="24"/>
          <w:highlight w:val="none"/>
        </w:rPr>
        <w:t>应以各分项合价累计数为准，修正投标报价；如分项报价中存在缺漏项，则视为缺漏项价格已包含在其他分项报价之中。投标人在投标截止时间前修改投标函中的投标报价总额，应同时修改投标文件“分项报价表”中的相应报价。此修改须符合本章第 4.3 款的有关要求。</w:t>
      </w:r>
    </w:p>
    <w:p>
      <w:pPr>
        <w:pStyle w:val="29"/>
        <w:numPr>
          <w:ilvl w:val="2"/>
          <w:numId w:val="4"/>
        </w:numPr>
        <w:tabs>
          <w:tab w:val="left" w:pos="1678"/>
        </w:tabs>
        <w:spacing w:before="0" w:after="0" w:line="362" w:lineRule="auto"/>
        <w:ind w:left="620" w:leftChars="0" w:right="51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pacing w:val="-10"/>
          <w:sz w:val="24"/>
          <w:highlight w:val="none"/>
        </w:rPr>
        <w:t xml:space="preserve">招标人设有最高投标限价的，投标人的投标报价不得超过最高投标限价， </w:t>
      </w:r>
      <w:r>
        <w:rPr>
          <w:rFonts w:hint="eastAsia" w:ascii="宋体" w:hAnsi="宋体" w:eastAsia="宋体" w:cs="宋体"/>
          <w:color w:val="auto"/>
          <w:sz w:val="24"/>
          <w:highlight w:val="none"/>
        </w:rPr>
        <w:t>最高投标限价在投标人须知前附表中载明。</w:t>
      </w:r>
    </w:p>
    <w:p>
      <w:pPr>
        <w:pStyle w:val="29"/>
        <w:numPr>
          <w:ilvl w:val="2"/>
          <w:numId w:val="4"/>
        </w:numPr>
        <w:tabs>
          <w:tab w:val="left" w:pos="1678"/>
        </w:tabs>
        <w:spacing w:before="3"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投标报价的其他要求见投标人须知前附表。</w:t>
      </w:r>
    </w:p>
    <w:p>
      <w:pPr>
        <w:pStyle w:val="29"/>
        <w:numPr>
          <w:ilvl w:val="2"/>
          <w:numId w:val="4"/>
        </w:numPr>
        <w:tabs>
          <w:tab w:val="left" w:pos="1678"/>
        </w:tabs>
        <w:spacing w:before="3"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1"/>
          <w:highlight w:val="none"/>
        </w:rPr>
        <w:t>中小微型企业有关政策</w:t>
      </w:r>
      <w:r>
        <w:rPr>
          <w:rFonts w:hint="eastAsia" w:ascii="宋体" w:hAnsi="宋体" w:eastAsia="宋体" w:cs="宋体"/>
          <w:color w:val="auto"/>
          <w:sz w:val="21"/>
          <w:highlight w:val="none"/>
          <w:lang w:eastAsia="zh-CN"/>
        </w:rPr>
        <w:t>。</w:t>
      </w:r>
    </w:p>
    <w:p>
      <w:pPr>
        <w:pStyle w:val="10"/>
        <w:numPr>
          <w:ilvl w:val="1"/>
          <w:numId w:val="4"/>
        </w:numPr>
        <w:tabs>
          <w:tab w:val="left" w:pos="1559"/>
          <w:tab w:val="left" w:pos="1560"/>
        </w:tabs>
        <w:spacing w:before="158"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投标有效期</w:t>
      </w:r>
    </w:p>
    <w:p>
      <w:pPr>
        <w:pStyle w:val="29"/>
        <w:numPr>
          <w:ilvl w:val="2"/>
          <w:numId w:val="4"/>
        </w:numPr>
        <w:tabs>
          <w:tab w:val="left" w:pos="1678"/>
        </w:tabs>
        <w:spacing w:before="161" w:after="0" w:line="240" w:lineRule="auto"/>
        <w:ind w:left="1820" w:leftChars="0" w:right="0" w:hanging="721" w:firstLineChars="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除投标人须知前附表另有规定外，投标有效期为 90 天。</w:t>
      </w:r>
    </w:p>
    <w:p>
      <w:pPr>
        <w:pStyle w:val="29"/>
        <w:numPr>
          <w:ilvl w:val="2"/>
          <w:numId w:val="4"/>
        </w:numPr>
        <w:tabs>
          <w:tab w:val="left" w:pos="1678"/>
        </w:tabs>
        <w:spacing w:before="158"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在投标有效期内，投标人撤销投标文件的，应承担招标文件和法律规定</w:t>
      </w:r>
      <w:r>
        <w:rPr>
          <w:rFonts w:hint="eastAsia" w:ascii="宋体" w:hAnsi="宋体" w:eastAsia="宋体" w:cs="宋体"/>
          <w:color w:val="auto"/>
          <w:sz w:val="24"/>
          <w:highlight w:val="none"/>
        </w:rPr>
        <w:t>的责任。</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w:t>
      </w:r>
      <w:r>
        <w:rPr>
          <w:rFonts w:hint="eastAsia" w:ascii="宋体" w:hAnsi="宋体" w:eastAsia="宋体" w:cs="宋体"/>
          <w:color w:val="auto"/>
          <w:sz w:val="24"/>
          <w:highlight w:val="none"/>
        </w:rPr>
        <w:t>行同期存款利息。</w:t>
      </w:r>
    </w:p>
    <w:p>
      <w:pPr>
        <w:pStyle w:val="10"/>
        <w:numPr>
          <w:ilvl w:val="1"/>
          <w:numId w:val="4"/>
        </w:numPr>
        <w:tabs>
          <w:tab w:val="left" w:pos="1560"/>
        </w:tabs>
        <w:spacing w:before="0" w:after="0" w:line="306" w:lineRule="exact"/>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投标保证金</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spacing w:val="-1"/>
          <w:sz w:val="24"/>
          <w:highlight w:val="none"/>
        </w:rPr>
      </w:pPr>
      <w:r>
        <w:rPr>
          <w:rFonts w:hint="eastAsia" w:ascii="宋体" w:hAnsi="宋体" w:eastAsia="宋体" w:cs="宋体"/>
          <w:color w:val="auto"/>
          <w:spacing w:val="-1"/>
          <w:sz w:val="24"/>
          <w:highlight w:val="none"/>
        </w:rPr>
        <w:t>投标人在递交投标文件的同时，应按投标人须知前附表规定的金额、形式和第六章“投标文件格式”规定的投标保证金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spacing w:val="-1"/>
          <w:sz w:val="24"/>
          <w:highlight w:val="none"/>
        </w:rPr>
      </w:pPr>
      <w:r>
        <w:rPr>
          <w:rFonts w:hint="eastAsia" w:ascii="宋体" w:hAnsi="宋体" w:eastAsia="宋体" w:cs="宋体"/>
          <w:color w:val="auto"/>
          <w:spacing w:val="-1"/>
          <w:sz w:val="24"/>
          <w:highlight w:val="none"/>
        </w:rPr>
        <w:t>投标人不按本章第 3.4.1 项要求提交投标保证金的，评标委员会将否决其投标。</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spacing w:val="-1"/>
          <w:sz w:val="24"/>
          <w:highlight w:val="none"/>
        </w:rPr>
      </w:pPr>
      <w:r>
        <w:rPr>
          <w:rFonts w:hint="eastAsia" w:ascii="宋体" w:hAnsi="宋体" w:eastAsia="宋体" w:cs="宋体"/>
          <w:color w:val="auto"/>
          <w:spacing w:val="-1"/>
          <w:sz w:val="24"/>
          <w:highlight w:val="none"/>
        </w:rPr>
        <w:t>未中标的投标人的投标保证金在中标通知书发出之日起5个工作日内退还；中标人的投标保证金将在交纳履约保证金并于合同生效后5个工作日内退还。有下列情形之一的，投标保证金将不予退还：</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spacing w:val="-1"/>
          <w:sz w:val="24"/>
          <w:highlight w:val="none"/>
        </w:rPr>
      </w:pPr>
      <w:r>
        <w:rPr>
          <w:rFonts w:hint="eastAsia" w:ascii="宋体" w:hAnsi="宋体" w:eastAsia="宋体" w:cs="宋体"/>
          <w:color w:val="auto"/>
          <w:spacing w:val="-1"/>
          <w:sz w:val="24"/>
          <w:highlight w:val="none"/>
        </w:rPr>
        <w:t>投标人在投标有效期内撤销投标文件；</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中标人在</w:t>
      </w:r>
      <w:r>
        <w:rPr>
          <w:rFonts w:hint="eastAsia" w:ascii="宋体" w:hAnsi="宋体" w:eastAsia="宋体" w:cs="宋体"/>
          <w:color w:val="auto"/>
          <w:spacing w:val="-5"/>
          <w:sz w:val="24"/>
          <w:highlight w:val="none"/>
        </w:rPr>
        <w:t>收到中标通知书后，无正当理由不与招标人订立合同，在签订</w:t>
      </w:r>
      <w:r>
        <w:rPr>
          <w:rFonts w:hint="eastAsia" w:ascii="宋体" w:hAnsi="宋体" w:eastAsia="宋体" w:cs="宋体"/>
          <w:color w:val="auto"/>
          <w:spacing w:val="-4"/>
          <w:sz w:val="24"/>
          <w:highlight w:val="none"/>
        </w:rPr>
        <w:t>合同时向招标人提出附加条件，或者不按照招标文件要求提交履约保证金；</w:t>
      </w:r>
    </w:p>
    <w:p>
      <w:pPr>
        <w:pStyle w:val="29"/>
        <w:numPr>
          <w:ilvl w:val="0"/>
          <w:numId w:val="11"/>
        </w:numPr>
        <w:tabs>
          <w:tab w:val="left" w:pos="1559"/>
        </w:tabs>
        <w:spacing w:before="0" w:after="0" w:line="306" w:lineRule="exact"/>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发生投标人须知前附表规定的其他可以不予退还投标保证金的情形。</w:t>
      </w:r>
    </w:p>
    <w:p>
      <w:pPr>
        <w:pStyle w:val="10"/>
        <w:numPr>
          <w:ilvl w:val="1"/>
          <w:numId w:val="4"/>
        </w:numPr>
        <w:tabs>
          <w:tab w:val="left" w:pos="1559"/>
          <w:tab w:val="left" w:pos="1560"/>
        </w:tabs>
        <w:spacing w:before="161"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资格审查资料</w:t>
      </w:r>
    </w:p>
    <w:p>
      <w:pPr>
        <w:pStyle w:val="2"/>
        <w:spacing w:before="158" w:line="364" w:lineRule="auto"/>
        <w:ind w:left="477" w:right="635" w:firstLine="480"/>
        <w:rPr>
          <w:rFonts w:hint="eastAsia" w:ascii="宋体" w:hAnsi="宋体" w:eastAsia="宋体" w:cs="宋体"/>
          <w:color w:val="auto"/>
          <w:highlight w:val="none"/>
        </w:rPr>
      </w:pPr>
      <w:r>
        <w:rPr>
          <w:rFonts w:hint="eastAsia" w:ascii="宋体" w:hAnsi="宋体" w:eastAsia="宋体" w:cs="宋体"/>
          <w:color w:val="auto"/>
          <w:highlight w:val="none"/>
        </w:rPr>
        <w:t>除投标人须知前附表另有规定外，投标人应按下列规定提供资格审查资料，以证明其满足本章第 1.4 款规定。</w:t>
      </w:r>
    </w:p>
    <w:p>
      <w:pPr>
        <w:pStyle w:val="29"/>
        <w:numPr>
          <w:ilvl w:val="2"/>
          <w:numId w:val="4"/>
        </w:numPr>
        <w:tabs>
          <w:tab w:val="left" w:pos="1678"/>
        </w:tabs>
        <w:spacing w:before="0" w:after="0" w:line="364" w:lineRule="auto"/>
        <w:ind w:left="620" w:leftChars="0" w:right="633"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“投标人基本情况表”应附投标人及其制造商</w:t>
      </w:r>
      <w:r>
        <w:rPr>
          <w:rFonts w:hint="eastAsia" w:ascii="宋体" w:hAnsi="宋体" w:eastAsia="宋体" w:cs="宋体"/>
          <w:color w:val="auto"/>
          <w:sz w:val="24"/>
          <w:highlight w:val="none"/>
        </w:rPr>
        <w:t>（</w:t>
      </w:r>
      <w:r>
        <w:rPr>
          <w:rFonts w:hint="eastAsia" w:ascii="宋体" w:hAnsi="宋体" w:eastAsia="宋体" w:cs="宋体"/>
          <w:color w:val="auto"/>
          <w:spacing w:val="-2"/>
          <w:sz w:val="24"/>
          <w:highlight w:val="none"/>
        </w:rPr>
        <w:t>适用于代理经销商投标</w:t>
      </w:r>
      <w:r>
        <w:rPr>
          <w:rFonts w:hint="eastAsia" w:ascii="宋体" w:hAnsi="宋体" w:eastAsia="宋体" w:cs="宋体"/>
          <w:color w:val="auto"/>
          <w:sz w:val="24"/>
          <w:highlight w:val="none"/>
        </w:rPr>
        <w:t>的情形）资格或者资质证书副本和投标材料检验或认证等材料的复印件以及：</w:t>
      </w:r>
    </w:p>
    <w:p>
      <w:pPr>
        <w:pStyle w:val="29"/>
        <w:numPr>
          <w:ilvl w:val="0"/>
          <w:numId w:val="12"/>
        </w:numPr>
        <w:tabs>
          <w:tab w:val="left" w:pos="1559"/>
        </w:tabs>
        <w:spacing w:before="0" w:after="0" w:line="364" w:lineRule="auto"/>
        <w:ind w:left="620" w:leftChars="0" w:right="63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pacing w:val="-4"/>
          <w:sz w:val="24"/>
          <w:highlight w:val="none"/>
        </w:rPr>
        <w:t>如供应商是企业（包括合伙企业），应提供在工商部门注册的有效“企业法人营业执照”或“营业执照”（三证或五证合一）；</w:t>
      </w:r>
    </w:p>
    <w:p>
      <w:pPr>
        <w:pStyle w:val="29"/>
        <w:numPr>
          <w:ilvl w:val="0"/>
          <w:numId w:val="12"/>
        </w:numPr>
        <w:tabs>
          <w:tab w:val="left" w:pos="1559"/>
        </w:tabs>
        <w:spacing w:before="0" w:after="0" w:line="364" w:lineRule="auto"/>
        <w:ind w:left="620" w:leftChars="0" w:right="63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pacing w:val="-4"/>
          <w:sz w:val="24"/>
          <w:highlight w:val="none"/>
        </w:rPr>
        <w:t>如供应商是事业单位，应提供有效的“事业单位法人证书”；供应商是非企业专业服务机构的，应提供执业许可证等证明文件；</w:t>
      </w:r>
    </w:p>
    <w:p>
      <w:pPr>
        <w:pStyle w:val="29"/>
        <w:numPr>
          <w:ilvl w:val="0"/>
          <w:numId w:val="12"/>
        </w:numPr>
        <w:tabs>
          <w:tab w:val="left" w:pos="1559"/>
        </w:tabs>
        <w:spacing w:before="0" w:after="0" w:line="364" w:lineRule="auto"/>
        <w:ind w:left="620" w:leftChars="0" w:right="63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pacing w:val="-4"/>
          <w:sz w:val="24"/>
          <w:highlight w:val="none"/>
        </w:rPr>
        <w:t>如供应商是个体工商户，应提供有效的“个体工商户营业执照”；</w:t>
      </w:r>
    </w:p>
    <w:p>
      <w:pPr>
        <w:pStyle w:val="29"/>
        <w:numPr>
          <w:ilvl w:val="0"/>
          <w:numId w:val="12"/>
        </w:numPr>
        <w:tabs>
          <w:tab w:val="left" w:pos="1559"/>
        </w:tabs>
        <w:spacing w:before="0" w:after="0" w:line="364" w:lineRule="auto"/>
        <w:ind w:left="620" w:leftChars="0" w:right="63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pacing w:val="-4"/>
          <w:sz w:val="24"/>
          <w:highlight w:val="none"/>
        </w:rPr>
        <w:t>如供应商是自然人，应提供有效的自然人身份证明。</w:t>
      </w:r>
    </w:p>
    <w:p>
      <w:pPr>
        <w:pStyle w:val="29"/>
        <w:numPr>
          <w:ilvl w:val="2"/>
          <w:numId w:val="4"/>
        </w:numPr>
        <w:tabs>
          <w:tab w:val="left" w:pos="1678"/>
        </w:tabs>
        <w:spacing w:before="0" w:after="0" w:line="364" w:lineRule="auto"/>
        <w:ind w:left="620" w:leftChars="0" w:right="635" w:firstLine="26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“具有良好的商业信誉和健全的财务会计制度”应附</w:t>
      </w:r>
      <w:r>
        <w:rPr>
          <w:rFonts w:hint="eastAsia" w:ascii="宋体" w:hAnsi="宋体" w:eastAsia="宋体" w:cs="宋体"/>
          <w:color w:val="auto"/>
          <w:spacing w:val="-1"/>
          <w:sz w:val="24"/>
          <w:highlight w:val="none"/>
          <w:lang w:eastAsia="zh-CN"/>
        </w:rPr>
        <w:t>：</w:t>
      </w:r>
    </w:p>
    <w:p>
      <w:pPr>
        <w:pStyle w:val="29"/>
        <w:numPr>
          <w:ilvl w:val="0"/>
          <w:numId w:val="0"/>
        </w:numPr>
        <w:tabs>
          <w:tab w:val="left" w:pos="1559"/>
        </w:tabs>
        <w:spacing w:before="0" w:after="0" w:line="364" w:lineRule="auto"/>
        <w:ind w:left="1100" w:leftChars="0" w:right="635" w:rightChars="0"/>
        <w:jc w:val="left"/>
        <w:rPr>
          <w:rFonts w:hint="eastAsia" w:ascii="宋体" w:hAnsi="宋体" w:eastAsia="宋体" w:cs="宋体"/>
          <w:color w:val="auto"/>
          <w:spacing w:val="-4"/>
          <w:sz w:val="24"/>
          <w:highlight w:val="none"/>
        </w:rPr>
      </w:pP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lang w:val="en-US" w:eastAsia="zh-CN"/>
        </w:rPr>
        <w:t>1</w:t>
      </w: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rPr>
        <w:t>供应商是法人的，法人单位成立一年以上的须提供投标截止日前上一年度经审计的财务审计报告复印件加盖公章或基本开户银行在投标截止日前三个月内开具的资信证明；</w:t>
      </w:r>
    </w:p>
    <w:p>
      <w:pPr>
        <w:pStyle w:val="29"/>
        <w:numPr>
          <w:ilvl w:val="0"/>
          <w:numId w:val="0"/>
        </w:numPr>
        <w:tabs>
          <w:tab w:val="left" w:pos="1559"/>
        </w:tabs>
        <w:spacing w:before="0" w:after="0" w:line="364" w:lineRule="auto"/>
        <w:ind w:left="1100" w:leftChars="0" w:right="635" w:rightChars="0"/>
        <w:jc w:val="left"/>
        <w:rPr>
          <w:rFonts w:hint="eastAsia" w:ascii="宋体" w:hAnsi="宋体" w:eastAsia="宋体" w:cs="宋体"/>
          <w:color w:val="auto"/>
          <w:spacing w:val="-4"/>
          <w:sz w:val="24"/>
          <w:highlight w:val="none"/>
        </w:rPr>
      </w:pP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lang w:val="en-US" w:eastAsia="zh-CN"/>
        </w:rPr>
        <w:t>2</w:t>
      </w: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rPr>
        <w:t>法人单位成立一年以内的须提供成立当月至投标截止日前上个月的财务报表复印件加盖公章（须包括资产负债表、利润表、现金流量表等）或基本开户银行在投标截止日前三个月内开具的资信证明（原件或该原件的复印件，复印件须加盖供应商公章，银行存款证明无效）；</w:t>
      </w:r>
    </w:p>
    <w:p>
      <w:pPr>
        <w:pStyle w:val="29"/>
        <w:numPr>
          <w:ilvl w:val="0"/>
          <w:numId w:val="0"/>
        </w:numPr>
        <w:tabs>
          <w:tab w:val="left" w:pos="1559"/>
        </w:tabs>
        <w:spacing w:before="0" w:after="0" w:line="364" w:lineRule="auto"/>
        <w:ind w:left="1100" w:leftChars="0" w:right="635" w:rightChars="0"/>
        <w:jc w:val="left"/>
        <w:rPr>
          <w:rFonts w:hint="eastAsia" w:ascii="宋体" w:hAnsi="宋体" w:eastAsia="宋体" w:cs="宋体"/>
          <w:color w:val="auto"/>
          <w:spacing w:val="-4"/>
          <w:sz w:val="24"/>
          <w:highlight w:val="none"/>
        </w:rPr>
      </w:pP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lang w:val="en-US" w:eastAsia="zh-CN"/>
        </w:rPr>
        <w:t>3</w:t>
      </w: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rPr>
        <w:t>法人单位成立三个月以内的须提供基本开户银行开具的资信证明（原件或该原件的复印件，复印件须加盖供应商公章，银行存款证明无效），或自行编写具有良好的商业信誉和健全的财务会计制度的承诺书；</w:t>
      </w:r>
    </w:p>
    <w:p>
      <w:pPr>
        <w:pStyle w:val="29"/>
        <w:numPr>
          <w:ilvl w:val="0"/>
          <w:numId w:val="0"/>
        </w:numPr>
        <w:tabs>
          <w:tab w:val="left" w:pos="1559"/>
        </w:tabs>
        <w:spacing w:before="0" w:after="0" w:line="364" w:lineRule="auto"/>
        <w:ind w:left="1100" w:leftChars="0" w:right="635" w:rightChars="0"/>
        <w:jc w:val="left"/>
        <w:rPr>
          <w:rFonts w:hint="eastAsia" w:ascii="宋体" w:hAnsi="宋体" w:eastAsia="宋体" w:cs="宋体"/>
          <w:color w:val="auto"/>
          <w:sz w:val="24"/>
          <w:highlight w:val="none"/>
        </w:rPr>
      </w:pP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lang w:val="en-US" w:eastAsia="zh-CN"/>
        </w:rPr>
        <w:t>4</w:t>
      </w: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rPr>
        <w:t>供应商是其他组织或自然人的，须提供银行出具的资信证明原件或自行编写具有良好的商业信誉和健全的财务会计制度的承诺书。</w:t>
      </w:r>
    </w:p>
    <w:p>
      <w:pPr>
        <w:pStyle w:val="29"/>
        <w:numPr>
          <w:ilvl w:val="2"/>
          <w:numId w:val="4"/>
        </w:numPr>
        <w:tabs>
          <w:tab w:val="left" w:pos="1678"/>
        </w:tabs>
        <w:spacing w:before="0" w:after="0" w:line="364" w:lineRule="auto"/>
        <w:ind w:left="44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szCs w:val="22"/>
          <w:highlight w:val="none"/>
          <w:lang w:val="zh-CN" w:eastAsia="zh-CN" w:bidi="zh-CN"/>
        </w:rPr>
        <w:t>有依法缴纳税收和社会保障资金的良好记录</w:t>
      </w:r>
      <w:r>
        <w:rPr>
          <w:rFonts w:hint="eastAsia" w:ascii="宋体" w:hAnsi="宋体" w:eastAsia="宋体" w:cs="宋体"/>
          <w:color w:val="auto"/>
          <w:sz w:val="24"/>
          <w:highlight w:val="none"/>
        </w:rPr>
        <w:t>”应附</w:t>
      </w:r>
      <w:r>
        <w:rPr>
          <w:rFonts w:hint="eastAsia" w:ascii="宋体" w:hAnsi="宋体" w:eastAsia="宋体" w:cs="宋体"/>
          <w:color w:val="auto"/>
          <w:sz w:val="24"/>
          <w:highlight w:val="none"/>
          <w:lang w:eastAsia="zh-CN"/>
        </w:rPr>
        <w:t>：</w:t>
      </w:r>
    </w:p>
    <w:p>
      <w:pPr>
        <w:pStyle w:val="29"/>
        <w:numPr>
          <w:ilvl w:val="0"/>
          <w:numId w:val="0"/>
        </w:numPr>
        <w:tabs>
          <w:tab w:val="left" w:pos="1559"/>
        </w:tabs>
        <w:spacing w:before="0" w:after="0" w:line="364" w:lineRule="auto"/>
        <w:ind w:left="1100" w:leftChars="0" w:right="635" w:rightChars="0"/>
        <w:jc w:val="left"/>
        <w:rPr>
          <w:rFonts w:hint="eastAsia" w:ascii="宋体" w:hAnsi="宋体" w:eastAsia="宋体" w:cs="宋体"/>
          <w:color w:val="auto"/>
          <w:spacing w:val="-4"/>
          <w:sz w:val="24"/>
          <w:highlight w:val="none"/>
          <w:lang w:val="zh-CN" w:eastAsia="zh-CN"/>
        </w:rPr>
      </w:pPr>
      <w:r>
        <w:rPr>
          <w:rFonts w:hint="eastAsia" w:ascii="宋体" w:hAnsi="宋体" w:eastAsia="宋体" w:cs="宋体"/>
          <w:color w:val="auto"/>
          <w:spacing w:val="-4"/>
          <w:sz w:val="24"/>
          <w:highlight w:val="none"/>
          <w:lang w:val="zh-CN" w:eastAsia="zh-CN"/>
        </w:rPr>
        <w:t>（</w:t>
      </w:r>
      <w:r>
        <w:rPr>
          <w:rFonts w:hint="eastAsia" w:ascii="宋体" w:hAnsi="宋体" w:eastAsia="宋体" w:cs="宋体"/>
          <w:color w:val="auto"/>
          <w:spacing w:val="-4"/>
          <w:sz w:val="24"/>
          <w:highlight w:val="none"/>
          <w:lang w:val="en-US" w:eastAsia="zh-CN"/>
        </w:rPr>
        <w:t>1</w:t>
      </w:r>
      <w:r>
        <w:rPr>
          <w:rFonts w:hint="eastAsia" w:ascii="宋体" w:hAnsi="宋体" w:eastAsia="宋体" w:cs="宋体"/>
          <w:color w:val="auto"/>
          <w:spacing w:val="-4"/>
          <w:sz w:val="24"/>
          <w:highlight w:val="none"/>
          <w:lang w:val="zh-CN" w:eastAsia="zh-CN"/>
        </w:rPr>
        <w:t>）</w:t>
      </w:r>
      <w:r>
        <w:rPr>
          <w:rFonts w:hint="eastAsia" w:ascii="宋体" w:hAnsi="宋体" w:eastAsia="宋体" w:cs="宋体"/>
          <w:color w:val="auto"/>
          <w:spacing w:val="-4"/>
          <w:sz w:val="24"/>
          <w:highlight w:val="none"/>
        </w:rPr>
        <w:t>供应</w:t>
      </w:r>
      <w:r>
        <w:rPr>
          <w:rFonts w:hint="eastAsia" w:ascii="宋体" w:hAnsi="宋体" w:eastAsia="宋体" w:cs="宋体"/>
          <w:color w:val="auto"/>
          <w:spacing w:val="-4"/>
          <w:sz w:val="24"/>
          <w:highlight w:val="none"/>
          <w:lang w:val="zh-CN" w:eastAsia="zh-CN"/>
        </w:rPr>
        <w:t>商依法缴纳税收的证明材料：本项目投标截止时间前6个月内（至少提供1个月）缴纳税收的凭据（完税证、缴款书、印花税票、银行代扣（代缴）转账凭证等均可）；</w:t>
      </w:r>
    </w:p>
    <w:p>
      <w:pPr>
        <w:pStyle w:val="29"/>
        <w:numPr>
          <w:ilvl w:val="0"/>
          <w:numId w:val="0"/>
        </w:numPr>
        <w:tabs>
          <w:tab w:val="left" w:pos="1559"/>
        </w:tabs>
        <w:spacing w:before="0" w:after="0" w:line="364" w:lineRule="auto"/>
        <w:ind w:left="1100" w:leftChars="0" w:right="635" w:rightChars="0"/>
        <w:jc w:val="left"/>
        <w:rPr>
          <w:rFonts w:hint="eastAsia" w:ascii="宋体" w:hAnsi="宋体" w:eastAsia="宋体" w:cs="宋体"/>
          <w:color w:val="auto"/>
          <w:spacing w:val="-4"/>
          <w:sz w:val="24"/>
          <w:highlight w:val="none"/>
          <w:lang w:val="zh-CN" w:eastAsia="zh-CN"/>
        </w:rPr>
      </w:pPr>
      <w:r>
        <w:rPr>
          <w:rFonts w:hint="eastAsia" w:ascii="宋体" w:hAnsi="宋体" w:eastAsia="宋体" w:cs="宋体"/>
          <w:color w:val="auto"/>
          <w:spacing w:val="-4"/>
          <w:sz w:val="24"/>
          <w:highlight w:val="none"/>
          <w:lang w:val="zh-CN" w:eastAsia="zh-CN"/>
        </w:rPr>
        <w:t>（</w:t>
      </w:r>
      <w:r>
        <w:rPr>
          <w:rFonts w:hint="eastAsia" w:ascii="宋体" w:hAnsi="宋体" w:eastAsia="宋体" w:cs="宋体"/>
          <w:color w:val="auto"/>
          <w:spacing w:val="-4"/>
          <w:sz w:val="24"/>
          <w:highlight w:val="none"/>
          <w:lang w:val="en-US" w:eastAsia="zh-CN"/>
        </w:rPr>
        <w:t>2</w:t>
      </w:r>
      <w:r>
        <w:rPr>
          <w:rFonts w:hint="eastAsia" w:ascii="宋体" w:hAnsi="宋体" w:eastAsia="宋体" w:cs="宋体"/>
          <w:color w:val="auto"/>
          <w:spacing w:val="-4"/>
          <w:sz w:val="24"/>
          <w:highlight w:val="none"/>
          <w:lang w:val="zh-CN" w:eastAsia="zh-CN"/>
        </w:rPr>
        <w:t>）依法免税的供应商，须提供相应文件证明其依法免税。</w:t>
      </w:r>
    </w:p>
    <w:p>
      <w:pPr>
        <w:pStyle w:val="29"/>
        <w:numPr>
          <w:ilvl w:val="0"/>
          <w:numId w:val="0"/>
        </w:numPr>
        <w:tabs>
          <w:tab w:val="left" w:pos="1559"/>
        </w:tabs>
        <w:spacing w:before="0" w:after="0" w:line="364" w:lineRule="auto"/>
        <w:ind w:left="1100" w:leftChars="0" w:right="635" w:rightChars="0"/>
        <w:jc w:val="left"/>
        <w:rPr>
          <w:rFonts w:hint="eastAsia" w:ascii="宋体" w:hAnsi="宋体" w:eastAsia="宋体" w:cs="宋体"/>
          <w:color w:val="auto"/>
          <w:spacing w:val="-4"/>
          <w:sz w:val="24"/>
          <w:highlight w:val="none"/>
          <w:lang w:val="zh-CN" w:eastAsia="zh-CN"/>
        </w:rPr>
      </w:pPr>
      <w:r>
        <w:rPr>
          <w:rFonts w:hint="eastAsia" w:ascii="宋体" w:hAnsi="宋体" w:eastAsia="宋体" w:cs="宋体"/>
          <w:color w:val="auto"/>
          <w:spacing w:val="-4"/>
          <w:sz w:val="24"/>
          <w:highlight w:val="none"/>
          <w:lang w:val="zh-CN" w:eastAsia="zh-CN"/>
        </w:rPr>
        <w:t>（</w:t>
      </w:r>
      <w:r>
        <w:rPr>
          <w:rFonts w:hint="eastAsia" w:ascii="宋体" w:hAnsi="宋体" w:eastAsia="宋体" w:cs="宋体"/>
          <w:color w:val="auto"/>
          <w:spacing w:val="-4"/>
          <w:sz w:val="24"/>
          <w:highlight w:val="none"/>
          <w:lang w:val="en-US" w:eastAsia="zh-CN"/>
        </w:rPr>
        <w:t>3</w:t>
      </w:r>
      <w:r>
        <w:rPr>
          <w:rFonts w:hint="eastAsia" w:ascii="宋体" w:hAnsi="宋体" w:eastAsia="宋体" w:cs="宋体"/>
          <w:color w:val="auto"/>
          <w:spacing w:val="-4"/>
          <w:sz w:val="24"/>
          <w:highlight w:val="none"/>
          <w:lang w:val="zh-CN" w:eastAsia="zh-CN"/>
        </w:rPr>
        <w:t>）供应商依法缴纳社会保障资金的证明材料：本项目投标截止时间时间前6个月内（至少提供1个月）缴纳社会保险的凭据（专用收据或社会保险交纳清单）；</w:t>
      </w:r>
    </w:p>
    <w:p>
      <w:pPr>
        <w:pStyle w:val="29"/>
        <w:numPr>
          <w:ilvl w:val="0"/>
          <w:numId w:val="0"/>
        </w:numPr>
        <w:tabs>
          <w:tab w:val="left" w:pos="1559"/>
        </w:tabs>
        <w:spacing w:before="0" w:after="0" w:line="364" w:lineRule="auto"/>
        <w:ind w:left="1100" w:leftChars="0" w:right="635" w:rightChars="0"/>
        <w:jc w:val="left"/>
        <w:rPr>
          <w:rFonts w:hint="eastAsia" w:ascii="宋体" w:hAnsi="宋体" w:eastAsia="宋体" w:cs="宋体"/>
          <w:color w:val="auto"/>
          <w:spacing w:val="-4"/>
          <w:sz w:val="24"/>
          <w:highlight w:val="none"/>
          <w:lang w:val="zh-CN" w:eastAsia="zh-CN"/>
        </w:rPr>
      </w:pPr>
      <w:r>
        <w:rPr>
          <w:rFonts w:hint="eastAsia" w:ascii="宋体" w:hAnsi="宋体" w:eastAsia="宋体" w:cs="宋体"/>
          <w:color w:val="auto"/>
          <w:spacing w:val="-4"/>
          <w:sz w:val="24"/>
          <w:highlight w:val="none"/>
          <w:lang w:val="zh-CN" w:eastAsia="zh-CN"/>
        </w:rPr>
        <w:t>（</w:t>
      </w:r>
      <w:r>
        <w:rPr>
          <w:rFonts w:hint="eastAsia" w:ascii="宋体" w:hAnsi="宋体" w:eastAsia="宋体" w:cs="宋体"/>
          <w:color w:val="auto"/>
          <w:spacing w:val="-4"/>
          <w:sz w:val="24"/>
          <w:highlight w:val="none"/>
          <w:lang w:val="en-US" w:eastAsia="zh-CN"/>
        </w:rPr>
        <w:t>4</w:t>
      </w:r>
      <w:r>
        <w:rPr>
          <w:rFonts w:hint="eastAsia" w:ascii="宋体" w:hAnsi="宋体" w:eastAsia="宋体" w:cs="宋体"/>
          <w:color w:val="auto"/>
          <w:spacing w:val="-4"/>
          <w:sz w:val="24"/>
          <w:highlight w:val="none"/>
          <w:lang w:val="zh-CN" w:eastAsia="zh-CN"/>
        </w:rPr>
        <w:t>）供应商为其他组织或自然人的，也需要按此项规定提供缴纳税收的凭据和交纳社会保险的凭据。</w:t>
      </w:r>
    </w:p>
    <w:p>
      <w:pPr>
        <w:pStyle w:val="29"/>
        <w:numPr>
          <w:ilvl w:val="0"/>
          <w:numId w:val="0"/>
        </w:numPr>
        <w:tabs>
          <w:tab w:val="left" w:pos="1559"/>
        </w:tabs>
        <w:spacing w:before="0" w:after="0" w:line="364" w:lineRule="auto"/>
        <w:ind w:left="1100" w:leftChars="0" w:right="635" w:rightChars="0"/>
        <w:jc w:val="left"/>
        <w:rPr>
          <w:rFonts w:hint="eastAsia" w:ascii="宋体" w:hAnsi="宋体" w:eastAsia="宋体" w:cs="宋体"/>
          <w:color w:val="auto"/>
          <w:spacing w:val="-4"/>
          <w:sz w:val="24"/>
          <w:highlight w:val="none"/>
          <w:lang w:val="zh-CN" w:eastAsia="zh-CN"/>
        </w:rPr>
      </w:pPr>
      <w:r>
        <w:rPr>
          <w:rFonts w:hint="eastAsia" w:ascii="宋体" w:hAnsi="宋体" w:eastAsia="宋体" w:cs="宋体"/>
          <w:color w:val="auto"/>
          <w:spacing w:val="-4"/>
          <w:sz w:val="24"/>
          <w:highlight w:val="none"/>
          <w:lang w:val="zh-CN" w:eastAsia="zh-CN"/>
        </w:rPr>
        <w:t>（</w:t>
      </w:r>
      <w:r>
        <w:rPr>
          <w:rFonts w:hint="eastAsia" w:ascii="宋体" w:hAnsi="宋体" w:eastAsia="宋体" w:cs="宋体"/>
          <w:color w:val="auto"/>
          <w:spacing w:val="-4"/>
          <w:sz w:val="24"/>
          <w:highlight w:val="none"/>
          <w:lang w:val="en-US" w:eastAsia="zh-CN"/>
        </w:rPr>
        <w:t>5</w:t>
      </w:r>
      <w:r>
        <w:rPr>
          <w:rFonts w:hint="eastAsia" w:ascii="宋体" w:hAnsi="宋体" w:eastAsia="宋体" w:cs="宋体"/>
          <w:color w:val="auto"/>
          <w:spacing w:val="-4"/>
          <w:sz w:val="24"/>
          <w:highlight w:val="none"/>
          <w:lang w:val="zh-CN" w:eastAsia="zh-CN"/>
        </w:rPr>
        <w:t>）依法不需要缴纳社会保障资金的供应商，须提供相应文件证明其依法不需要缴纳社会保障资金。设备进场验收证书等的复印件，具体时间要求见投标人须知前附表。每张表格只填写一个项目，并标明序号。</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“供应商须具有履行合同所必需的设备和专业技术能力</w:t>
      </w:r>
      <w:r>
        <w:rPr>
          <w:rFonts w:hint="eastAsia" w:ascii="宋体" w:hAnsi="宋体" w:eastAsia="宋体" w:cs="宋体"/>
          <w:color w:val="auto"/>
          <w:spacing w:val="-1"/>
          <w:sz w:val="24"/>
          <w:highlight w:val="none"/>
          <w:lang w:eastAsia="zh-CN"/>
        </w:rPr>
        <w:t>”</w:t>
      </w:r>
      <w:r>
        <w:rPr>
          <w:rFonts w:hint="eastAsia" w:ascii="宋体" w:hAnsi="宋体" w:eastAsia="宋体" w:cs="宋体"/>
          <w:color w:val="auto"/>
          <w:spacing w:val="-1"/>
          <w:sz w:val="24"/>
          <w:highlight w:val="none"/>
        </w:rPr>
        <w:t>须附相关证明材料或声明</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参加政府采购活动前三年内，在经营活动中没有重大违法记录的书面声明</w:t>
      </w:r>
      <w:r>
        <w:rPr>
          <w:rFonts w:hint="eastAsia" w:ascii="宋体" w:hAnsi="宋体" w:eastAsia="宋体" w:cs="宋体"/>
          <w:color w:val="auto"/>
          <w:sz w:val="24"/>
          <w:highlight w:val="none"/>
          <w:lang w:eastAsia="zh-CN"/>
        </w:rPr>
        <w:t>”</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highlight w:val="none"/>
        </w:rPr>
        <w:t>供应商未列入失信被执行人、重大税收违法案件当事人名单、政府采购严重违法失信行为记录名单</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应附：</w:t>
      </w:r>
    </w:p>
    <w:p>
      <w:pPr>
        <w:pStyle w:val="29"/>
        <w:numPr>
          <w:ilvl w:val="0"/>
          <w:numId w:val="0"/>
        </w:numPr>
        <w:tabs>
          <w:tab w:val="left" w:pos="1559"/>
        </w:tabs>
        <w:spacing w:before="0" w:after="0" w:line="364" w:lineRule="auto"/>
        <w:ind w:left="1100" w:leftChars="0" w:right="635" w:rightChars="0"/>
        <w:jc w:val="left"/>
        <w:rPr>
          <w:rFonts w:hint="eastAsia" w:ascii="宋体" w:hAnsi="宋体" w:eastAsia="宋体" w:cs="宋体"/>
          <w:color w:val="auto"/>
          <w:spacing w:val="-4"/>
          <w:sz w:val="24"/>
          <w:highlight w:val="none"/>
          <w:lang w:val="zh-CN" w:eastAsia="zh-CN"/>
        </w:rPr>
      </w:pPr>
      <w:r>
        <w:rPr>
          <w:rFonts w:hint="eastAsia" w:ascii="宋体" w:hAnsi="宋体" w:eastAsia="宋体" w:cs="宋体"/>
          <w:color w:val="auto"/>
          <w:spacing w:val="-4"/>
          <w:sz w:val="24"/>
          <w:highlight w:val="none"/>
          <w:lang w:val="zh-CN" w:eastAsia="zh-CN"/>
        </w:rPr>
        <w:t xml:space="preserve">“信用中国”网站或“中国政府采购网”查询信息：①未被列入失信被执行人； </w:t>
      </w:r>
    </w:p>
    <w:p>
      <w:pPr>
        <w:pStyle w:val="29"/>
        <w:numPr>
          <w:ilvl w:val="0"/>
          <w:numId w:val="0"/>
        </w:numPr>
        <w:tabs>
          <w:tab w:val="left" w:pos="1559"/>
        </w:tabs>
        <w:spacing w:before="0" w:after="0" w:line="364" w:lineRule="auto"/>
        <w:ind w:left="1100" w:leftChars="0" w:right="635" w:rightChars="0"/>
        <w:jc w:val="left"/>
        <w:rPr>
          <w:rFonts w:hint="eastAsia" w:ascii="宋体" w:hAnsi="宋体" w:eastAsia="宋体" w:cs="宋体"/>
          <w:color w:val="auto"/>
          <w:spacing w:val="-4"/>
          <w:sz w:val="24"/>
          <w:highlight w:val="none"/>
          <w:lang w:val="zh-CN" w:eastAsia="zh-CN"/>
        </w:rPr>
      </w:pPr>
      <w:r>
        <w:rPr>
          <w:rFonts w:hint="eastAsia" w:ascii="宋体" w:hAnsi="宋体" w:eastAsia="宋体" w:cs="宋体"/>
          <w:color w:val="auto"/>
          <w:spacing w:val="-4"/>
          <w:sz w:val="24"/>
          <w:highlight w:val="none"/>
          <w:lang w:val="zh-CN" w:eastAsia="zh-CN"/>
        </w:rPr>
        <w:t>②不是重大税收违法案件当事人名单的供应商； ③未被列入政府采购严重违法失信行为记录名单</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t>联合投标协议书（</w:t>
      </w:r>
      <w:r>
        <w:rPr>
          <w:rFonts w:hint="eastAsia" w:ascii="宋体" w:hAnsi="宋体" w:eastAsia="宋体" w:cs="宋体"/>
          <w:color w:val="auto"/>
          <w:highlight w:val="none"/>
          <w:lang w:val="en-US" w:eastAsia="zh-CN"/>
        </w:rPr>
        <w:t>如有</w:t>
      </w:r>
      <w:r>
        <w:rPr>
          <w:rFonts w:hint="eastAsia" w:ascii="宋体" w:hAnsi="宋体" w:eastAsia="宋体" w:cs="宋体"/>
          <w:color w:val="auto"/>
          <w:highlight w:val="none"/>
          <w:lang w:val="zh-CN" w:eastAsia="zh-CN"/>
        </w:rPr>
        <w:t>）</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en-US" w:eastAsia="zh-CN"/>
        </w:rPr>
        <w:t>资质证书（如有）</w:t>
      </w:r>
    </w:p>
    <w:p>
      <w:pPr>
        <w:pStyle w:val="29"/>
        <w:numPr>
          <w:ilvl w:val="2"/>
          <w:numId w:val="4"/>
        </w:numPr>
        <w:tabs>
          <w:tab w:val="left" w:pos="1832"/>
        </w:tabs>
        <w:spacing w:before="0" w:after="0" w:line="307" w:lineRule="exact"/>
        <w:ind w:left="1974" w:leftChars="0" w:right="0" w:hanging="875" w:firstLineChars="0"/>
        <w:jc w:val="both"/>
        <w:rPr>
          <w:rFonts w:hint="eastAsia" w:ascii="宋体" w:hAnsi="宋体" w:eastAsia="宋体" w:cs="宋体"/>
          <w:color w:val="auto"/>
          <w:sz w:val="24"/>
          <w:highlight w:val="none"/>
        </w:rPr>
      </w:pPr>
      <w:r>
        <w:rPr>
          <w:rFonts w:hint="eastAsia" w:ascii="宋体" w:hAnsi="宋体" w:eastAsia="宋体" w:cs="宋体"/>
          <w:color w:val="auto"/>
          <w:spacing w:val="15"/>
          <w:sz w:val="24"/>
          <w:highlight w:val="none"/>
        </w:rPr>
        <w:t xml:space="preserve">投标人须知前附表规定接受联合体投标的，本章第 </w:t>
      </w:r>
      <w:r>
        <w:rPr>
          <w:rFonts w:hint="eastAsia" w:ascii="宋体" w:hAnsi="宋体" w:eastAsia="宋体" w:cs="宋体"/>
          <w:color w:val="auto"/>
          <w:sz w:val="24"/>
          <w:highlight w:val="none"/>
        </w:rPr>
        <w:t>3.5.1</w:t>
      </w:r>
      <w:r>
        <w:rPr>
          <w:rFonts w:hint="eastAsia" w:ascii="宋体" w:hAnsi="宋体" w:eastAsia="宋体" w:cs="宋体"/>
          <w:color w:val="auto"/>
          <w:spacing w:val="12"/>
          <w:sz w:val="24"/>
          <w:highlight w:val="none"/>
        </w:rPr>
        <w:t xml:space="preserve"> 项至第</w:t>
      </w:r>
    </w:p>
    <w:p>
      <w:pPr>
        <w:pStyle w:val="2"/>
        <w:spacing w:before="159"/>
        <w:ind w:left="477"/>
        <w:rPr>
          <w:rFonts w:hint="eastAsia" w:ascii="宋体" w:hAnsi="宋体" w:eastAsia="宋体" w:cs="宋体"/>
          <w:color w:val="auto"/>
          <w:highlight w:val="none"/>
        </w:rPr>
      </w:pPr>
      <w:r>
        <w:rPr>
          <w:rFonts w:hint="eastAsia" w:ascii="宋体" w:hAnsi="宋体" w:eastAsia="宋体" w:cs="宋体"/>
          <w:color w:val="auto"/>
          <w:highlight w:val="none"/>
        </w:rPr>
        <w:t>3.5.</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 xml:space="preserve"> 项规定的表格和资料应包括联合体各方相关情况。</w:t>
      </w:r>
    </w:p>
    <w:p>
      <w:pPr>
        <w:pStyle w:val="10"/>
        <w:numPr>
          <w:ilvl w:val="1"/>
          <w:numId w:val="4"/>
        </w:numPr>
        <w:tabs>
          <w:tab w:val="left" w:pos="1560"/>
        </w:tabs>
        <w:spacing w:before="158" w:after="0" w:line="240" w:lineRule="auto"/>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备选投标方案</w:t>
      </w:r>
    </w:p>
    <w:p>
      <w:pPr>
        <w:pStyle w:val="29"/>
        <w:numPr>
          <w:ilvl w:val="2"/>
          <w:numId w:val="4"/>
        </w:numPr>
        <w:tabs>
          <w:tab w:val="left" w:pos="1678"/>
        </w:tabs>
        <w:spacing w:before="158"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除投标人须知前附表规定允许外，投标人不得递交备选投标方案，否则</w:t>
      </w:r>
      <w:r>
        <w:rPr>
          <w:rFonts w:hint="eastAsia" w:ascii="宋体" w:hAnsi="宋体" w:eastAsia="宋体" w:cs="宋体"/>
          <w:color w:val="auto"/>
          <w:sz w:val="24"/>
          <w:highlight w:val="none"/>
        </w:rPr>
        <w:t>其投标将被否决。</w:t>
      </w:r>
    </w:p>
    <w:p>
      <w:pPr>
        <w:pStyle w:val="29"/>
        <w:numPr>
          <w:ilvl w:val="2"/>
          <w:numId w:val="4"/>
        </w:numPr>
        <w:tabs>
          <w:tab w:val="left" w:pos="1678"/>
        </w:tabs>
        <w:spacing w:before="1"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允许投标人递交备选投标方案的，只有中标人所递交的备选投标方案方可予以考虑。评标委员会认为中标人的备选投标方案优于其按照招标文件要求编制</w:t>
      </w:r>
      <w:r>
        <w:rPr>
          <w:rFonts w:hint="eastAsia" w:ascii="宋体" w:hAnsi="宋体" w:eastAsia="宋体" w:cs="宋体"/>
          <w:color w:val="auto"/>
          <w:sz w:val="24"/>
          <w:highlight w:val="none"/>
        </w:rPr>
        <w:t>的投标方案的，招标人可以接受该备选投标方案。</w:t>
      </w:r>
    </w:p>
    <w:p>
      <w:pPr>
        <w:pStyle w:val="29"/>
        <w:numPr>
          <w:ilvl w:val="2"/>
          <w:numId w:val="4"/>
        </w:numPr>
        <w:tabs>
          <w:tab w:val="left" w:pos="1678"/>
        </w:tabs>
        <w:spacing w:before="0" w:after="0" w:line="364" w:lineRule="auto"/>
        <w:ind w:left="620" w:leftChars="0" w:right="51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8"/>
          <w:sz w:val="24"/>
          <w:highlight w:val="none"/>
        </w:rPr>
        <w:t xml:space="preserve">投标人提供两个或两个以上投标报价，或者在投标文件中提供一个报价， </w:t>
      </w:r>
      <w:r>
        <w:rPr>
          <w:rFonts w:hint="eastAsia" w:ascii="宋体" w:hAnsi="宋体" w:eastAsia="宋体" w:cs="宋体"/>
          <w:color w:val="auto"/>
          <w:sz w:val="24"/>
          <w:highlight w:val="none"/>
        </w:rPr>
        <w:t>但同时提供两个或两个以上供货方案的，视为提供备选方案。</w:t>
      </w:r>
    </w:p>
    <w:p>
      <w:pPr>
        <w:pStyle w:val="10"/>
        <w:numPr>
          <w:ilvl w:val="1"/>
          <w:numId w:val="4"/>
        </w:numPr>
        <w:tabs>
          <w:tab w:val="left" w:pos="1560"/>
        </w:tabs>
        <w:spacing w:before="0" w:after="0" w:line="306" w:lineRule="exact"/>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投标文件的编制</w:t>
      </w:r>
    </w:p>
    <w:p>
      <w:pPr>
        <w:pStyle w:val="29"/>
        <w:numPr>
          <w:ilvl w:val="2"/>
          <w:numId w:val="4"/>
        </w:numPr>
        <w:tabs>
          <w:tab w:val="left" w:pos="1678"/>
        </w:tabs>
        <w:spacing w:before="157" w:after="0" w:line="362"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2"/>
          <w:sz w:val="24"/>
          <w:highlight w:val="none"/>
        </w:rPr>
        <w:t>投标文件应按第六章“投标文件格式”进行编写，如有必要，可以增加</w:t>
      </w:r>
      <w:r>
        <w:rPr>
          <w:rFonts w:hint="eastAsia" w:ascii="宋体" w:hAnsi="宋体" w:eastAsia="宋体" w:cs="宋体"/>
          <w:color w:val="auto"/>
          <w:sz w:val="24"/>
          <w:highlight w:val="none"/>
        </w:rPr>
        <w:t>附页，作为投标文件的组成部分。</w:t>
      </w:r>
    </w:p>
    <w:p>
      <w:pPr>
        <w:pStyle w:val="29"/>
        <w:numPr>
          <w:ilvl w:val="2"/>
          <w:numId w:val="4"/>
        </w:numPr>
        <w:tabs>
          <w:tab w:val="left" w:pos="1678"/>
        </w:tabs>
        <w:spacing w:before="5"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投标文件应当对招标文件有关供货期、投标有效期、供货要求、招标范围等实质性内容作出响应。投标文件在满足招标文件实质性要求的基础上，可以提</w:t>
      </w:r>
      <w:r>
        <w:rPr>
          <w:rFonts w:hint="eastAsia" w:ascii="宋体" w:hAnsi="宋体" w:eastAsia="宋体" w:cs="宋体"/>
          <w:color w:val="auto"/>
          <w:sz w:val="24"/>
          <w:highlight w:val="none"/>
        </w:rPr>
        <w:t>出比招标文件要求更有利于招标人的承诺。</w:t>
      </w:r>
    </w:p>
    <w:p>
      <w:pPr>
        <w:pStyle w:val="2"/>
        <w:spacing w:line="364" w:lineRule="auto"/>
        <w:ind w:left="477" w:right="515" w:firstLine="480"/>
        <w:jc w:val="both"/>
        <w:rPr>
          <w:rFonts w:hint="eastAsia" w:ascii="宋体" w:hAnsi="宋体" w:eastAsia="宋体" w:cs="宋体"/>
          <w:color w:val="auto"/>
          <w:highlight w:val="none"/>
        </w:rPr>
      </w:pPr>
      <w:r>
        <w:rPr>
          <w:rFonts w:hint="eastAsia" w:ascii="宋体" w:hAnsi="宋体" w:eastAsia="宋体" w:cs="宋体"/>
          <w:color w:val="auto"/>
          <w:highlight w:val="none"/>
        </w:rPr>
        <w:t>3.7.3（1）投标文件应用不褪色的材料书写或打印，投标函及对投标文件的澄清、说明和补正应由投标人的法定代表人（单位负责人）或其授权的代理人签字或盖单位章。由投标人的法定代表人（单位负责人）签字的，应附法定代表人（单位负责人）身份证明，由代理人签字的，应附授权委托书，身份证明或授权委托书应</w:t>
      </w:r>
      <w:r>
        <w:rPr>
          <w:rFonts w:hint="eastAsia" w:ascii="宋体" w:hAnsi="宋体" w:eastAsia="宋体" w:cs="宋体"/>
          <w:color w:val="auto"/>
          <w:spacing w:val="-7"/>
          <w:highlight w:val="none"/>
        </w:rPr>
        <w:t>符合第六章“投标文件格式”的要求。投标文件应尽量避免涂改、行间插字或删除。</w:t>
      </w:r>
    </w:p>
    <w:p>
      <w:pPr>
        <w:pStyle w:val="2"/>
        <w:spacing w:before="65" w:line="364" w:lineRule="auto"/>
        <w:ind w:left="477" w:right="635"/>
        <w:rPr>
          <w:rFonts w:hint="eastAsia" w:ascii="宋体" w:hAnsi="宋体" w:eastAsia="宋体" w:cs="宋体"/>
          <w:color w:val="auto"/>
          <w:highlight w:val="none"/>
        </w:rPr>
      </w:pPr>
      <w:r>
        <w:rPr>
          <w:rFonts w:hint="eastAsia" w:ascii="宋体" w:hAnsi="宋体" w:eastAsia="宋体" w:cs="宋体"/>
          <w:color w:val="auto"/>
          <w:highlight w:val="none"/>
        </w:rPr>
        <w:t>如果出现上述情况，改动之处应由投标人的法定代表人（单位负责人）或其授权的代理人签字或盖单位章。</w:t>
      </w:r>
    </w:p>
    <w:p>
      <w:pPr>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auto"/>
          <w:sz w:val="24"/>
          <w:szCs w:val="24"/>
          <w:highlight w:val="none"/>
          <w:lang w:val="en-US" w:eastAsia="zh-CN" w:bidi="zh-CN"/>
        </w:rPr>
        <w:t>（2）</w:t>
      </w:r>
      <w:r>
        <w:rPr>
          <w:rFonts w:hint="eastAsia" w:ascii="宋体" w:hAnsi="宋体" w:eastAsia="宋体" w:cs="宋体"/>
          <w:color w:val="auto"/>
          <w:sz w:val="24"/>
          <w:szCs w:val="24"/>
          <w:highlight w:val="none"/>
          <w:lang w:val="zh-CN" w:eastAsia="zh-CN" w:bidi="zh-CN"/>
        </w:rPr>
        <w:t>投标文件份数及其他要求</w:t>
      </w:r>
      <w:r>
        <w:rPr>
          <w:rFonts w:hint="eastAsia" w:ascii="宋体" w:hAnsi="宋体" w:eastAsia="宋体" w:cs="宋体"/>
          <w:color w:val="auto"/>
          <w:sz w:val="24"/>
          <w:szCs w:val="24"/>
          <w:highlight w:val="none"/>
          <w:lang w:val="en-US" w:eastAsia="zh-CN" w:bidi="zh-CN"/>
        </w:rPr>
        <w:t>:详见投标人须知前附表</w:t>
      </w:r>
    </w:p>
    <w:p>
      <w:pPr>
        <w:pStyle w:val="2"/>
        <w:spacing w:before="8"/>
        <w:rPr>
          <w:rFonts w:hint="eastAsia" w:ascii="宋体" w:hAnsi="宋体" w:eastAsia="宋体" w:cs="宋体"/>
          <w:color w:val="auto"/>
          <w:sz w:val="18"/>
          <w:highlight w:val="none"/>
        </w:rPr>
      </w:pPr>
    </w:p>
    <w:p>
      <w:pPr>
        <w:pStyle w:val="8"/>
        <w:numPr>
          <w:ilvl w:val="0"/>
          <w:numId w:val="4"/>
        </w:numPr>
        <w:tabs>
          <w:tab w:val="left" w:pos="1039"/>
          <w:tab w:val="left" w:pos="1040"/>
        </w:tabs>
        <w:spacing w:before="0" w:after="0" w:line="240" w:lineRule="auto"/>
        <w:ind w:left="1039" w:right="0" w:hanging="563"/>
        <w:jc w:val="left"/>
        <w:outlineLvl w:val="1"/>
        <w:rPr>
          <w:rFonts w:hint="eastAsia" w:ascii="宋体" w:hAnsi="宋体" w:eastAsia="宋体" w:cs="宋体"/>
          <w:color w:val="auto"/>
          <w:highlight w:val="none"/>
        </w:rPr>
      </w:pPr>
      <w:bookmarkStart w:id="24" w:name="4.  投标"/>
      <w:bookmarkEnd w:id="24"/>
      <w:bookmarkStart w:id="25" w:name="_bookmark7"/>
      <w:bookmarkEnd w:id="25"/>
      <w:bookmarkStart w:id="26" w:name="_bookmark7"/>
      <w:bookmarkEnd w:id="26"/>
      <w:bookmarkStart w:id="27" w:name="_Toc1880"/>
      <w:r>
        <w:rPr>
          <w:rFonts w:hint="eastAsia" w:ascii="宋体" w:hAnsi="宋体" w:eastAsia="宋体" w:cs="宋体"/>
          <w:color w:val="auto"/>
          <w:highlight w:val="none"/>
        </w:rPr>
        <w:t>投标</w:t>
      </w:r>
      <w:bookmarkEnd w:id="27"/>
    </w:p>
    <w:p>
      <w:pPr>
        <w:pStyle w:val="10"/>
        <w:numPr>
          <w:ilvl w:val="1"/>
          <w:numId w:val="4"/>
        </w:numPr>
        <w:tabs>
          <w:tab w:val="left" w:pos="1559"/>
          <w:tab w:val="left" w:pos="1560"/>
        </w:tabs>
        <w:spacing w:before="243"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投标文件的密封和标记</w:t>
      </w:r>
    </w:p>
    <w:p>
      <w:pPr>
        <w:pStyle w:val="29"/>
        <w:numPr>
          <w:ilvl w:val="2"/>
          <w:numId w:val="4"/>
        </w:numPr>
        <w:tabs>
          <w:tab w:val="left" w:pos="1678"/>
        </w:tabs>
        <w:spacing w:before="158" w:after="0" w:line="364" w:lineRule="auto"/>
        <w:ind w:left="620" w:leftChars="0" w:right="63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投标文件应密封包装，并在封套的封口处加盖投标人单位章或由投标人</w:t>
      </w:r>
      <w:r>
        <w:rPr>
          <w:rFonts w:hint="eastAsia" w:ascii="宋体" w:hAnsi="宋体" w:eastAsia="宋体" w:cs="宋体"/>
          <w:color w:val="auto"/>
          <w:sz w:val="24"/>
          <w:highlight w:val="none"/>
        </w:rPr>
        <w:t>的法定代表人（单位负责人）或其授权的代理人签字。</w:t>
      </w:r>
    </w:p>
    <w:p>
      <w:pPr>
        <w:pStyle w:val="29"/>
        <w:numPr>
          <w:ilvl w:val="2"/>
          <w:numId w:val="4"/>
        </w:numPr>
        <w:tabs>
          <w:tab w:val="left" w:pos="1678"/>
        </w:tabs>
        <w:spacing w:before="0" w:after="0" w:line="306" w:lineRule="exact"/>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投标文件封套上应写明的内容见投标人须知前附表。</w:t>
      </w:r>
    </w:p>
    <w:p>
      <w:pPr>
        <w:pStyle w:val="29"/>
        <w:numPr>
          <w:ilvl w:val="2"/>
          <w:numId w:val="4"/>
        </w:numPr>
        <w:tabs>
          <w:tab w:val="left" w:pos="1678"/>
        </w:tabs>
        <w:spacing w:before="161"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未按本章第 4.1.1 项要求密封的投标文件，招标人将予以拒收。</w:t>
      </w:r>
    </w:p>
    <w:p>
      <w:pPr>
        <w:pStyle w:val="10"/>
        <w:numPr>
          <w:ilvl w:val="1"/>
          <w:numId w:val="4"/>
        </w:numPr>
        <w:tabs>
          <w:tab w:val="left" w:pos="1559"/>
          <w:tab w:val="left" w:pos="1560"/>
        </w:tabs>
        <w:spacing w:before="158"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投标文件的递交</w:t>
      </w:r>
    </w:p>
    <w:p>
      <w:pPr>
        <w:pStyle w:val="29"/>
        <w:numPr>
          <w:ilvl w:val="2"/>
          <w:numId w:val="4"/>
        </w:numPr>
        <w:tabs>
          <w:tab w:val="left" w:pos="1678"/>
        </w:tabs>
        <w:spacing w:before="160"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投标人应在投标人须知前附表规定的投标截止时间前递交投标文件。</w:t>
      </w:r>
    </w:p>
    <w:p>
      <w:pPr>
        <w:pStyle w:val="29"/>
        <w:numPr>
          <w:ilvl w:val="2"/>
          <w:numId w:val="4"/>
        </w:numPr>
        <w:tabs>
          <w:tab w:val="left" w:pos="1678"/>
        </w:tabs>
        <w:spacing w:before="161"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投标人递交投标文件的地点：见投标人须知前附表。</w:t>
      </w:r>
    </w:p>
    <w:p>
      <w:pPr>
        <w:pStyle w:val="29"/>
        <w:numPr>
          <w:ilvl w:val="2"/>
          <w:numId w:val="4"/>
        </w:numPr>
        <w:tabs>
          <w:tab w:val="left" w:pos="1678"/>
        </w:tabs>
        <w:spacing w:before="158"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除投标人须知前附表另有规定外，投标人所递交的投标文件不予退还。</w:t>
      </w:r>
    </w:p>
    <w:p>
      <w:pPr>
        <w:pStyle w:val="29"/>
        <w:numPr>
          <w:ilvl w:val="2"/>
          <w:numId w:val="4"/>
        </w:numPr>
        <w:tabs>
          <w:tab w:val="left" w:pos="1678"/>
        </w:tabs>
        <w:spacing w:before="160"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招标人收到投标文件后，向投标人出具签收凭证。</w:t>
      </w:r>
    </w:p>
    <w:p>
      <w:pPr>
        <w:pStyle w:val="29"/>
        <w:numPr>
          <w:ilvl w:val="2"/>
          <w:numId w:val="4"/>
        </w:numPr>
        <w:tabs>
          <w:tab w:val="left" w:pos="1678"/>
        </w:tabs>
        <w:spacing w:before="158" w:after="0" w:line="240" w:lineRule="auto"/>
        <w:ind w:left="1820" w:leftChars="0" w:right="0" w:hanging="721"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逾期送达的投标文件，招标人将予以拒收。</w:t>
      </w:r>
    </w:p>
    <w:p>
      <w:pPr>
        <w:pStyle w:val="10"/>
        <w:numPr>
          <w:ilvl w:val="1"/>
          <w:numId w:val="4"/>
        </w:numPr>
        <w:tabs>
          <w:tab w:val="left" w:pos="1559"/>
          <w:tab w:val="left" w:pos="1560"/>
        </w:tabs>
        <w:spacing w:before="159"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投标文件的修改与撤回</w:t>
      </w:r>
    </w:p>
    <w:p>
      <w:pPr>
        <w:pStyle w:val="2"/>
        <w:spacing w:before="161" w:line="364" w:lineRule="auto"/>
        <w:ind w:left="477" w:right="635" w:firstLine="480"/>
        <w:jc w:val="both"/>
        <w:rPr>
          <w:rFonts w:hint="eastAsia" w:ascii="宋体" w:hAnsi="宋体" w:eastAsia="宋体" w:cs="宋体"/>
          <w:color w:val="auto"/>
          <w:highlight w:val="none"/>
        </w:rPr>
      </w:pPr>
      <w:r>
        <w:rPr>
          <w:rFonts w:hint="eastAsia" w:ascii="宋体" w:hAnsi="宋体" w:eastAsia="宋体" w:cs="宋体"/>
          <w:color w:val="auto"/>
          <w:highlight w:val="none"/>
        </w:rPr>
        <w:t>投标人在</w:t>
      </w:r>
      <w:r>
        <w:rPr>
          <w:rFonts w:hint="eastAsia" w:ascii="宋体" w:hAnsi="宋体" w:eastAsia="宋体" w:cs="宋体"/>
          <w:color w:val="auto"/>
          <w:highlight w:val="none"/>
          <w:lang w:val="en-US" w:eastAsia="zh-CN"/>
        </w:rPr>
        <w:t>上传</w:t>
      </w:r>
      <w:r>
        <w:rPr>
          <w:rFonts w:hint="eastAsia" w:ascii="宋体" w:hAnsi="宋体" w:eastAsia="宋体" w:cs="宋体"/>
          <w:color w:val="auto"/>
          <w:highlight w:val="none"/>
        </w:rPr>
        <w:t>投标文件后，可以修改或撤回其投标，但这种修改和撤回，必须在规定的投标截止时间前。在投标截止时间后，投标人不得要求修改或撤回其投标文件。</w:t>
      </w:r>
    </w:p>
    <w:p>
      <w:pPr>
        <w:pStyle w:val="8"/>
        <w:numPr>
          <w:ilvl w:val="0"/>
          <w:numId w:val="4"/>
        </w:numPr>
        <w:tabs>
          <w:tab w:val="left" w:pos="1039"/>
          <w:tab w:val="left" w:pos="1040"/>
        </w:tabs>
        <w:spacing w:before="0" w:after="0" w:line="240" w:lineRule="auto"/>
        <w:ind w:left="1039" w:right="0" w:hanging="563"/>
        <w:jc w:val="left"/>
        <w:outlineLvl w:val="1"/>
        <w:rPr>
          <w:rFonts w:hint="eastAsia" w:ascii="宋体" w:hAnsi="宋体" w:eastAsia="宋体" w:cs="宋体"/>
          <w:color w:val="auto"/>
          <w:highlight w:val="none"/>
        </w:rPr>
      </w:pPr>
      <w:bookmarkStart w:id="28" w:name="5.  开标"/>
      <w:bookmarkEnd w:id="28"/>
      <w:bookmarkStart w:id="29" w:name="_bookmark8"/>
      <w:bookmarkEnd w:id="29"/>
      <w:bookmarkStart w:id="30" w:name="_bookmark8"/>
      <w:bookmarkEnd w:id="30"/>
      <w:bookmarkStart w:id="31" w:name="_Toc25201"/>
      <w:r>
        <w:rPr>
          <w:rFonts w:hint="eastAsia" w:ascii="宋体" w:hAnsi="宋体" w:eastAsia="宋体" w:cs="宋体"/>
          <w:color w:val="auto"/>
          <w:highlight w:val="none"/>
        </w:rPr>
        <w:t>开标</w:t>
      </w:r>
      <w:bookmarkEnd w:id="31"/>
    </w:p>
    <w:p>
      <w:pPr>
        <w:pStyle w:val="10"/>
        <w:numPr>
          <w:ilvl w:val="1"/>
          <w:numId w:val="4"/>
        </w:numPr>
        <w:tabs>
          <w:tab w:val="left" w:pos="1440"/>
        </w:tabs>
        <w:spacing w:before="243" w:after="0" w:line="240" w:lineRule="auto"/>
        <w:ind w:left="1440" w:right="0" w:hanging="483"/>
        <w:jc w:val="both"/>
        <w:rPr>
          <w:rFonts w:hint="eastAsia" w:ascii="宋体" w:hAnsi="宋体" w:eastAsia="宋体" w:cs="宋体"/>
          <w:color w:val="auto"/>
          <w:highlight w:val="none"/>
        </w:rPr>
      </w:pPr>
      <w:r>
        <w:rPr>
          <w:rFonts w:hint="eastAsia" w:ascii="宋体" w:hAnsi="宋体" w:eastAsia="宋体" w:cs="宋体"/>
          <w:color w:val="auto"/>
          <w:highlight w:val="none"/>
        </w:rPr>
        <w:t>开标时间和地点</w:t>
      </w:r>
    </w:p>
    <w:p>
      <w:pPr>
        <w:pStyle w:val="42"/>
        <w:spacing w:line="500" w:lineRule="exact"/>
        <w:ind w:firstLine="723" w:firstLineChars="300"/>
        <w:rPr>
          <w:rFonts w:hint="eastAsia" w:ascii="宋体" w:hAnsi="宋体" w:eastAsia="宋体" w:cs="宋体"/>
          <w:color w:val="auto"/>
          <w:sz w:val="24"/>
          <w:highlight w:val="none"/>
        </w:rPr>
      </w:pPr>
      <w:r>
        <w:rPr>
          <w:rFonts w:hint="eastAsia" w:ascii="宋体" w:hAnsi="宋体" w:eastAsia="宋体" w:cs="宋体"/>
          <w:b/>
          <w:color w:val="auto"/>
          <w:sz w:val="24"/>
          <w:highlight w:val="none"/>
        </w:rPr>
        <w:t>采用不见面开标方式</w:t>
      </w:r>
    </w:p>
    <w:p>
      <w:pPr>
        <w:pStyle w:val="2"/>
        <w:spacing w:before="161" w:line="364" w:lineRule="auto"/>
        <w:ind w:left="477" w:right="635" w:firstLine="480"/>
        <w:jc w:val="both"/>
        <w:rPr>
          <w:rFonts w:hint="eastAsia" w:ascii="宋体" w:hAnsi="宋体" w:eastAsia="宋体" w:cs="宋体"/>
          <w:color w:val="auto"/>
          <w:highlight w:val="none"/>
        </w:rPr>
      </w:pPr>
      <w:r>
        <w:rPr>
          <w:rFonts w:hint="eastAsia" w:ascii="宋体" w:hAnsi="宋体" w:eastAsia="宋体" w:cs="宋体"/>
          <w:color w:val="auto"/>
          <w:highlight w:val="none"/>
        </w:rPr>
        <w:t>招标人在规定的投标截止时间（开标时间）和投标人须知前附表规定的地点开标。投标人的法定代表人或其委托代理人无需到达开标现场，仅需在任意地点通过兵团政采云不见面开标系统，使用CA密钥完成远程解密、提疑澄清、开标唱标、结果公布等交互环节。</w:t>
      </w:r>
    </w:p>
    <w:p>
      <w:pPr>
        <w:pStyle w:val="2"/>
        <w:spacing w:before="161" w:line="364" w:lineRule="auto"/>
        <w:ind w:left="477" w:right="635" w:firstLine="48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或法定代表人授权委托人参与远程交互，中途不得更换，在废标、澄清、提疑、传送文件等特殊情况下需要交互时，投标人一端参与交互的人员将均被视为是投标人的授权委托人或法人代表，投标人不得以不承认交互人员的资格或身份等为借口推脱，投标人自行承担随意更换人员所导致的一切后果。</w:t>
      </w:r>
    </w:p>
    <w:p>
      <w:pPr>
        <w:pStyle w:val="10"/>
        <w:numPr>
          <w:ilvl w:val="1"/>
          <w:numId w:val="4"/>
        </w:numPr>
        <w:tabs>
          <w:tab w:val="left" w:pos="1560"/>
        </w:tabs>
        <w:spacing w:before="0" w:after="0" w:line="307" w:lineRule="exact"/>
        <w:ind w:left="1560" w:right="0" w:hanging="603"/>
        <w:jc w:val="both"/>
        <w:rPr>
          <w:rFonts w:hint="eastAsia" w:ascii="宋体" w:hAnsi="宋体" w:eastAsia="宋体" w:cs="宋体"/>
          <w:color w:val="auto"/>
          <w:highlight w:val="none"/>
        </w:rPr>
      </w:pPr>
      <w:r>
        <w:rPr>
          <w:rFonts w:hint="eastAsia" w:ascii="宋体" w:hAnsi="宋体" w:eastAsia="宋体" w:cs="宋体"/>
          <w:color w:val="auto"/>
          <w:w w:val="95"/>
          <w:highlight w:val="none"/>
        </w:rPr>
        <w:t>开标程序</w:t>
      </w:r>
    </w:p>
    <w:p>
      <w:pPr>
        <w:pStyle w:val="2"/>
        <w:spacing w:before="158"/>
        <w:ind w:left="957"/>
        <w:rPr>
          <w:rFonts w:hint="eastAsia" w:ascii="宋体" w:hAnsi="宋体" w:eastAsia="宋体" w:cs="宋体"/>
          <w:color w:val="auto"/>
          <w:highlight w:val="none"/>
        </w:rPr>
      </w:pPr>
      <w:r>
        <w:rPr>
          <w:rFonts w:hint="eastAsia" w:ascii="宋体" w:hAnsi="宋体" w:eastAsia="宋体" w:cs="宋体"/>
          <w:color w:val="auto"/>
          <w:highlight w:val="none"/>
        </w:rPr>
        <w:t>主持人按下列程序进行开标：</w:t>
      </w:r>
    </w:p>
    <w:p>
      <w:pPr>
        <w:pStyle w:val="29"/>
        <w:numPr>
          <w:ilvl w:val="0"/>
          <w:numId w:val="13"/>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宣布开标纪律；</w:t>
      </w:r>
    </w:p>
    <w:p>
      <w:pPr>
        <w:pStyle w:val="29"/>
        <w:numPr>
          <w:ilvl w:val="0"/>
          <w:numId w:val="13"/>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公布在投标截止时间前递交投标文件的投标人名称；</w:t>
      </w:r>
    </w:p>
    <w:p>
      <w:pPr>
        <w:pStyle w:val="29"/>
        <w:numPr>
          <w:ilvl w:val="0"/>
          <w:numId w:val="13"/>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宣布开标人、唱标人、记录人、监标人等有关人员姓名；</w:t>
      </w:r>
    </w:p>
    <w:p>
      <w:pPr>
        <w:pStyle w:val="29"/>
        <w:numPr>
          <w:ilvl w:val="0"/>
          <w:numId w:val="13"/>
        </w:numPr>
        <w:tabs>
          <w:tab w:val="left" w:pos="1559"/>
        </w:tabs>
        <w:spacing w:before="158" w:after="0" w:line="364" w:lineRule="auto"/>
        <w:ind w:left="477" w:right="515" w:firstLine="480"/>
        <w:jc w:val="left"/>
        <w:rPr>
          <w:rFonts w:hint="eastAsia" w:ascii="宋体" w:hAnsi="宋体" w:eastAsia="宋体" w:cs="宋体"/>
          <w:color w:val="auto"/>
          <w:sz w:val="24"/>
          <w:highlight w:val="none"/>
        </w:rPr>
      </w:pPr>
      <w:r>
        <w:rPr>
          <w:rFonts w:hint="eastAsia" w:ascii="宋体" w:hAnsi="宋体" w:eastAsia="宋体" w:cs="宋体"/>
          <w:color w:val="auto"/>
          <w:spacing w:val="-5"/>
          <w:sz w:val="24"/>
          <w:highlight w:val="none"/>
        </w:rPr>
        <w:t>检查投标文件的密封情况，按照投标人须知前附表规定的开标顺序当众开</w:t>
      </w:r>
      <w:r>
        <w:rPr>
          <w:rFonts w:hint="eastAsia" w:ascii="宋体" w:hAnsi="宋体" w:eastAsia="宋体" w:cs="宋体"/>
          <w:color w:val="auto"/>
          <w:spacing w:val="-12"/>
          <w:sz w:val="24"/>
          <w:highlight w:val="none"/>
        </w:rPr>
        <w:t>标，公布招标项目名称、投标人名称、投标保证金的递交情况、投标报价、交货期、</w:t>
      </w:r>
      <w:r>
        <w:rPr>
          <w:rFonts w:hint="eastAsia" w:ascii="宋体" w:hAnsi="宋体" w:eastAsia="宋体" w:cs="宋体"/>
          <w:color w:val="auto"/>
          <w:sz w:val="24"/>
          <w:highlight w:val="none"/>
        </w:rPr>
        <w:t>交货地点及其他内容，并记录在案；</w:t>
      </w:r>
    </w:p>
    <w:p>
      <w:pPr>
        <w:pStyle w:val="29"/>
        <w:numPr>
          <w:ilvl w:val="0"/>
          <w:numId w:val="13"/>
        </w:numPr>
        <w:tabs>
          <w:tab w:val="left" w:pos="1559"/>
        </w:tabs>
        <w:spacing w:before="0" w:after="0" w:line="364" w:lineRule="auto"/>
        <w:ind w:left="477" w:right="633" w:firstLine="480"/>
        <w:jc w:val="left"/>
        <w:rPr>
          <w:rFonts w:hint="eastAsia" w:ascii="宋体" w:hAnsi="宋体" w:eastAsia="宋体" w:cs="宋体"/>
          <w:color w:val="auto"/>
          <w:sz w:val="24"/>
          <w:highlight w:val="none"/>
        </w:rPr>
      </w:pPr>
      <w:r>
        <w:rPr>
          <w:rFonts w:hint="eastAsia" w:ascii="宋体" w:hAnsi="宋体" w:eastAsia="宋体" w:cs="宋体"/>
          <w:color w:val="auto"/>
          <w:spacing w:val="-9"/>
          <w:sz w:val="24"/>
          <w:highlight w:val="none"/>
        </w:rPr>
        <w:t>投标人代表、招标人代表、监标人、记录人等有关人员在开标记录上签</w:t>
      </w:r>
      <w:r>
        <w:rPr>
          <w:rFonts w:hint="eastAsia" w:ascii="宋体" w:hAnsi="宋体" w:eastAsia="宋体" w:cs="宋体"/>
          <w:color w:val="auto"/>
          <w:spacing w:val="-5"/>
          <w:sz w:val="24"/>
          <w:highlight w:val="none"/>
        </w:rPr>
        <w:t>字确认；</w:t>
      </w:r>
    </w:p>
    <w:p>
      <w:pPr>
        <w:pStyle w:val="29"/>
        <w:numPr>
          <w:ilvl w:val="0"/>
          <w:numId w:val="13"/>
        </w:numPr>
        <w:tabs>
          <w:tab w:val="left" w:pos="1559"/>
        </w:tabs>
        <w:spacing w:before="0" w:after="0" w:line="306" w:lineRule="exact"/>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开标结束。</w:t>
      </w:r>
    </w:p>
    <w:p>
      <w:pPr>
        <w:pStyle w:val="10"/>
        <w:numPr>
          <w:ilvl w:val="1"/>
          <w:numId w:val="4"/>
        </w:numPr>
        <w:tabs>
          <w:tab w:val="left" w:pos="1559"/>
          <w:tab w:val="left" w:pos="1560"/>
        </w:tabs>
        <w:spacing w:before="160"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开标异议</w:t>
      </w:r>
    </w:p>
    <w:p>
      <w:pPr>
        <w:pStyle w:val="2"/>
        <w:spacing w:before="158" w:line="362" w:lineRule="auto"/>
        <w:ind w:left="477" w:right="635" w:firstLine="480"/>
        <w:rPr>
          <w:rFonts w:hint="eastAsia" w:ascii="宋体" w:hAnsi="宋体" w:eastAsia="宋体" w:cs="宋体"/>
          <w:color w:val="auto"/>
          <w:highlight w:val="none"/>
        </w:rPr>
      </w:pPr>
      <w:r>
        <w:rPr>
          <w:rFonts w:hint="eastAsia" w:ascii="宋体" w:hAnsi="宋体" w:eastAsia="宋体" w:cs="宋体"/>
          <w:color w:val="auto"/>
          <w:highlight w:val="none"/>
        </w:rPr>
        <w:t>投标人对开标有异议的，应当在开标现场提出，招标人当场作出答复，并制作记录。</w:t>
      </w:r>
    </w:p>
    <w:p>
      <w:pPr>
        <w:pStyle w:val="2"/>
        <w:spacing w:before="2"/>
        <w:rPr>
          <w:rFonts w:hint="eastAsia" w:ascii="宋体" w:hAnsi="宋体" w:eastAsia="宋体" w:cs="宋体"/>
          <w:color w:val="auto"/>
          <w:sz w:val="19"/>
          <w:highlight w:val="none"/>
        </w:rPr>
      </w:pPr>
    </w:p>
    <w:p>
      <w:pPr>
        <w:pStyle w:val="8"/>
        <w:numPr>
          <w:ilvl w:val="0"/>
          <w:numId w:val="4"/>
        </w:numPr>
        <w:tabs>
          <w:tab w:val="left" w:pos="1039"/>
          <w:tab w:val="left" w:pos="1040"/>
        </w:tabs>
        <w:spacing w:before="0" w:after="0" w:line="240" w:lineRule="auto"/>
        <w:ind w:left="1039" w:right="0" w:hanging="563"/>
        <w:jc w:val="left"/>
        <w:outlineLvl w:val="1"/>
        <w:rPr>
          <w:rFonts w:hint="eastAsia" w:ascii="宋体" w:hAnsi="宋体" w:eastAsia="宋体" w:cs="宋体"/>
          <w:color w:val="auto"/>
          <w:highlight w:val="none"/>
        </w:rPr>
      </w:pPr>
      <w:bookmarkStart w:id="32" w:name="_bookmark9"/>
      <w:bookmarkEnd w:id="32"/>
      <w:bookmarkStart w:id="33" w:name="_bookmark9"/>
      <w:bookmarkEnd w:id="33"/>
      <w:bookmarkStart w:id="34" w:name="6.  评标"/>
      <w:bookmarkEnd w:id="34"/>
      <w:bookmarkStart w:id="35" w:name="_Toc744"/>
      <w:r>
        <w:rPr>
          <w:rFonts w:hint="eastAsia" w:ascii="宋体" w:hAnsi="宋体" w:eastAsia="宋体" w:cs="宋体"/>
          <w:color w:val="auto"/>
          <w:highlight w:val="none"/>
        </w:rPr>
        <w:t>评标</w:t>
      </w:r>
      <w:bookmarkEnd w:id="35"/>
    </w:p>
    <w:p>
      <w:pPr>
        <w:pStyle w:val="10"/>
        <w:numPr>
          <w:ilvl w:val="1"/>
          <w:numId w:val="4"/>
        </w:numPr>
        <w:tabs>
          <w:tab w:val="left" w:pos="1560"/>
        </w:tabs>
        <w:spacing w:before="243" w:after="0" w:line="240" w:lineRule="auto"/>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评标委员会</w:t>
      </w:r>
    </w:p>
    <w:p>
      <w:pPr>
        <w:pStyle w:val="29"/>
        <w:numPr>
          <w:ilvl w:val="2"/>
          <w:numId w:val="4"/>
        </w:numPr>
        <w:tabs>
          <w:tab w:val="left" w:pos="1678"/>
        </w:tabs>
        <w:spacing w:before="161"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pStyle w:val="29"/>
        <w:numPr>
          <w:ilvl w:val="2"/>
          <w:numId w:val="4"/>
        </w:numPr>
        <w:tabs>
          <w:tab w:val="left" w:pos="1678"/>
        </w:tabs>
        <w:spacing w:before="65" w:after="0" w:line="240" w:lineRule="auto"/>
        <w:ind w:left="1820" w:leftChars="0" w:right="0" w:hanging="721" w:firstLineChars="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评标委员会成员有下列情形之一的，应当回避：</w:t>
      </w:r>
    </w:p>
    <w:p>
      <w:pPr>
        <w:pStyle w:val="29"/>
        <w:numPr>
          <w:ilvl w:val="0"/>
          <w:numId w:val="14"/>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投标人或投标人主要负责人的近亲属；</w:t>
      </w:r>
    </w:p>
    <w:p>
      <w:pPr>
        <w:pStyle w:val="29"/>
        <w:numPr>
          <w:ilvl w:val="0"/>
          <w:numId w:val="14"/>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项目主管部门或者行政监督部门的人员；</w:t>
      </w:r>
    </w:p>
    <w:p>
      <w:pPr>
        <w:pStyle w:val="29"/>
        <w:numPr>
          <w:ilvl w:val="0"/>
          <w:numId w:val="14"/>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与投标人有经济利益关系，可能影响对投标公正评审的；</w:t>
      </w:r>
    </w:p>
    <w:p>
      <w:pPr>
        <w:pStyle w:val="29"/>
        <w:numPr>
          <w:ilvl w:val="0"/>
          <w:numId w:val="14"/>
        </w:numPr>
        <w:tabs>
          <w:tab w:val="left" w:pos="1559"/>
        </w:tabs>
        <w:spacing w:before="158" w:after="0" w:line="364"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pacing w:val="-8"/>
          <w:sz w:val="24"/>
          <w:highlight w:val="none"/>
        </w:rPr>
        <w:t>曾因在招标、评标以及其他与招标投标有关活动中从事违法行为而受过</w:t>
      </w:r>
      <w:r>
        <w:rPr>
          <w:rFonts w:hint="eastAsia" w:ascii="宋体" w:hAnsi="宋体" w:eastAsia="宋体" w:cs="宋体"/>
          <w:color w:val="auto"/>
          <w:spacing w:val="-4"/>
          <w:sz w:val="24"/>
          <w:highlight w:val="none"/>
        </w:rPr>
        <w:t>行政处罚或刑事处罚的；</w:t>
      </w:r>
    </w:p>
    <w:p>
      <w:pPr>
        <w:pStyle w:val="29"/>
        <w:numPr>
          <w:ilvl w:val="0"/>
          <w:numId w:val="14"/>
        </w:numPr>
        <w:tabs>
          <w:tab w:val="left" w:pos="1559"/>
        </w:tabs>
        <w:spacing w:before="0" w:after="0" w:line="306" w:lineRule="exact"/>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与投标人有其他利害关系。</w:t>
      </w:r>
    </w:p>
    <w:p>
      <w:pPr>
        <w:pStyle w:val="29"/>
        <w:numPr>
          <w:ilvl w:val="2"/>
          <w:numId w:val="4"/>
        </w:numPr>
        <w:tabs>
          <w:tab w:val="left" w:pos="1678"/>
        </w:tabs>
        <w:spacing w:before="160" w:after="0" w:line="364" w:lineRule="auto"/>
        <w:ind w:left="620" w:leftChars="0" w:right="51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评标过程中，评标委员会成员有回避事由、擅离职守或者因健康等原因</w:t>
      </w:r>
      <w:r>
        <w:rPr>
          <w:rFonts w:hint="eastAsia" w:ascii="宋体" w:hAnsi="宋体" w:eastAsia="宋体" w:cs="宋体"/>
          <w:color w:val="auto"/>
          <w:spacing w:val="-13"/>
          <w:sz w:val="24"/>
          <w:highlight w:val="none"/>
        </w:rPr>
        <w:t xml:space="preserve">不能继续评标的，招标人有权更换。被更换的评标委员会成员作出的评审结论无效， </w:t>
      </w:r>
      <w:r>
        <w:rPr>
          <w:rFonts w:hint="eastAsia" w:ascii="宋体" w:hAnsi="宋体" w:eastAsia="宋体" w:cs="宋体"/>
          <w:color w:val="auto"/>
          <w:sz w:val="24"/>
          <w:highlight w:val="none"/>
        </w:rPr>
        <w:t>由更换后的评标委员会成员重新进行评审。</w:t>
      </w:r>
    </w:p>
    <w:p>
      <w:pPr>
        <w:pStyle w:val="10"/>
        <w:numPr>
          <w:ilvl w:val="1"/>
          <w:numId w:val="4"/>
        </w:numPr>
        <w:tabs>
          <w:tab w:val="left" w:pos="1559"/>
          <w:tab w:val="left" w:pos="1560"/>
        </w:tabs>
        <w:spacing w:before="0" w:after="0" w:line="305" w:lineRule="exact"/>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评标原则</w:t>
      </w:r>
    </w:p>
    <w:p>
      <w:pPr>
        <w:pStyle w:val="2"/>
        <w:spacing w:before="161"/>
        <w:ind w:left="957"/>
        <w:rPr>
          <w:rFonts w:hint="eastAsia" w:ascii="宋体" w:hAnsi="宋体" w:eastAsia="宋体" w:cs="宋体"/>
          <w:color w:val="auto"/>
          <w:highlight w:val="none"/>
        </w:rPr>
      </w:pPr>
      <w:r>
        <w:rPr>
          <w:rFonts w:hint="eastAsia" w:ascii="宋体" w:hAnsi="宋体" w:eastAsia="宋体" w:cs="宋体"/>
          <w:color w:val="auto"/>
          <w:highlight w:val="none"/>
        </w:rPr>
        <w:t>评标活动遵循公平、公正、科学和择优的原则。</w:t>
      </w:r>
    </w:p>
    <w:p>
      <w:pPr>
        <w:pStyle w:val="10"/>
        <w:numPr>
          <w:ilvl w:val="1"/>
          <w:numId w:val="4"/>
        </w:numPr>
        <w:tabs>
          <w:tab w:val="left" w:pos="1440"/>
        </w:tabs>
        <w:spacing w:before="160" w:after="0" w:line="240" w:lineRule="auto"/>
        <w:ind w:left="1440" w:right="0" w:hanging="483"/>
        <w:jc w:val="both"/>
        <w:rPr>
          <w:rFonts w:hint="eastAsia" w:ascii="宋体" w:hAnsi="宋体" w:eastAsia="宋体" w:cs="宋体"/>
          <w:color w:val="auto"/>
          <w:highlight w:val="none"/>
        </w:rPr>
      </w:pPr>
      <w:r>
        <w:rPr>
          <w:rFonts w:hint="eastAsia" w:ascii="宋体" w:hAnsi="宋体" w:eastAsia="宋体" w:cs="宋体"/>
          <w:color w:val="auto"/>
          <w:highlight w:val="none"/>
        </w:rPr>
        <w:t>评标</w:t>
      </w:r>
    </w:p>
    <w:p>
      <w:pPr>
        <w:pStyle w:val="29"/>
        <w:numPr>
          <w:ilvl w:val="2"/>
          <w:numId w:val="4"/>
        </w:numPr>
        <w:tabs>
          <w:tab w:val="left" w:pos="1678"/>
        </w:tabs>
        <w:spacing w:before="158"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lang w:val="en-US" w:eastAsia="zh-CN"/>
        </w:rPr>
        <w:t xml:space="preserve"> </w:t>
      </w:r>
      <w:r>
        <w:rPr>
          <w:rFonts w:hint="eastAsia" w:ascii="宋体" w:hAnsi="宋体" w:eastAsia="宋体" w:cs="宋体"/>
          <w:color w:val="auto"/>
          <w:spacing w:val="-1"/>
          <w:sz w:val="24"/>
          <w:highlight w:val="none"/>
        </w:rPr>
        <w:t xml:space="preserve">评标委员会按照第三章“评标办法”规定的方法、评审因素、标准和程序对投标文件进行评审。第三章“评标办法”没有规定的方法、评审因素和标准， </w:t>
      </w:r>
      <w:r>
        <w:rPr>
          <w:rFonts w:hint="eastAsia" w:ascii="宋体" w:hAnsi="宋体" w:eastAsia="宋体" w:cs="宋体"/>
          <w:color w:val="auto"/>
          <w:sz w:val="24"/>
          <w:highlight w:val="none"/>
        </w:rPr>
        <w:t>不作为评标依据。</w:t>
      </w:r>
    </w:p>
    <w:p>
      <w:pPr>
        <w:pStyle w:val="29"/>
        <w:numPr>
          <w:ilvl w:val="2"/>
          <w:numId w:val="4"/>
        </w:numPr>
        <w:tabs>
          <w:tab w:val="left" w:pos="1678"/>
        </w:tabs>
        <w:spacing w:before="0" w:after="0" w:line="362"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lang w:val="en-US" w:eastAsia="zh-CN"/>
        </w:rPr>
        <w:t xml:space="preserve"> </w:t>
      </w:r>
      <w:r>
        <w:rPr>
          <w:rFonts w:hint="eastAsia" w:ascii="宋体" w:hAnsi="宋体" w:eastAsia="宋体" w:cs="宋体"/>
          <w:color w:val="auto"/>
          <w:spacing w:val="-1"/>
          <w:sz w:val="24"/>
          <w:highlight w:val="none"/>
        </w:rPr>
        <w:t>评标完成后，评标委员会应当向招标人提交书面评标报告和中标候选人</w:t>
      </w:r>
      <w:r>
        <w:rPr>
          <w:rFonts w:hint="eastAsia" w:ascii="宋体" w:hAnsi="宋体" w:eastAsia="宋体" w:cs="宋体"/>
          <w:color w:val="auto"/>
          <w:sz w:val="24"/>
          <w:highlight w:val="none"/>
        </w:rPr>
        <w:t>名单。评标委员会推荐中标候选人的人数见投标人须知前附表。</w:t>
      </w:r>
    </w:p>
    <w:p>
      <w:pPr>
        <w:pStyle w:val="29"/>
        <w:numPr>
          <w:ilvl w:val="2"/>
          <w:numId w:val="4"/>
        </w:numPr>
        <w:tabs>
          <w:tab w:val="left" w:pos="1678"/>
        </w:tabs>
        <w:spacing w:before="0" w:after="0" w:line="362"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pPr>
        <w:pStyle w:val="29"/>
        <w:numPr>
          <w:ilvl w:val="2"/>
          <w:numId w:val="4"/>
        </w:numPr>
        <w:tabs>
          <w:tab w:val="left" w:pos="1678"/>
        </w:tabs>
        <w:spacing w:before="0" w:after="0" w:line="362"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评标委员会根据评审结果及招标文件的规定确定中标人。</w:t>
      </w:r>
    </w:p>
    <w:p>
      <w:pPr>
        <w:pStyle w:val="2"/>
        <w:spacing w:before="2"/>
        <w:rPr>
          <w:rFonts w:hint="eastAsia" w:ascii="宋体" w:hAnsi="宋体" w:eastAsia="宋体" w:cs="宋体"/>
          <w:color w:val="auto"/>
          <w:sz w:val="19"/>
          <w:highlight w:val="none"/>
        </w:rPr>
      </w:pPr>
    </w:p>
    <w:p>
      <w:pPr>
        <w:pStyle w:val="8"/>
        <w:numPr>
          <w:ilvl w:val="0"/>
          <w:numId w:val="4"/>
        </w:numPr>
        <w:tabs>
          <w:tab w:val="left" w:pos="1039"/>
          <w:tab w:val="left" w:pos="1040"/>
        </w:tabs>
        <w:spacing w:before="0" w:after="0" w:line="240" w:lineRule="auto"/>
        <w:ind w:left="1039" w:right="0" w:hanging="563"/>
        <w:jc w:val="left"/>
        <w:outlineLvl w:val="1"/>
        <w:rPr>
          <w:rFonts w:hint="eastAsia" w:ascii="宋体" w:hAnsi="宋体" w:eastAsia="宋体" w:cs="宋体"/>
          <w:color w:val="auto"/>
          <w:highlight w:val="none"/>
        </w:rPr>
      </w:pPr>
      <w:bookmarkStart w:id="36" w:name="_bookmark10"/>
      <w:bookmarkEnd w:id="36"/>
      <w:bookmarkStart w:id="37" w:name="_bookmark10"/>
      <w:bookmarkEnd w:id="37"/>
      <w:bookmarkStart w:id="38" w:name="7.  合同授予"/>
      <w:bookmarkEnd w:id="38"/>
      <w:bookmarkStart w:id="39" w:name="_Toc9198"/>
      <w:r>
        <w:rPr>
          <w:rFonts w:hint="eastAsia" w:ascii="宋体" w:hAnsi="宋体" w:eastAsia="宋体" w:cs="宋体"/>
          <w:color w:val="auto"/>
          <w:highlight w:val="none"/>
        </w:rPr>
        <w:t>合同授予</w:t>
      </w:r>
      <w:bookmarkEnd w:id="39"/>
    </w:p>
    <w:p>
      <w:pPr>
        <w:pStyle w:val="10"/>
        <w:numPr>
          <w:ilvl w:val="1"/>
          <w:numId w:val="4"/>
        </w:numPr>
        <w:tabs>
          <w:tab w:val="left" w:pos="1560"/>
        </w:tabs>
        <w:spacing w:before="243" w:after="0" w:line="240" w:lineRule="auto"/>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中标</w:t>
      </w:r>
      <w:r>
        <w:rPr>
          <w:rFonts w:hint="eastAsia" w:ascii="宋体" w:hAnsi="宋体" w:eastAsia="宋体" w:cs="宋体"/>
          <w:color w:val="auto"/>
          <w:highlight w:val="none"/>
          <w:lang w:val="en-US" w:eastAsia="zh-CN"/>
        </w:rPr>
        <w:t>结果</w:t>
      </w:r>
      <w:r>
        <w:rPr>
          <w:rFonts w:hint="eastAsia" w:ascii="宋体" w:hAnsi="宋体" w:eastAsia="宋体" w:cs="宋体"/>
          <w:color w:val="auto"/>
          <w:highlight w:val="none"/>
        </w:rPr>
        <w:t>公示</w:t>
      </w:r>
    </w:p>
    <w:p>
      <w:pPr>
        <w:pStyle w:val="2"/>
        <w:spacing w:before="158"/>
        <w:ind w:left="957"/>
        <w:rPr>
          <w:rFonts w:hint="eastAsia" w:ascii="宋体" w:hAnsi="宋体" w:eastAsia="宋体" w:cs="宋体"/>
          <w:color w:val="auto"/>
          <w:highlight w:val="none"/>
        </w:rPr>
      </w:pPr>
      <w:r>
        <w:rPr>
          <w:rFonts w:hint="eastAsia" w:ascii="宋体" w:hAnsi="宋体" w:eastAsia="宋体" w:cs="宋体"/>
          <w:color w:val="auto"/>
          <w:highlight w:val="none"/>
        </w:rPr>
        <w:t>招标人在收到评标报告之日起 5 个工作日内，按照投标人须知前附表规定的公</w:t>
      </w:r>
    </w:p>
    <w:p>
      <w:pPr>
        <w:pStyle w:val="2"/>
        <w:spacing w:before="160"/>
        <w:ind w:left="477"/>
        <w:rPr>
          <w:rFonts w:hint="eastAsia" w:ascii="宋体" w:hAnsi="宋体" w:eastAsia="宋体" w:cs="宋体"/>
          <w:color w:val="auto"/>
          <w:highlight w:val="none"/>
        </w:rPr>
      </w:pPr>
      <w:r>
        <w:rPr>
          <w:rFonts w:hint="eastAsia" w:ascii="宋体" w:hAnsi="宋体" w:eastAsia="宋体" w:cs="宋体"/>
          <w:color w:val="auto"/>
          <w:highlight w:val="none"/>
        </w:rPr>
        <w:t>示媒介和期限公示中标候选人，公示期不得少于 1 个工作日。</w:t>
      </w:r>
    </w:p>
    <w:p>
      <w:pPr>
        <w:pStyle w:val="10"/>
        <w:numPr>
          <w:ilvl w:val="1"/>
          <w:numId w:val="4"/>
        </w:numPr>
        <w:tabs>
          <w:tab w:val="left" w:pos="1560"/>
        </w:tabs>
        <w:spacing w:before="161" w:after="0" w:line="240" w:lineRule="auto"/>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评标结果异议</w:t>
      </w:r>
    </w:p>
    <w:p>
      <w:pPr>
        <w:pStyle w:val="2"/>
        <w:spacing w:before="9"/>
        <w:rPr>
          <w:rFonts w:hint="eastAsia" w:ascii="宋体" w:hAnsi="宋体" w:eastAsia="宋体" w:cs="宋体"/>
          <w:b/>
          <w:color w:val="auto"/>
          <w:highlight w:val="none"/>
        </w:rPr>
      </w:pPr>
    </w:p>
    <w:p>
      <w:pPr>
        <w:pStyle w:val="2"/>
        <w:spacing w:line="391" w:lineRule="auto"/>
        <w:ind w:left="477" w:right="635" w:firstLine="484"/>
        <w:jc w:val="both"/>
        <w:rPr>
          <w:rFonts w:hint="eastAsia" w:ascii="宋体" w:hAnsi="宋体" w:eastAsia="宋体" w:cs="宋体"/>
          <w:color w:val="auto"/>
          <w:highlight w:val="none"/>
        </w:rPr>
      </w:pPr>
      <w:r>
        <w:rPr>
          <w:rFonts w:hint="eastAsia" w:ascii="宋体" w:hAnsi="宋体" w:eastAsia="宋体" w:cs="宋体"/>
          <w:color w:val="auto"/>
          <w:highlight w:val="none"/>
        </w:rPr>
        <w:t>如果投标人对此次招标活动有疑问，可依据《政府采购法》等相关规定，在规定的时间内以书面形式向招标人或代理机构提出质疑。质疑书应当包括下列主要内容：</w:t>
      </w:r>
    </w:p>
    <w:p>
      <w:pPr>
        <w:pStyle w:val="29"/>
        <w:numPr>
          <w:ilvl w:val="0"/>
          <w:numId w:val="15"/>
        </w:numPr>
        <w:tabs>
          <w:tab w:val="left" w:pos="1439"/>
        </w:tabs>
        <w:spacing w:before="161" w:after="0" w:line="240" w:lineRule="auto"/>
        <w:ind w:left="143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质疑人的名称、地址、电话等；</w:t>
      </w:r>
    </w:p>
    <w:p>
      <w:pPr>
        <w:pStyle w:val="29"/>
        <w:numPr>
          <w:ilvl w:val="0"/>
          <w:numId w:val="15"/>
        </w:numPr>
        <w:tabs>
          <w:tab w:val="left" w:pos="1439"/>
        </w:tabs>
        <w:spacing w:before="113" w:after="0" w:line="240" w:lineRule="auto"/>
        <w:ind w:left="143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质疑人法人签章和单位公章；</w:t>
      </w:r>
    </w:p>
    <w:p>
      <w:pPr>
        <w:pStyle w:val="29"/>
        <w:numPr>
          <w:ilvl w:val="0"/>
          <w:numId w:val="15"/>
        </w:numPr>
        <w:tabs>
          <w:tab w:val="left" w:pos="1439"/>
        </w:tabs>
        <w:spacing w:before="112" w:after="0" w:line="240" w:lineRule="auto"/>
        <w:ind w:left="143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具体的质疑事项</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lang w:val="en-US" w:eastAsia="zh-CN"/>
        </w:rPr>
        <w:t>及法律依据</w:t>
      </w:r>
      <w:r>
        <w:rPr>
          <w:rFonts w:hint="eastAsia" w:ascii="宋体" w:hAnsi="宋体" w:eastAsia="宋体" w:cs="宋体"/>
          <w:color w:val="auto"/>
          <w:sz w:val="24"/>
          <w:highlight w:val="none"/>
        </w:rPr>
        <w:t>；</w:t>
      </w:r>
    </w:p>
    <w:p>
      <w:pPr>
        <w:pStyle w:val="29"/>
        <w:numPr>
          <w:ilvl w:val="0"/>
          <w:numId w:val="15"/>
        </w:numPr>
        <w:tabs>
          <w:tab w:val="left" w:pos="1439"/>
        </w:tabs>
        <w:spacing w:before="113" w:after="0" w:line="240" w:lineRule="auto"/>
        <w:ind w:left="143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明确的请求和必要（合法来源）的证明材料；</w:t>
      </w:r>
    </w:p>
    <w:p>
      <w:pPr>
        <w:pStyle w:val="29"/>
        <w:numPr>
          <w:ilvl w:val="0"/>
          <w:numId w:val="15"/>
        </w:numPr>
        <w:tabs>
          <w:tab w:val="left" w:pos="1439"/>
        </w:tabs>
        <w:spacing w:before="112" w:after="0" w:line="240" w:lineRule="auto"/>
        <w:ind w:left="143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以联合体形式参与资格预审的，则必须联合体各方共同签署、盖章；</w:t>
      </w:r>
    </w:p>
    <w:p>
      <w:pPr>
        <w:pStyle w:val="29"/>
        <w:numPr>
          <w:ilvl w:val="0"/>
          <w:numId w:val="15"/>
        </w:numPr>
        <w:tabs>
          <w:tab w:val="left" w:pos="1439"/>
        </w:tabs>
        <w:spacing w:before="113" w:after="0" w:line="240" w:lineRule="auto"/>
        <w:ind w:left="143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提起质疑的日期。</w:t>
      </w:r>
    </w:p>
    <w:p>
      <w:pPr>
        <w:pStyle w:val="2"/>
        <w:spacing w:before="17" w:line="500" w:lineRule="exact"/>
        <w:ind w:left="477" w:right="635" w:firstLine="484"/>
        <w:rPr>
          <w:rFonts w:hint="eastAsia" w:ascii="宋体" w:hAnsi="宋体" w:eastAsia="宋体" w:cs="宋体"/>
          <w:color w:val="auto"/>
          <w:highlight w:val="none"/>
        </w:rPr>
      </w:pPr>
      <w:r>
        <w:rPr>
          <w:rFonts w:hint="eastAsia" w:ascii="宋体" w:hAnsi="宋体" w:eastAsia="宋体" w:cs="宋体"/>
          <w:color w:val="auto"/>
          <w:highlight w:val="none"/>
        </w:rPr>
        <w:t>特注：未按上述程序规定的必备内容进行质疑的，招标人或代理机构将不予以受理。</w:t>
      </w:r>
    </w:p>
    <w:p>
      <w:pPr>
        <w:pStyle w:val="10"/>
        <w:numPr>
          <w:ilvl w:val="1"/>
          <w:numId w:val="4"/>
        </w:numPr>
        <w:tabs>
          <w:tab w:val="left" w:pos="1560"/>
        </w:tabs>
        <w:spacing w:before="0" w:after="0" w:line="307" w:lineRule="exact"/>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定标</w:t>
      </w:r>
    </w:p>
    <w:p>
      <w:pPr>
        <w:pStyle w:val="2"/>
        <w:spacing w:before="161" w:line="362" w:lineRule="auto"/>
        <w:ind w:left="477" w:right="635" w:firstLine="480"/>
        <w:rPr>
          <w:rFonts w:hint="eastAsia" w:ascii="宋体" w:hAnsi="宋体" w:eastAsia="宋体" w:cs="宋体"/>
          <w:color w:val="auto"/>
          <w:highlight w:val="none"/>
        </w:rPr>
      </w:pPr>
      <w:r>
        <w:rPr>
          <w:rFonts w:hint="eastAsia" w:ascii="宋体" w:hAnsi="宋体" w:eastAsia="宋体" w:cs="宋体"/>
          <w:color w:val="auto"/>
          <w:highlight w:val="none"/>
        </w:rPr>
        <w:t>按照投标人须知前附表的规定，招标人或招标人授权的评标委员会依法确定中标人。</w:t>
      </w:r>
    </w:p>
    <w:p>
      <w:pPr>
        <w:pStyle w:val="10"/>
        <w:numPr>
          <w:ilvl w:val="1"/>
          <w:numId w:val="4"/>
        </w:numPr>
        <w:tabs>
          <w:tab w:val="left" w:pos="1559"/>
          <w:tab w:val="left" w:pos="1560"/>
        </w:tabs>
        <w:spacing w:before="5"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中标通知</w:t>
      </w:r>
    </w:p>
    <w:p>
      <w:pPr>
        <w:pStyle w:val="2"/>
        <w:spacing w:before="158" w:line="362" w:lineRule="auto"/>
        <w:ind w:left="477" w:right="635" w:firstLine="480"/>
        <w:rPr>
          <w:rFonts w:hint="eastAsia" w:ascii="宋体" w:hAnsi="宋体" w:eastAsia="宋体" w:cs="宋体"/>
          <w:color w:val="auto"/>
          <w:highlight w:val="none"/>
        </w:rPr>
      </w:pPr>
      <w:r>
        <w:rPr>
          <w:rFonts w:hint="eastAsia" w:ascii="宋体" w:hAnsi="宋体" w:eastAsia="宋体" w:cs="宋体"/>
          <w:color w:val="auto"/>
          <w:highlight w:val="none"/>
        </w:rPr>
        <w:t>在本章第 3.3</w:t>
      </w:r>
      <w:r>
        <w:rPr>
          <w:rFonts w:hint="eastAsia" w:ascii="宋体" w:hAnsi="宋体" w:eastAsia="宋体" w:cs="宋体"/>
          <w:color w:val="auto"/>
          <w:spacing w:val="-11"/>
          <w:highlight w:val="none"/>
        </w:rPr>
        <w:t xml:space="preserve"> 款规定的投标有效期内，招标人以书面形式向中标人发出中标通</w:t>
      </w:r>
      <w:r>
        <w:rPr>
          <w:rFonts w:hint="eastAsia" w:ascii="宋体" w:hAnsi="宋体" w:eastAsia="宋体" w:cs="宋体"/>
          <w:color w:val="auto"/>
          <w:highlight w:val="none"/>
        </w:rPr>
        <w:t>知书。</w:t>
      </w:r>
    </w:p>
    <w:p>
      <w:pPr>
        <w:pStyle w:val="10"/>
        <w:numPr>
          <w:ilvl w:val="1"/>
          <w:numId w:val="4"/>
        </w:numPr>
        <w:tabs>
          <w:tab w:val="left" w:pos="1560"/>
        </w:tabs>
        <w:spacing w:before="5" w:after="0" w:line="240" w:lineRule="auto"/>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履约保证金</w:t>
      </w:r>
    </w:p>
    <w:p>
      <w:pPr>
        <w:pStyle w:val="29"/>
        <w:numPr>
          <w:ilvl w:val="2"/>
          <w:numId w:val="4"/>
        </w:numPr>
        <w:tabs>
          <w:tab w:val="left" w:pos="1798"/>
        </w:tabs>
        <w:spacing w:before="160"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1"/>
          <w:sz w:val="24"/>
          <w:highlight w:val="none"/>
        </w:rPr>
        <w:t>在签订合同前，中标人应按投标人须知前附表规定的形式、金额和招标</w:t>
      </w:r>
      <w:r>
        <w:rPr>
          <w:rFonts w:hint="eastAsia" w:ascii="宋体" w:hAnsi="宋体" w:eastAsia="宋体" w:cs="宋体"/>
          <w:color w:val="auto"/>
          <w:spacing w:val="-1"/>
          <w:sz w:val="24"/>
          <w:highlight w:val="none"/>
        </w:rPr>
        <w:t>文件第四章“合同条款及格式”规定的或者事先经过招标人书面认可的履约保证金格式向招标人提交履约保证金。除投标人须知前附表另有规定外，履约保证金为中</w:t>
      </w:r>
      <w:r>
        <w:rPr>
          <w:rFonts w:hint="eastAsia" w:ascii="宋体" w:hAnsi="宋体" w:eastAsia="宋体" w:cs="宋体"/>
          <w:color w:val="auto"/>
          <w:spacing w:val="-3"/>
          <w:sz w:val="24"/>
          <w:highlight w:val="none"/>
        </w:rPr>
        <w:t xml:space="preserve">标合同金额的 </w:t>
      </w:r>
      <w:r>
        <w:rPr>
          <w:rFonts w:hint="eastAsia" w:ascii="宋体" w:hAnsi="宋体" w:eastAsia="宋体" w:cs="宋体"/>
          <w:color w:val="auto"/>
          <w:sz w:val="24"/>
          <w:highlight w:val="none"/>
        </w:rPr>
        <w:t>10%。联合体中标的，其履约保证金以联合体各方或者联合体中牵头人的名义提交。</w:t>
      </w:r>
    </w:p>
    <w:p>
      <w:pPr>
        <w:pStyle w:val="29"/>
        <w:numPr>
          <w:ilvl w:val="2"/>
          <w:numId w:val="4"/>
        </w:numPr>
        <w:tabs>
          <w:tab w:val="left" w:pos="1678"/>
        </w:tabs>
        <w:spacing w:before="0" w:after="0" w:line="362" w:lineRule="auto"/>
        <w:ind w:left="620" w:leftChars="0" w:right="520"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中标人不能按本章第 7.6.1</w:t>
      </w:r>
      <w:r>
        <w:rPr>
          <w:rFonts w:hint="eastAsia" w:ascii="宋体" w:hAnsi="宋体" w:eastAsia="宋体" w:cs="宋体"/>
          <w:color w:val="auto"/>
          <w:spacing w:val="-1"/>
          <w:sz w:val="24"/>
          <w:highlight w:val="none"/>
        </w:rPr>
        <w:t xml:space="preserve"> 项要求提交履约保证金的，视为放弃中标， </w:t>
      </w:r>
      <w:r>
        <w:rPr>
          <w:rFonts w:hint="eastAsia" w:ascii="宋体" w:hAnsi="宋体" w:eastAsia="宋体" w:cs="宋体"/>
          <w:color w:val="auto"/>
          <w:sz w:val="24"/>
          <w:highlight w:val="none"/>
        </w:rPr>
        <w:t>其投标保证金不予退还，给招标人造成的损失超过投标保证金数额的，中标人还应当对超过部分予以赔偿。</w:t>
      </w:r>
    </w:p>
    <w:p>
      <w:pPr>
        <w:pStyle w:val="10"/>
        <w:numPr>
          <w:ilvl w:val="1"/>
          <w:numId w:val="4"/>
        </w:numPr>
        <w:tabs>
          <w:tab w:val="left" w:pos="1559"/>
          <w:tab w:val="left" w:pos="1560"/>
        </w:tabs>
        <w:spacing w:before="5"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签订合同</w:t>
      </w:r>
    </w:p>
    <w:p>
      <w:pPr>
        <w:pStyle w:val="29"/>
        <w:numPr>
          <w:ilvl w:val="2"/>
          <w:numId w:val="4"/>
        </w:numPr>
        <w:tabs>
          <w:tab w:val="left" w:pos="1678"/>
        </w:tabs>
        <w:spacing w:before="65"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 xml:space="preserve">招标人和中标人应当在中标通知书发出之日起 </w:t>
      </w:r>
      <w:r>
        <w:rPr>
          <w:rFonts w:hint="eastAsia" w:ascii="宋体" w:hAnsi="宋体" w:eastAsia="宋体" w:cs="宋体"/>
          <w:color w:val="auto"/>
          <w:sz w:val="24"/>
          <w:highlight w:val="none"/>
        </w:rPr>
        <w:t>30</w:t>
      </w:r>
      <w:r>
        <w:rPr>
          <w:rFonts w:hint="eastAsia" w:ascii="宋体" w:hAnsi="宋体" w:eastAsia="宋体" w:cs="宋体"/>
          <w:color w:val="auto"/>
          <w:spacing w:val="-2"/>
          <w:sz w:val="24"/>
          <w:highlight w:val="none"/>
        </w:rPr>
        <w:t xml:space="preserve"> 日内，根据招标文件</w:t>
      </w:r>
      <w:r>
        <w:rPr>
          <w:rFonts w:hint="eastAsia" w:ascii="宋体" w:hAnsi="宋体" w:eastAsia="宋体" w:cs="宋体"/>
          <w:color w:val="auto"/>
          <w:spacing w:val="-1"/>
          <w:sz w:val="24"/>
          <w:highlight w:val="none"/>
        </w:rPr>
        <w:t>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w:t>
      </w:r>
      <w:r>
        <w:rPr>
          <w:rFonts w:hint="eastAsia" w:ascii="宋体" w:hAnsi="宋体" w:eastAsia="宋体" w:cs="宋体"/>
          <w:color w:val="auto"/>
          <w:sz w:val="24"/>
          <w:highlight w:val="none"/>
        </w:rPr>
        <w:t>的，中标人还应当对超过部分予以赔偿。</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spacing w:val="-1"/>
          <w:sz w:val="24"/>
          <w:highlight w:val="none"/>
        </w:rPr>
      </w:pPr>
      <w:r>
        <w:rPr>
          <w:rFonts w:hint="eastAsia" w:ascii="宋体" w:hAnsi="宋体" w:eastAsia="宋体" w:cs="宋体"/>
          <w:color w:val="auto"/>
          <w:spacing w:val="-1"/>
          <w:sz w:val="24"/>
          <w:highlight w:val="none"/>
        </w:rPr>
        <w:t xml:space="preserve">发出中标通知书后，招标人无正当理由拒签合同，或者在签订合同时向中标人提出附加条件的，招标人向中标人退还投标保证金；给中标人造成损失的， </w:t>
      </w:r>
      <w:r>
        <w:rPr>
          <w:rFonts w:hint="eastAsia" w:ascii="宋体" w:hAnsi="宋体" w:eastAsia="宋体" w:cs="宋体"/>
          <w:color w:val="auto"/>
          <w:sz w:val="24"/>
          <w:highlight w:val="none"/>
        </w:rPr>
        <w:t>还应当赔偿损失。</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spacing w:val="-1"/>
          <w:sz w:val="24"/>
          <w:highlight w:val="none"/>
        </w:rPr>
      </w:pPr>
      <w:r>
        <w:rPr>
          <w:rFonts w:hint="eastAsia" w:ascii="宋体" w:hAnsi="宋体" w:eastAsia="宋体" w:cs="宋体"/>
          <w:color w:val="auto"/>
          <w:spacing w:val="-1"/>
          <w:sz w:val="24"/>
          <w:highlight w:val="none"/>
        </w:rPr>
        <w:t>联合体中标的，联合体各方应当共同与招标人签订合同，就中标项目向招标人承担连带责任。</w:t>
      </w:r>
    </w:p>
    <w:p>
      <w:pPr>
        <w:pStyle w:val="29"/>
        <w:numPr>
          <w:ilvl w:val="2"/>
          <w:numId w:val="4"/>
        </w:numPr>
        <w:tabs>
          <w:tab w:val="left" w:pos="1678"/>
        </w:tabs>
        <w:spacing w:before="0" w:after="0" w:line="364" w:lineRule="auto"/>
        <w:ind w:left="620" w:leftChars="0" w:right="635" w:firstLine="480" w:firstLineChars="0"/>
        <w:jc w:val="both"/>
        <w:rPr>
          <w:rFonts w:hint="eastAsia" w:ascii="宋体" w:hAnsi="宋体" w:eastAsia="宋体" w:cs="宋体"/>
          <w:color w:val="auto"/>
          <w:spacing w:val="-1"/>
          <w:sz w:val="24"/>
          <w:highlight w:val="none"/>
        </w:rPr>
      </w:pPr>
      <w:r>
        <w:rPr>
          <w:rFonts w:hint="eastAsia" w:ascii="宋体" w:hAnsi="宋体" w:eastAsia="宋体" w:cs="宋体"/>
          <w:color w:val="auto"/>
          <w:spacing w:val="-1"/>
          <w:sz w:val="24"/>
          <w:highlight w:val="none"/>
          <w:lang w:val="en-US" w:eastAsia="zh-CN"/>
        </w:rPr>
        <w:t>中标或者成交供应商拒绝与采购人签订合同的，采购人可以按照评审报告推荐的中标或者成交候选人名单排序，确定下一候选人为中标或者成交供应商，也可以重新开展政府采购活动。</w:t>
      </w:r>
    </w:p>
    <w:p>
      <w:pPr>
        <w:pStyle w:val="2"/>
        <w:spacing w:before="11"/>
        <w:rPr>
          <w:rFonts w:hint="eastAsia" w:ascii="宋体" w:hAnsi="宋体" w:eastAsia="宋体" w:cs="宋体"/>
          <w:color w:val="auto"/>
          <w:sz w:val="18"/>
          <w:highlight w:val="none"/>
        </w:rPr>
      </w:pPr>
    </w:p>
    <w:p>
      <w:pPr>
        <w:pStyle w:val="8"/>
        <w:numPr>
          <w:ilvl w:val="0"/>
          <w:numId w:val="4"/>
        </w:numPr>
        <w:tabs>
          <w:tab w:val="left" w:pos="1039"/>
          <w:tab w:val="left" w:pos="1040"/>
        </w:tabs>
        <w:spacing w:before="0" w:after="0" w:line="240" w:lineRule="auto"/>
        <w:ind w:left="1039" w:right="0" w:hanging="563"/>
        <w:jc w:val="left"/>
        <w:outlineLvl w:val="1"/>
        <w:rPr>
          <w:rFonts w:hint="eastAsia" w:ascii="宋体" w:hAnsi="宋体" w:eastAsia="宋体" w:cs="宋体"/>
          <w:color w:val="auto"/>
          <w:highlight w:val="none"/>
        </w:rPr>
      </w:pPr>
      <w:bookmarkStart w:id="40" w:name="_bookmark11"/>
      <w:bookmarkEnd w:id="40"/>
      <w:bookmarkStart w:id="41" w:name="8.  纪律和监督"/>
      <w:bookmarkEnd w:id="41"/>
      <w:bookmarkStart w:id="42" w:name="_bookmark11"/>
      <w:bookmarkEnd w:id="42"/>
      <w:bookmarkStart w:id="43" w:name="_Toc12941"/>
      <w:r>
        <w:rPr>
          <w:rFonts w:hint="eastAsia" w:ascii="宋体" w:hAnsi="宋体" w:eastAsia="宋体" w:cs="宋体"/>
          <w:color w:val="auto"/>
          <w:highlight w:val="none"/>
        </w:rPr>
        <w:t>纪律和监督</w:t>
      </w:r>
      <w:bookmarkEnd w:id="43"/>
    </w:p>
    <w:p>
      <w:pPr>
        <w:pStyle w:val="10"/>
        <w:numPr>
          <w:ilvl w:val="1"/>
          <w:numId w:val="4"/>
        </w:numPr>
        <w:tabs>
          <w:tab w:val="left" w:pos="1440"/>
        </w:tabs>
        <w:spacing w:before="245" w:after="0" w:line="240" w:lineRule="auto"/>
        <w:ind w:left="1440" w:right="0" w:hanging="483"/>
        <w:jc w:val="left"/>
        <w:rPr>
          <w:rFonts w:hint="eastAsia" w:ascii="宋体" w:hAnsi="宋体" w:eastAsia="宋体" w:cs="宋体"/>
          <w:color w:val="auto"/>
          <w:highlight w:val="none"/>
        </w:rPr>
      </w:pPr>
      <w:r>
        <w:rPr>
          <w:rFonts w:hint="eastAsia" w:ascii="宋体" w:hAnsi="宋体" w:eastAsia="宋体" w:cs="宋体"/>
          <w:color w:val="auto"/>
          <w:highlight w:val="none"/>
        </w:rPr>
        <w:t>对招标人的纪律要求</w:t>
      </w:r>
    </w:p>
    <w:p>
      <w:pPr>
        <w:pStyle w:val="2"/>
        <w:spacing w:before="158" w:line="364" w:lineRule="auto"/>
        <w:ind w:left="477" w:right="635" w:firstLine="480"/>
        <w:rPr>
          <w:rFonts w:hint="eastAsia" w:ascii="宋体" w:hAnsi="宋体" w:eastAsia="宋体" w:cs="宋体"/>
          <w:color w:val="auto"/>
          <w:highlight w:val="none"/>
        </w:rPr>
      </w:pPr>
      <w:r>
        <w:rPr>
          <w:rFonts w:hint="eastAsia" w:ascii="宋体" w:hAnsi="宋体" w:eastAsia="宋体" w:cs="宋体"/>
          <w:color w:val="auto"/>
          <w:highlight w:val="none"/>
        </w:rPr>
        <w:t>招标人不得泄露招标投标活动中应当保密的情况和资料，不得与投标人串通损害国家利益、社会公共利益或者他人合法权益。</w:t>
      </w:r>
    </w:p>
    <w:p>
      <w:pPr>
        <w:pStyle w:val="10"/>
        <w:numPr>
          <w:ilvl w:val="1"/>
          <w:numId w:val="4"/>
        </w:numPr>
        <w:tabs>
          <w:tab w:val="left" w:pos="1440"/>
        </w:tabs>
        <w:spacing w:before="0" w:after="0" w:line="306" w:lineRule="exact"/>
        <w:ind w:left="1440" w:right="0" w:hanging="483"/>
        <w:jc w:val="left"/>
        <w:rPr>
          <w:rFonts w:hint="eastAsia" w:ascii="宋体" w:hAnsi="宋体" w:eastAsia="宋体" w:cs="宋体"/>
          <w:color w:val="auto"/>
          <w:highlight w:val="none"/>
        </w:rPr>
      </w:pPr>
      <w:r>
        <w:rPr>
          <w:rFonts w:hint="eastAsia" w:ascii="宋体" w:hAnsi="宋体" w:eastAsia="宋体" w:cs="宋体"/>
          <w:color w:val="auto"/>
          <w:w w:val="95"/>
          <w:highlight w:val="none"/>
        </w:rPr>
        <w:t>对投标人的纪律要求</w:t>
      </w:r>
    </w:p>
    <w:p>
      <w:pPr>
        <w:pStyle w:val="2"/>
        <w:spacing w:before="161" w:line="364" w:lineRule="auto"/>
        <w:ind w:left="477" w:right="635" w:firstLine="480"/>
        <w:jc w:val="both"/>
        <w:rPr>
          <w:rFonts w:hint="eastAsia" w:ascii="宋体" w:hAnsi="宋体" w:eastAsia="宋体" w:cs="宋体"/>
          <w:color w:val="auto"/>
          <w:highlight w:val="none"/>
        </w:rPr>
      </w:pPr>
      <w:r>
        <w:rPr>
          <w:rFonts w:hint="eastAsia" w:ascii="宋体" w:hAnsi="宋体" w:eastAsia="宋体" w:cs="宋体"/>
          <w:color w:val="auto"/>
          <w:spacing w:val="-1"/>
          <w:highlight w:val="none"/>
        </w:rPr>
        <w:t>投标人不得相互串通投标或者与招标人串通投标，不得向招标人或者评标委员会成员行贿谋取中标，不得以他人名义投标或者以其他方式弄虚作假骗取中标；投</w:t>
      </w:r>
      <w:r>
        <w:rPr>
          <w:rFonts w:hint="eastAsia" w:ascii="宋体" w:hAnsi="宋体" w:eastAsia="宋体" w:cs="宋体"/>
          <w:color w:val="auto"/>
          <w:highlight w:val="none"/>
        </w:rPr>
        <w:t>标人不得以任何方式干扰、影响评标工作。</w:t>
      </w:r>
    </w:p>
    <w:p>
      <w:pPr>
        <w:pStyle w:val="10"/>
        <w:numPr>
          <w:ilvl w:val="1"/>
          <w:numId w:val="4"/>
        </w:numPr>
        <w:tabs>
          <w:tab w:val="left" w:pos="1440"/>
        </w:tabs>
        <w:spacing w:before="0" w:after="0" w:line="307" w:lineRule="exact"/>
        <w:ind w:left="1440" w:right="0" w:hanging="483"/>
        <w:jc w:val="both"/>
        <w:rPr>
          <w:rFonts w:hint="eastAsia" w:ascii="宋体" w:hAnsi="宋体" w:eastAsia="宋体" w:cs="宋体"/>
          <w:color w:val="auto"/>
          <w:highlight w:val="none"/>
        </w:rPr>
      </w:pPr>
      <w:r>
        <w:rPr>
          <w:rFonts w:hint="eastAsia" w:ascii="宋体" w:hAnsi="宋体" w:eastAsia="宋体" w:cs="宋体"/>
          <w:color w:val="auto"/>
          <w:highlight w:val="none"/>
        </w:rPr>
        <w:t>对评标委员会成员的纪律要求</w:t>
      </w:r>
    </w:p>
    <w:p>
      <w:pPr>
        <w:pStyle w:val="2"/>
        <w:spacing w:before="158" w:line="364" w:lineRule="auto"/>
        <w:ind w:left="477" w:right="515" w:firstLine="480"/>
        <w:rPr>
          <w:rFonts w:hint="eastAsia" w:ascii="宋体" w:hAnsi="宋体" w:eastAsia="宋体" w:cs="宋体"/>
          <w:color w:val="auto"/>
          <w:highlight w:val="none"/>
        </w:rPr>
      </w:pPr>
      <w:r>
        <w:rPr>
          <w:rFonts w:hint="eastAsia" w:ascii="宋体" w:hAnsi="宋体" w:eastAsia="宋体" w:cs="宋体"/>
          <w:color w:val="auto"/>
          <w:highlight w:val="none"/>
        </w:rPr>
        <w:t>评标委员会成员不得收受他人的财物或者其他好处，不得向他人透露对投标文</w:t>
      </w:r>
      <w:r>
        <w:rPr>
          <w:rFonts w:hint="eastAsia" w:ascii="宋体" w:hAnsi="宋体" w:eastAsia="宋体" w:cs="宋体"/>
          <w:color w:val="auto"/>
          <w:spacing w:val="-11"/>
          <w:highlight w:val="none"/>
        </w:rPr>
        <w:t xml:space="preserve">件的评审和比较、中标候选人的推荐情况以及评标有关的其他情况。在评标活动中， </w:t>
      </w:r>
      <w:r>
        <w:rPr>
          <w:rFonts w:hint="eastAsia" w:ascii="宋体" w:hAnsi="宋体" w:eastAsia="宋体" w:cs="宋体"/>
          <w:color w:val="auto"/>
          <w:highlight w:val="none"/>
        </w:rPr>
        <w:t>评标委员会成员应当客观、公正地履行职责，遵守职业道德，不得擅离职守，影响评标程序正常进行，不得使用第三章“评标办法”没有规定的评审因素和标准进行评标。</w:t>
      </w:r>
    </w:p>
    <w:p>
      <w:pPr>
        <w:pStyle w:val="10"/>
        <w:numPr>
          <w:ilvl w:val="1"/>
          <w:numId w:val="4"/>
        </w:numPr>
        <w:tabs>
          <w:tab w:val="left" w:pos="1440"/>
        </w:tabs>
        <w:spacing w:before="0" w:after="0" w:line="306" w:lineRule="exact"/>
        <w:ind w:left="1440" w:right="0" w:hanging="483"/>
        <w:jc w:val="left"/>
        <w:rPr>
          <w:rFonts w:hint="eastAsia" w:ascii="宋体" w:hAnsi="宋体" w:eastAsia="宋体" w:cs="宋体"/>
          <w:color w:val="auto"/>
          <w:highlight w:val="none"/>
        </w:rPr>
      </w:pPr>
      <w:r>
        <w:rPr>
          <w:rFonts w:hint="eastAsia" w:ascii="宋体" w:hAnsi="宋体" w:eastAsia="宋体" w:cs="宋体"/>
          <w:color w:val="auto"/>
          <w:highlight w:val="none"/>
        </w:rPr>
        <w:t>对与评标活动有关的工作人员的纪律要求</w:t>
      </w:r>
    </w:p>
    <w:p>
      <w:pPr>
        <w:pStyle w:val="2"/>
        <w:spacing w:before="158" w:line="364" w:lineRule="auto"/>
        <w:ind w:left="477" w:right="635" w:firstLine="480"/>
        <w:rPr>
          <w:rFonts w:hint="eastAsia" w:ascii="宋体" w:hAnsi="宋体" w:eastAsia="宋体" w:cs="宋体"/>
          <w:color w:val="auto"/>
          <w:highlight w:val="none"/>
        </w:rPr>
      </w:pPr>
      <w:r>
        <w:rPr>
          <w:rFonts w:hint="eastAsia" w:ascii="宋体" w:hAnsi="宋体" w:eastAsia="宋体" w:cs="宋体"/>
          <w:color w:val="auto"/>
          <w:highlight w:val="none"/>
        </w:rPr>
        <w:t>与评标活动有关的工作人员不得收受他人的财物或者其他好处，不得向他人透露对投标文件的评审和比较、中标候选人的推荐情况以及评标有关的其他情况。在</w:t>
      </w:r>
      <w:bookmarkStart w:id="44" w:name="第三章  评标办法（综合评估法）"/>
      <w:bookmarkEnd w:id="44"/>
      <w:r>
        <w:rPr>
          <w:rFonts w:hint="eastAsia" w:ascii="宋体" w:hAnsi="宋体" w:eastAsia="宋体" w:cs="宋体"/>
          <w:color w:val="auto"/>
          <w:highlight w:val="none"/>
        </w:rPr>
        <w:t>评标活动中，与评标活动有关的工作人员不得擅离职守，影响评标程序正常进行。</w:t>
      </w:r>
    </w:p>
    <w:p>
      <w:pPr>
        <w:pStyle w:val="10"/>
        <w:numPr>
          <w:ilvl w:val="1"/>
          <w:numId w:val="4"/>
        </w:numPr>
        <w:tabs>
          <w:tab w:val="left" w:pos="1440"/>
        </w:tabs>
        <w:spacing w:before="161" w:after="0" w:line="240" w:lineRule="auto"/>
        <w:ind w:left="1440" w:right="0" w:hanging="483"/>
        <w:jc w:val="both"/>
        <w:rPr>
          <w:rFonts w:hint="eastAsia" w:ascii="宋体" w:hAnsi="宋体" w:eastAsia="宋体" w:cs="宋体"/>
          <w:color w:val="auto"/>
          <w:highlight w:val="none"/>
        </w:rPr>
      </w:pPr>
      <w:r>
        <w:rPr>
          <w:rFonts w:hint="eastAsia" w:ascii="宋体" w:hAnsi="宋体" w:eastAsia="宋体" w:cs="宋体"/>
          <w:color w:val="auto"/>
          <w:highlight w:val="none"/>
        </w:rPr>
        <w:t>投诉</w:t>
      </w:r>
    </w:p>
    <w:p>
      <w:pPr>
        <w:pStyle w:val="29"/>
        <w:numPr>
          <w:ilvl w:val="2"/>
          <w:numId w:val="4"/>
        </w:numPr>
        <w:tabs>
          <w:tab w:val="left" w:pos="1918"/>
        </w:tabs>
        <w:spacing w:before="158" w:after="0" w:line="364" w:lineRule="auto"/>
        <w:ind w:left="620" w:leftChars="0" w:right="635" w:firstLine="480" w:firstLineChars="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投标人或者其他利害关系人认为招标投标活动不符合法律、行政法规</w:t>
      </w:r>
      <w:r>
        <w:rPr>
          <w:rFonts w:hint="eastAsia" w:ascii="宋体" w:hAnsi="宋体" w:eastAsia="宋体" w:cs="宋体"/>
          <w:color w:val="auto"/>
          <w:sz w:val="24"/>
          <w:highlight w:val="none"/>
        </w:rPr>
        <w:t>规定的，可以自知道或者应当知道之日起</w:t>
      </w:r>
      <w:r>
        <w:rPr>
          <w:rFonts w:hint="eastAsia" w:ascii="宋体" w:hAnsi="宋体" w:eastAsia="宋体" w:cs="宋体"/>
          <w:color w:val="auto"/>
          <w:sz w:val="24"/>
          <w:highlight w:val="none"/>
          <w:lang w:val="en-US" w:eastAsia="zh-CN"/>
        </w:rPr>
        <w:t>7个工作</w:t>
      </w:r>
      <w:r>
        <w:rPr>
          <w:rFonts w:hint="eastAsia" w:ascii="宋体" w:hAnsi="宋体" w:eastAsia="宋体" w:cs="宋体"/>
          <w:color w:val="auto"/>
          <w:spacing w:val="-1"/>
          <w:sz w:val="24"/>
          <w:highlight w:val="none"/>
        </w:rPr>
        <w:t>日内向有关行政监督部门投诉。投诉</w:t>
      </w:r>
      <w:r>
        <w:rPr>
          <w:rFonts w:hint="eastAsia" w:ascii="宋体" w:hAnsi="宋体" w:eastAsia="宋体" w:cs="宋体"/>
          <w:color w:val="auto"/>
          <w:sz w:val="24"/>
          <w:highlight w:val="none"/>
        </w:rPr>
        <w:t>应当有明确的请求和必要的证明材料。</w:t>
      </w:r>
    </w:p>
    <w:p>
      <w:pPr>
        <w:pStyle w:val="29"/>
        <w:numPr>
          <w:ilvl w:val="2"/>
          <w:numId w:val="4"/>
        </w:numPr>
        <w:tabs>
          <w:tab w:val="left" w:pos="1917"/>
          <w:tab w:val="left" w:pos="1918"/>
        </w:tabs>
        <w:spacing w:before="0" w:after="0" w:line="364" w:lineRule="auto"/>
        <w:ind w:left="620" w:leftChars="0" w:right="515" w:firstLine="480" w:firstLineChars="0"/>
        <w:jc w:val="left"/>
        <w:rPr>
          <w:rFonts w:hint="eastAsia" w:ascii="宋体" w:hAnsi="宋体" w:eastAsia="宋体" w:cs="宋体"/>
          <w:color w:val="auto"/>
          <w:sz w:val="24"/>
          <w:highlight w:val="none"/>
        </w:rPr>
      </w:pPr>
      <w:r>
        <w:rPr>
          <w:rFonts w:hint="eastAsia" w:ascii="宋体" w:hAnsi="宋体" w:eastAsia="宋体" w:cs="宋体"/>
          <w:color w:val="auto"/>
          <w:spacing w:val="-8"/>
          <w:sz w:val="24"/>
          <w:highlight w:val="none"/>
        </w:rPr>
        <w:t xml:space="preserve">投标人或者其他利害关系人对招标文件、开标和评标结果提出投诉的， </w:t>
      </w:r>
      <w:r>
        <w:rPr>
          <w:rFonts w:hint="eastAsia" w:ascii="宋体" w:hAnsi="宋体" w:eastAsia="宋体" w:cs="宋体"/>
          <w:color w:val="auto"/>
          <w:sz w:val="24"/>
          <w:highlight w:val="none"/>
        </w:rPr>
        <w:t>应当按照投标人须知第 2.</w:t>
      </w:r>
      <w:r>
        <w:rPr>
          <w:rFonts w:hint="eastAsia" w:ascii="宋体" w:hAnsi="宋体" w:eastAsia="宋体" w:cs="宋体"/>
          <w:color w:val="auto"/>
          <w:sz w:val="24"/>
          <w:highlight w:val="none"/>
          <w:lang w:val="en-US" w:eastAsia="zh-CN"/>
        </w:rPr>
        <w:t>2.1</w:t>
      </w:r>
      <w:r>
        <w:rPr>
          <w:rFonts w:hint="eastAsia" w:ascii="宋体" w:hAnsi="宋体" w:eastAsia="宋体" w:cs="宋体"/>
          <w:color w:val="auto"/>
          <w:spacing w:val="3"/>
          <w:sz w:val="24"/>
          <w:highlight w:val="none"/>
        </w:rPr>
        <w:t xml:space="preserve"> 款、第 </w:t>
      </w:r>
      <w:r>
        <w:rPr>
          <w:rFonts w:hint="eastAsia" w:ascii="宋体" w:hAnsi="宋体" w:eastAsia="宋体" w:cs="宋体"/>
          <w:color w:val="auto"/>
          <w:sz w:val="24"/>
          <w:highlight w:val="none"/>
        </w:rPr>
        <w:t>5.3</w:t>
      </w:r>
      <w:r>
        <w:rPr>
          <w:rFonts w:hint="eastAsia" w:ascii="宋体" w:hAnsi="宋体" w:eastAsia="宋体" w:cs="宋体"/>
          <w:color w:val="auto"/>
          <w:spacing w:val="3"/>
          <w:sz w:val="24"/>
          <w:highlight w:val="none"/>
        </w:rPr>
        <w:t xml:space="preserve"> 款和第 </w:t>
      </w:r>
      <w:r>
        <w:rPr>
          <w:rFonts w:hint="eastAsia" w:ascii="宋体" w:hAnsi="宋体" w:eastAsia="宋体" w:cs="宋体"/>
          <w:color w:val="auto"/>
          <w:sz w:val="24"/>
          <w:highlight w:val="none"/>
        </w:rPr>
        <w:t>7.2 款的规定先向招标人提出异议。异议答复期间不计算在第 8.5.1</w:t>
      </w:r>
      <w:r>
        <w:rPr>
          <w:rFonts w:hint="eastAsia" w:ascii="宋体" w:hAnsi="宋体" w:eastAsia="宋体" w:cs="宋体"/>
          <w:color w:val="auto"/>
          <w:spacing w:val="-8"/>
          <w:sz w:val="24"/>
          <w:highlight w:val="none"/>
        </w:rPr>
        <w:t xml:space="preserve"> 项规定的期限内。</w:t>
      </w:r>
    </w:p>
    <w:p>
      <w:pPr>
        <w:pStyle w:val="2"/>
        <w:spacing w:before="9"/>
        <w:rPr>
          <w:rFonts w:hint="eastAsia" w:ascii="宋体" w:hAnsi="宋体" w:eastAsia="宋体" w:cs="宋体"/>
          <w:color w:val="auto"/>
          <w:sz w:val="18"/>
          <w:highlight w:val="none"/>
        </w:rPr>
      </w:pPr>
    </w:p>
    <w:p>
      <w:pPr>
        <w:pStyle w:val="8"/>
        <w:numPr>
          <w:ilvl w:val="0"/>
          <w:numId w:val="4"/>
        </w:numPr>
        <w:tabs>
          <w:tab w:val="left" w:pos="1039"/>
          <w:tab w:val="left" w:pos="1040"/>
        </w:tabs>
        <w:spacing w:before="0" w:after="0" w:line="240" w:lineRule="auto"/>
        <w:ind w:left="1039" w:right="0" w:hanging="563"/>
        <w:jc w:val="left"/>
        <w:outlineLvl w:val="1"/>
        <w:rPr>
          <w:rFonts w:hint="eastAsia" w:ascii="宋体" w:hAnsi="宋体" w:eastAsia="宋体" w:cs="宋体"/>
          <w:color w:val="auto"/>
          <w:highlight w:val="none"/>
        </w:rPr>
      </w:pPr>
      <w:bookmarkStart w:id="45" w:name="_bookmark12"/>
      <w:bookmarkEnd w:id="45"/>
      <w:bookmarkStart w:id="46" w:name="_bookmark12"/>
      <w:bookmarkEnd w:id="46"/>
      <w:bookmarkStart w:id="47" w:name="9.  是否采用电子招标投标"/>
      <w:bookmarkEnd w:id="47"/>
      <w:bookmarkStart w:id="48" w:name="_Toc1734"/>
      <w:r>
        <w:rPr>
          <w:rFonts w:hint="eastAsia" w:ascii="宋体" w:hAnsi="宋体" w:eastAsia="宋体" w:cs="宋体"/>
          <w:color w:val="auto"/>
          <w:highlight w:val="none"/>
        </w:rPr>
        <w:t>是否采用电子招标投标</w:t>
      </w:r>
      <w:bookmarkEnd w:id="48"/>
    </w:p>
    <w:p>
      <w:pPr>
        <w:pStyle w:val="2"/>
        <w:spacing w:before="243"/>
        <w:ind w:left="957"/>
        <w:rPr>
          <w:rFonts w:hint="eastAsia" w:ascii="宋体" w:hAnsi="宋体" w:eastAsia="宋体" w:cs="宋体"/>
          <w:color w:val="auto"/>
          <w:highlight w:val="none"/>
        </w:rPr>
      </w:pPr>
      <w:r>
        <w:rPr>
          <w:rFonts w:hint="eastAsia" w:ascii="宋体" w:hAnsi="宋体" w:eastAsia="宋体" w:cs="宋体"/>
          <w:color w:val="auto"/>
          <w:highlight w:val="none"/>
        </w:rPr>
        <w:t>本招标项目是否采用电子招标投标方式，见投标人须知前附表。</w:t>
      </w:r>
    </w:p>
    <w:p>
      <w:pPr>
        <w:pStyle w:val="2"/>
        <w:spacing w:before="4"/>
        <w:rPr>
          <w:rFonts w:hint="eastAsia" w:ascii="宋体" w:hAnsi="宋体" w:eastAsia="宋体" w:cs="宋体"/>
          <w:color w:val="auto"/>
          <w:sz w:val="31"/>
          <w:highlight w:val="none"/>
        </w:rPr>
      </w:pPr>
    </w:p>
    <w:p>
      <w:pPr>
        <w:pStyle w:val="8"/>
        <w:numPr>
          <w:ilvl w:val="0"/>
          <w:numId w:val="4"/>
        </w:numPr>
        <w:tabs>
          <w:tab w:val="left" w:pos="1180"/>
          <w:tab w:val="left" w:pos="1181"/>
        </w:tabs>
        <w:spacing w:before="0" w:after="0" w:line="240" w:lineRule="auto"/>
        <w:ind w:left="1180" w:right="0" w:hanging="704"/>
        <w:jc w:val="left"/>
        <w:outlineLvl w:val="1"/>
        <w:rPr>
          <w:rFonts w:hint="eastAsia" w:ascii="宋体" w:hAnsi="宋体" w:eastAsia="宋体" w:cs="宋体"/>
          <w:color w:val="auto"/>
          <w:highlight w:val="none"/>
        </w:rPr>
      </w:pPr>
      <w:bookmarkStart w:id="49" w:name="_bookmark13"/>
      <w:bookmarkEnd w:id="49"/>
      <w:bookmarkStart w:id="50" w:name="_bookmark13"/>
      <w:bookmarkEnd w:id="50"/>
      <w:bookmarkStart w:id="51" w:name="10.  需要补充的其他内容"/>
      <w:bookmarkEnd w:id="51"/>
      <w:bookmarkStart w:id="52" w:name="_Toc19020"/>
      <w:r>
        <w:rPr>
          <w:rFonts w:hint="eastAsia" w:ascii="宋体" w:hAnsi="宋体" w:eastAsia="宋体" w:cs="宋体"/>
          <w:color w:val="auto"/>
          <w:highlight w:val="none"/>
        </w:rPr>
        <w:t>需要补充的其他内容</w:t>
      </w:r>
      <w:bookmarkEnd w:id="52"/>
    </w:p>
    <w:p>
      <w:pPr>
        <w:pStyle w:val="2"/>
        <w:spacing w:before="243"/>
        <w:ind w:left="957"/>
        <w:rPr>
          <w:rFonts w:hint="eastAsia" w:ascii="宋体" w:hAnsi="宋体" w:eastAsia="宋体" w:cs="宋体"/>
          <w:color w:val="auto"/>
          <w:highlight w:val="none"/>
        </w:rPr>
      </w:pPr>
      <w:r>
        <w:rPr>
          <w:rFonts w:hint="eastAsia" w:ascii="宋体" w:hAnsi="宋体" w:eastAsia="宋体" w:cs="宋体"/>
          <w:color w:val="auto"/>
          <w:highlight w:val="none"/>
        </w:rPr>
        <w:t>需要补充的其他内容：见投标人须知前附表。</w:t>
      </w: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6"/>
        <w:tabs>
          <w:tab w:val="left" w:pos="1444"/>
        </w:tabs>
        <w:spacing w:before="49"/>
        <w:outlineLvl w:val="0"/>
        <w:rPr>
          <w:rFonts w:hint="eastAsia" w:ascii="宋体" w:hAnsi="宋体" w:eastAsia="宋体" w:cs="宋体"/>
          <w:color w:val="auto"/>
          <w:highlight w:val="none"/>
        </w:rPr>
      </w:pPr>
      <w:bookmarkStart w:id="53" w:name="_Toc15834"/>
      <w:r>
        <w:rPr>
          <w:rFonts w:hint="eastAsia" w:ascii="宋体" w:hAnsi="宋体" w:eastAsia="宋体" w:cs="宋体"/>
          <w:color w:val="auto"/>
          <w:highlight w:val="none"/>
        </w:rPr>
        <w:t>第三章</w:t>
      </w:r>
      <w:r>
        <w:rPr>
          <w:rFonts w:hint="eastAsia" w:ascii="宋体" w:hAnsi="宋体" w:eastAsia="宋体" w:cs="宋体"/>
          <w:color w:val="auto"/>
          <w:highlight w:val="none"/>
        </w:rPr>
        <w:tab/>
      </w:r>
      <w:r>
        <w:rPr>
          <w:rFonts w:hint="eastAsia" w:ascii="宋体" w:hAnsi="宋体" w:eastAsia="宋体" w:cs="宋体"/>
          <w:color w:val="auto"/>
          <w:highlight w:val="none"/>
        </w:rPr>
        <w:t>评标办法（</w:t>
      </w:r>
      <w:r>
        <w:rPr>
          <w:rFonts w:hint="eastAsia" w:ascii="宋体" w:hAnsi="宋体" w:eastAsia="宋体" w:cs="宋体"/>
          <w:color w:val="auto"/>
          <w:highlight w:val="none"/>
          <w:lang w:eastAsia="zh-CN"/>
        </w:rPr>
        <w:t>综合评分法</w:t>
      </w:r>
      <w:r>
        <w:rPr>
          <w:rFonts w:hint="eastAsia" w:ascii="宋体" w:hAnsi="宋体" w:eastAsia="宋体" w:cs="宋体"/>
          <w:color w:val="auto"/>
          <w:highlight w:val="none"/>
        </w:rPr>
        <w:t>）</w:t>
      </w:r>
      <w:bookmarkEnd w:id="53"/>
    </w:p>
    <w:p>
      <w:pPr>
        <w:pStyle w:val="2"/>
        <w:spacing w:before="2"/>
        <w:rPr>
          <w:rFonts w:hint="eastAsia" w:ascii="宋体" w:hAnsi="宋体" w:eastAsia="宋体" w:cs="宋体"/>
          <w:b/>
          <w:color w:val="auto"/>
          <w:sz w:val="26"/>
          <w:highlight w:val="none"/>
        </w:rPr>
      </w:pPr>
    </w:p>
    <w:p>
      <w:pPr>
        <w:pStyle w:val="7"/>
        <w:spacing w:before="0"/>
        <w:ind w:left="3036" w:right="0"/>
        <w:jc w:val="left"/>
        <w:outlineLvl w:val="1"/>
        <w:rPr>
          <w:rFonts w:hint="eastAsia" w:ascii="宋体" w:hAnsi="宋体" w:eastAsia="宋体" w:cs="宋体"/>
          <w:color w:val="auto"/>
          <w:highlight w:val="none"/>
        </w:rPr>
      </w:pPr>
      <w:bookmarkStart w:id="54" w:name="评标办法前附表"/>
      <w:bookmarkEnd w:id="54"/>
      <w:bookmarkStart w:id="55" w:name="_bookmark15"/>
      <w:bookmarkEnd w:id="55"/>
      <w:bookmarkStart w:id="56" w:name="_Toc27840"/>
      <w:r>
        <w:rPr>
          <w:rFonts w:hint="eastAsia" w:ascii="宋体" w:hAnsi="宋体" w:eastAsia="宋体" w:cs="宋体"/>
          <w:color w:val="auto"/>
          <w:highlight w:val="none"/>
        </w:rPr>
        <w:t>评标办法前附表</w:t>
      </w:r>
      <w:bookmarkEnd w:id="56"/>
    </w:p>
    <w:tbl>
      <w:tblPr>
        <w:tblStyle w:val="20"/>
        <w:tblW w:w="9464" w:type="dxa"/>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200"/>
        <w:gridCol w:w="600"/>
        <w:gridCol w:w="1046"/>
        <w:gridCol w:w="812"/>
        <w:gridCol w:w="6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530" w:type="dxa"/>
            <w:gridSpan w:val="3"/>
          </w:tcPr>
          <w:p>
            <w:pPr>
              <w:pStyle w:val="28"/>
              <w:spacing w:before="3"/>
              <w:rPr>
                <w:rFonts w:hint="eastAsia" w:ascii="宋体" w:hAnsi="宋体" w:eastAsia="宋体" w:cs="宋体"/>
                <w:b/>
                <w:color w:val="auto"/>
                <w:sz w:val="14"/>
                <w:highlight w:val="none"/>
              </w:rPr>
            </w:pPr>
          </w:p>
          <w:p>
            <w:pPr>
              <w:pStyle w:val="28"/>
              <w:ind w:left="45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条款号</w:t>
            </w:r>
          </w:p>
        </w:tc>
        <w:tc>
          <w:tcPr>
            <w:tcW w:w="1858" w:type="dxa"/>
            <w:gridSpan w:val="2"/>
          </w:tcPr>
          <w:p>
            <w:pPr>
              <w:pStyle w:val="28"/>
              <w:spacing w:before="3"/>
              <w:rPr>
                <w:rFonts w:hint="eastAsia" w:ascii="宋体" w:hAnsi="宋体" w:eastAsia="宋体" w:cs="宋体"/>
                <w:b/>
                <w:color w:val="auto"/>
                <w:sz w:val="14"/>
                <w:highlight w:val="none"/>
              </w:rPr>
            </w:pPr>
          </w:p>
          <w:p>
            <w:pPr>
              <w:pStyle w:val="28"/>
              <w:ind w:left="99" w:right="85"/>
              <w:jc w:val="center"/>
              <w:rPr>
                <w:rFonts w:hint="eastAsia" w:ascii="宋体" w:hAnsi="宋体" w:eastAsia="宋体" w:cs="宋体"/>
                <w:b/>
                <w:color w:val="auto"/>
                <w:sz w:val="21"/>
                <w:highlight w:val="none"/>
              </w:rPr>
            </w:pPr>
            <w:r>
              <w:rPr>
                <w:rFonts w:hint="eastAsia" w:ascii="宋体" w:hAnsi="宋体" w:eastAsia="宋体" w:cs="宋体"/>
                <w:b/>
                <w:color w:val="auto"/>
                <w:sz w:val="21"/>
                <w:highlight w:val="none"/>
              </w:rPr>
              <w:t>评审因素</w:t>
            </w:r>
          </w:p>
        </w:tc>
        <w:tc>
          <w:tcPr>
            <w:tcW w:w="6076" w:type="dxa"/>
          </w:tcPr>
          <w:p>
            <w:pPr>
              <w:pStyle w:val="28"/>
              <w:spacing w:before="3"/>
              <w:rPr>
                <w:rFonts w:hint="eastAsia" w:ascii="宋体" w:hAnsi="宋体" w:eastAsia="宋体" w:cs="宋体"/>
                <w:b/>
                <w:color w:val="auto"/>
                <w:sz w:val="14"/>
                <w:highlight w:val="none"/>
              </w:rPr>
            </w:pPr>
          </w:p>
          <w:p>
            <w:pPr>
              <w:pStyle w:val="28"/>
              <w:ind w:left="2267" w:right="2258"/>
              <w:jc w:val="center"/>
              <w:rPr>
                <w:rFonts w:hint="eastAsia" w:ascii="宋体" w:hAnsi="宋体" w:eastAsia="宋体" w:cs="宋体"/>
                <w:b/>
                <w:color w:val="auto"/>
                <w:sz w:val="21"/>
                <w:highlight w:val="none"/>
              </w:rPr>
            </w:pPr>
            <w:r>
              <w:rPr>
                <w:rFonts w:hint="eastAsia" w:ascii="宋体" w:hAnsi="宋体" w:eastAsia="宋体" w:cs="宋体"/>
                <w:b/>
                <w:color w:val="auto"/>
                <w:sz w:val="21"/>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930" w:type="dxa"/>
            <w:gridSpan w:val="2"/>
          </w:tcPr>
          <w:p>
            <w:pPr>
              <w:pStyle w:val="28"/>
              <w:rPr>
                <w:rFonts w:hint="eastAsia" w:ascii="宋体" w:hAnsi="宋体" w:eastAsia="宋体" w:cs="宋体"/>
                <w:b/>
                <w:color w:val="auto"/>
                <w:sz w:val="20"/>
                <w:highlight w:val="none"/>
              </w:rPr>
            </w:pPr>
          </w:p>
          <w:p>
            <w:pPr>
              <w:pStyle w:val="28"/>
              <w:spacing w:before="12"/>
              <w:rPr>
                <w:rFonts w:hint="eastAsia" w:ascii="宋体" w:hAnsi="宋体" w:eastAsia="宋体" w:cs="宋体"/>
                <w:b/>
                <w:color w:val="auto"/>
                <w:sz w:val="17"/>
                <w:highlight w:val="none"/>
              </w:rPr>
            </w:pPr>
          </w:p>
          <w:p>
            <w:pPr>
              <w:pStyle w:val="28"/>
              <w:ind w:left="9"/>
              <w:jc w:val="center"/>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1</w:t>
            </w:r>
          </w:p>
        </w:tc>
        <w:tc>
          <w:tcPr>
            <w:tcW w:w="600" w:type="dxa"/>
          </w:tcPr>
          <w:p>
            <w:pPr>
              <w:pStyle w:val="28"/>
              <w:spacing w:line="242" w:lineRule="auto"/>
              <w:ind w:left="0" w:leftChars="0" w:right="0" w:rightChars="0"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评标方法</w:t>
            </w:r>
          </w:p>
        </w:tc>
        <w:tc>
          <w:tcPr>
            <w:tcW w:w="1858" w:type="dxa"/>
            <w:gridSpan w:val="2"/>
          </w:tcPr>
          <w:p>
            <w:pPr>
              <w:pStyle w:val="28"/>
              <w:spacing w:line="242" w:lineRule="auto"/>
              <w:ind w:left="855" w:right="109" w:hanging="735"/>
              <w:rPr>
                <w:rFonts w:hint="eastAsia" w:ascii="宋体" w:hAnsi="宋体" w:eastAsia="宋体" w:cs="宋体"/>
                <w:color w:val="auto"/>
                <w:sz w:val="21"/>
                <w:highlight w:val="none"/>
              </w:rPr>
            </w:pPr>
          </w:p>
          <w:p>
            <w:pPr>
              <w:pStyle w:val="28"/>
              <w:spacing w:line="242" w:lineRule="auto"/>
              <w:ind w:left="855" w:right="109" w:hanging="735"/>
              <w:rPr>
                <w:rFonts w:hint="eastAsia" w:ascii="宋体" w:hAnsi="宋体" w:eastAsia="宋体" w:cs="宋体"/>
                <w:color w:val="auto"/>
                <w:sz w:val="21"/>
                <w:highlight w:val="none"/>
              </w:rPr>
            </w:pPr>
            <w:r>
              <w:rPr>
                <w:rFonts w:hint="eastAsia" w:ascii="宋体" w:hAnsi="宋体" w:eastAsia="宋体" w:cs="宋体"/>
                <w:color w:val="auto"/>
                <w:sz w:val="21"/>
                <w:highlight w:val="none"/>
              </w:rPr>
              <w:t>中标候选人排序方法</w:t>
            </w:r>
          </w:p>
        </w:tc>
        <w:tc>
          <w:tcPr>
            <w:tcW w:w="6076" w:type="dxa"/>
          </w:tcPr>
          <w:p>
            <w:pPr>
              <w:pStyle w:val="28"/>
              <w:spacing w:line="242" w:lineRule="auto"/>
              <w:ind w:right="109"/>
              <w:rPr>
                <w:rFonts w:hint="eastAsia" w:ascii="宋体" w:hAnsi="宋体" w:eastAsia="宋体" w:cs="宋体"/>
                <w:color w:val="auto"/>
                <w:sz w:val="21"/>
                <w:highlight w:val="none"/>
              </w:rPr>
            </w:pPr>
            <w:r>
              <w:rPr>
                <w:rFonts w:hint="eastAsia" w:ascii="宋体" w:hAnsi="宋体" w:eastAsia="宋体" w:cs="宋体"/>
                <w:color w:val="auto"/>
                <w:sz w:val="21"/>
                <w:highlight w:val="none"/>
              </w:rPr>
              <w:t>按照投标人得分由高到低顺序推荐中标候选人。综合评分相等时，以投标报价低的优先；投标报价也相等的，以技术得分高的优先；如果技术得分也相等，随机抽取决定先后顺序。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restart"/>
          </w:tcPr>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spacing w:before="6"/>
              <w:rPr>
                <w:rFonts w:hint="eastAsia" w:ascii="宋体" w:hAnsi="宋体" w:eastAsia="宋体" w:cs="宋体"/>
                <w:b/>
                <w:color w:val="auto"/>
                <w:sz w:val="28"/>
                <w:highlight w:val="none"/>
              </w:rPr>
            </w:pPr>
          </w:p>
          <w:p>
            <w:pPr>
              <w:pStyle w:val="28"/>
              <w:spacing w:before="1"/>
              <w:ind w:left="201"/>
              <w:rPr>
                <w:rFonts w:hint="eastAsia" w:ascii="宋体" w:hAnsi="宋体" w:eastAsia="宋体" w:cs="宋体"/>
                <w:color w:val="auto"/>
                <w:sz w:val="21"/>
                <w:highlight w:val="none"/>
              </w:rPr>
            </w:pPr>
            <w:r>
              <w:rPr>
                <w:rFonts w:hint="eastAsia" w:ascii="宋体" w:hAnsi="宋体" w:eastAsia="宋体" w:cs="宋体"/>
                <w:color w:val="auto"/>
                <w:sz w:val="21"/>
                <w:highlight w:val="none"/>
              </w:rPr>
              <w:t>2.1.1</w:t>
            </w:r>
          </w:p>
        </w:tc>
        <w:tc>
          <w:tcPr>
            <w:tcW w:w="600" w:type="dxa"/>
            <w:vMerge w:val="restart"/>
          </w:tcPr>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spacing w:before="2"/>
              <w:rPr>
                <w:rFonts w:hint="eastAsia" w:ascii="宋体" w:hAnsi="宋体" w:eastAsia="宋体" w:cs="宋体"/>
                <w:b/>
                <w:color w:val="auto"/>
                <w:sz w:val="27"/>
                <w:highlight w:val="none"/>
              </w:rPr>
            </w:pPr>
          </w:p>
          <w:p>
            <w:pPr>
              <w:pStyle w:val="28"/>
              <w:spacing w:line="242" w:lineRule="auto"/>
              <w:ind w:left="89" w:right="8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资格</w:t>
            </w:r>
            <w:r>
              <w:rPr>
                <w:rFonts w:hint="eastAsia" w:ascii="宋体" w:hAnsi="宋体" w:eastAsia="宋体" w:cs="宋体"/>
                <w:color w:val="auto"/>
                <w:sz w:val="21"/>
                <w:highlight w:val="none"/>
              </w:rPr>
              <w:t>评审标准</w:t>
            </w:r>
          </w:p>
        </w:tc>
        <w:tc>
          <w:tcPr>
            <w:tcW w:w="1858" w:type="dxa"/>
            <w:gridSpan w:val="2"/>
            <w:vAlign w:val="center"/>
          </w:tcPr>
          <w:p>
            <w:pPr>
              <w:pStyle w:val="30"/>
              <w:rPr>
                <w:rFonts w:hint="eastAsia" w:ascii="宋体" w:hAnsi="宋体" w:eastAsia="宋体" w:cs="宋体"/>
                <w:b/>
                <w:color w:val="auto"/>
                <w:sz w:val="21"/>
                <w:szCs w:val="21"/>
                <w:highlight w:val="none"/>
                <w:lang w:val="en-US" w:eastAsia="zh-CN" w:bidi="ar-SA"/>
              </w:rPr>
            </w:pPr>
            <w:r>
              <w:rPr>
                <w:rFonts w:hint="eastAsia" w:ascii="宋体" w:hAnsi="宋体" w:eastAsia="宋体" w:cs="宋体"/>
                <w:b w:val="0"/>
                <w:bCs/>
                <w:color w:val="auto"/>
                <w:sz w:val="21"/>
                <w:szCs w:val="21"/>
                <w:highlight w:val="none"/>
              </w:rPr>
              <w:t>具有独立承担民事责任的能力</w:t>
            </w:r>
          </w:p>
        </w:tc>
        <w:tc>
          <w:tcPr>
            <w:tcW w:w="6076" w:type="dxa"/>
            <w:vAlign w:val="center"/>
          </w:tcPr>
          <w:p>
            <w:pPr>
              <w:pStyle w:val="30"/>
              <w:rPr>
                <w:rFonts w:hint="eastAsia" w:ascii="宋体" w:hAnsi="宋体" w:eastAsia="宋体" w:cs="宋体"/>
                <w:b/>
                <w:color w:val="auto"/>
                <w:sz w:val="21"/>
                <w:szCs w:val="21"/>
                <w:highlight w:val="none"/>
                <w:lang w:val="en-US" w:eastAsia="zh-CN" w:bidi="ar-SA"/>
              </w:rPr>
            </w:pPr>
            <w:r>
              <w:rPr>
                <w:rFonts w:hint="eastAsia" w:ascii="宋体" w:hAnsi="宋体" w:eastAsia="宋体" w:cs="宋体"/>
                <w:b w:val="0"/>
                <w:bCs/>
                <w:color w:val="auto"/>
                <w:sz w:val="21"/>
                <w:szCs w:val="21"/>
                <w:highlight w:val="none"/>
              </w:rPr>
              <w:t>如供应商是企业（包括合伙企业），应提供在工商部门注册的有效“企业法人营业执照”或“营业执照”（三证或五证合一）；如供应商是事业单位，应提供有效的“事业单位法人证书”；供应商是非企业专业服务机构的，应提供执业许可证等证明文件；如供应商是个体工商户，应提供有效的“个体工商户营业执照”；如供应商是自然人，应提供有效的自然人身份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Pr>
          <w:p>
            <w:pPr>
              <w:pStyle w:val="28"/>
              <w:spacing w:before="1"/>
              <w:ind w:left="201"/>
              <w:rPr>
                <w:rFonts w:hint="eastAsia" w:ascii="宋体" w:hAnsi="宋体" w:eastAsia="宋体" w:cs="宋体"/>
                <w:color w:val="auto"/>
                <w:sz w:val="21"/>
                <w:highlight w:val="none"/>
              </w:rPr>
            </w:pPr>
          </w:p>
        </w:tc>
        <w:tc>
          <w:tcPr>
            <w:tcW w:w="600" w:type="dxa"/>
            <w:vMerge w:val="continue"/>
          </w:tcPr>
          <w:p>
            <w:pPr>
              <w:pStyle w:val="28"/>
              <w:spacing w:line="242" w:lineRule="auto"/>
              <w:ind w:left="89" w:right="80"/>
              <w:jc w:val="both"/>
              <w:rPr>
                <w:rFonts w:hint="eastAsia" w:ascii="宋体" w:hAnsi="宋体" w:eastAsia="宋体" w:cs="宋体"/>
                <w:color w:val="auto"/>
                <w:sz w:val="21"/>
                <w:highlight w:val="none"/>
                <w:lang w:val="en-US" w:eastAsia="zh-CN"/>
              </w:rPr>
            </w:pPr>
          </w:p>
        </w:tc>
        <w:tc>
          <w:tcPr>
            <w:tcW w:w="1858" w:type="dxa"/>
            <w:gridSpan w:val="2"/>
            <w:vAlign w:val="center"/>
          </w:tcPr>
          <w:p>
            <w:pPr>
              <w:pStyle w:val="30"/>
              <w:rPr>
                <w:rFonts w:hint="eastAsia" w:ascii="宋体" w:hAnsi="宋体" w:eastAsia="宋体" w:cs="宋体"/>
                <w:b/>
                <w:color w:val="auto"/>
                <w:sz w:val="21"/>
                <w:szCs w:val="21"/>
                <w:highlight w:val="none"/>
                <w:lang w:val="en-US" w:eastAsia="zh-CN" w:bidi="ar-SA"/>
              </w:rPr>
            </w:pPr>
            <w:r>
              <w:rPr>
                <w:rFonts w:hint="eastAsia" w:ascii="宋体" w:hAnsi="宋体" w:eastAsia="宋体" w:cs="宋体"/>
                <w:b w:val="0"/>
                <w:bCs/>
                <w:color w:val="auto"/>
                <w:sz w:val="21"/>
                <w:szCs w:val="21"/>
                <w:highlight w:val="none"/>
              </w:rPr>
              <w:t>具有良好的商业信誉和健全的财务会计制度</w:t>
            </w:r>
          </w:p>
        </w:tc>
        <w:tc>
          <w:tcPr>
            <w:tcW w:w="6076" w:type="dxa"/>
            <w:vAlign w:val="center"/>
          </w:tcPr>
          <w:p>
            <w:pPr>
              <w:pStyle w:val="30"/>
              <w:rPr>
                <w:rFonts w:hint="eastAsia" w:ascii="宋体" w:hAnsi="宋体" w:eastAsia="宋体" w:cs="宋体"/>
                <w:b/>
                <w:color w:val="auto"/>
                <w:sz w:val="21"/>
                <w:szCs w:val="21"/>
                <w:highlight w:val="none"/>
                <w:lang w:val="en-US" w:eastAsia="zh-CN" w:bidi="ar-SA"/>
              </w:rPr>
            </w:pPr>
            <w:r>
              <w:rPr>
                <w:rFonts w:hint="eastAsia" w:ascii="宋体" w:hAnsi="宋体" w:eastAsia="宋体" w:cs="宋体"/>
                <w:b w:val="0"/>
                <w:bCs/>
                <w:color w:val="auto"/>
                <w:sz w:val="21"/>
                <w:szCs w:val="21"/>
                <w:highlight w:val="none"/>
              </w:rPr>
              <w:t>供应商是法人的，法人单位成立一年以上的须提供投标截止日前上一年度经审计的财务审计报告复印件加盖公章或基本开户银行在投标截止日前三个月内开具的资信证明；法人单位成立一年以内的须提供成立当月至投标截止日前上个月的财务报表复印件加盖公章（须包括资产负债表、利润表、现金流量表等）或基本开户银行在投标截止日前三个月内开具的资信证明（原件或该原件的复印件，复印件须加盖供应商公章，银行存款证明无效）；法人单位成立三个月以内的须提供基本开户银行开具的资信证明（原件或该原件的复印件，复印件须加盖供应商公章，银行存款证明无效），或自行编写具有良好的商业信誉和健全的财务会计制度的承诺书；供应商是其他组织或自然人的，须提供银行出具的资信证明原件或自行编写具有良好的商业信誉和健全的财务会计制度的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Pr>
          <w:p>
            <w:pPr>
              <w:pStyle w:val="28"/>
              <w:spacing w:before="1"/>
              <w:ind w:left="201"/>
              <w:rPr>
                <w:rFonts w:hint="eastAsia" w:ascii="宋体" w:hAnsi="宋体" w:eastAsia="宋体" w:cs="宋体"/>
                <w:color w:val="auto"/>
                <w:sz w:val="21"/>
                <w:highlight w:val="none"/>
              </w:rPr>
            </w:pPr>
          </w:p>
        </w:tc>
        <w:tc>
          <w:tcPr>
            <w:tcW w:w="600" w:type="dxa"/>
            <w:vMerge w:val="continue"/>
          </w:tcPr>
          <w:p>
            <w:pPr>
              <w:pStyle w:val="28"/>
              <w:spacing w:line="242" w:lineRule="auto"/>
              <w:ind w:left="89" w:right="80"/>
              <w:jc w:val="both"/>
              <w:rPr>
                <w:rFonts w:hint="eastAsia" w:ascii="宋体" w:hAnsi="宋体" w:eastAsia="宋体" w:cs="宋体"/>
                <w:color w:val="auto"/>
                <w:sz w:val="21"/>
                <w:highlight w:val="none"/>
                <w:lang w:val="en-US" w:eastAsia="zh-CN"/>
              </w:rPr>
            </w:pPr>
          </w:p>
        </w:tc>
        <w:tc>
          <w:tcPr>
            <w:tcW w:w="1858" w:type="dxa"/>
            <w:gridSpan w:val="2"/>
            <w:vAlign w:val="center"/>
          </w:tcPr>
          <w:p>
            <w:pPr>
              <w:pStyle w:val="30"/>
              <w:rPr>
                <w:rFonts w:hint="eastAsia" w:ascii="宋体" w:hAnsi="宋体" w:eastAsia="宋体" w:cs="宋体"/>
                <w:b/>
                <w:color w:val="auto"/>
                <w:sz w:val="21"/>
                <w:szCs w:val="21"/>
                <w:highlight w:val="none"/>
                <w:lang w:val="en-US" w:eastAsia="zh-CN" w:bidi="ar-SA"/>
              </w:rPr>
            </w:pPr>
            <w:r>
              <w:rPr>
                <w:rFonts w:hint="eastAsia" w:ascii="宋体" w:hAnsi="宋体" w:eastAsia="宋体" w:cs="宋体"/>
                <w:b w:val="0"/>
                <w:bCs/>
                <w:color w:val="auto"/>
                <w:sz w:val="21"/>
                <w:szCs w:val="21"/>
                <w:highlight w:val="none"/>
              </w:rPr>
              <w:t>有依法缴纳税收和社会保障资金的良好记录</w:t>
            </w:r>
          </w:p>
        </w:tc>
        <w:tc>
          <w:tcPr>
            <w:tcW w:w="6076" w:type="dxa"/>
            <w:vAlign w:val="center"/>
          </w:tcPr>
          <w:p>
            <w:pPr>
              <w:pStyle w:val="30"/>
              <w:numPr>
                <w:ilvl w:val="0"/>
                <w:numId w:val="16"/>
              </w:numP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供应商依法缴纳税收的证明材料：本项目投标截止时间前6个月内（至少提供1个月）缴纳税收的凭据（完税证、缴款书、印花税票、银行代扣（代缴）转账凭证等均可）；</w:t>
            </w:r>
          </w:p>
          <w:p>
            <w:pPr>
              <w:pStyle w:val="30"/>
              <w:numPr>
                <w:ilvl w:val="0"/>
                <w:numId w:val="16"/>
              </w:numP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依法免税的供应商，须提供相应文件证明其依法免税。</w:t>
            </w:r>
          </w:p>
          <w:p>
            <w:pPr>
              <w:pStyle w:val="30"/>
              <w:numPr>
                <w:ilvl w:val="0"/>
                <w:numId w:val="16"/>
              </w:numP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供应商依法缴纳社会保障资金的证明材料：本项目投标截止时间时间前6个月内（至少提供1个月）缴纳社会保险的凭据（专用收据或社会保险交纳清单）；</w:t>
            </w:r>
          </w:p>
          <w:p>
            <w:pPr>
              <w:pStyle w:val="30"/>
              <w:numPr>
                <w:ilvl w:val="0"/>
                <w:numId w:val="16"/>
              </w:numP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供应商为其他组织或自然人的，也需要按此项规定提供缴纳税收的凭据和交纳社会保险的凭据。</w:t>
            </w:r>
          </w:p>
          <w:p>
            <w:pPr>
              <w:pStyle w:val="30"/>
              <w:rPr>
                <w:rFonts w:hint="eastAsia" w:ascii="宋体" w:hAnsi="宋体" w:eastAsia="宋体" w:cs="宋体"/>
                <w:b/>
                <w:color w:val="auto"/>
                <w:sz w:val="21"/>
                <w:szCs w:val="21"/>
                <w:highlight w:val="none"/>
                <w:lang w:val="en-US" w:eastAsia="zh-CN" w:bidi="ar-SA"/>
              </w:rPr>
            </w:pPr>
            <w:r>
              <w:rPr>
                <w:rFonts w:hint="eastAsia" w:ascii="宋体" w:hAnsi="宋体" w:eastAsia="宋体" w:cs="宋体"/>
                <w:b w:val="0"/>
                <w:bCs/>
                <w:color w:val="auto"/>
                <w:sz w:val="21"/>
                <w:szCs w:val="21"/>
                <w:highlight w:val="none"/>
              </w:rPr>
              <w:t>5、依法不需要缴纳社会保障资金的供应商，须提供相应文件证明其依法不需要缴纳社会保障资金。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Pr>
          <w:p>
            <w:pPr>
              <w:pStyle w:val="28"/>
              <w:spacing w:before="1"/>
              <w:ind w:left="201"/>
              <w:rPr>
                <w:rFonts w:hint="eastAsia" w:ascii="宋体" w:hAnsi="宋体" w:eastAsia="宋体" w:cs="宋体"/>
                <w:color w:val="auto"/>
                <w:sz w:val="21"/>
                <w:highlight w:val="none"/>
              </w:rPr>
            </w:pPr>
          </w:p>
        </w:tc>
        <w:tc>
          <w:tcPr>
            <w:tcW w:w="600" w:type="dxa"/>
            <w:vMerge w:val="continue"/>
          </w:tcPr>
          <w:p>
            <w:pPr>
              <w:pStyle w:val="28"/>
              <w:spacing w:line="242" w:lineRule="auto"/>
              <w:ind w:left="89" w:right="80"/>
              <w:jc w:val="both"/>
              <w:rPr>
                <w:rFonts w:hint="eastAsia" w:ascii="宋体" w:hAnsi="宋体" w:eastAsia="宋体" w:cs="宋体"/>
                <w:color w:val="auto"/>
                <w:sz w:val="21"/>
                <w:highlight w:val="none"/>
                <w:lang w:val="en-US" w:eastAsia="zh-CN"/>
              </w:rPr>
            </w:pPr>
          </w:p>
        </w:tc>
        <w:tc>
          <w:tcPr>
            <w:tcW w:w="1858" w:type="dxa"/>
            <w:gridSpan w:val="2"/>
            <w:vAlign w:val="center"/>
          </w:tcPr>
          <w:p>
            <w:pPr>
              <w:pStyle w:val="30"/>
              <w:rPr>
                <w:rFonts w:hint="eastAsia" w:ascii="宋体" w:hAnsi="宋体" w:eastAsia="宋体" w:cs="宋体"/>
                <w:b/>
                <w:color w:val="auto"/>
                <w:sz w:val="21"/>
                <w:szCs w:val="21"/>
                <w:highlight w:val="none"/>
                <w:lang w:val="en-US" w:eastAsia="zh-CN" w:bidi="ar-SA"/>
              </w:rPr>
            </w:pPr>
            <w:r>
              <w:rPr>
                <w:rFonts w:hint="eastAsia" w:ascii="宋体" w:hAnsi="宋体" w:eastAsia="宋体" w:cs="宋体"/>
                <w:b w:val="0"/>
                <w:bCs/>
                <w:color w:val="auto"/>
                <w:sz w:val="21"/>
                <w:szCs w:val="21"/>
                <w:highlight w:val="none"/>
              </w:rPr>
              <w:t>具有履行合同所必需的设备和专业技术能力</w:t>
            </w:r>
          </w:p>
        </w:tc>
        <w:tc>
          <w:tcPr>
            <w:tcW w:w="6076" w:type="dxa"/>
            <w:vAlign w:val="center"/>
          </w:tcPr>
          <w:p>
            <w:pPr>
              <w:pStyle w:val="30"/>
              <w:rPr>
                <w:rFonts w:hint="eastAsia" w:ascii="宋体" w:hAnsi="宋体" w:eastAsia="宋体" w:cs="宋体"/>
                <w:b/>
                <w:color w:val="auto"/>
                <w:sz w:val="21"/>
                <w:szCs w:val="21"/>
                <w:highlight w:val="none"/>
                <w:lang w:val="en-US" w:eastAsia="zh-CN" w:bidi="ar-SA"/>
              </w:rPr>
            </w:pPr>
            <w:r>
              <w:rPr>
                <w:rFonts w:hint="eastAsia" w:ascii="宋体" w:hAnsi="宋体" w:eastAsia="宋体" w:cs="宋体"/>
                <w:b w:val="0"/>
                <w:bCs/>
                <w:color w:val="auto"/>
                <w:sz w:val="21"/>
                <w:szCs w:val="21"/>
                <w:highlight w:val="none"/>
              </w:rPr>
              <w:t>供应商履行合同所必须的设备和专业技术能力的证明材料或声明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Pr>
          <w:p>
            <w:pPr>
              <w:pStyle w:val="28"/>
              <w:spacing w:before="1"/>
              <w:ind w:left="201"/>
              <w:rPr>
                <w:rFonts w:hint="eastAsia" w:ascii="宋体" w:hAnsi="宋体" w:eastAsia="宋体" w:cs="宋体"/>
                <w:color w:val="auto"/>
                <w:sz w:val="21"/>
                <w:highlight w:val="none"/>
              </w:rPr>
            </w:pPr>
          </w:p>
        </w:tc>
        <w:tc>
          <w:tcPr>
            <w:tcW w:w="600" w:type="dxa"/>
            <w:vMerge w:val="continue"/>
          </w:tcPr>
          <w:p>
            <w:pPr>
              <w:pStyle w:val="28"/>
              <w:spacing w:line="242" w:lineRule="auto"/>
              <w:ind w:left="89" w:right="80"/>
              <w:jc w:val="both"/>
              <w:rPr>
                <w:rFonts w:hint="eastAsia" w:ascii="宋体" w:hAnsi="宋体" w:eastAsia="宋体" w:cs="宋体"/>
                <w:color w:val="auto"/>
                <w:sz w:val="21"/>
                <w:highlight w:val="none"/>
                <w:lang w:val="en-US" w:eastAsia="zh-CN"/>
              </w:rPr>
            </w:pPr>
          </w:p>
        </w:tc>
        <w:tc>
          <w:tcPr>
            <w:tcW w:w="1858" w:type="dxa"/>
            <w:gridSpan w:val="2"/>
            <w:vAlign w:val="center"/>
          </w:tcPr>
          <w:p>
            <w:pPr>
              <w:pStyle w:val="30"/>
              <w:rPr>
                <w:rFonts w:hint="eastAsia" w:ascii="宋体" w:hAnsi="宋体" w:eastAsia="宋体" w:cs="宋体"/>
                <w:b/>
                <w:color w:val="auto"/>
                <w:sz w:val="21"/>
                <w:szCs w:val="21"/>
                <w:highlight w:val="none"/>
                <w:lang w:val="en-US" w:eastAsia="zh-CN" w:bidi="ar-SA"/>
              </w:rPr>
            </w:pPr>
            <w:r>
              <w:rPr>
                <w:rFonts w:hint="eastAsia" w:ascii="宋体" w:hAnsi="宋体" w:eastAsia="宋体" w:cs="宋体"/>
                <w:b w:val="0"/>
                <w:bCs/>
                <w:color w:val="auto"/>
                <w:sz w:val="21"/>
                <w:szCs w:val="21"/>
                <w:highlight w:val="none"/>
              </w:rPr>
              <w:t>参加政府采购活动前三年内，在经营活动中没有重大违法记录</w:t>
            </w:r>
          </w:p>
        </w:tc>
        <w:tc>
          <w:tcPr>
            <w:tcW w:w="6076" w:type="dxa"/>
            <w:vAlign w:val="center"/>
          </w:tcPr>
          <w:p>
            <w:pPr>
              <w:pStyle w:val="30"/>
              <w:rPr>
                <w:rFonts w:hint="eastAsia" w:ascii="宋体" w:hAnsi="宋体" w:eastAsia="宋体" w:cs="宋体"/>
                <w:b/>
                <w:color w:val="auto"/>
                <w:sz w:val="21"/>
                <w:szCs w:val="21"/>
                <w:highlight w:val="none"/>
                <w:lang w:val="en-US" w:eastAsia="zh-CN" w:bidi="ar-SA"/>
              </w:rPr>
            </w:pPr>
            <w:r>
              <w:rPr>
                <w:rFonts w:hint="eastAsia" w:ascii="宋体" w:hAnsi="宋体" w:eastAsia="宋体" w:cs="宋体"/>
                <w:b w:val="0"/>
                <w:bCs/>
                <w:color w:val="auto"/>
                <w:sz w:val="21"/>
                <w:szCs w:val="21"/>
                <w:highlight w:val="none"/>
              </w:rPr>
              <w:t>参加政府采购活动前 3 年内在经营活动中没有重大违法记录的书面声明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Pr>
          <w:p>
            <w:pPr>
              <w:pStyle w:val="28"/>
              <w:spacing w:before="1"/>
              <w:ind w:left="201"/>
              <w:rPr>
                <w:rFonts w:hint="eastAsia" w:ascii="宋体" w:hAnsi="宋体" w:eastAsia="宋体" w:cs="宋体"/>
                <w:color w:val="auto"/>
                <w:sz w:val="21"/>
                <w:highlight w:val="none"/>
              </w:rPr>
            </w:pPr>
          </w:p>
        </w:tc>
        <w:tc>
          <w:tcPr>
            <w:tcW w:w="600" w:type="dxa"/>
            <w:vMerge w:val="continue"/>
          </w:tcPr>
          <w:p>
            <w:pPr>
              <w:pStyle w:val="28"/>
              <w:spacing w:line="242" w:lineRule="auto"/>
              <w:ind w:left="89" w:right="80"/>
              <w:jc w:val="both"/>
              <w:rPr>
                <w:rFonts w:hint="eastAsia" w:ascii="宋体" w:hAnsi="宋体" w:eastAsia="宋体" w:cs="宋体"/>
                <w:color w:val="auto"/>
                <w:sz w:val="21"/>
                <w:highlight w:val="none"/>
                <w:lang w:val="en-US" w:eastAsia="zh-CN"/>
              </w:rPr>
            </w:pPr>
          </w:p>
        </w:tc>
        <w:tc>
          <w:tcPr>
            <w:tcW w:w="1858" w:type="dxa"/>
            <w:gridSpan w:val="2"/>
            <w:vAlign w:val="center"/>
          </w:tcPr>
          <w:p>
            <w:pPr>
              <w:pStyle w:val="30"/>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rPr>
              <w:t>供应商未列入失信被执行人、重大税收违法案件当事人名单、政府采购严重违法失信行为记录名单</w:t>
            </w:r>
          </w:p>
        </w:tc>
        <w:tc>
          <w:tcPr>
            <w:tcW w:w="6076" w:type="dxa"/>
            <w:vAlign w:val="center"/>
          </w:tcPr>
          <w:p>
            <w:pPr>
              <w:pStyle w:val="30"/>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rPr>
              <w:t>“信用中国”网站或“中国政府采购网”查询信息：1）未被列入失信被执行人； 2）不是重大税收违法案件当事人名单的供应商； 3）未被列入政府采购严重违法失信行为记录名单。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Pr>
          <w:p>
            <w:pPr>
              <w:pStyle w:val="28"/>
              <w:spacing w:before="1"/>
              <w:ind w:left="201"/>
              <w:rPr>
                <w:rFonts w:hint="eastAsia" w:ascii="宋体" w:hAnsi="宋体" w:eastAsia="宋体" w:cs="宋体"/>
                <w:color w:val="auto"/>
                <w:sz w:val="21"/>
                <w:highlight w:val="none"/>
              </w:rPr>
            </w:pPr>
          </w:p>
        </w:tc>
        <w:tc>
          <w:tcPr>
            <w:tcW w:w="600" w:type="dxa"/>
            <w:vMerge w:val="continue"/>
          </w:tcPr>
          <w:p>
            <w:pPr>
              <w:pStyle w:val="28"/>
              <w:spacing w:line="242" w:lineRule="auto"/>
              <w:ind w:left="89" w:right="80"/>
              <w:jc w:val="both"/>
              <w:rPr>
                <w:rFonts w:hint="eastAsia" w:ascii="宋体" w:hAnsi="宋体" w:eastAsia="宋体" w:cs="宋体"/>
                <w:color w:val="auto"/>
                <w:sz w:val="21"/>
                <w:highlight w:val="none"/>
                <w:lang w:val="en-US" w:eastAsia="zh-CN"/>
              </w:rPr>
            </w:pPr>
          </w:p>
        </w:tc>
        <w:tc>
          <w:tcPr>
            <w:tcW w:w="1858" w:type="dxa"/>
            <w:gridSpan w:val="2"/>
            <w:vAlign w:val="top"/>
          </w:tcPr>
          <w:p>
            <w:pPr>
              <w:pStyle w:val="28"/>
              <w:spacing w:before="147"/>
              <w:ind w:left="96" w:leftChars="0" w:right="90" w:rightChars="0"/>
              <w:jc w:val="center"/>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联合体投标人</w:t>
            </w:r>
          </w:p>
        </w:tc>
        <w:tc>
          <w:tcPr>
            <w:tcW w:w="6076" w:type="dxa"/>
            <w:vAlign w:val="top"/>
          </w:tcPr>
          <w:p>
            <w:pPr>
              <w:pStyle w:val="28"/>
              <w:spacing w:before="147"/>
              <w:ind w:left="84" w:leftChars="0" w:right="0" w:rightChars="0"/>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符合第二章“投标人须知”第1.4.2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Pr>
          <w:p>
            <w:pPr>
              <w:pStyle w:val="28"/>
              <w:spacing w:before="1"/>
              <w:ind w:left="201"/>
              <w:rPr>
                <w:rFonts w:hint="eastAsia" w:ascii="宋体" w:hAnsi="宋体" w:eastAsia="宋体" w:cs="宋体"/>
                <w:color w:val="auto"/>
                <w:sz w:val="21"/>
                <w:highlight w:val="none"/>
              </w:rPr>
            </w:pPr>
          </w:p>
        </w:tc>
        <w:tc>
          <w:tcPr>
            <w:tcW w:w="600" w:type="dxa"/>
            <w:vMerge w:val="continue"/>
          </w:tcPr>
          <w:p>
            <w:pPr>
              <w:pStyle w:val="28"/>
              <w:spacing w:line="242" w:lineRule="auto"/>
              <w:ind w:left="89" w:right="80"/>
              <w:jc w:val="both"/>
              <w:rPr>
                <w:rFonts w:hint="eastAsia" w:ascii="宋体" w:hAnsi="宋体" w:eastAsia="宋体" w:cs="宋体"/>
                <w:color w:val="auto"/>
                <w:sz w:val="21"/>
                <w:highlight w:val="none"/>
                <w:lang w:val="en-US" w:eastAsia="zh-CN"/>
              </w:rPr>
            </w:pPr>
          </w:p>
        </w:tc>
        <w:tc>
          <w:tcPr>
            <w:tcW w:w="1858" w:type="dxa"/>
            <w:gridSpan w:val="2"/>
            <w:vAlign w:val="top"/>
          </w:tcPr>
          <w:p>
            <w:pPr>
              <w:pStyle w:val="28"/>
              <w:spacing w:before="147"/>
              <w:ind w:left="99" w:leftChars="0" w:right="90" w:rightChars="0"/>
              <w:jc w:val="center"/>
              <w:rPr>
                <w:rFonts w:hint="eastAsia" w:ascii="宋体" w:hAnsi="宋体" w:eastAsia="宋体" w:cs="宋体"/>
                <w:color w:val="auto"/>
                <w:sz w:val="21"/>
                <w:szCs w:val="22"/>
                <w:highlight w:val="none"/>
                <w:lang w:val="en-US" w:eastAsia="zh-CN" w:bidi="zh-CN"/>
              </w:rPr>
            </w:pPr>
            <w:r>
              <w:rPr>
                <w:rFonts w:hint="eastAsia" w:ascii="宋体" w:hAnsi="宋体" w:eastAsia="宋体" w:cs="宋体"/>
                <w:color w:val="auto"/>
                <w:sz w:val="21"/>
                <w:highlight w:val="none"/>
              </w:rPr>
              <w:t>资质要求</w:t>
            </w:r>
          </w:p>
        </w:tc>
        <w:tc>
          <w:tcPr>
            <w:tcW w:w="6076" w:type="dxa"/>
            <w:vAlign w:val="top"/>
          </w:tcPr>
          <w:p>
            <w:pPr>
              <w:pStyle w:val="28"/>
              <w:spacing w:before="147"/>
              <w:ind w:left="84" w:leftChars="0" w:right="0" w:rightChars="0"/>
              <w:rPr>
                <w:rFonts w:hint="eastAsia" w:ascii="宋体" w:hAnsi="宋体" w:eastAsia="宋体" w:cs="宋体"/>
                <w:color w:val="auto"/>
                <w:sz w:val="21"/>
                <w:szCs w:val="22"/>
                <w:highlight w:val="none"/>
                <w:lang w:val="en-US" w:eastAsia="zh-CN" w:bidi="zh-CN"/>
              </w:rPr>
            </w:pPr>
            <w:r>
              <w:rPr>
                <w:rFonts w:hint="eastAsia" w:ascii="宋体" w:hAnsi="宋体" w:eastAsia="宋体" w:cs="宋体"/>
                <w:color w:val="auto"/>
                <w:sz w:val="21"/>
                <w:highlight w:val="none"/>
              </w:rPr>
              <w:t>符合第二章“投标人须知”第1.4.1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restart"/>
          </w:tcPr>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spacing w:before="8"/>
              <w:rPr>
                <w:rFonts w:hint="eastAsia" w:ascii="宋体" w:hAnsi="宋体" w:eastAsia="宋体" w:cs="宋体"/>
                <w:b/>
                <w:color w:val="auto"/>
                <w:sz w:val="26"/>
                <w:highlight w:val="none"/>
              </w:rPr>
            </w:pPr>
          </w:p>
          <w:p>
            <w:pPr>
              <w:pStyle w:val="28"/>
              <w:ind w:left="201"/>
              <w:rPr>
                <w:rFonts w:hint="eastAsia" w:ascii="宋体" w:hAnsi="宋体" w:eastAsia="宋体" w:cs="宋体"/>
                <w:color w:val="auto"/>
                <w:sz w:val="21"/>
                <w:highlight w:val="none"/>
              </w:rPr>
            </w:pPr>
            <w:r>
              <w:rPr>
                <w:rFonts w:hint="eastAsia" w:ascii="宋体" w:hAnsi="宋体" w:eastAsia="宋体" w:cs="宋体"/>
                <w:color w:val="auto"/>
                <w:sz w:val="21"/>
                <w:highlight w:val="none"/>
              </w:rPr>
              <w:t>2.1.2</w:t>
            </w:r>
          </w:p>
        </w:tc>
        <w:tc>
          <w:tcPr>
            <w:tcW w:w="600" w:type="dxa"/>
            <w:vMerge w:val="restart"/>
          </w:tcPr>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rPr>
                <w:rFonts w:hint="eastAsia" w:ascii="宋体" w:hAnsi="宋体" w:eastAsia="宋体" w:cs="宋体"/>
                <w:b/>
                <w:color w:val="auto"/>
                <w:sz w:val="20"/>
                <w:highlight w:val="none"/>
              </w:rPr>
            </w:pPr>
          </w:p>
          <w:p>
            <w:pPr>
              <w:pStyle w:val="28"/>
              <w:spacing w:before="3"/>
              <w:rPr>
                <w:rFonts w:hint="eastAsia" w:ascii="宋体" w:hAnsi="宋体" w:eastAsia="宋体" w:cs="宋体"/>
                <w:b/>
                <w:color w:val="auto"/>
                <w:sz w:val="25"/>
                <w:highlight w:val="none"/>
              </w:rPr>
            </w:pPr>
          </w:p>
          <w:p>
            <w:pPr>
              <w:pStyle w:val="28"/>
              <w:spacing w:line="242" w:lineRule="auto"/>
              <w:ind w:left="89" w:right="8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符合性</w:t>
            </w:r>
            <w:r>
              <w:rPr>
                <w:rFonts w:hint="eastAsia" w:ascii="宋体" w:hAnsi="宋体" w:eastAsia="宋体" w:cs="宋体"/>
                <w:color w:val="auto"/>
                <w:sz w:val="21"/>
                <w:highlight w:val="none"/>
              </w:rPr>
              <w:t>评审标准</w:t>
            </w:r>
          </w:p>
        </w:tc>
        <w:tc>
          <w:tcPr>
            <w:tcW w:w="1858" w:type="dxa"/>
            <w:gridSpan w:val="2"/>
            <w:vAlign w:val="top"/>
          </w:tcPr>
          <w:p>
            <w:pPr>
              <w:pStyle w:val="28"/>
              <w:spacing w:before="147"/>
              <w:ind w:left="99" w:leftChars="0" w:right="90" w:rightChars="0"/>
              <w:jc w:val="center"/>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投标文件签字盖章</w:t>
            </w:r>
          </w:p>
        </w:tc>
        <w:tc>
          <w:tcPr>
            <w:tcW w:w="6076" w:type="dxa"/>
            <w:vAlign w:val="top"/>
          </w:tcPr>
          <w:p>
            <w:pPr>
              <w:pStyle w:val="28"/>
              <w:spacing w:before="147"/>
              <w:ind w:left="84" w:leftChars="0" w:right="0" w:rightChars="0"/>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符合第二章“投标人须知”第 3.5 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Borders>
              <w:top w:val="nil"/>
            </w:tcBorders>
          </w:tcPr>
          <w:p>
            <w:pPr>
              <w:rPr>
                <w:rFonts w:hint="eastAsia" w:ascii="宋体" w:hAnsi="宋体" w:eastAsia="宋体" w:cs="宋体"/>
                <w:color w:val="auto"/>
                <w:sz w:val="2"/>
                <w:szCs w:val="2"/>
                <w:highlight w:val="none"/>
              </w:rPr>
            </w:pPr>
          </w:p>
        </w:tc>
        <w:tc>
          <w:tcPr>
            <w:tcW w:w="600" w:type="dxa"/>
            <w:vMerge w:val="continue"/>
            <w:tcBorders>
              <w:top w:val="nil"/>
            </w:tcBorders>
          </w:tcPr>
          <w:p>
            <w:pPr>
              <w:rPr>
                <w:rFonts w:hint="eastAsia" w:ascii="宋体" w:hAnsi="宋体" w:eastAsia="宋体" w:cs="宋体"/>
                <w:color w:val="auto"/>
                <w:sz w:val="2"/>
                <w:szCs w:val="2"/>
                <w:highlight w:val="none"/>
              </w:rPr>
            </w:pPr>
          </w:p>
        </w:tc>
        <w:tc>
          <w:tcPr>
            <w:tcW w:w="1858" w:type="dxa"/>
            <w:gridSpan w:val="2"/>
            <w:vAlign w:val="top"/>
          </w:tcPr>
          <w:p>
            <w:pPr>
              <w:pStyle w:val="28"/>
              <w:spacing w:before="147"/>
              <w:ind w:left="99" w:leftChars="0" w:right="90" w:rightChars="0"/>
              <w:jc w:val="center"/>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投标内容</w:t>
            </w:r>
          </w:p>
        </w:tc>
        <w:tc>
          <w:tcPr>
            <w:tcW w:w="6076" w:type="dxa"/>
            <w:vAlign w:val="top"/>
          </w:tcPr>
          <w:p>
            <w:pPr>
              <w:pStyle w:val="28"/>
              <w:spacing w:before="147"/>
              <w:ind w:left="84" w:leftChars="0" w:right="0" w:rightChars="0"/>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符合第二章“投标人须知”第1.3.1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Borders>
              <w:top w:val="nil"/>
            </w:tcBorders>
          </w:tcPr>
          <w:p>
            <w:pPr>
              <w:rPr>
                <w:rFonts w:hint="eastAsia" w:ascii="宋体" w:hAnsi="宋体" w:eastAsia="宋体" w:cs="宋体"/>
                <w:color w:val="auto"/>
                <w:sz w:val="2"/>
                <w:szCs w:val="2"/>
                <w:highlight w:val="none"/>
              </w:rPr>
            </w:pPr>
          </w:p>
        </w:tc>
        <w:tc>
          <w:tcPr>
            <w:tcW w:w="600" w:type="dxa"/>
            <w:vMerge w:val="continue"/>
            <w:tcBorders>
              <w:top w:val="nil"/>
            </w:tcBorders>
          </w:tcPr>
          <w:p>
            <w:pPr>
              <w:rPr>
                <w:rFonts w:hint="eastAsia" w:ascii="宋体" w:hAnsi="宋体" w:eastAsia="宋体" w:cs="宋体"/>
                <w:color w:val="auto"/>
                <w:sz w:val="2"/>
                <w:szCs w:val="2"/>
                <w:highlight w:val="none"/>
              </w:rPr>
            </w:pPr>
          </w:p>
        </w:tc>
        <w:tc>
          <w:tcPr>
            <w:tcW w:w="1858" w:type="dxa"/>
            <w:gridSpan w:val="2"/>
            <w:vAlign w:val="top"/>
          </w:tcPr>
          <w:p>
            <w:pPr>
              <w:pStyle w:val="28"/>
              <w:spacing w:before="148"/>
              <w:ind w:left="99" w:leftChars="0" w:right="90" w:rightChars="0"/>
              <w:jc w:val="center"/>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交货及完工期</w:t>
            </w:r>
          </w:p>
        </w:tc>
        <w:tc>
          <w:tcPr>
            <w:tcW w:w="6076" w:type="dxa"/>
            <w:vAlign w:val="top"/>
          </w:tcPr>
          <w:p>
            <w:pPr>
              <w:pStyle w:val="28"/>
              <w:spacing w:before="148"/>
              <w:ind w:left="84" w:leftChars="0" w:right="0" w:rightChars="0"/>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符合第二章“投标人须知”第1.3.2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Borders>
              <w:top w:val="nil"/>
            </w:tcBorders>
          </w:tcPr>
          <w:p>
            <w:pPr>
              <w:rPr>
                <w:rFonts w:hint="eastAsia" w:ascii="宋体" w:hAnsi="宋体" w:eastAsia="宋体" w:cs="宋体"/>
                <w:color w:val="auto"/>
                <w:sz w:val="2"/>
                <w:szCs w:val="2"/>
                <w:highlight w:val="none"/>
              </w:rPr>
            </w:pPr>
          </w:p>
        </w:tc>
        <w:tc>
          <w:tcPr>
            <w:tcW w:w="600" w:type="dxa"/>
            <w:vMerge w:val="continue"/>
            <w:tcBorders>
              <w:top w:val="nil"/>
            </w:tcBorders>
          </w:tcPr>
          <w:p>
            <w:pPr>
              <w:rPr>
                <w:rFonts w:hint="eastAsia" w:ascii="宋体" w:hAnsi="宋体" w:eastAsia="宋体" w:cs="宋体"/>
                <w:color w:val="auto"/>
                <w:sz w:val="2"/>
                <w:szCs w:val="2"/>
                <w:highlight w:val="none"/>
              </w:rPr>
            </w:pPr>
          </w:p>
        </w:tc>
        <w:tc>
          <w:tcPr>
            <w:tcW w:w="1858" w:type="dxa"/>
            <w:gridSpan w:val="2"/>
            <w:vAlign w:val="top"/>
          </w:tcPr>
          <w:p>
            <w:pPr>
              <w:pStyle w:val="28"/>
              <w:spacing w:before="148"/>
              <w:ind w:left="99" w:leftChars="0" w:right="90" w:rightChars="0"/>
              <w:jc w:val="center"/>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项目地点</w:t>
            </w:r>
          </w:p>
        </w:tc>
        <w:tc>
          <w:tcPr>
            <w:tcW w:w="6076" w:type="dxa"/>
            <w:vAlign w:val="top"/>
          </w:tcPr>
          <w:p>
            <w:pPr>
              <w:pStyle w:val="28"/>
              <w:spacing w:before="148"/>
              <w:ind w:left="84" w:leftChars="0" w:right="0" w:rightChars="0"/>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符合第二章“投标人须知”第1.3.3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Borders>
              <w:top w:val="nil"/>
            </w:tcBorders>
          </w:tcPr>
          <w:p>
            <w:pPr>
              <w:rPr>
                <w:rFonts w:hint="eastAsia" w:ascii="宋体" w:hAnsi="宋体" w:eastAsia="宋体" w:cs="宋体"/>
                <w:color w:val="auto"/>
                <w:sz w:val="2"/>
                <w:szCs w:val="2"/>
                <w:highlight w:val="none"/>
              </w:rPr>
            </w:pPr>
          </w:p>
        </w:tc>
        <w:tc>
          <w:tcPr>
            <w:tcW w:w="600" w:type="dxa"/>
            <w:vMerge w:val="continue"/>
            <w:tcBorders>
              <w:top w:val="nil"/>
            </w:tcBorders>
          </w:tcPr>
          <w:p>
            <w:pPr>
              <w:rPr>
                <w:rFonts w:hint="eastAsia" w:ascii="宋体" w:hAnsi="宋体" w:eastAsia="宋体" w:cs="宋体"/>
                <w:color w:val="auto"/>
                <w:sz w:val="2"/>
                <w:szCs w:val="2"/>
                <w:highlight w:val="none"/>
              </w:rPr>
            </w:pPr>
          </w:p>
        </w:tc>
        <w:tc>
          <w:tcPr>
            <w:tcW w:w="1858" w:type="dxa"/>
            <w:gridSpan w:val="2"/>
            <w:vAlign w:val="top"/>
          </w:tcPr>
          <w:p>
            <w:pPr>
              <w:pStyle w:val="28"/>
              <w:spacing w:before="149"/>
              <w:ind w:left="99" w:leftChars="0" w:right="90" w:rightChars="0"/>
              <w:jc w:val="center"/>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投标有效期</w:t>
            </w:r>
          </w:p>
        </w:tc>
        <w:tc>
          <w:tcPr>
            <w:tcW w:w="6076" w:type="dxa"/>
            <w:vAlign w:val="top"/>
          </w:tcPr>
          <w:p>
            <w:pPr>
              <w:pStyle w:val="28"/>
              <w:spacing w:before="149"/>
              <w:ind w:left="84" w:leftChars="0" w:right="0" w:rightChars="0"/>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符合第二章“投标人须知”第3.3.1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Borders>
              <w:top w:val="nil"/>
            </w:tcBorders>
          </w:tcPr>
          <w:p>
            <w:pPr>
              <w:rPr>
                <w:rFonts w:hint="eastAsia" w:ascii="宋体" w:hAnsi="宋体" w:eastAsia="宋体" w:cs="宋体"/>
                <w:color w:val="auto"/>
                <w:sz w:val="2"/>
                <w:szCs w:val="2"/>
                <w:highlight w:val="none"/>
              </w:rPr>
            </w:pPr>
          </w:p>
        </w:tc>
        <w:tc>
          <w:tcPr>
            <w:tcW w:w="600" w:type="dxa"/>
            <w:vMerge w:val="continue"/>
            <w:tcBorders>
              <w:top w:val="nil"/>
            </w:tcBorders>
          </w:tcPr>
          <w:p>
            <w:pPr>
              <w:rPr>
                <w:rFonts w:hint="eastAsia" w:ascii="宋体" w:hAnsi="宋体" w:eastAsia="宋体" w:cs="宋体"/>
                <w:color w:val="auto"/>
                <w:sz w:val="2"/>
                <w:szCs w:val="2"/>
                <w:highlight w:val="none"/>
              </w:rPr>
            </w:pPr>
          </w:p>
        </w:tc>
        <w:tc>
          <w:tcPr>
            <w:tcW w:w="1858" w:type="dxa"/>
            <w:gridSpan w:val="2"/>
            <w:vAlign w:val="top"/>
          </w:tcPr>
          <w:p>
            <w:pPr>
              <w:pStyle w:val="28"/>
              <w:spacing w:before="148"/>
              <w:ind w:left="99" w:leftChars="0" w:right="90" w:rightChars="0"/>
              <w:jc w:val="center"/>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投标保证金</w:t>
            </w:r>
          </w:p>
        </w:tc>
        <w:tc>
          <w:tcPr>
            <w:tcW w:w="6076" w:type="dxa"/>
            <w:vAlign w:val="top"/>
          </w:tcPr>
          <w:p>
            <w:pPr>
              <w:pStyle w:val="28"/>
              <w:spacing w:before="148"/>
              <w:ind w:left="84" w:leftChars="0" w:right="0" w:rightChars="0"/>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符合第二章“投标人须知”第3.4.1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Borders>
              <w:top w:val="nil"/>
            </w:tcBorders>
          </w:tcPr>
          <w:p>
            <w:pPr>
              <w:rPr>
                <w:rFonts w:hint="eastAsia" w:ascii="宋体" w:hAnsi="宋体" w:eastAsia="宋体" w:cs="宋体"/>
                <w:color w:val="auto"/>
                <w:sz w:val="2"/>
                <w:szCs w:val="2"/>
                <w:highlight w:val="none"/>
              </w:rPr>
            </w:pPr>
          </w:p>
        </w:tc>
        <w:tc>
          <w:tcPr>
            <w:tcW w:w="600" w:type="dxa"/>
            <w:vMerge w:val="continue"/>
            <w:tcBorders>
              <w:top w:val="nil"/>
            </w:tcBorders>
          </w:tcPr>
          <w:p>
            <w:pPr>
              <w:rPr>
                <w:rFonts w:hint="eastAsia" w:ascii="宋体" w:hAnsi="宋体" w:eastAsia="宋体" w:cs="宋体"/>
                <w:color w:val="auto"/>
                <w:sz w:val="2"/>
                <w:szCs w:val="2"/>
                <w:highlight w:val="none"/>
              </w:rPr>
            </w:pPr>
          </w:p>
        </w:tc>
        <w:tc>
          <w:tcPr>
            <w:tcW w:w="1858" w:type="dxa"/>
            <w:gridSpan w:val="2"/>
            <w:vAlign w:val="top"/>
          </w:tcPr>
          <w:p>
            <w:pPr>
              <w:pStyle w:val="28"/>
              <w:spacing w:before="148"/>
              <w:ind w:left="99" w:leftChars="0" w:right="90" w:rightChars="0"/>
              <w:jc w:val="center"/>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其他要求</w:t>
            </w:r>
          </w:p>
        </w:tc>
        <w:tc>
          <w:tcPr>
            <w:tcW w:w="6076" w:type="dxa"/>
            <w:vAlign w:val="top"/>
          </w:tcPr>
          <w:p>
            <w:pPr>
              <w:pStyle w:val="28"/>
              <w:spacing w:before="148"/>
              <w:ind w:left="84" w:leftChars="0" w:right="0" w:rightChars="0"/>
              <w:rPr>
                <w:rFonts w:hint="eastAsia" w:ascii="宋体" w:hAnsi="宋体" w:eastAsia="宋体" w:cs="宋体"/>
                <w:color w:val="auto"/>
                <w:sz w:val="21"/>
                <w:szCs w:val="22"/>
                <w:highlight w:val="none"/>
                <w:lang w:val="zh-CN" w:eastAsia="zh-CN" w:bidi="zh-CN"/>
              </w:rPr>
            </w:pPr>
            <w:r>
              <w:rPr>
                <w:rFonts w:hint="eastAsia" w:ascii="宋体" w:hAnsi="宋体" w:eastAsia="宋体" w:cs="宋体"/>
                <w:color w:val="auto"/>
                <w:sz w:val="21"/>
                <w:highlight w:val="none"/>
              </w:rPr>
              <w:t>符合第二章“投标人须知”第1.4.1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Borders>
              <w:top w:val="nil"/>
            </w:tcBorders>
          </w:tcPr>
          <w:p>
            <w:pPr>
              <w:rPr>
                <w:rFonts w:hint="eastAsia" w:ascii="宋体" w:hAnsi="宋体" w:eastAsia="宋体" w:cs="宋体"/>
                <w:color w:val="auto"/>
                <w:sz w:val="2"/>
                <w:szCs w:val="2"/>
                <w:highlight w:val="none"/>
              </w:rPr>
            </w:pPr>
          </w:p>
        </w:tc>
        <w:tc>
          <w:tcPr>
            <w:tcW w:w="600" w:type="dxa"/>
            <w:vMerge w:val="continue"/>
            <w:tcBorders>
              <w:top w:val="nil"/>
            </w:tcBorders>
          </w:tcPr>
          <w:p>
            <w:pPr>
              <w:rPr>
                <w:rFonts w:hint="eastAsia" w:ascii="宋体" w:hAnsi="宋体" w:eastAsia="宋体" w:cs="宋体"/>
                <w:color w:val="auto"/>
                <w:sz w:val="2"/>
                <w:szCs w:val="2"/>
                <w:highlight w:val="none"/>
              </w:rPr>
            </w:pPr>
          </w:p>
        </w:tc>
        <w:tc>
          <w:tcPr>
            <w:tcW w:w="1858" w:type="dxa"/>
            <w:gridSpan w:val="2"/>
            <w:vAlign w:val="top"/>
          </w:tcPr>
          <w:p>
            <w:pPr>
              <w:pStyle w:val="28"/>
              <w:spacing w:before="149"/>
              <w:ind w:left="84" w:leftChars="0" w:right="0" w:rightChars="0"/>
              <w:jc w:val="center"/>
              <w:rPr>
                <w:rFonts w:hint="eastAsia" w:ascii="宋体" w:hAnsi="宋体" w:eastAsia="宋体" w:cs="宋体"/>
                <w:color w:val="auto"/>
                <w:sz w:val="21"/>
                <w:highlight w:val="none"/>
                <w:lang w:val="zh-CN" w:eastAsia="zh-CN"/>
              </w:rPr>
            </w:pPr>
            <w:r>
              <w:rPr>
                <w:rFonts w:hint="eastAsia" w:ascii="宋体" w:hAnsi="宋体" w:eastAsia="宋体" w:cs="宋体"/>
                <w:color w:val="auto"/>
                <w:sz w:val="21"/>
                <w:highlight w:val="none"/>
                <w:lang w:val="zh-CN" w:eastAsia="zh-CN"/>
              </w:rPr>
              <w:t>投标报价</w:t>
            </w:r>
          </w:p>
        </w:tc>
        <w:tc>
          <w:tcPr>
            <w:tcW w:w="6076" w:type="dxa"/>
            <w:vAlign w:val="top"/>
          </w:tcPr>
          <w:p>
            <w:pPr>
              <w:pStyle w:val="28"/>
              <w:spacing w:before="149"/>
              <w:ind w:left="84" w:leftChars="0" w:right="0" w:rightChars="0"/>
              <w:rPr>
                <w:rFonts w:hint="eastAsia" w:ascii="宋体" w:hAnsi="宋体" w:eastAsia="宋体" w:cs="宋体"/>
                <w:color w:val="auto"/>
                <w:sz w:val="21"/>
                <w:highlight w:val="none"/>
                <w:lang w:val="zh-CN" w:eastAsia="zh-CN"/>
              </w:rPr>
            </w:pPr>
            <w:r>
              <w:rPr>
                <w:rFonts w:hint="eastAsia" w:ascii="宋体" w:hAnsi="宋体" w:eastAsia="宋体" w:cs="宋体"/>
                <w:color w:val="auto"/>
                <w:sz w:val="21"/>
                <w:highlight w:val="none"/>
                <w:lang w:val="zh-CN" w:eastAsia="zh-CN"/>
              </w:rPr>
              <w:t>符合第二章“投标人须知”第3.2 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0" w:type="dxa"/>
            <w:gridSpan w:val="2"/>
            <w:vMerge w:val="continue"/>
            <w:tcBorders>
              <w:top w:val="nil"/>
            </w:tcBorders>
          </w:tcPr>
          <w:p>
            <w:pPr>
              <w:rPr>
                <w:rFonts w:hint="eastAsia" w:ascii="宋体" w:hAnsi="宋体" w:eastAsia="宋体" w:cs="宋体"/>
                <w:color w:val="auto"/>
                <w:sz w:val="2"/>
                <w:szCs w:val="2"/>
                <w:highlight w:val="none"/>
              </w:rPr>
            </w:pPr>
          </w:p>
        </w:tc>
        <w:tc>
          <w:tcPr>
            <w:tcW w:w="600" w:type="dxa"/>
            <w:vMerge w:val="continue"/>
            <w:tcBorders>
              <w:top w:val="nil"/>
            </w:tcBorders>
          </w:tcPr>
          <w:p>
            <w:pPr>
              <w:rPr>
                <w:rFonts w:hint="eastAsia" w:ascii="宋体" w:hAnsi="宋体" w:eastAsia="宋体" w:cs="宋体"/>
                <w:color w:val="auto"/>
                <w:sz w:val="2"/>
                <w:szCs w:val="2"/>
                <w:highlight w:val="none"/>
              </w:rPr>
            </w:pPr>
          </w:p>
        </w:tc>
        <w:tc>
          <w:tcPr>
            <w:tcW w:w="1858" w:type="dxa"/>
            <w:gridSpan w:val="2"/>
            <w:vAlign w:val="top"/>
          </w:tcPr>
          <w:p>
            <w:pPr>
              <w:pStyle w:val="28"/>
              <w:spacing w:before="149"/>
              <w:ind w:left="84" w:leftChars="0" w:right="0" w:rightChars="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其他</w:t>
            </w:r>
          </w:p>
        </w:tc>
        <w:tc>
          <w:tcPr>
            <w:tcW w:w="6076" w:type="dxa"/>
            <w:vAlign w:val="top"/>
          </w:tcPr>
          <w:p>
            <w:pPr>
              <w:pStyle w:val="28"/>
              <w:spacing w:before="149"/>
              <w:ind w:left="84" w:leftChars="0" w:right="0" w:rightChars="0"/>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rPr>
              <w:t>不存在</w:t>
            </w:r>
            <w:r>
              <w:rPr>
                <w:rFonts w:hint="eastAsia" w:cs="宋体"/>
                <w:color w:val="auto"/>
                <w:sz w:val="21"/>
                <w:highlight w:val="none"/>
                <w:lang w:val="en-US" w:eastAsia="zh-CN"/>
              </w:rPr>
              <w:t>其他违反招标文件或法律法规规定的内容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530" w:type="dxa"/>
            <w:gridSpan w:val="3"/>
          </w:tcPr>
          <w:p>
            <w:pPr>
              <w:pStyle w:val="28"/>
              <w:rPr>
                <w:rFonts w:hint="eastAsia" w:ascii="宋体" w:hAnsi="宋体" w:eastAsia="宋体" w:cs="宋体"/>
                <w:color w:val="auto"/>
                <w:sz w:val="16"/>
                <w:highlight w:val="none"/>
              </w:rPr>
            </w:pPr>
          </w:p>
          <w:p>
            <w:pPr>
              <w:pStyle w:val="28"/>
              <w:ind w:left="45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条款号</w:t>
            </w:r>
          </w:p>
        </w:tc>
        <w:tc>
          <w:tcPr>
            <w:tcW w:w="1858" w:type="dxa"/>
            <w:gridSpan w:val="2"/>
          </w:tcPr>
          <w:p>
            <w:pPr>
              <w:pStyle w:val="28"/>
              <w:rPr>
                <w:rFonts w:hint="eastAsia" w:ascii="宋体" w:hAnsi="宋体" w:eastAsia="宋体" w:cs="宋体"/>
                <w:color w:val="auto"/>
                <w:sz w:val="16"/>
                <w:highlight w:val="none"/>
              </w:rPr>
            </w:pPr>
          </w:p>
          <w:p>
            <w:pPr>
              <w:pStyle w:val="28"/>
              <w:ind w:left="99" w:right="85"/>
              <w:jc w:val="center"/>
              <w:rPr>
                <w:rFonts w:hint="eastAsia" w:ascii="宋体" w:hAnsi="宋体" w:eastAsia="宋体" w:cs="宋体"/>
                <w:b/>
                <w:color w:val="auto"/>
                <w:sz w:val="21"/>
                <w:highlight w:val="none"/>
              </w:rPr>
            </w:pPr>
            <w:r>
              <w:rPr>
                <w:rFonts w:hint="eastAsia" w:ascii="宋体" w:hAnsi="宋体" w:eastAsia="宋体" w:cs="宋体"/>
                <w:b/>
                <w:color w:val="auto"/>
                <w:sz w:val="21"/>
                <w:highlight w:val="none"/>
              </w:rPr>
              <w:t>评审因素</w:t>
            </w:r>
          </w:p>
        </w:tc>
        <w:tc>
          <w:tcPr>
            <w:tcW w:w="6076" w:type="dxa"/>
          </w:tcPr>
          <w:p>
            <w:pPr>
              <w:pStyle w:val="28"/>
              <w:rPr>
                <w:rFonts w:hint="eastAsia" w:ascii="宋体" w:hAnsi="宋体" w:eastAsia="宋体" w:cs="宋体"/>
                <w:color w:val="auto"/>
                <w:sz w:val="16"/>
                <w:highlight w:val="none"/>
              </w:rPr>
            </w:pPr>
          </w:p>
          <w:p>
            <w:pPr>
              <w:pStyle w:val="28"/>
              <w:ind w:left="2267" w:right="2258"/>
              <w:jc w:val="center"/>
              <w:rPr>
                <w:rFonts w:hint="eastAsia" w:ascii="宋体" w:hAnsi="宋体" w:eastAsia="宋体" w:cs="宋体"/>
                <w:b/>
                <w:color w:val="auto"/>
                <w:sz w:val="21"/>
                <w:highlight w:val="none"/>
              </w:rPr>
            </w:pPr>
            <w:r>
              <w:rPr>
                <w:rFonts w:hint="eastAsia" w:ascii="宋体" w:hAnsi="宋体" w:eastAsia="宋体" w:cs="宋体"/>
                <w:b/>
                <w:color w:val="auto"/>
                <w:sz w:val="21"/>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2331" w:hRule="atLeast"/>
        </w:trPr>
        <w:tc>
          <w:tcPr>
            <w:tcW w:w="1530" w:type="dxa"/>
            <w:gridSpan w:val="3"/>
            <w:noWrap w:val="0"/>
            <w:vAlign w:val="center"/>
          </w:tcPr>
          <w:p>
            <w:pPr>
              <w:pStyle w:val="28"/>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p>
        </w:tc>
        <w:tc>
          <w:tcPr>
            <w:tcW w:w="1858" w:type="dxa"/>
            <w:gridSpan w:val="2"/>
            <w:noWrap w:val="0"/>
            <w:vAlign w:val="center"/>
          </w:tcPr>
          <w:p>
            <w:pPr>
              <w:pStyle w:val="28"/>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分值构成</w:t>
            </w:r>
          </w:p>
          <w:p>
            <w:pPr>
              <w:pStyle w:val="28"/>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(总分</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z w:val="21"/>
                <w:szCs w:val="21"/>
                <w:highlight w:val="none"/>
              </w:rPr>
              <w:t>100 分)</w:t>
            </w:r>
          </w:p>
        </w:tc>
        <w:tc>
          <w:tcPr>
            <w:tcW w:w="6076" w:type="dxa"/>
            <w:noWrap w:val="0"/>
            <w:vAlign w:val="center"/>
          </w:tcPr>
          <w:p>
            <w:pPr>
              <w:pStyle w:val="28"/>
              <w:tabs>
                <w:tab w:val="left" w:pos="1889"/>
              </w:tabs>
              <w:adjustRightInd w:val="0"/>
              <w:snapToGrid w:val="0"/>
              <w:spacing w:line="360" w:lineRule="exact"/>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商务部分：权重</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25</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w:t>
            </w:r>
          </w:p>
          <w:p>
            <w:pPr>
              <w:pStyle w:val="28"/>
              <w:tabs>
                <w:tab w:val="left" w:pos="1889"/>
              </w:tabs>
              <w:adjustRightInd w:val="0"/>
              <w:snapToGrid w:val="0"/>
              <w:spacing w:line="360" w:lineRule="exact"/>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技术部分：权重</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lang w:val="en-US" w:eastAsia="zh-CN"/>
              </w:rPr>
              <w:t>65</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w:t>
            </w:r>
          </w:p>
          <w:p>
            <w:pPr>
              <w:pStyle w:val="28"/>
              <w:tabs>
                <w:tab w:val="left" w:pos="1889"/>
              </w:tabs>
              <w:adjustRightInd w:val="0"/>
              <w:snapToGrid w:val="0"/>
              <w:spacing w:line="360" w:lineRule="exact"/>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投标报价：权重</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10</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w:t>
            </w:r>
          </w:p>
          <w:p>
            <w:pPr>
              <w:pStyle w:val="28"/>
              <w:tabs>
                <w:tab w:val="left" w:pos="2309"/>
              </w:tabs>
              <w:adjustRightInd w:val="0"/>
              <w:snapToGrid w:val="0"/>
              <w:spacing w:line="360" w:lineRule="exact"/>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其他评分因素：</w:t>
            </w:r>
            <w:r>
              <w:rPr>
                <w:rFonts w:hint="eastAsia" w:ascii="宋体" w:hAnsi="宋体" w:eastAsia="宋体" w:cs="宋体"/>
                <w:color w:val="auto"/>
                <w:sz w:val="21"/>
                <w:szCs w:val="21"/>
                <w:highlight w:val="none"/>
                <w:u w:val="single"/>
                <w:lang w:eastAsia="zh-CN"/>
              </w:rPr>
              <w:t xml:space="preserve"> / </w:t>
            </w:r>
            <w:r>
              <w:rPr>
                <w:rFonts w:hint="eastAsia" w:ascii="宋体" w:hAnsi="宋体" w:eastAsia="宋体" w:cs="宋体"/>
                <w:color w:val="auto"/>
                <w:sz w:val="21"/>
                <w:szCs w:val="21"/>
                <w:highlight w:val="none"/>
                <w:lang w:eastAsia="zh-CN"/>
              </w:rPr>
              <w:t>分（如有）</w:t>
            </w:r>
          </w:p>
          <w:p>
            <w:pPr>
              <w:pStyle w:val="28"/>
              <w:tabs>
                <w:tab w:val="left" w:pos="2309"/>
              </w:tabs>
              <w:adjustRightInd w:val="0"/>
              <w:snapToGrid w:val="0"/>
              <w:spacing w:line="360" w:lineRule="exact"/>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投标人得分＝商务部分得分×权重 + 技术部分得分×权重 + 投标报价得分×权重 + 其他评分因素（如有）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9139" w:hRule="atLeast"/>
        </w:trPr>
        <w:tc>
          <w:tcPr>
            <w:tcW w:w="1530" w:type="dxa"/>
            <w:gridSpan w:val="3"/>
            <w:noWrap w:val="0"/>
            <w:vAlign w:val="center"/>
          </w:tcPr>
          <w:p>
            <w:pPr>
              <w:pStyle w:val="28"/>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p>
        </w:tc>
        <w:tc>
          <w:tcPr>
            <w:tcW w:w="1858" w:type="dxa"/>
            <w:gridSpan w:val="2"/>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投标报价得分</w:t>
            </w:r>
          </w:p>
        </w:tc>
        <w:tc>
          <w:tcPr>
            <w:tcW w:w="6076" w:type="dxa"/>
            <w:noWrap w:val="0"/>
            <w:vAlign w:val="center"/>
          </w:tcPr>
          <w:p>
            <w:pPr>
              <w:pStyle w:val="31"/>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评标基准价 =有效投标报价的最低值，有效投标报价等于基准值的得满分，投标报价得分= （评标基准价/投标报价）×10%×100。有效投标报价为通过初步审查的投标人报价。</w:t>
            </w:r>
          </w:p>
          <w:p>
            <w:pPr>
              <w:pStyle w:val="31"/>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pPr>
              <w:pStyle w:val="28"/>
              <w:tabs>
                <w:tab w:val="left" w:pos="2309"/>
              </w:tabs>
              <w:adjustRightInd w:val="0"/>
              <w:snapToGrid w:val="0"/>
              <w:spacing w:line="360" w:lineRule="auto"/>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采购标的对应的中小企业划分标准所属行业为“软件和信息技术服务业”。行业划分标准按《国民经济行业分类》执行。中小企业划分标准按《中小企业划型标准规定》（工信部联企业[2011]300号）文件规定执行。</w:t>
            </w:r>
          </w:p>
          <w:p>
            <w:pPr>
              <w:pStyle w:val="31"/>
              <w:spacing w:line="300" w:lineRule="exact"/>
              <w:rPr>
                <w:rFonts w:hint="eastAsia" w:ascii="宋体" w:hAnsi="宋体" w:eastAsia="宋体" w:cs="宋体"/>
                <w:color w:val="auto"/>
                <w:sz w:val="21"/>
                <w:szCs w:val="21"/>
                <w:highlight w:val="none"/>
              </w:rPr>
            </w:pPr>
          </w:p>
          <w:p>
            <w:pPr>
              <w:pStyle w:val="31"/>
              <w:spacing w:line="300" w:lineRule="exac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一、</w:t>
            </w:r>
            <w:r>
              <w:rPr>
                <w:rFonts w:hint="eastAsia" w:ascii="宋体" w:hAnsi="宋体" w:eastAsia="宋体" w:cs="宋体"/>
                <w:b/>
                <w:bCs/>
                <w:color w:val="auto"/>
                <w:sz w:val="21"/>
                <w:szCs w:val="21"/>
                <w:highlight w:val="none"/>
              </w:rPr>
              <w:t>属于中小企业评标优惠内容及价格扣除幅度</w:t>
            </w:r>
            <w:r>
              <w:rPr>
                <w:rFonts w:hint="eastAsia" w:ascii="宋体" w:hAnsi="宋体" w:eastAsia="宋体" w:cs="宋体"/>
                <w:b/>
                <w:bCs/>
                <w:color w:val="auto"/>
                <w:sz w:val="21"/>
                <w:szCs w:val="21"/>
                <w:highlight w:val="none"/>
                <w:lang w:bidi="ar"/>
              </w:rPr>
              <w:t>，本项目的价格扣除为</w:t>
            </w:r>
            <w:r>
              <w:rPr>
                <w:rFonts w:hint="eastAsia" w:ascii="宋体" w:hAnsi="宋体" w:eastAsia="宋体" w:cs="宋体"/>
                <w:b/>
                <w:bCs/>
                <w:color w:val="auto"/>
                <w:sz w:val="21"/>
                <w:szCs w:val="21"/>
                <w:highlight w:val="none"/>
                <w:lang w:val="en-US" w:eastAsia="zh-CN" w:bidi="ar"/>
              </w:rPr>
              <w:t>10</w:t>
            </w:r>
            <w:r>
              <w:rPr>
                <w:rFonts w:hint="eastAsia" w:ascii="宋体" w:hAnsi="宋体" w:eastAsia="宋体" w:cs="宋体"/>
                <w:b/>
                <w:bCs/>
                <w:color w:val="auto"/>
                <w:sz w:val="21"/>
                <w:szCs w:val="21"/>
                <w:highlight w:val="none"/>
                <w:lang w:bidi="ar"/>
              </w:rPr>
              <w:t>%。</w:t>
            </w:r>
          </w:p>
          <w:p>
            <w:pPr>
              <w:pStyle w:val="31"/>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根据中华人民共和国财政部、中华人民共和国工业和信息化部《政府采购促进中小企业发展暂行办法》（财库[2011] 181号）文件的规定，属于中小企业评标优惠内容及幅度如下：</w:t>
            </w:r>
          </w:p>
          <w:p>
            <w:pPr>
              <w:pStyle w:val="31"/>
              <w:spacing w:line="300" w:lineRule="exac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（一）中小企业（含中型、小型、微型企业）应当同时符合以下条件：</w:t>
            </w:r>
          </w:p>
          <w:p>
            <w:pPr>
              <w:pStyle w:val="31"/>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①符合中小企业划分标准(按《关于印发中小企业划型标准规定的通知》(工信部联企业( 2011)300号）执行）；</w:t>
            </w:r>
          </w:p>
          <w:p>
            <w:pPr>
              <w:pStyle w:val="31"/>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②提供本企业制造的货物、承担的项目或者服务，或者提供其他中小企业制造的货物。本项所称货物不包括使用大型企业注册商标的货物；</w:t>
            </w:r>
          </w:p>
          <w:p>
            <w:pPr>
              <w:pStyle w:val="31"/>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③小型、微型企业提供中型企业制造的货物的，视同为中型企业。</w:t>
            </w:r>
          </w:p>
          <w:p>
            <w:pPr>
              <w:pStyle w:val="31"/>
              <w:spacing w:line="3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（二）价格扣除办法：</w:t>
            </w:r>
          </w:p>
          <w:p>
            <w:pPr>
              <w:pStyle w:val="31"/>
              <w:spacing w:line="30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对于非专门面向中小企业的项目，对小型和微型企业（或联合体各方均为小型、微型企业的）产品的价格给予6%的扣除，用扣除后的价格参与价格分的评标。</w:t>
            </w:r>
          </w:p>
          <w:p>
            <w:pPr>
              <w:pStyle w:val="31"/>
              <w:spacing w:line="3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（三）小型和微型企业适用价格扣除办法时应提供的相关资料：</w:t>
            </w:r>
          </w:p>
          <w:p>
            <w:pPr>
              <w:pStyle w:val="31"/>
              <w:spacing w:line="30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    ①《中小企业声明函》；</w:t>
            </w:r>
          </w:p>
          <w:p>
            <w:pPr>
              <w:pStyle w:val="12"/>
              <w:ind w:firstLine="0"/>
              <w:rPr>
                <w:rFonts w:hint="eastAsia" w:ascii="宋体" w:hAnsi="宋体" w:eastAsia="宋体" w:cs="宋体"/>
                <w:color w:val="auto"/>
                <w:kern w:val="2"/>
                <w:sz w:val="21"/>
                <w:szCs w:val="21"/>
                <w:highlight w:val="none"/>
                <w:lang w:val="en-US" w:eastAsia="zh-CN"/>
              </w:rPr>
            </w:pPr>
            <w:r>
              <w:rPr>
                <w:rFonts w:hint="eastAsia" w:ascii="宋体" w:hAnsi="宋体" w:eastAsia="宋体" w:cs="宋体"/>
                <w:b/>
                <w:bCs/>
                <w:color w:val="auto"/>
                <w:sz w:val="21"/>
                <w:szCs w:val="21"/>
                <w:highlight w:val="none"/>
                <w:lang w:val="en-US" w:eastAsia="zh-CN"/>
              </w:rPr>
              <w:t>二、属于享受政府采购支持政策的残疾人福利性单位、监狱企业评标优惠内容及价格扣除幅度</w:t>
            </w:r>
            <w:r>
              <w:rPr>
                <w:rFonts w:hint="eastAsia" w:ascii="宋体" w:hAnsi="宋体" w:eastAsia="宋体" w:cs="宋体"/>
                <w:b/>
                <w:bCs/>
                <w:color w:val="auto"/>
                <w:sz w:val="21"/>
                <w:szCs w:val="21"/>
                <w:highlight w:val="none"/>
                <w:lang w:val="en-US" w:eastAsia="zh-CN" w:bidi="ar"/>
              </w:rPr>
              <w:t>按小型、微型企业评标中价格扣除,残疾人福利性单位属于小型、微型企业的，不重复享受政策。本项目的价格扣除为10%。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1507" w:hRule="atLeast"/>
        </w:trPr>
        <w:tc>
          <w:tcPr>
            <w:tcW w:w="730" w:type="dxa"/>
            <w:vMerge w:val="restart"/>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2.2.3</w:t>
            </w:r>
          </w:p>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w:t>
            </w:r>
          </w:p>
        </w:tc>
        <w:tc>
          <w:tcPr>
            <w:tcW w:w="800" w:type="dxa"/>
            <w:gridSpan w:val="2"/>
            <w:vMerge w:val="restart"/>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商务评分标准</w:t>
            </w:r>
          </w:p>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25</w:t>
            </w:r>
            <w:r>
              <w:rPr>
                <w:rFonts w:hint="eastAsia" w:ascii="宋体" w:hAnsi="宋体" w:eastAsia="宋体" w:cs="宋体"/>
                <w:color w:val="auto"/>
                <w:sz w:val="21"/>
                <w:szCs w:val="21"/>
                <w:highlight w:val="none"/>
                <w:lang w:eastAsia="zh-CN"/>
              </w:rPr>
              <w:t>分</w:t>
            </w:r>
          </w:p>
        </w:tc>
        <w:tc>
          <w:tcPr>
            <w:tcW w:w="1046" w:type="dxa"/>
            <w:tcBorders>
              <w:top w:val="single" w:color="auto" w:sz="4" w:space="0"/>
              <w:bottom w:val="single" w:color="auto" w:sz="4" w:space="0"/>
              <w:righ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类似业绩</w:t>
            </w:r>
          </w:p>
          <w:p>
            <w:pPr>
              <w:pStyle w:val="28"/>
              <w:adjustRightInd w:val="0"/>
              <w:snapToGrid w:val="0"/>
              <w:jc w:val="center"/>
              <w:rPr>
                <w:rFonts w:hint="eastAsia" w:ascii="宋体" w:hAnsi="宋体" w:eastAsia="宋体" w:cs="宋体"/>
                <w:color w:val="auto"/>
                <w:sz w:val="21"/>
                <w:szCs w:val="21"/>
                <w:highlight w:val="none"/>
                <w:lang w:val="en-US" w:eastAsia="zh-CN"/>
              </w:rPr>
            </w:pPr>
          </w:p>
        </w:tc>
        <w:tc>
          <w:tcPr>
            <w:tcW w:w="812" w:type="dxa"/>
            <w:tcBorders>
              <w:top w:val="single" w:color="auto" w:sz="4" w:space="0"/>
              <w:left w:val="single" w:color="auto" w:sz="4" w:space="0"/>
              <w:bottom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分</w:t>
            </w:r>
          </w:p>
        </w:tc>
        <w:tc>
          <w:tcPr>
            <w:tcW w:w="6076" w:type="dxa"/>
            <w:tcBorders>
              <w:top w:val="single" w:color="auto" w:sz="4" w:space="0"/>
              <w:bottom w:val="single" w:color="auto" w:sz="4" w:space="0"/>
            </w:tcBorders>
            <w:noWrap w:val="0"/>
            <w:vAlign w:val="top"/>
          </w:tcPr>
          <w:p>
            <w:pPr>
              <w:pStyle w:val="28"/>
              <w:adjustRightInd w:val="0"/>
              <w:snapToGrid w:val="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投标人提供 2020年1月1日至今</w:t>
            </w:r>
            <w:r>
              <w:rPr>
                <w:rFonts w:hint="eastAsia" w:cs="宋体"/>
                <w:color w:val="auto"/>
                <w:sz w:val="21"/>
                <w:szCs w:val="21"/>
                <w:highlight w:val="none"/>
                <w:lang w:val="en-US" w:eastAsia="zh-CN"/>
              </w:rPr>
              <w:t>本项目</w:t>
            </w:r>
            <w:r>
              <w:rPr>
                <w:rFonts w:hint="eastAsia" w:ascii="宋体" w:hAnsi="宋体" w:eastAsia="宋体" w:cs="宋体"/>
                <w:color w:val="auto"/>
                <w:sz w:val="21"/>
                <w:szCs w:val="21"/>
                <w:highlight w:val="none"/>
                <w:lang w:eastAsia="zh-CN"/>
              </w:rPr>
              <w:t>同类项目成功案例，须提供中标通知书和合同，需提供业绩证明材料，每提供1个有效业绩得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分（需提供中标通知书、合同关键页复印件/扫描件，关键页包括但不限于合同封面、合同服务内容、合同金额等并加盖公章），最多得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分。未加盖公章不得分。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523" w:hRule="atLeast"/>
        </w:trPr>
        <w:tc>
          <w:tcPr>
            <w:tcW w:w="730" w:type="dxa"/>
            <w:vMerge w:val="continue"/>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p>
        </w:tc>
        <w:tc>
          <w:tcPr>
            <w:tcW w:w="800" w:type="dxa"/>
            <w:gridSpan w:val="2"/>
            <w:vMerge w:val="continue"/>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p>
        </w:tc>
        <w:tc>
          <w:tcPr>
            <w:tcW w:w="1046" w:type="dxa"/>
            <w:tcBorders>
              <w:top w:val="single" w:color="auto" w:sz="4" w:space="0"/>
              <w:bottom w:val="single" w:color="auto" w:sz="4" w:space="0"/>
              <w:righ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企业管理体系认证</w:t>
            </w:r>
          </w:p>
          <w:p>
            <w:pPr>
              <w:pStyle w:val="28"/>
              <w:adjustRightInd w:val="0"/>
              <w:snapToGrid w:val="0"/>
              <w:jc w:val="center"/>
              <w:rPr>
                <w:rFonts w:hint="eastAsia" w:ascii="宋体" w:hAnsi="宋体" w:eastAsia="宋体" w:cs="宋体"/>
                <w:color w:val="auto"/>
                <w:sz w:val="21"/>
                <w:szCs w:val="21"/>
                <w:highlight w:val="none"/>
                <w:lang w:val="en-US" w:eastAsia="zh-CN"/>
              </w:rPr>
            </w:pPr>
          </w:p>
        </w:tc>
        <w:tc>
          <w:tcPr>
            <w:tcW w:w="812" w:type="dxa"/>
            <w:tcBorders>
              <w:top w:val="single" w:color="auto" w:sz="4" w:space="0"/>
              <w:left w:val="single" w:color="auto" w:sz="4" w:space="0"/>
              <w:bottom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分</w:t>
            </w:r>
          </w:p>
        </w:tc>
        <w:tc>
          <w:tcPr>
            <w:tcW w:w="6076" w:type="dxa"/>
            <w:tcBorders>
              <w:top w:val="single" w:color="auto" w:sz="4" w:space="0"/>
              <w:bottom w:val="single" w:color="auto" w:sz="4" w:space="0"/>
            </w:tcBorders>
            <w:noWrap w:val="0"/>
            <w:vAlign w:val="top"/>
          </w:tcPr>
          <w:p>
            <w:pPr>
              <w:pStyle w:val="28"/>
              <w:adjustRightInd w:val="0"/>
              <w:snapToGrid w:val="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提供质量管理体系认证证书、信息技术服务管理体系认证证书、信息安全管理体系认证证书，每提供1个得1分，最多得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分。</w:t>
            </w:r>
          </w:p>
          <w:p>
            <w:pPr>
              <w:pStyle w:val="28"/>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注：需提供认证证书复印件加盖公章，不提供得0分。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567" w:hRule="atLeast"/>
        </w:trPr>
        <w:tc>
          <w:tcPr>
            <w:tcW w:w="730" w:type="dxa"/>
            <w:vMerge w:val="continue"/>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p>
        </w:tc>
        <w:tc>
          <w:tcPr>
            <w:tcW w:w="800" w:type="dxa"/>
            <w:gridSpan w:val="2"/>
            <w:vMerge w:val="continue"/>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p>
        </w:tc>
        <w:tc>
          <w:tcPr>
            <w:tcW w:w="1046" w:type="dxa"/>
            <w:tcBorders>
              <w:top w:val="single" w:color="auto" w:sz="4" w:space="0"/>
              <w:bottom w:val="single" w:color="auto" w:sz="4" w:space="0"/>
              <w:right w:val="single" w:color="auto" w:sz="4" w:space="0"/>
            </w:tcBorders>
            <w:noWrap w:val="0"/>
            <w:vAlign w:val="center"/>
          </w:tcPr>
          <w:p>
            <w:pPr>
              <w:pStyle w:val="51"/>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服务能力</w:t>
            </w:r>
          </w:p>
          <w:p>
            <w:pPr>
              <w:pStyle w:val="28"/>
              <w:adjustRightInd w:val="0"/>
              <w:snapToGrid w:val="0"/>
              <w:jc w:val="center"/>
              <w:rPr>
                <w:rFonts w:hint="eastAsia" w:ascii="宋体" w:hAnsi="宋体" w:eastAsia="宋体" w:cs="宋体"/>
                <w:color w:val="auto"/>
                <w:sz w:val="21"/>
                <w:szCs w:val="21"/>
                <w:highlight w:val="none"/>
                <w:lang w:val="en-US" w:eastAsia="zh-CN"/>
              </w:rPr>
            </w:pPr>
          </w:p>
        </w:tc>
        <w:tc>
          <w:tcPr>
            <w:tcW w:w="812" w:type="dxa"/>
            <w:tcBorders>
              <w:top w:val="single" w:color="auto" w:sz="4" w:space="0"/>
              <w:left w:val="single" w:color="auto" w:sz="4" w:space="0"/>
              <w:bottom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6分</w:t>
            </w:r>
          </w:p>
        </w:tc>
        <w:tc>
          <w:tcPr>
            <w:tcW w:w="6076" w:type="dxa"/>
            <w:tcBorders>
              <w:top w:val="single" w:color="auto" w:sz="4" w:space="0"/>
              <w:bottom w:val="single" w:color="auto" w:sz="4" w:space="0"/>
            </w:tcBorders>
            <w:noWrap w:val="0"/>
            <w:vAlign w:val="center"/>
          </w:tcPr>
          <w:p>
            <w:pPr>
              <w:pStyle w:val="28"/>
              <w:adjustRightInd w:val="0"/>
              <w:snapToGrid w:val="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需</w:t>
            </w:r>
            <w:r>
              <w:rPr>
                <w:rFonts w:hint="eastAsia" w:ascii="宋体" w:hAnsi="宋体" w:eastAsia="宋体" w:cs="宋体"/>
                <w:color w:val="auto"/>
                <w:sz w:val="21"/>
                <w:szCs w:val="21"/>
                <w:highlight w:val="none"/>
                <w:lang w:eastAsia="zh-CN"/>
              </w:rPr>
              <w:t>提供本企业法院审判、执行相关业务产品的软件著作权，每提供一个得1分，最多得6分。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567" w:hRule="atLeast"/>
        </w:trPr>
        <w:tc>
          <w:tcPr>
            <w:tcW w:w="730" w:type="dxa"/>
            <w:vMerge w:val="continue"/>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p>
        </w:tc>
        <w:tc>
          <w:tcPr>
            <w:tcW w:w="800" w:type="dxa"/>
            <w:gridSpan w:val="2"/>
            <w:vMerge w:val="continue"/>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p>
        </w:tc>
        <w:tc>
          <w:tcPr>
            <w:tcW w:w="1046" w:type="dxa"/>
            <w:tcBorders>
              <w:top w:val="single" w:color="auto" w:sz="4" w:space="0"/>
              <w:bottom w:val="single" w:color="auto" w:sz="4" w:space="0"/>
              <w:righ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企业信誉</w:t>
            </w:r>
          </w:p>
          <w:p>
            <w:pPr>
              <w:pStyle w:val="28"/>
              <w:adjustRightInd w:val="0"/>
              <w:snapToGrid w:val="0"/>
              <w:jc w:val="center"/>
              <w:rPr>
                <w:rFonts w:hint="eastAsia" w:ascii="宋体" w:hAnsi="宋体" w:eastAsia="宋体" w:cs="宋体"/>
                <w:color w:val="auto"/>
                <w:sz w:val="21"/>
                <w:szCs w:val="21"/>
                <w:highlight w:val="none"/>
                <w:lang w:val="en-US" w:eastAsia="zh-CN"/>
              </w:rPr>
            </w:pPr>
          </w:p>
        </w:tc>
        <w:tc>
          <w:tcPr>
            <w:tcW w:w="812" w:type="dxa"/>
            <w:tcBorders>
              <w:top w:val="single" w:color="auto" w:sz="4" w:space="0"/>
              <w:left w:val="single" w:color="auto" w:sz="4" w:space="0"/>
              <w:bottom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分</w:t>
            </w:r>
          </w:p>
        </w:tc>
        <w:tc>
          <w:tcPr>
            <w:tcW w:w="6076" w:type="dxa"/>
            <w:tcBorders>
              <w:top w:val="single" w:color="auto" w:sz="4" w:space="0"/>
              <w:bottom w:val="single" w:color="auto" w:sz="4" w:space="0"/>
            </w:tcBorders>
            <w:noWrap w:val="0"/>
            <w:vAlign w:val="center"/>
          </w:tcPr>
          <w:p>
            <w:pPr>
              <w:pStyle w:val="28"/>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投标供应商提供本企业的类似项目的用户出具履约评价证明文件，每提供一个证明文件为良好的得1分，最多得3分，不提供不得分。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567" w:hRule="atLeast"/>
        </w:trPr>
        <w:tc>
          <w:tcPr>
            <w:tcW w:w="730" w:type="dxa"/>
            <w:vMerge w:val="continue"/>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p>
        </w:tc>
        <w:tc>
          <w:tcPr>
            <w:tcW w:w="800" w:type="dxa"/>
            <w:gridSpan w:val="2"/>
            <w:vMerge w:val="continue"/>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p>
        </w:tc>
        <w:tc>
          <w:tcPr>
            <w:tcW w:w="1046" w:type="dxa"/>
            <w:tcBorders>
              <w:top w:val="single" w:color="auto" w:sz="4" w:space="0"/>
              <w:bottom w:val="single" w:color="auto" w:sz="4" w:space="0"/>
              <w:righ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售后服务</w:t>
            </w:r>
          </w:p>
          <w:p>
            <w:pPr>
              <w:pStyle w:val="28"/>
              <w:adjustRightInd w:val="0"/>
              <w:snapToGrid w:val="0"/>
              <w:ind w:left="0" w:leftChars="0" w:right="0" w:rightChars="0"/>
              <w:jc w:val="center"/>
              <w:rPr>
                <w:rFonts w:hint="eastAsia" w:ascii="宋体" w:hAnsi="宋体" w:eastAsia="宋体" w:cs="宋体"/>
                <w:color w:val="auto"/>
                <w:sz w:val="21"/>
                <w:szCs w:val="21"/>
                <w:highlight w:val="none"/>
                <w:lang w:val="en-US" w:eastAsia="zh-CN"/>
              </w:rPr>
            </w:pPr>
          </w:p>
        </w:tc>
        <w:tc>
          <w:tcPr>
            <w:tcW w:w="812" w:type="dxa"/>
            <w:tcBorders>
              <w:top w:val="single" w:color="auto" w:sz="4" w:space="0"/>
              <w:left w:val="single" w:color="auto" w:sz="4" w:space="0"/>
              <w:bottom w:val="single" w:color="auto" w:sz="4" w:space="0"/>
            </w:tcBorders>
            <w:noWrap w:val="0"/>
            <w:vAlign w:val="center"/>
          </w:tcPr>
          <w:p>
            <w:pPr>
              <w:pStyle w:val="28"/>
              <w:adjustRightInd w:val="0"/>
              <w:snapToGrid w:val="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5分</w:t>
            </w:r>
          </w:p>
        </w:tc>
        <w:tc>
          <w:tcPr>
            <w:tcW w:w="6076" w:type="dxa"/>
            <w:tcBorders>
              <w:top w:val="single" w:color="auto" w:sz="4" w:space="0"/>
              <w:bottom w:val="single" w:color="auto" w:sz="4" w:space="0"/>
            </w:tcBorders>
            <w:noWrap w:val="0"/>
            <w:vAlign w:val="top"/>
          </w:tcPr>
          <w:p>
            <w:pPr>
              <w:pStyle w:val="28"/>
              <w:adjustRightInd w:val="0"/>
              <w:snapToGrid w:val="0"/>
              <w:ind w:left="0" w:leftChars="0" w:right="0" w:righ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根据投标人提供的售后服务承诺，优于售后服务要求的，得5分；满足售后服务要求的，得2分；不满足售后服务要求的，得0分；不提供得0分。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57" w:hRule="atLeast"/>
        </w:trPr>
        <w:tc>
          <w:tcPr>
            <w:tcW w:w="730" w:type="dxa"/>
            <w:vMerge w:val="continue"/>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p>
        </w:tc>
        <w:tc>
          <w:tcPr>
            <w:tcW w:w="800" w:type="dxa"/>
            <w:gridSpan w:val="2"/>
            <w:vMerge w:val="continue"/>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p>
        </w:tc>
        <w:tc>
          <w:tcPr>
            <w:tcW w:w="1046" w:type="dxa"/>
            <w:tcBorders>
              <w:top w:val="single" w:color="auto" w:sz="4" w:space="0"/>
              <w:bottom w:val="single" w:color="auto" w:sz="4" w:space="0"/>
              <w:righ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响应文件规范性</w:t>
            </w:r>
          </w:p>
          <w:p>
            <w:pPr>
              <w:pStyle w:val="28"/>
              <w:adjustRightInd w:val="0"/>
              <w:snapToGrid w:val="0"/>
              <w:jc w:val="center"/>
              <w:rPr>
                <w:rFonts w:hint="eastAsia" w:ascii="宋体" w:hAnsi="宋体" w:eastAsia="宋体" w:cs="宋体"/>
                <w:color w:val="auto"/>
                <w:sz w:val="21"/>
                <w:szCs w:val="21"/>
                <w:highlight w:val="none"/>
                <w:lang w:eastAsia="zh-CN"/>
              </w:rPr>
            </w:pPr>
          </w:p>
        </w:tc>
        <w:tc>
          <w:tcPr>
            <w:tcW w:w="812" w:type="dxa"/>
            <w:tcBorders>
              <w:top w:val="single" w:color="auto" w:sz="4" w:space="0"/>
              <w:left w:val="single" w:color="auto" w:sz="4" w:space="0"/>
              <w:bottom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2分</w:t>
            </w:r>
          </w:p>
        </w:tc>
        <w:tc>
          <w:tcPr>
            <w:tcW w:w="6076" w:type="dxa"/>
            <w:tcBorders>
              <w:top w:val="single" w:color="auto" w:sz="4" w:space="0"/>
              <w:bottom w:val="single" w:color="auto" w:sz="4" w:space="0"/>
            </w:tcBorders>
            <w:noWrap w:val="0"/>
            <w:vAlign w:val="top"/>
          </w:tcPr>
          <w:p>
            <w:pPr>
              <w:pStyle w:val="28"/>
              <w:adjustRightInd w:val="0"/>
              <w:snapToGrid w:val="0"/>
              <w:jc w:val="left"/>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eastAsia="zh-CN"/>
              </w:rPr>
              <w:t>根据响应文件的规范性进行综合评价，包括编写是否清晰整洁，目录、章节、页码是否清楚，查阅是否方便，提供资料是否清晰易查等。每有一项缺陷扣0.5分，扣完为止。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1549" w:hRule="atLeast"/>
        </w:trPr>
        <w:tc>
          <w:tcPr>
            <w:tcW w:w="730" w:type="dxa"/>
            <w:vMerge w:val="restart"/>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lang w:eastAsia="zh-CN"/>
              </w:rPr>
              <w:t>3</w:t>
            </w:r>
          </w:p>
          <w:p>
            <w:pPr>
              <w:pStyle w:val="28"/>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800" w:type="dxa"/>
            <w:gridSpan w:val="2"/>
            <w:vMerge w:val="restart"/>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技术评分标准</w:t>
            </w:r>
          </w:p>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65</w:t>
            </w:r>
            <w:r>
              <w:rPr>
                <w:rFonts w:hint="eastAsia" w:ascii="宋体" w:hAnsi="宋体" w:eastAsia="宋体" w:cs="宋体"/>
                <w:color w:val="auto"/>
                <w:sz w:val="21"/>
                <w:szCs w:val="21"/>
                <w:highlight w:val="none"/>
                <w:lang w:eastAsia="zh-CN"/>
              </w:rPr>
              <w:t>分</w:t>
            </w:r>
          </w:p>
        </w:tc>
        <w:tc>
          <w:tcPr>
            <w:tcW w:w="1046" w:type="dxa"/>
            <w:tcBorders>
              <w:righ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运维服务方案</w:t>
            </w:r>
          </w:p>
        </w:tc>
        <w:tc>
          <w:tcPr>
            <w:tcW w:w="812" w:type="dxa"/>
            <w:tcBorders>
              <w:lef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eastAsia="zh-CN"/>
              </w:rPr>
              <w:t>分</w:t>
            </w:r>
          </w:p>
        </w:tc>
        <w:tc>
          <w:tcPr>
            <w:tcW w:w="6076" w:type="dxa"/>
            <w:tcBorders>
              <w:bottom w:val="single" w:color="auto" w:sz="4" w:space="0"/>
            </w:tcBorders>
            <w:noWrap w:val="0"/>
            <w:vAlign w:val="center"/>
          </w:tcPr>
          <w:p>
            <w:pPr>
              <w:pStyle w:val="28"/>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综合审查供应商提供的运维服务方案：</w:t>
            </w:r>
          </w:p>
          <w:p>
            <w:pPr>
              <w:pStyle w:val="28"/>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运维服务方案完整详细、可行性强、能够给采购人提供便捷、体验良好的服务的得20分；</w:t>
            </w:r>
          </w:p>
          <w:p>
            <w:pPr>
              <w:pStyle w:val="28"/>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运维服务方案较完整详细、可行性较强、能够给采购人提供较为完整的服务的得15分；</w:t>
            </w:r>
          </w:p>
          <w:p>
            <w:pPr>
              <w:pStyle w:val="28"/>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运维服务方案较完整详细、可行性一般、提供的服务满足采购人的基本需求的得5分。</w:t>
            </w:r>
          </w:p>
          <w:p>
            <w:pPr>
              <w:pStyle w:val="28"/>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运维服务方案不完整详细、不具有可行性、提供的服务不能够满足采购人的基本需求的得0分。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1549" w:hRule="atLeast"/>
        </w:trPr>
        <w:tc>
          <w:tcPr>
            <w:tcW w:w="730" w:type="dxa"/>
            <w:vMerge w:val="continue"/>
            <w:noWrap w:val="0"/>
            <w:vAlign w:val="center"/>
          </w:tcPr>
          <w:p>
            <w:pPr>
              <w:pStyle w:val="28"/>
              <w:adjustRightInd w:val="0"/>
              <w:snapToGrid w:val="0"/>
              <w:jc w:val="center"/>
              <w:rPr>
                <w:rFonts w:hint="eastAsia" w:ascii="宋体" w:hAnsi="宋体" w:eastAsia="宋体" w:cs="宋体"/>
                <w:color w:val="auto"/>
                <w:sz w:val="21"/>
                <w:szCs w:val="21"/>
                <w:highlight w:val="none"/>
              </w:rPr>
            </w:pPr>
          </w:p>
        </w:tc>
        <w:tc>
          <w:tcPr>
            <w:tcW w:w="800" w:type="dxa"/>
            <w:gridSpan w:val="2"/>
            <w:vMerge w:val="continue"/>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p>
        </w:tc>
        <w:tc>
          <w:tcPr>
            <w:tcW w:w="1046" w:type="dxa"/>
            <w:tcBorders>
              <w:righ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应急预案</w:t>
            </w:r>
          </w:p>
        </w:tc>
        <w:tc>
          <w:tcPr>
            <w:tcW w:w="812" w:type="dxa"/>
            <w:tcBorders>
              <w:lef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10分</w:t>
            </w:r>
          </w:p>
        </w:tc>
        <w:tc>
          <w:tcPr>
            <w:tcW w:w="6076" w:type="dxa"/>
            <w:tcBorders>
              <w:bottom w:val="single" w:color="auto" w:sz="4" w:space="0"/>
            </w:tcBorders>
            <w:noWrap w:val="0"/>
            <w:vAlign w:val="center"/>
          </w:tcPr>
          <w:p>
            <w:pPr>
              <w:pStyle w:val="28"/>
              <w:adjustRightInd w:val="0"/>
              <w:snapToGrid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综合审查供应商提供</w:t>
            </w:r>
            <w:r>
              <w:rPr>
                <w:rFonts w:hint="eastAsia" w:ascii="宋体" w:hAnsi="宋体" w:eastAsia="宋体" w:cs="宋体"/>
                <w:color w:val="auto"/>
                <w:sz w:val="21"/>
                <w:szCs w:val="21"/>
                <w:highlight w:val="none"/>
              </w:rPr>
              <w:t>应急预案，判断其对运营期间出现的严重影响系统运行和数据质量的重大问题，是否具备有效的预防和应急措施。 对运维工作理解准确，对应急工作进行了合理规划并制定可行计划，同时根据招标文件技术要求，列出各种应急情景、发现应急情况的方法、应急措施及解决方案，系统地阐述判断和解决方法，制定完善的工作流程，能完全满足采购需求，能较好应对可能的突发情况，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分； </w:t>
            </w:r>
          </w:p>
          <w:p>
            <w:pPr>
              <w:pStyle w:val="28"/>
              <w:adjustRightInd w:val="0"/>
              <w:snapToGrid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列出几种应急情景、发现应急情况的方法、应急措施及解决方案，系统地阐述判断和解决方法，大部分满足采购需求，能应对部分突发情况，得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分； </w:t>
            </w:r>
          </w:p>
          <w:p>
            <w:pPr>
              <w:pStyle w:val="28"/>
              <w:adjustRightInd w:val="0"/>
              <w:snapToGrid w:val="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rPr>
              <w:t>列出几种应急情景、发现应急情况的方法、应急措施及解决方案，系统地阐述判断和解决方法不明确，基本满足采购需求，得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 未提供方案或所提供方案不满足要求得0分。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1067" w:hRule="atLeast"/>
        </w:trPr>
        <w:tc>
          <w:tcPr>
            <w:tcW w:w="730" w:type="dxa"/>
            <w:vMerge w:val="continue"/>
            <w:noWrap w:val="0"/>
            <w:vAlign w:val="center"/>
          </w:tcPr>
          <w:p>
            <w:pPr>
              <w:pStyle w:val="28"/>
              <w:adjustRightInd w:val="0"/>
              <w:snapToGrid w:val="0"/>
              <w:jc w:val="center"/>
              <w:rPr>
                <w:rFonts w:hint="eastAsia" w:ascii="宋体" w:hAnsi="宋体" w:eastAsia="宋体" w:cs="宋体"/>
                <w:color w:val="auto"/>
                <w:sz w:val="21"/>
                <w:szCs w:val="21"/>
                <w:highlight w:val="none"/>
              </w:rPr>
            </w:pPr>
          </w:p>
        </w:tc>
        <w:tc>
          <w:tcPr>
            <w:tcW w:w="800" w:type="dxa"/>
            <w:gridSpan w:val="2"/>
            <w:vMerge w:val="continue"/>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p>
        </w:tc>
        <w:tc>
          <w:tcPr>
            <w:tcW w:w="1046" w:type="dxa"/>
            <w:tcBorders>
              <w:righ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驻场服务</w:t>
            </w:r>
          </w:p>
        </w:tc>
        <w:tc>
          <w:tcPr>
            <w:tcW w:w="812" w:type="dxa"/>
            <w:tcBorders>
              <w:lef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eastAsia="zh-CN"/>
              </w:rPr>
              <w:t>分</w:t>
            </w:r>
          </w:p>
        </w:tc>
        <w:tc>
          <w:tcPr>
            <w:tcW w:w="6076" w:type="dxa"/>
            <w:tcBorders>
              <w:bottom w:val="single" w:color="auto" w:sz="4" w:space="0"/>
            </w:tcBorders>
            <w:noWrap w:val="0"/>
            <w:vAlign w:val="center"/>
          </w:tcPr>
          <w:p>
            <w:pPr>
              <w:pStyle w:val="28"/>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投标人在兵团分院提供驻场服务人员13名及以上的，得10分，每少提供1名驻场服务人的，扣2分，扣完为止。不提供得0分。</w:t>
            </w:r>
          </w:p>
          <w:p>
            <w:pPr>
              <w:pStyle w:val="28"/>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（注：驻场人员需提供近三个月任意一月社保证明材料并加盖公章）不满足驻场服务人员配置要求的，得0分。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1077" w:hRule="atLeast"/>
        </w:trPr>
        <w:tc>
          <w:tcPr>
            <w:tcW w:w="730" w:type="dxa"/>
            <w:vMerge w:val="continue"/>
            <w:noWrap w:val="0"/>
            <w:vAlign w:val="center"/>
          </w:tcPr>
          <w:p>
            <w:pPr>
              <w:adjustRightInd w:val="0"/>
              <w:snapToGrid w:val="0"/>
              <w:ind w:right="0" w:rightChars="0"/>
              <w:jc w:val="center"/>
              <w:rPr>
                <w:rFonts w:hint="eastAsia" w:ascii="宋体" w:hAnsi="宋体" w:eastAsia="宋体" w:cs="宋体"/>
                <w:color w:val="auto"/>
                <w:kern w:val="0"/>
                <w:szCs w:val="21"/>
                <w:highlight w:val="none"/>
              </w:rPr>
            </w:pPr>
          </w:p>
        </w:tc>
        <w:tc>
          <w:tcPr>
            <w:tcW w:w="800" w:type="dxa"/>
            <w:gridSpan w:val="2"/>
            <w:vMerge w:val="continue"/>
            <w:noWrap w:val="0"/>
            <w:vAlign w:val="center"/>
          </w:tcPr>
          <w:p>
            <w:pPr>
              <w:adjustRightInd w:val="0"/>
              <w:snapToGrid w:val="0"/>
              <w:ind w:right="0" w:rightChars="0"/>
              <w:jc w:val="center"/>
              <w:rPr>
                <w:rFonts w:hint="eastAsia" w:ascii="宋体" w:hAnsi="宋体" w:eastAsia="宋体" w:cs="宋体"/>
                <w:color w:val="auto"/>
                <w:kern w:val="0"/>
                <w:szCs w:val="21"/>
                <w:highlight w:val="none"/>
              </w:rPr>
            </w:pPr>
          </w:p>
        </w:tc>
        <w:tc>
          <w:tcPr>
            <w:tcW w:w="1046" w:type="dxa"/>
            <w:tcBorders>
              <w:righ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前期调研</w:t>
            </w:r>
          </w:p>
        </w:tc>
        <w:tc>
          <w:tcPr>
            <w:tcW w:w="812" w:type="dxa"/>
            <w:tcBorders>
              <w:lef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eastAsia="zh-CN"/>
              </w:rPr>
              <w:t>分</w:t>
            </w:r>
          </w:p>
        </w:tc>
        <w:tc>
          <w:tcPr>
            <w:tcW w:w="6076" w:type="dxa"/>
            <w:noWrap w:val="0"/>
            <w:vAlign w:val="center"/>
          </w:tcPr>
          <w:p>
            <w:pPr>
              <w:pStyle w:val="28"/>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对该项目及法院相关业务进行前期调研工作，能提供详细完整调研报告并满足驻场服务人员配置要求的得10分；调研报告合理、规范、全面能</w:t>
            </w:r>
            <w:r>
              <w:rPr>
                <w:rFonts w:hint="eastAsia" w:cs="宋体"/>
                <w:color w:val="auto"/>
                <w:sz w:val="21"/>
                <w:szCs w:val="21"/>
                <w:highlight w:val="none"/>
                <w:lang w:val="en-US" w:eastAsia="zh-CN"/>
              </w:rPr>
              <w:t>基本</w:t>
            </w:r>
            <w:r>
              <w:rPr>
                <w:rFonts w:hint="eastAsia" w:ascii="宋体" w:hAnsi="宋体" w:eastAsia="宋体" w:cs="宋体"/>
                <w:color w:val="auto"/>
                <w:sz w:val="21"/>
                <w:szCs w:val="21"/>
                <w:highlight w:val="none"/>
                <w:lang w:val="en-US" w:eastAsia="zh-CN"/>
              </w:rPr>
              <w:t>满足驻场服务人员配置要求得6分；调研报告较为合理、规范、全面</w:t>
            </w:r>
            <w:r>
              <w:rPr>
                <w:rFonts w:hint="eastAsia" w:cs="宋体"/>
                <w:color w:val="auto"/>
                <w:sz w:val="21"/>
                <w:szCs w:val="21"/>
                <w:highlight w:val="none"/>
                <w:lang w:val="en-US" w:eastAsia="zh-CN"/>
              </w:rPr>
              <w:t>性一般，缺乏正针对性，</w:t>
            </w:r>
            <w:r>
              <w:rPr>
                <w:rFonts w:hint="eastAsia" w:ascii="宋体" w:hAnsi="宋体" w:eastAsia="宋体" w:cs="宋体"/>
                <w:color w:val="auto"/>
                <w:sz w:val="21"/>
                <w:szCs w:val="21"/>
                <w:highlight w:val="none"/>
                <w:lang w:val="en-US" w:eastAsia="zh-CN"/>
              </w:rPr>
              <w:t>得2分；不满足驻场服务人员配置要求的，得0分。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801" w:hRule="atLeast"/>
        </w:trPr>
        <w:tc>
          <w:tcPr>
            <w:tcW w:w="730" w:type="dxa"/>
            <w:vMerge w:val="continue"/>
            <w:noWrap w:val="0"/>
            <w:vAlign w:val="center"/>
          </w:tcPr>
          <w:p>
            <w:pPr>
              <w:adjustRightInd w:val="0"/>
              <w:snapToGrid w:val="0"/>
              <w:ind w:right="0" w:rightChars="0"/>
              <w:jc w:val="center"/>
              <w:rPr>
                <w:rFonts w:hint="eastAsia" w:ascii="宋体" w:hAnsi="宋体" w:eastAsia="宋体" w:cs="宋体"/>
                <w:color w:val="auto"/>
                <w:kern w:val="0"/>
                <w:szCs w:val="21"/>
                <w:highlight w:val="none"/>
              </w:rPr>
            </w:pPr>
          </w:p>
        </w:tc>
        <w:tc>
          <w:tcPr>
            <w:tcW w:w="800" w:type="dxa"/>
            <w:gridSpan w:val="2"/>
            <w:vMerge w:val="continue"/>
            <w:noWrap w:val="0"/>
            <w:vAlign w:val="center"/>
          </w:tcPr>
          <w:p>
            <w:pPr>
              <w:adjustRightInd w:val="0"/>
              <w:snapToGrid w:val="0"/>
              <w:ind w:right="0" w:rightChars="0"/>
              <w:jc w:val="center"/>
              <w:rPr>
                <w:rFonts w:hint="eastAsia" w:ascii="宋体" w:hAnsi="宋体" w:eastAsia="宋体" w:cs="宋体"/>
                <w:color w:val="auto"/>
                <w:kern w:val="0"/>
                <w:szCs w:val="21"/>
                <w:highlight w:val="none"/>
              </w:rPr>
            </w:pPr>
          </w:p>
        </w:tc>
        <w:tc>
          <w:tcPr>
            <w:tcW w:w="1046" w:type="dxa"/>
            <w:tcBorders>
              <w:righ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巡检服务</w:t>
            </w:r>
          </w:p>
        </w:tc>
        <w:tc>
          <w:tcPr>
            <w:tcW w:w="812" w:type="dxa"/>
            <w:tcBorders>
              <w:lef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eastAsia="zh-CN"/>
              </w:rPr>
              <w:t>分</w:t>
            </w:r>
          </w:p>
        </w:tc>
        <w:tc>
          <w:tcPr>
            <w:tcW w:w="6076" w:type="dxa"/>
            <w:noWrap w:val="0"/>
            <w:vAlign w:val="center"/>
          </w:tcPr>
          <w:p>
            <w:pPr>
              <w:pStyle w:val="28"/>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①每季度确保每个法院电话巡检一次。②每年兵团分院辖区43家法院现场巡检两次。</w:t>
            </w:r>
            <w:r>
              <w:rPr>
                <w:rFonts w:hint="eastAsia" w:ascii="宋体" w:hAnsi="宋体" w:eastAsia="宋体" w:cs="宋体"/>
                <w:color w:val="auto"/>
                <w:sz w:val="21"/>
                <w:szCs w:val="21"/>
                <w:highlight w:val="none"/>
                <w:lang w:val="en-US" w:eastAsia="zh-CN"/>
              </w:rPr>
              <w:t>巡检服务</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eastAsia="zh-CN"/>
              </w:rPr>
              <w:t>内容清晰合理、内容详尽、</w:t>
            </w:r>
            <w:r>
              <w:rPr>
                <w:rFonts w:hint="eastAsia" w:ascii="宋体" w:hAnsi="宋体" w:eastAsia="宋体" w:cs="宋体"/>
                <w:color w:val="auto"/>
                <w:sz w:val="21"/>
                <w:szCs w:val="21"/>
                <w:highlight w:val="none"/>
                <w:lang w:val="en-US" w:eastAsia="zh-CN"/>
              </w:rPr>
              <w:t>能</w:t>
            </w:r>
            <w:r>
              <w:rPr>
                <w:rFonts w:hint="eastAsia" w:ascii="宋体" w:hAnsi="宋体" w:eastAsia="宋体" w:cs="宋体"/>
                <w:color w:val="auto"/>
                <w:sz w:val="21"/>
                <w:szCs w:val="21"/>
                <w:highlight w:val="none"/>
                <w:lang w:eastAsia="zh-CN"/>
              </w:rPr>
              <w:t>满足要求的得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eastAsia="zh-CN"/>
              </w:rPr>
              <w:t>分；</w:t>
            </w:r>
            <w:r>
              <w:rPr>
                <w:rFonts w:hint="eastAsia" w:ascii="宋体" w:hAnsi="宋体" w:eastAsia="宋体" w:cs="宋体"/>
                <w:color w:val="auto"/>
                <w:sz w:val="21"/>
                <w:szCs w:val="21"/>
                <w:highlight w:val="none"/>
                <w:lang w:val="en-US" w:eastAsia="zh-CN"/>
              </w:rPr>
              <w:t>巡检服务</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eastAsia="zh-CN"/>
              </w:rPr>
              <w:t>内容清晰合理满足要求、内容详尽、有条理、可实施性基本满足的得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分；</w:t>
            </w:r>
            <w:r>
              <w:rPr>
                <w:rFonts w:hint="eastAsia" w:ascii="宋体" w:hAnsi="宋体" w:eastAsia="宋体" w:cs="宋体"/>
                <w:color w:val="auto"/>
                <w:sz w:val="21"/>
                <w:szCs w:val="21"/>
                <w:highlight w:val="none"/>
                <w:lang w:val="en-US" w:eastAsia="zh-CN"/>
              </w:rPr>
              <w:t>巡检服务</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eastAsia="zh-CN"/>
              </w:rPr>
              <w:t>内容</w:t>
            </w:r>
            <w:r>
              <w:rPr>
                <w:rFonts w:hint="eastAsia" w:ascii="宋体" w:hAnsi="宋体" w:eastAsia="宋体" w:cs="宋体"/>
                <w:color w:val="auto"/>
                <w:sz w:val="21"/>
                <w:szCs w:val="21"/>
                <w:highlight w:val="none"/>
                <w:lang w:val="en-US" w:eastAsia="zh-CN"/>
              </w:rPr>
              <w:t>有缺项漏项表述不清晰得1分，</w:t>
            </w:r>
            <w:r>
              <w:rPr>
                <w:rFonts w:hint="eastAsia" w:ascii="宋体" w:hAnsi="宋体" w:eastAsia="宋体" w:cs="宋体"/>
                <w:color w:val="auto"/>
                <w:sz w:val="21"/>
                <w:szCs w:val="21"/>
                <w:highlight w:val="none"/>
                <w:lang w:eastAsia="zh-CN"/>
              </w:rPr>
              <w:t>未提供不得分。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584" w:hRule="atLeast"/>
        </w:trPr>
        <w:tc>
          <w:tcPr>
            <w:tcW w:w="730" w:type="dxa"/>
            <w:vMerge w:val="continue"/>
            <w:noWrap w:val="0"/>
            <w:vAlign w:val="center"/>
          </w:tcPr>
          <w:p>
            <w:pPr>
              <w:adjustRightInd w:val="0"/>
              <w:snapToGrid w:val="0"/>
              <w:ind w:right="0" w:rightChars="0"/>
              <w:jc w:val="center"/>
              <w:rPr>
                <w:rFonts w:hint="eastAsia" w:ascii="宋体" w:hAnsi="宋体" w:eastAsia="宋体" w:cs="宋体"/>
                <w:color w:val="auto"/>
                <w:kern w:val="0"/>
                <w:szCs w:val="21"/>
                <w:highlight w:val="none"/>
              </w:rPr>
            </w:pPr>
          </w:p>
        </w:tc>
        <w:tc>
          <w:tcPr>
            <w:tcW w:w="800" w:type="dxa"/>
            <w:gridSpan w:val="2"/>
            <w:vMerge w:val="continue"/>
            <w:noWrap w:val="0"/>
            <w:vAlign w:val="center"/>
          </w:tcPr>
          <w:p>
            <w:pPr>
              <w:adjustRightInd w:val="0"/>
              <w:snapToGrid w:val="0"/>
              <w:ind w:right="0" w:rightChars="0"/>
              <w:jc w:val="center"/>
              <w:rPr>
                <w:rFonts w:hint="eastAsia" w:ascii="宋体" w:hAnsi="宋体" w:eastAsia="宋体" w:cs="宋体"/>
                <w:color w:val="auto"/>
                <w:kern w:val="0"/>
                <w:szCs w:val="21"/>
                <w:highlight w:val="none"/>
              </w:rPr>
            </w:pPr>
          </w:p>
        </w:tc>
        <w:tc>
          <w:tcPr>
            <w:tcW w:w="1046" w:type="dxa"/>
            <w:tcBorders>
              <w:bottom w:val="single" w:color="auto" w:sz="4" w:space="0"/>
              <w:right w:val="single" w:color="auto" w:sz="4" w:space="0"/>
            </w:tcBorders>
            <w:noWrap w:val="0"/>
            <w:vAlign w:val="center"/>
          </w:tcPr>
          <w:p>
            <w:pPr>
              <w:pStyle w:val="51"/>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培训方案</w:t>
            </w:r>
          </w:p>
          <w:p>
            <w:pPr>
              <w:pStyle w:val="28"/>
              <w:adjustRightInd w:val="0"/>
              <w:snapToGrid w:val="0"/>
              <w:jc w:val="center"/>
              <w:rPr>
                <w:rFonts w:hint="eastAsia" w:ascii="宋体" w:hAnsi="宋体" w:eastAsia="宋体" w:cs="宋体"/>
                <w:color w:val="auto"/>
                <w:sz w:val="21"/>
                <w:szCs w:val="21"/>
                <w:highlight w:val="none"/>
                <w:lang w:val="en-US" w:eastAsia="zh-CN"/>
              </w:rPr>
            </w:pPr>
          </w:p>
        </w:tc>
        <w:tc>
          <w:tcPr>
            <w:tcW w:w="812" w:type="dxa"/>
            <w:tcBorders>
              <w:left w:val="single" w:color="auto" w:sz="4" w:space="0"/>
              <w:bottom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5分</w:t>
            </w:r>
          </w:p>
        </w:tc>
        <w:tc>
          <w:tcPr>
            <w:tcW w:w="6076" w:type="dxa"/>
            <w:noWrap w:val="0"/>
            <w:vAlign w:val="top"/>
          </w:tcPr>
          <w:p>
            <w:pPr>
              <w:pStyle w:val="28"/>
              <w:adjustRightInd w:val="0"/>
              <w:snapToGrid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投标人提供针对本项目的培训方案，包括但不限于：</w:t>
            </w:r>
          </w:p>
          <w:p>
            <w:pPr>
              <w:pStyle w:val="28"/>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根据采购人要求提供现场培训方案，培训批次、人数等进行评审。内容清晰合理、内容详尽、有条理、可实施性强的得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分，内容清晰合理、内容详尽、有条理、可实施性基本满足的得3分，内容完善但缺乏条理性及可实施性的得2分，内容有缺漏项或表述不清晰的得1分，未提供不得分。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511" w:hRule="atLeast"/>
        </w:trPr>
        <w:tc>
          <w:tcPr>
            <w:tcW w:w="730" w:type="dxa"/>
            <w:vMerge w:val="continue"/>
            <w:noWrap w:val="0"/>
            <w:vAlign w:val="center"/>
          </w:tcPr>
          <w:p>
            <w:pPr>
              <w:adjustRightInd w:val="0"/>
              <w:snapToGrid w:val="0"/>
              <w:ind w:right="0" w:rightChars="0"/>
              <w:jc w:val="center"/>
              <w:rPr>
                <w:rFonts w:hint="eastAsia" w:ascii="宋体" w:hAnsi="宋体" w:eastAsia="宋体" w:cs="宋体"/>
                <w:color w:val="auto"/>
                <w:kern w:val="0"/>
                <w:szCs w:val="21"/>
                <w:highlight w:val="none"/>
              </w:rPr>
            </w:pPr>
          </w:p>
        </w:tc>
        <w:tc>
          <w:tcPr>
            <w:tcW w:w="800" w:type="dxa"/>
            <w:gridSpan w:val="2"/>
            <w:vMerge w:val="continue"/>
            <w:noWrap w:val="0"/>
            <w:vAlign w:val="center"/>
          </w:tcPr>
          <w:p>
            <w:pPr>
              <w:adjustRightInd w:val="0"/>
              <w:snapToGrid w:val="0"/>
              <w:ind w:right="0" w:rightChars="0"/>
              <w:jc w:val="center"/>
              <w:rPr>
                <w:rFonts w:hint="eastAsia" w:ascii="宋体" w:hAnsi="宋体" w:eastAsia="宋体" w:cs="宋体"/>
                <w:color w:val="auto"/>
                <w:kern w:val="0"/>
                <w:szCs w:val="21"/>
                <w:highlight w:val="none"/>
              </w:rPr>
            </w:pPr>
          </w:p>
        </w:tc>
        <w:tc>
          <w:tcPr>
            <w:tcW w:w="1046" w:type="dxa"/>
            <w:tcBorders>
              <w:top w:val="single" w:color="auto" w:sz="4" w:space="0"/>
              <w:righ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p>
        </w:tc>
        <w:tc>
          <w:tcPr>
            <w:tcW w:w="812" w:type="dxa"/>
            <w:tcBorders>
              <w:top w:val="single" w:color="auto" w:sz="4" w:space="0"/>
              <w:left w:val="single" w:color="auto" w:sz="4" w:space="0"/>
            </w:tcBorders>
            <w:noWrap w:val="0"/>
            <w:vAlign w:val="center"/>
          </w:tcPr>
          <w:p>
            <w:pPr>
              <w:pStyle w:val="28"/>
              <w:adjustRightInd w:val="0"/>
              <w:snapToGrid w:val="0"/>
              <w:jc w:val="center"/>
              <w:rPr>
                <w:rFonts w:hint="eastAsia" w:ascii="宋体" w:hAnsi="宋体" w:eastAsia="宋体" w:cs="宋体"/>
                <w:color w:val="auto"/>
                <w:sz w:val="21"/>
                <w:szCs w:val="21"/>
                <w:highlight w:val="none"/>
                <w:lang w:val="en-US" w:eastAsia="zh-CN"/>
              </w:rPr>
            </w:pPr>
          </w:p>
        </w:tc>
        <w:tc>
          <w:tcPr>
            <w:tcW w:w="6076" w:type="dxa"/>
            <w:noWrap w:val="0"/>
            <w:vAlign w:val="top"/>
          </w:tcPr>
          <w:p>
            <w:pPr>
              <w:pStyle w:val="28"/>
              <w:adjustRightInd w:val="0"/>
              <w:snapToGrid w:val="0"/>
              <w:jc w:val="left"/>
              <w:rPr>
                <w:rFonts w:hint="eastAsia" w:ascii="宋体" w:hAnsi="宋体" w:eastAsia="宋体" w:cs="宋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567" w:hRule="atLeast"/>
        </w:trPr>
        <w:tc>
          <w:tcPr>
            <w:tcW w:w="730" w:type="dxa"/>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lang w:val="en-US" w:eastAsia="zh-CN"/>
              </w:rPr>
              <w:t>3</w:t>
            </w:r>
          </w:p>
          <w:p>
            <w:pPr>
              <w:pStyle w:val="28"/>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800" w:type="dxa"/>
            <w:gridSpan w:val="2"/>
            <w:noWrap w:val="0"/>
            <w:vAlign w:val="center"/>
          </w:tcPr>
          <w:p>
            <w:pPr>
              <w:pStyle w:val="28"/>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其他因素评分标准</w:t>
            </w:r>
          </w:p>
        </w:tc>
        <w:tc>
          <w:tcPr>
            <w:tcW w:w="1858" w:type="dxa"/>
            <w:gridSpan w:val="2"/>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6076" w:type="dxa"/>
            <w:noWrap w:val="0"/>
            <w:vAlign w:val="center"/>
          </w:tcPr>
          <w:p>
            <w:pPr>
              <w:pStyle w:val="28"/>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r>
    </w:tbl>
    <w:p>
      <w:pPr>
        <w:pStyle w:val="8"/>
        <w:numPr>
          <w:ilvl w:val="0"/>
          <w:numId w:val="17"/>
        </w:numPr>
        <w:tabs>
          <w:tab w:val="left" w:pos="1039"/>
          <w:tab w:val="left" w:pos="1040"/>
        </w:tabs>
        <w:spacing w:before="62" w:after="0" w:line="240" w:lineRule="auto"/>
        <w:ind w:left="1039" w:right="0" w:hanging="563"/>
        <w:jc w:val="left"/>
        <w:outlineLvl w:val="1"/>
        <w:rPr>
          <w:rFonts w:hint="eastAsia" w:ascii="宋体" w:hAnsi="宋体" w:eastAsia="宋体" w:cs="宋体"/>
          <w:color w:val="auto"/>
          <w:highlight w:val="none"/>
        </w:rPr>
      </w:pPr>
      <w:bookmarkStart w:id="57" w:name="_Toc14223"/>
      <w:r>
        <w:rPr>
          <w:rFonts w:hint="eastAsia" w:ascii="宋体" w:hAnsi="宋体" w:eastAsia="宋体" w:cs="宋体"/>
          <w:color w:val="auto"/>
          <w:highlight w:val="none"/>
        </w:rPr>
        <w:t>评标方法</w:t>
      </w:r>
      <w:bookmarkEnd w:id="57"/>
    </w:p>
    <w:p>
      <w:pPr>
        <w:pStyle w:val="2"/>
        <w:spacing w:before="243" w:line="364" w:lineRule="auto"/>
        <w:ind w:left="477" w:right="515" w:firstLine="480"/>
        <w:rPr>
          <w:rFonts w:hint="eastAsia" w:ascii="宋体" w:hAnsi="宋体" w:eastAsia="宋体" w:cs="宋体"/>
          <w:color w:val="auto"/>
          <w:highlight w:val="none"/>
        </w:rPr>
      </w:pPr>
      <w:r>
        <w:rPr>
          <w:rFonts w:hint="eastAsia" w:ascii="宋体" w:hAnsi="宋体" w:eastAsia="宋体" w:cs="宋体"/>
          <w:color w:val="auto"/>
          <w:spacing w:val="-11"/>
          <w:highlight w:val="none"/>
        </w:rPr>
        <w:t>本次评标采用</w:t>
      </w:r>
      <w:r>
        <w:rPr>
          <w:rFonts w:hint="eastAsia" w:ascii="宋体" w:hAnsi="宋体" w:eastAsia="宋体" w:cs="宋体"/>
          <w:color w:val="auto"/>
          <w:spacing w:val="-11"/>
          <w:highlight w:val="none"/>
          <w:lang w:eastAsia="zh-CN"/>
        </w:rPr>
        <w:t>综合评分法</w:t>
      </w:r>
      <w:r>
        <w:rPr>
          <w:rFonts w:hint="eastAsia" w:ascii="宋体" w:hAnsi="宋体" w:eastAsia="宋体" w:cs="宋体"/>
          <w:color w:val="auto"/>
          <w:spacing w:val="-11"/>
          <w:highlight w:val="none"/>
        </w:rPr>
        <w:t xml:space="preserve">。评标委员会对满足招标文件实质性要求的投标文件， </w:t>
      </w:r>
      <w:r>
        <w:rPr>
          <w:rFonts w:hint="eastAsia" w:ascii="宋体" w:hAnsi="宋体" w:eastAsia="宋体" w:cs="宋体"/>
          <w:color w:val="auto"/>
          <w:highlight w:val="none"/>
        </w:rPr>
        <w:t>按照本章 第 2.2 款规定的评分标准进行打分，并按得分由高到低顺序推荐中标候选人，或根据招标人授权直接确定中标人，但投标报价低于其成本的除外。综合评分相等时，以投标报价低的优先；投标报价也相等的，以技术得分高的优先；如果技术得分也相等，按照评标办法前附表的规定确定中标候选人顺序。</w:t>
      </w:r>
    </w:p>
    <w:p>
      <w:pPr>
        <w:pStyle w:val="8"/>
        <w:numPr>
          <w:ilvl w:val="0"/>
          <w:numId w:val="17"/>
        </w:numPr>
        <w:tabs>
          <w:tab w:val="left" w:pos="1039"/>
          <w:tab w:val="left" w:pos="1040"/>
        </w:tabs>
        <w:spacing w:before="0" w:after="0" w:line="240" w:lineRule="auto"/>
        <w:ind w:left="1039" w:right="0" w:hanging="563"/>
        <w:jc w:val="left"/>
        <w:outlineLvl w:val="1"/>
        <w:rPr>
          <w:rFonts w:hint="eastAsia" w:ascii="宋体" w:hAnsi="宋体" w:eastAsia="宋体" w:cs="宋体"/>
          <w:color w:val="auto"/>
          <w:highlight w:val="none"/>
        </w:rPr>
      </w:pPr>
      <w:bookmarkStart w:id="58" w:name="_bookmark17"/>
      <w:bookmarkEnd w:id="58"/>
      <w:bookmarkStart w:id="59" w:name="2.  评审标准"/>
      <w:bookmarkEnd w:id="59"/>
      <w:bookmarkStart w:id="60" w:name="_bookmark17"/>
      <w:bookmarkEnd w:id="60"/>
      <w:bookmarkStart w:id="61" w:name="_Toc13324"/>
      <w:r>
        <w:rPr>
          <w:rFonts w:hint="eastAsia" w:ascii="宋体" w:hAnsi="宋体" w:eastAsia="宋体" w:cs="宋体"/>
          <w:color w:val="auto"/>
          <w:highlight w:val="none"/>
        </w:rPr>
        <w:t>评审标准</w:t>
      </w:r>
      <w:bookmarkEnd w:id="61"/>
    </w:p>
    <w:p>
      <w:pPr>
        <w:pStyle w:val="10"/>
        <w:numPr>
          <w:ilvl w:val="1"/>
          <w:numId w:val="17"/>
        </w:numPr>
        <w:tabs>
          <w:tab w:val="left" w:pos="1559"/>
          <w:tab w:val="left" w:pos="1560"/>
        </w:tabs>
        <w:spacing w:before="243"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初步评审标准</w:t>
      </w:r>
    </w:p>
    <w:p>
      <w:pPr>
        <w:pStyle w:val="29"/>
        <w:numPr>
          <w:ilvl w:val="2"/>
          <w:numId w:val="17"/>
        </w:numPr>
        <w:tabs>
          <w:tab w:val="left" w:pos="1678"/>
        </w:tabs>
        <w:spacing w:before="65" w:after="0" w:line="240" w:lineRule="auto"/>
        <w:ind w:left="1677" w:right="0" w:hanging="721"/>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资格</w:t>
      </w:r>
      <w:r>
        <w:rPr>
          <w:rFonts w:hint="eastAsia" w:ascii="宋体" w:hAnsi="宋体" w:eastAsia="宋体" w:cs="宋体"/>
          <w:color w:val="auto"/>
          <w:sz w:val="24"/>
          <w:highlight w:val="none"/>
        </w:rPr>
        <w:t>评审标准：见评标办法前附表。</w:t>
      </w:r>
    </w:p>
    <w:p>
      <w:pPr>
        <w:pStyle w:val="29"/>
        <w:numPr>
          <w:ilvl w:val="2"/>
          <w:numId w:val="17"/>
        </w:numPr>
        <w:tabs>
          <w:tab w:val="left" w:pos="1678"/>
        </w:tabs>
        <w:spacing w:before="158" w:after="0" w:line="240" w:lineRule="auto"/>
        <w:ind w:left="1677" w:right="0" w:hanging="721"/>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符合</w:t>
      </w:r>
      <w:r>
        <w:rPr>
          <w:rFonts w:hint="eastAsia" w:ascii="宋体" w:hAnsi="宋体" w:eastAsia="宋体" w:cs="宋体"/>
          <w:color w:val="auto"/>
          <w:sz w:val="24"/>
          <w:highlight w:val="none"/>
        </w:rPr>
        <w:t>性评审标准：见评标办法前附表。</w:t>
      </w:r>
    </w:p>
    <w:p>
      <w:pPr>
        <w:pStyle w:val="10"/>
        <w:numPr>
          <w:ilvl w:val="1"/>
          <w:numId w:val="17"/>
        </w:numPr>
        <w:tabs>
          <w:tab w:val="left" w:pos="1559"/>
          <w:tab w:val="left" w:pos="1560"/>
        </w:tabs>
        <w:spacing w:before="161"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分值构成与评分标准</w:t>
      </w:r>
    </w:p>
    <w:p>
      <w:pPr>
        <w:pStyle w:val="29"/>
        <w:numPr>
          <w:ilvl w:val="2"/>
          <w:numId w:val="17"/>
        </w:numPr>
        <w:tabs>
          <w:tab w:val="left" w:pos="1797"/>
          <w:tab w:val="left" w:pos="1798"/>
        </w:tabs>
        <w:spacing w:before="158" w:after="0" w:line="240" w:lineRule="auto"/>
        <w:ind w:left="1797" w:right="0" w:hanging="841"/>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分值构成</w:t>
      </w:r>
    </w:p>
    <w:p>
      <w:pPr>
        <w:pStyle w:val="29"/>
        <w:numPr>
          <w:ilvl w:val="0"/>
          <w:numId w:val="18"/>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商务部分：见评标办法前附表；</w:t>
      </w:r>
    </w:p>
    <w:p>
      <w:pPr>
        <w:pStyle w:val="29"/>
        <w:numPr>
          <w:ilvl w:val="0"/>
          <w:numId w:val="18"/>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技术部分：见评标办法前附表；</w:t>
      </w:r>
    </w:p>
    <w:p>
      <w:pPr>
        <w:pStyle w:val="29"/>
        <w:numPr>
          <w:ilvl w:val="0"/>
          <w:numId w:val="18"/>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投标报价：见评标办法前附表；</w:t>
      </w:r>
    </w:p>
    <w:p>
      <w:pPr>
        <w:pStyle w:val="29"/>
        <w:numPr>
          <w:ilvl w:val="0"/>
          <w:numId w:val="18"/>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其他评分因素：见评标办法前附表。</w:t>
      </w:r>
    </w:p>
    <w:p>
      <w:pPr>
        <w:pStyle w:val="29"/>
        <w:numPr>
          <w:ilvl w:val="2"/>
          <w:numId w:val="17"/>
        </w:numPr>
        <w:tabs>
          <w:tab w:val="left" w:pos="1678"/>
        </w:tabs>
        <w:spacing w:before="158" w:after="0" w:line="240" w:lineRule="auto"/>
        <w:ind w:left="1677" w:right="0" w:hanging="721"/>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评标基准价计算 评标基准价计算方法：见评标办法前附表。</w:t>
      </w:r>
    </w:p>
    <w:p>
      <w:pPr>
        <w:pStyle w:val="29"/>
        <w:numPr>
          <w:ilvl w:val="2"/>
          <w:numId w:val="17"/>
        </w:numPr>
        <w:tabs>
          <w:tab w:val="left" w:pos="1678"/>
        </w:tabs>
        <w:spacing w:before="158" w:after="0" w:line="240" w:lineRule="auto"/>
        <w:ind w:left="1677" w:right="0" w:hanging="721"/>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评分标准</w:t>
      </w:r>
    </w:p>
    <w:p>
      <w:pPr>
        <w:pStyle w:val="29"/>
        <w:numPr>
          <w:ilvl w:val="0"/>
          <w:numId w:val="19"/>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商务评分标准：见评标办法前附表；</w:t>
      </w:r>
    </w:p>
    <w:p>
      <w:pPr>
        <w:pStyle w:val="29"/>
        <w:numPr>
          <w:ilvl w:val="0"/>
          <w:numId w:val="19"/>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技术评分标准：见评标办法前附表；</w:t>
      </w:r>
    </w:p>
    <w:p>
      <w:pPr>
        <w:pStyle w:val="29"/>
        <w:numPr>
          <w:ilvl w:val="0"/>
          <w:numId w:val="19"/>
        </w:numPr>
        <w:tabs>
          <w:tab w:val="left" w:pos="1559"/>
        </w:tabs>
        <w:spacing w:before="159"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投标报价评分标准：见评标办法前附表；</w:t>
      </w:r>
    </w:p>
    <w:p>
      <w:pPr>
        <w:pStyle w:val="29"/>
        <w:numPr>
          <w:ilvl w:val="0"/>
          <w:numId w:val="19"/>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其他因素评分标准：见评标办法前附表。</w:t>
      </w:r>
    </w:p>
    <w:p>
      <w:pPr>
        <w:pStyle w:val="2"/>
        <w:spacing w:before="2"/>
        <w:rPr>
          <w:rFonts w:hint="eastAsia" w:ascii="宋体" w:hAnsi="宋体" w:eastAsia="宋体" w:cs="宋体"/>
          <w:color w:val="auto"/>
          <w:sz w:val="31"/>
          <w:highlight w:val="none"/>
        </w:rPr>
      </w:pPr>
    </w:p>
    <w:p>
      <w:pPr>
        <w:pStyle w:val="11"/>
        <w:numPr>
          <w:ilvl w:val="0"/>
          <w:numId w:val="17"/>
        </w:numPr>
        <w:tabs>
          <w:tab w:val="left" w:pos="1039"/>
          <w:tab w:val="left" w:pos="1040"/>
        </w:tabs>
        <w:spacing w:before="0" w:after="0" w:line="240" w:lineRule="auto"/>
        <w:ind w:left="1039" w:right="0" w:hanging="563"/>
        <w:jc w:val="left"/>
        <w:outlineLvl w:val="6"/>
        <w:rPr>
          <w:rFonts w:hint="eastAsia" w:ascii="宋体" w:hAnsi="宋体" w:eastAsia="宋体" w:cs="宋体"/>
          <w:color w:val="auto"/>
          <w:highlight w:val="none"/>
        </w:rPr>
      </w:pPr>
      <w:bookmarkStart w:id="62" w:name="_bookmark18"/>
      <w:bookmarkEnd w:id="62"/>
      <w:bookmarkStart w:id="63" w:name="_bookmark18"/>
      <w:bookmarkEnd w:id="63"/>
      <w:bookmarkStart w:id="64" w:name="3.  评标程序"/>
      <w:bookmarkEnd w:id="64"/>
      <w:bookmarkStart w:id="65" w:name="_Toc15752"/>
      <w:r>
        <w:rPr>
          <w:rFonts w:hint="eastAsia" w:ascii="宋体" w:hAnsi="宋体" w:eastAsia="宋体" w:cs="宋体"/>
          <w:color w:val="auto"/>
          <w:highlight w:val="none"/>
        </w:rPr>
        <w:t>评标程序</w:t>
      </w:r>
      <w:bookmarkEnd w:id="65"/>
    </w:p>
    <w:p>
      <w:pPr>
        <w:pStyle w:val="10"/>
        <w:numPr>
          <w:ilvl w:val="1"/>
          <w:numId w:val="17"/>
        </w:numPr>
        <w:tabs>
          <w:tab w:val="left" w:pos="1560"/>
        </w:tabs>
        <w:spacing w:before="245" w:after="0" w:line="240" w:lineRule="auto"/>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初步评审</w:t>
      </w:r>
    </w:p>
    <w:p>
      <w:pPr>
        <w:pStyle w:val="29"/>
        <w:numPr>
          <w:ilvl w:val="2"/>
          <w:numId w:val="17"/>
        </w:numPr>
        <w:tabs>
          <w:tab w:val="left" w:pos="1805"/>
        </w:tabs>
        <w:spacing w:before="158" w:after="0" w:line="364" w:lineRule="auto"/>
        <w:ind w:left="477" w:right="635" w:firstLine="48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评标委员会可以要求投标人提交第二章“投标人须知”规定的有关证</w:t>
      </w:r>
      <w:r>
        <w:rPr>
          <w:rFonts w:hint="eastAsia" w:ascii="宋体" w:hAnsi="宋体" w:eastAsia="宋体" w:cs="宋体"/>
          <w:color w:val="auto"/>
          <w:spacing w:val="-12"/>
          <w:sz w:val="24"/>
          <w:highlight w:val="none"/>
        </w:rPr>
        <w:t xml:space="preserve">明和证件的原件，以便核验。评标委员会依据本章第 </w:t>
      </w:r>
      <w:r>
        <w:rPr>
          <w:rFonts w:hint="eastAsia" w:ascii="宋体" w:hAnsi="宋体" w:eastAsia="宋体" w:cs="宋体"/>
          <w:color w:val="auto"/>
          <w:sz w:val="24"/>
          <w:highlight w:val="none"/>
        </w:rPr>
        <w:t>2.1</w:t>
      </w:r>
      <w:r>
        <w:rPr>
          <w:rFonts w:hint="eastAsia" w:ascii="宋体" w:hAnsi="宋体" w:eastAsia="宋体" w:cs="宋体"/>
          <w:color w:val="auto"/>
          <w:spacing w:val="-2"/>
          <w:sz w:val="24"/>
          <w:highlight w:val="none"/>
        </w:rPr>
        <w:t xml:space="preserve"> 款规定的标准对投标文件</w:t>
      </w:r>
      <w:r>
        <w:rPr>
          <w:rFonts w:hint="eastAsia" w:ascii="宋体" w:hAnsi="宋体" w:eastAsia="宋体" w:cs="宋体"/>
          <w:color w:val="auto"/>
          <w:sz w:val="24"/>
          <w:highlight w:val="none"/>
        </w:rPr>
        <w:t>进行初步评审。有一项不符合评审标准的，评标委员会应当否决其投标。</w:t>
      </w:r>
    </w:p>
    <w:p>
      <w:pPr>
        <w:pStyle w:val="29"/>
        <w:numPr>
          <w:ilvl w:val="2"/>
          <w:numId w:val="17"/>
        </w:numPr>
        <w:tabs>
          <w:tab w:val="left" w:pos="1678"/>
        </w:tabs>
        <w:spacing w:before="0" w:after="0" w:line="304" w:lineRule="exact"/>
        <w:ind w:left="1677" w:right="0" w:hanging="721"/>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投标人有以下情形之一的，评标委员会应当否决其投标：</w:t>
      </w:r>
    </w:p>
    <w:p>
      <w:pPr>
        <w:pStyle w:val="29"/>
        <w:numPr>
          <w:ilvl w:val="0"/>
          <w:numId w:val="20"/>
        </w:numPr>
        <w:tabs>
          <w:tab w:val="left" w:pos="1559"/>
        </w:tabs>
        <w:spacing w:before="161" w:after="0" w:line="364"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pacing w:val="-3"/>
          <w:sz w:val="24"/>
          <w:highlight w:val="none"/>
        </w:rPr>
        <w:t>投标文件没有对招标文件的实质性要求和条件作出响应，或者对招标文</w:t>
      </w:r>
      <w:r>
        <w:rPr>
          <w:rFonts w:hint="eastAsia" w:ascii="宋体" w:hAnsi="宋体" w:eastAsia="宋体" w:cs="宋体"/>
          <w:color w:val="auto"/>
          <w:spacing w:val="-4"/>
          <w:sz w:val="24"/>
          <w:highlight w:val="none"/>
        </w:rPr>
        <w:t>件的偏差超出招标文件规定的偏差范围或最高项数；</w:t>
      </w:r>
    </w:p>
    <w:p>
      <w:pPr>
        <w:pStyle w:val="29"/>
        <w:numPr>
          <w:ilvl w:val="0"/>
          <w:numId w:val="20"/>
        </w:numPr>
        <w:tabs>
          <w:tab w:val="left" w:pos="1559"/>
        </w:tabs>
        <w:spacing w:before="0" w:after="0" w:line="306" w:lineRule="exact"/>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有串通投标、弄虚作假、行贿等违法行为。</w:t>
      </w:r>
    </w:p>
    <w:p>
      <w:pPr>
        <w:pStyle w:val="29"/>
        <w:numPr>
          <w:ilvl w:val="2"/>
          <w:numId w:val="17"/>
        </w:numPr>
        <w:tabs>
          <w:tab w:val="left" w:pos="1678"/>
        </w:tabs>
        <w:spacing w:before="160" w:after="0" w:line="364" w:lineRule="auto"/>
        <w:ind w:left="477" w:right="635" w:firstLine="48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投标报价有算术错误及其他错误的，评标委员会按以下原则要求投标人对投标报价进行修正，并要求投标人书面澄清确认。投标人拒不澄清确认的，评标</w:t>
      </w:r>
      <w:r>
        <w:rPr>
          <w:rFonts w:hint="eastAsia" w:ascii="宋体" w:hAnsi="宋体" w:eastAsia="宋体" w:cs="宋体"/>
          <w:color w:val="auto"/>
          <w:sz w:val="24"/>
          <w:highlight w:val="none"/>
        </w:rPr>
        <w:t>委员会应当否决其投标：</w:t>
      </w:r>
    </w:p>
    <w:p>
      <w:pPr>
        <w:pStyle w:val="29"/>
        <w:numPr>
          <w:ilvl w:val="0"/>
          <w:numId w:val="21"/>
        </w:numPr>
        <w:tabs>
          <w:tab w:val="left" w:pos="1559"/>
        </w:tabs>
        <w:spacing w:before="65" w:after="0" w:line="364" w:lineRule="auto"/>
        <w:ind w:left="477" w:right="520"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投标文件中开标一览表（报价表）</w:t>
      </w:r>
      <w:r>
        <w:rPr>
          <w:rFonts w:hint="eastAsia" w:ascii="宋体" w:hAnsi="宋体" w:eastAsia="宋体" w:cs="宋体"/>
          <w:color w:val="auto"/>
          <w:spacing w:val="-1"/>
          <w:sz w:val="24"/>
          <w:highlight w:val="none"/>
        </w:rPr>
        <w:t xml:space="preserve">内容与投标文件中相应内容不一致的， </w:t>
      </w:r>
      <w:r>
        <w:rPr>
          <w:rFonts w:hint="eastAsia" w:ascii="宋体" w:hAnsi="宋体" w:eastAsia="宋体" w:cs="宋体"/>
          <w:color w:val="auto"/>
          <w:sz w:val="24"/>
          <w:highlight w:val="none"/>
        </w:rPr>
        <w:t>以开标一览表（报价表）为准；</w:t>
      </w:r>
    </w:p>
    <w:p>
      <w:pPr>
        <w:pStyle w:val="29"/>
        <w:numPr>
          <w:ilvl w:val="0"/>
          <w:numId w:val="21"/>
        </w:numPr>
        <w:tabs>
          <w:tab w:val="left" w:pos="1559"/>
        </w:tabs>
        <w:spacing w:before="0" w:after="0" w:line="306" w:lineRule="exact"/>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投标文件中的大写金额与小写金额不一致的，以大写金额为准；</w:t>
      </w:r>
    </w:p>
    <w:p>
      <w:pPr>
        <w:pStyle w:val="29"/>
        <w:numPr>
          <w:ilvl w:val="0"/>
          <w:numId w:val="21"/>
        </w:numPr>
        <w:tabs>
          <w:tab w:val="left" w:pos="1559"/>
        </w:tabs>
        <w:spacing w:before="161" w:after="0" w:line="362"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pacing w:val="-5"/>
          <w:sz w:val="24"/>
          <w:highlight w:val="none"/>
        </w:rPr>
        <w:t>总价金额与单价金额不一致的，以单价金额为准，但单价金额小数点有</w:t>
      </w:r>
      <w:r>
        <w:rPr>
          <w:rFonts w:hint="eastAsia" w:ascii="宋体" w:hAnsi="宋体" w:eastAsia="宋体" w:cs="宋体"/>
          <w:color w:val="auto"/>
          <w:spacing w:val="-4"/>
          <w:sz w:val="24"/>
          <w:highlight w:val="none"/>
        </w:rPr>
        <w:t>明显错误的除外；</w:t>
      </w:r>
    </w:p>
    <w:p>
      <w:pPr>
        <w:pStyle w:val="29"/>
        <w:numPr>
          <w:ilvl w:val="0"/>
          <w:numId w:val="21"/>
        </w:numPr>
        <w:tabs>
          <w:tab w:val="left" w:pos="1559"/>
        </w:tabs>
        <w:spacing w:before="5" w:after="0" w:line="362" w:lineRule="auto"/>
        <w:ind w:left="477" w:right="520" w:firstLine="480"/>
        <w:jc w:val="left"/>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 xml:space="preserve">投标报价为各分项报价金额之和，投标报价与分项报价的合价不一致的， </w:t>
      </w:r>
      <w:r>
        <w:rPr>
          <w:rFonts w:hint="eastAsia" w:ascii="宋体" w:hAnsi="宋体" w:eastAsia="宋体" w:cs="宋体"/>
          <w:color w:val="auto"/>
          <w:sz w:val="24"/>
          <w:highlight w:val="none"/>
        </w:rPr>
        <w:t>应以各分项合价累计数为准，修正投标报价；</w:t>
      </w:r>
    </w:p>
    <w:p>
      <w:pPr>
        <w:pStyle w:val="29"/>
        <w:numPr>
          <w:ilvl w:val="0"/>
          <w:numId w:val="21"/>
        </w:numPr>
        <w:tabs>
          <w:tab w:val="left" w:pos="1559"/>
        </w:tabs>
        <w:spacing w:before="5" w:after="0" w:line="364"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pacing w:val="-5"/>
          <w:sz w:val="24"/>
          <w:highlight w:val="none"/>
        </w:rPr>
        <w:t>如果分项报价中存在缺漏项，则视为缺漏项价格已包含在其他分项报价</w:t>
      </w:r>
      <w:r>
        <w:rPr>
          <w:rFonts w:hint="eastAsia" w:ascii="宋体" w:hAnsi="宋体" w:eastAsia="宋体" w:cs="宋体"/>
          <w:color w:val="auto"/>
          <w:spacing w:val="-6"/>
          <w:sz w:val="24"/>
          <w:highlight w:val="none"/>
        </w:rPr>
        <w:t>之中。</w:t>
      </w:r>
    </w:p>
    <w:p>
      <w:pPr>
        <w:pStyle w:val="10"/>
        <w:numPr>
          <w:ilvl w:val="1"/>
          <w:numId w:val="17"/>
        </w:numPr>
        <w:tabs>
          <w:tab w:val="left" w:pos="1559"/>
          <w:tab w:val="left" w:pos="1560"/>
        </w:tabs>
        <w:spacing w:before="0" w:after="0" w:line="306" w:lineRule="exact"/>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详细评审</w:t>
      </w:r>
    </w:p>
    <w:p>
      <w:pPr>
        <w:pStyle w:val="29"/>
        <w:numPr>
          <w:ilvl w:val="2"/>
          <w:numId w:val="17"/>
        </w:numPr>
        <w:tabs>
          <w:tab w:val="left" w:pos="1678"/>
        </w:tabs>
        <w:spacing w:before="158" w:after="35" w:line="364"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评标委员会按本章第 2.2</w:t>
      </w:r>
      <w:r>
        <w:rPr>
          <w:rFonts w:hint="eastAsia" w:ascii="宋体" w:hAnsi="宋体" w:eastAsia="宋体" w:cs="宋体"/>
          <w:color w:val="auto"/>
          <w:spacing w:val="-8"/>
          <w:sz w:val="24"/>
          <w:highlight w:val="none"/>
        </w:rPr>
        <w:t xml:space="preserve"> 款规定的量化因素和分值进行打分，并计算出</w:t>
      </w:r>
      <w:r>
        <w:rPr>
          <w:rFonts w:hint="eastAsia" w:ascii="宋体" w:hAnsi="宋体" w:eastAsia="宋体" w:cs="宋体"/>
          <w:color w:val="auto"/>
          <w:sz w:val="24"/>
          <w:highlight w:val="none"/>
        </w:rPr>
        <w:t>综合评估得分。</w:t>
      </w:r>
    </w:p>
    <w:tbl>
      <w:tblPr>
        <w:tblStyle w:val="20"/>
        <w:tblW w:w="0" w:type="auto"/>
        <w:tblInd w:w="9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32"/>
        <w:gridCol w:w="6284"/>
        <w:gridCol w:w="4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2" w:hRule="atLeast"/>
        </w:trPr>
        <w:tc>
          <w:tcPr>
            <w:tcW w:w="1632" w:type="dxa"/>
          </w:tcPr>
          <w:p>
            <w:pPr>
              <w:pStyle w:val="28"/>
              <w:spacing w:line="274" w:lineRule="exact"/>
              <w:ind w:left="50"/>
              <w:rPr>
                <w:rFonts w:hint="eastAsia" w:ascii="宋体" w:hAnsi="宋体" w:eastAsia="宋体" w:cs="宋体"/>
                <w:color w:val="auto"/>
                <w:sz w:val="24"/>
                <w:highlight w:val="none"/>
              </w:rPr>
            </w:pPr>
            <w:r>
              <w:rPr>
                <w:rFonts w:hint="eastAsia" w:ascii="宋体" w:hAnsi="宋体" w:eastAsia="宋体" w:cs="宋体"/>
                <w:color w:val="auto"/>
                <w:sz w:val="24"/>
                <w:highlight w:val="none"/>
              </w:rPr>
              <w:t>（1）按本章第</w:t>
            </w:r>
          </w:p>
        </w:tc>
        <w:tc>
          <w:tcPr>
            <w:tcW w:w="6284" w:type="dxa"/>
          </w:tcPr>
          <w:p>
            <w:pPr>
              <w:pStyle w:val="28"/>
              <w:spacing w:line="274" w:lineRule="exact"/>
              <w:ind w:left="1" w:right="2"/>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2.2.4（1）目规定的评审因素和分值对商务部分计算出得分</w:t>
            </w:r>
          </w:p>
        </w:tc>
        <w:tc>
          <w:tcPr>
            <w:tcW w:w="471" w:type="dxa"/>
          </w:tcPr>
          <w:p>
            <w:pPr>
              <w:pStyle w:val="28"/>
              <w:spacing w:line="274" w:lineRule="exact"/>
              <w:ind w:left="38" w:right="32"/>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6" w:hRule="atLeast"/>
        </w:trPr>
        <w:tc>
          <w:tcPr>
            <w:tcW w:w="1632" w:type="dxa"/>
          </w:tcPr>
          <w:p>
            <w:pPr>
              <w:pStyle w:val="28"/>
              <w:spacing w:before="79"/>
              <w:ind w:left="50"/>
              <w:rPr>
                <w:rFonts w:hint="eastAsia" w:ascii="宋体" w:hAnsi="宋体" w:eastAsia="宋体" w:cs="宋体"/>
                <w:color w:val="auto"/>
                <w:sz w:val="24"/>
                <w:highlight w:val="none"/>
              </w:rPr>
            </w:pPr>
            <w:r>
              <w:rPr>
                <w:rFonts w:hint="eastAsia" w:ascii="宋体" w:hAnsi="宋体" w:eastAsia="宋体" w:cs="宋体"/>
                <w:color w:val="auto"/>
                <w:sz w:val="24"/>
                <w:highlight w:val="none"/>
              </w:rPr>
              <w:t>（2）按本章第</w:t>
            </w:r>
          </w:p>
        </w:tc>
        <w:tc>
          <w:tcPr>
            <w:tcW w:w="6284" w:type="dxa"/>
          </w:tcPr>
          <w:p>
            <w:pPr>
              <w:pStyle w:val="28"/>
              <w:spacing w:before="79"/>
              <w:ind w:left="1" w:right="2"/>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2.2.4（2）目规定的评审因素和分值对技术部分计算出得分</w:t>
            </w:r>
          </w:p>
        </w:tc>
        <w:tc>
          <w:tcPr>
            <w:tcW w:w="471" w:type="dxa"/>
          </w:tcPr>
          <w:p>
            <w:pPr>
              <w:pStyle w:val="28"/>
              <w:spacing w:before="79"/>
              <w:ind w:left="38" w:right="32"/>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6" w:hRule="atLeast"/>
        </w:trPr>
        <w:tc>
          <w:tcPr>
            <w:tcW w:w="1632" w:type="dxa"/>
          </w:tcPr>
          <w:p>
            <w:pPr>
              <w:pStyle w:val="28"/>
              <w:spacing w:before="80"/>
              <w:ind w:left="50"/>
              <w:rPr>
                <w:rFonts w:hint="eastAsia" w:ascii="宋体" w:hAnsi="宋体" w:eastAsia="宋体" w:cs="宋体"/>
                <w:color w:val="auto"/>
                <w:sz w:val="24"/>
                <w:highlight w:val="none"/>
              </w:rPr>
            </w:pPr>
            <w:r>
              <w:rPr>
                <w:rFonts w:hint="eastAsia" w:ascii="宋体" w:hAnsi="宋体" w:eastAsia="宋体" w:cs="宋体"/>
                <w:color w:val="auto"/>
                <w:sz w:val="24"/>
                <w:highlight w:val="none"/>
              </w:rPr>
              <w:t>（3）按本章第</w:t>
            </w:r>
          </w:p>
        </w:tc>
        <w:tc>
          <w:tcPr>
            <w:tcW w:w="6284" w:type="dxa"/>
          </w:tcPr>
          <w:p>
            <w:pPr>
              <w:pStyle w:val="28"/>
              <w:spacing w:before="80"/>
              <w:ind w:left="1" w:right="2"/>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2.2.4（3）目规定的评审因素和分值对投标报价计算出得分</w:t>
            </w:r>
          </w:p>
        </w:tc>
        <w:tc>
          <w:tcPr>
            <w:tcW w:w="471" w:type="dxa"/>
          </w:tcPr>
          <w:p>
            <w:pPr>
              <w:pStyle w:val="28"/>
              <w:spacing w:before="80"/>
              <w:ind w:left="38" w:right="32"/>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2" w:hRule="atLeast"/>
        </w:trPr>
        <w:tc>
          <w:tcPr>
            <w:tcW w:w="1632" w:type="dxa"/>
          </w:tcPr>
          <w:p>
            <w:pPr>
              <w:pStyle w:val="28"/>
              <w:spacing w:before="79" w:line="254" w:lineRule="exact"/>
              <w:ind w:left="50"/>
              <w:rPr>
                <w:rFonts w:hint="eastAsia" w:ascii="宋体" w:hAnsi="宋体" w:eastAsia="宋体" w:cs="宋体"/>
                <w:color w:val="auto"/>
                <w:sz w:val="24"/>
                <w:highlight w:val="none"/>
              </w:rPr>
            </w:pPr>
            <w:r>
              <w:rPr>
                <w:rFonts w:hint="eastAsia" w:ascii="宋体" w:hAnsi="宋体" w:eastAsia="宋体" w:cs="宋体"/>
                <w:color w:val="auto"/>
                <w:sz w:val="24"/>
                <w:highlight w:val="none"/>
              </w:rPr>
              <w:t>（4）按本章第</w:t>
            </w:r>
          </w:p>
        </w:tc>
        <w:tc>
          <w:tcPr>
            <w:tcW w:w="6284" w:type="dxa"/>
          </w:tcPr>
          <w:p>
            <w:pPr>
              <w:pStyle w:val="28"/>
              <w:spacing w:before="79" w:line="254" w:lineRule="exact"/>
              <w:ind w:left="1" w:right="2"/>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2.2.4（4）目规定的评审因素和分值对其他部分计算出得分</w:t>
            </w:r>
          </w:p>
        </w:tc>
        <w:tc>
          <w:tcPr>
            <w:tcW w:w="471" w:type="dxa"/>
          </w:tcPr>
          <w:p>
            <w:pPr>
              <w:pStyle w:val="28"/>
              <w:spacing w:before="79" w:line="254" w:lineRule="exact"/>
              <w:ind w:left="38" w:right="32"/>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D。</w:t>
            </w:r>
          </w:p>
        </w:tc>
      </w:tr>
    </w:tbl>
    <w:p>
      <w:pPr>
        <w:pStyle w:val="29"/>
        <w:numPr>
          <w:ilvl w:val="2"/>
          <w:numId w:val="17"/>
        </w:numPr>
        <w:tabs>
          <w:tab w:val="left" w:pos="1678"/>
        </w:tabs>
        <w:spacing w:before="194" w:after="0" w:line="240" w:lineRule="auto"/>
        <w:ind w:left="1677" w:right="0" w:hanging="721"/>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评分分值计算保留小数点后两位，小数点后第三位“四舍五入”。</w:t>
      </w:r>
    </w:p>
    <w:p>
      <w:pPr>
        <w:pStyle w:val="29"/>
        <w:numPr>
          <w:ilvl w:val="2"/>
          <w:numId w:val="17"/>
        </w:numPr>
        <w:tabs>
          <w:tab w:val="left" w:pos="1678"/>
        </w:tabs>
        <w:spacing w:before="158" w:after="0" w:line="240" w:lineRule="auto"/>
        <w:ind w:left="1677" w:right="0" w:hanging="721"/>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投标人得分=A+B+C+D。</w:t>
      </w:r>
    </w:p>
    <w:p>
      <w:pPr>
        <w:pStyle w:val="29"/>
        <w:numPr>
          <w:ilvl w:val="2"/>
          <w:numId w:val="17"/>
        </w:numPr>
        <w:tabs>
          <w:tab w:val="left" w:pos="1678"/>
        </w:tabs>
        <w:spacing w:before="161" w:after="0" w:line="364" w:lineRule="auto"/>
        <w:ind w:left="477" w:right="635" w:firstLine="48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w:t>
      </w:r>
      <w:r>
        <w:rPr>
          <w:rFonts w:hint="eastAsia" w:ascii="宋体" w:hAnsi="宋体" w:eastAsia="宋体" w:cs="宋体"/>
          <w:color w:val="auto"/>
          <w:sz w:val="24"/>
          <w:highlight w:val="none"/>
        </w:rPr>
        <w:t>以低于成本报价竞标，并否决其投标。</w:t>
      </w:r>
    </w:p>
    <w:p>
      <w:pPr>
        <w:pStyle w:val="10"/>
        <w:numPr>
          <w:ilvl w:val="1"/>
          <w:numId w:val="17"/>
        </w:numPr>
        <w:tabs>
          <w:tab w:val="left" w:pos="1560"/>
        </w:tabs>
        <w:spacing w:before="0" w:after="0" w:line="305" w:lineRule="exact"/>
        <w:ind w:left="1560" w:right="0" w:hanging="603"/>
        <w:jc w:val="both"/>
        <w:rPr>
          <w:rFonts w:hint="eastAsia" w:ascii="宋体" w:hAnsi="宋体" w:eastAsia="宋体" w:cs="宋体"/>
          <w:color w:val="auto"/>
          <w:highlight w:val="none"/>
        </w:rPr>
      </w:pPr>
      <w:r>
        <w:rPr>
          <w:rFonts w:hint="eastAsia" w:ascii="宋体" w:hAnsi="宋体" w:eastAsia="宋体" w:cs="宋体"/>
          <w:color w:val="auto"/>
          <w:highlight w:val="none"/>
        </w:rPr>
        <w:t>投标文件的澄清</w:t>
      </w:r>
    </w:p>
    <w:p>
      <w:pPr>
        <w:pStyle w:val="29"/>
        <w:numPr>
          <w:ilvl w:val="2"/>
          <w:numId w:val="17"/>
        </w:numPr>
        <w:tabs>
          <w:tab w:val="left" w:pos="1678"/>
        </w:tabs>
        <w:spacing w:before="160" w:after="0" w:line="364" w:lineRule="auto"/>
        <w:ind w:left="477" w:right="635" w:firstLine="480"/>
        <w:jc w:val="both"/>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w:t>
      </w:r>
      <w:r>
        <w:rPr>
          <w:rFonts w:hint="eastAsia" w:ascii="宋体" w:hAnsi="宋体" w:eastAsia="宋体" w:cs="宋体"/>
          <w:color w:val="auto"/>
          <w:sz w:val="24"/>
          <w:highlight w:val="none"/>
        </w:rPr>
        <w:t>提出的澄清、说明或补正。</w:t>
      </w:r>
    </w:p>
    <w:p>
      <w:pPr>
        <w:pStyle w:val="29"/>
        <w:numPr>
          <w:ilvl w:val="2"/>
          <w:numId w:val="17"/>
        </w:numPr>
        <w:tabs>
          <w:tab w:val="left" w:pos="1678"/>
        </w:tabs>
        <w:spacing w:before="0" w:after="0" w:line="303" w:lineRule="exact"/>
        <w:ind w:left="1677" w:right="0" w:hanging="721"/>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澄清、说明或补正不得超出投标文件的范围且不得改变投标文件的实质</w:t>
      </w:r>
    </w:p>
    <w:p>
      <w:pPr>
        <w:pStyle w:val="2"/>
        <w:spacing w:before="65"/>
        <w:ind w:left="477"/>
        <w:rPr>
          <w:rFonts w:hint="eastAsia" w:ascii="宋体" w:hAnsi="宋体" w:eastAsia="宋体" w:cs="宋体"/>
          <w:color w:val="auto"/>
          <w:highlight w:val="none"/>
        </w:rPr>
      </w:pPr>
      <w:bookmarkStart w:id="66" w:name="第四章  合同条款及格式"/>
      <w:bookmarkEnd w:id="66"/>
      <w:r>
        <w:rPr>
          <w:rFonts w:hint="eastAsia" w:ascii="宋体" w:hAnsi="宋体" w:eastAsia="宋体" w:cs="宋体"/>
          <w:color w:val="auto"/>
          <w:highlight w:val="none"/>
        </w:rPr>
        <w:t>性内容，并构成投标文件的组成部分。</w:t>
      </w:r>
    </w:p>
    <w:p>
      <w:pPr>
        <w:pStyle w:val="29"/>
        <w:numPr>
          <w:ilvl w:val="2"/>
          <w:numId w:val="17"/>
        </w:numPr>
        <w:tabs>
          <w:tab w:val="left" w:pos="1678"/>
        </w:tabs>
        <w:spacing w:before="161" w:after="0" w:line="362" w:lineRule="auto"/>
        <w:ind w:left="477" w:right="635" w:firstLine="480"/>
        <w:jc w:val="left"/>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评标委员会对投标人提交的澄清、说明或补正有疑问的，可以要求投标</w:t>
      </w:r>
      <w:r>
        <w:rPr>
          <w:rFonts w:hint="eastAsia" w:ascii="宋体" w:hAnsi="宋体" w:eastAsia="宋体" w:cs="宋体"/>
          <w:color w:val="auto"/>
          <w:sz w:val="24"/>
          <w:highlight w:val="none"/>
        </w:rPr>
        <w:t>人进一步澄清、说明或补正，直至满足评标委员会的要求。</w:t>
      </w:r>
    </w:p>
    <w:p>
      <w:pPr>
        <w:pStyle w:val="10"/>
        <w:numPr>
          <w:ilvl w:val="1"/>
          <w:numId w:val="17"/>
        </w:numPr>
        <w:tabs>
          <w:tab w:val="left" w:pos="1559"/>
          <w:tab w:val="left" w:pos="1560"/>
        </w:tabs>
        <w:spacing w:before="5" w:after="0" w:line="240" w:lineRule="auto"/>
        <w:ind w:left="1560" w:right="0" w:hanging="603"/>
        <w:jc w:val="left"/>
        <w:rPr>
          <w:rFonts w:hint="eastAsia" w:ascii="宋体" w:hAnsi="宋体" w:eastAsia="宋体" w:cs="宋体"/>
          <w:color w:val="auto"/>
          <w:highlight w:val="none"/>
        </w:rPr>
      </w:pPr>
      <w:r>
        <w:rPr>
          <w:rFonts w:hint="eastAsia" w:ascii="宋体" w:hAnsi="宋体" w:eastAsia="宋体" w:cs="宋体"/>
          <w:color w:val="auto"/>
          <w:highlight w:val="none"/>
        </w:rPr>
        <w:t>评标结果</w:t>
      </w:r>
    </w:p>
    <w:p>
      <w:pPr>
        <w:pStyle w:val="29"/>
        <w:numPr>
          <w:ilvl w:val="2"/>
          <w:numId w:val="17"/>
        </w:numPr>
        <w:tabs>
          <w:tab w:val="left" w:pos="1678"/>
        </w:tabs>
        <w:spacing w:before="158" w:after="0" w:line="364" w:lineRule="auto"/>
        <w:ind w:left="477" w:right="633" w:firstLine="480"/>
        <w:jc w:val="left"/>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除第二章“投标人须知”前附表授权直接确定中标人外，评标委员会按</w:t>
      </w:r>
      <w:r>
        <w:rPr>
          <w:rFonts w:hint="eastAsia" w:ascii="宋体" w:hAnsi="宋体" w:eastAsia="宋体" w:cs="宋体"/>
          <w:color w:val="auto"/>
          <w:sz w:val="24"/>
          <w:highlight w:val="none"/>
        </w:rPr>
        <w:t>照得分由高到低的顺序推荐中标候选人，并标明排序。</w:t>
      </w:r>
    </w:p>
    <w:p>
      <w:pPr>
        <w:pStyle w:val="12"/>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评标委员会完成评标后，应当向招标人提交书面评标报告和中标候选人</w:t>
      </w:r>
      <w:r>
        <w:rPr>
          <w:rFonts w:hint="eastAsia" w:ascii="宋体" w:hAnsi="宋体" w:eastAsia="宋体" w:cs="宋体"/>
          <w:color w:val="auto"/>
          <w:sz w:val="24"/>
          <w:highlight w:val="none"/>
        </w:rPr>
        <w:t>名单。</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pPr>
        <w:pStyle w:val="6"/>
        <w:numPr>
          <w:ilvl w:val="0"/>
          <w:numId w:val="22"/>
        </w:numPr>
        <w:tabs>
          <w:tab w:val="left" w:pos="1444"/>
        </w:tabs>
        <w:spacing w:before="49"/>
        <w:outlineLvl w:val="0"/>
        <w:rPr>
          <w:rFonts w:hint="eastAsia" w:ascii="宋体" w:hAnsi="宋体" w:eastAsia="宋体" w:cs="宋体"/>
          <w:color w:val="auto"/>
          <w:highlight w:val="none"/>
        </w:rPr>
      </w:pPr>
      <w:bookmarkStart w:id="67" w:name="_Toc9002"/>
      <w:r>
        <w:rPr>
          <w:rFonts w:hint="eastAsia" w:ascii="宋体" w:hAnsi="宋体" w:eastAsia="宋体" w:cs="宋体"/>
          <w:color w:val="auto"/>
          <w:highlight w:val="none"/>
        </w:rPr>
        <w:t>合同条款及格式</w:t>
      </w:r>
      <w:bookmarkEnd w:id="67"/>
    </w:p>
    <w:p>
      <w:pPr>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highlight w:val="none"/>
        </w:rPr>
      </w:pPr>
    </w:p>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spacing w:val="-1"/>
          <w:sz w:val="24"/>
          <w:highlight w:val="none"/>
        </w:rPr>
        <w:br w:type="page"/>
      </w:r>
      <w:bookmarkStart w:id="68" w:name="_Toc255482498"/>
      <w:bookmarkStart w:id="69" w:name="_Toc85186130"/>
      <w:bookmarkStart w:id="70" w:name="_Toc85186246"/>
      <w:bookmarkStart w:id="71" w:name="_Toc85430420"/>
    </w:p>
    <w:bookmarkEnd w:id="68"/>
    <w:bookmarkEnd w:id="69"/>
    <w:bookmarkEnd w:id="70"/>
    <w:bookmarkEnd w:id="71"/>
    <w:p>
      <w:pPr>
        <w:rPr>
          <w:rFonts w:hint="eastAsia" w:ascii="宋体" w:hAnsi="宋体" w:eastAsia="宋体" w:cs="宋体"/>
          <w:b/>
          <w:bCs/>
          <w:color w:val="auto"/>
          <w:sz w:val="44"/>
          <w:szCs w:val="44"/>
          <w:highlight w:val="none"/>
          <w:lang w:val="zh-CN" w:eastAsia="zh-CN" w:bidi="zh-CN"/>
        </w:rPr>
      </w:pPr>
      <w:bookmarkStart w:id="72" w:name="_Hlt92612894"/>
      <w:bookmarkEnd w:id="72"/>
      <w:bookmarkStart w:id="73" w:name="_Toc535125220"/>
      <w:bookmarkStart w:id="74" w:name="_Toc85186256"/>
      <w:bookmarkStart w:id="75" w:name="_Toc85430464"/>
      <w:bookmarkStart w:id="76" w:name="_Toc535387609"/>
      <w:bookmarkStart w:id="77" w:name="_Toc535132071"/>
      <w:bookmarkStart w:id="78" w:name="_Toc85186140"/>
      <w:bookmarkStart w:id="79" w:name="_Toc255482519"/>
      <w:bookmarkStart w:id="80" w:name="_Toc507998160"/>
      <w:bookmarkStart w:id="81" w:name="_Toc535124767"/>
      <w:r>
        <w:rPr>
          <w:rFonts w:hint="eastAsia" w:ascii="宋体" w:hAnsi="宋体" w:eastAsia="宋体" w:cs="宋体"/>
          <w:color w:val="auto"/>
          <w:sz w:val="24"/>
          <w:szCs w:val="24"/>
          <w:highlight w:val="none"/>
        </w:rPr>
        <w:t xml:space="preserve">              </w:t>
      </w:r>
      <w:bookmarkEnd w:id="73"/>
      <w:bookmarkEnd w:id="74"/>
      <w:bookmarkEnd w:id="75"/>
      <w:bookmarkEnd w:id="76"/>
      <w:bookmarkEnd w:id="77"/>
      <w:bookmarkEnd w:id="78"/>
      <w:bookmarkEnd w:id="79"/>
      <w:bookmarkEnd w:id="80"/>
      <w:bookmarkEnd w:id="81"/>
    </w:p>
    <w:p>
      <w:pPr>
        <w:pStyle w:val="6"/>
        <w:tabs>
          <w:tab w:val="left" w:pos="1444"/>
        </w:tabs>
        <w:ind w:right="158"/>
        <w:outlineLvl w:val="0"/>
        <w:rPr>
          <w:rFonts w:hint="eastAsia" w:ascii="宋体" w:hAnsi="宋体" w:eastAsia="宋体" w:cs="宋体"/>
          <w:color w:val="auto"/>
          <w:highlight w:val="none"/>
        </w:rPr>
      </w:pPr>
      <w:bookmarkStart w:id="82" w:name="_Toc12081"/>
      <w:r>
        <w:rPr>
          <w:rFonts w:hint="eastAsia" w:ascii="宋体" w:hAnsi="宋体" w:eastAsia="宋体" w:cs="宋体"/>
          <w:color w:val="auto"/>
          <w:highlight w:val="none"/>
        </w:rPr>
        <w:t>第五章</w:t>
      </w:r>
      <w:r>
        <w:rPr>
          <w:rFonts w:hint="eastAsia" w:ascii="宋体" w:hAnsi="宋体" w:eastAsia="宋体" w:cs="宋体"/>
          <w:color w:val="auto"/>
          <w:highlight w:val="none"/>
        </w:rPr>
        <w:tab/>
      </w:r>
      <w:r>
        <w:rPr>
          <w:rFonts w:hint="eastAsia" w:ascii="宋体" w:hAnsi="宋体" w:eastAsia="宋体" w:cs="宋体"/>
          <w:color w:val="auto"/>
          <w:highlight w:val="none"/>
        </w:rPr>
        <w:t>技术要求</w:t>
      </w:r>
      <w:bookmarkEnd w:id="82"/>
    </w:p>
    <w:p>
      <w:pPr>
        <w:pStyle w:val="5"/>
        <w:spacing w:before="156" w:beforeLines="50" w:after="156" w:afterLines="50" w:line="240" w:lineRule="auto"/>
        <w:ind w:firstLine="562"/>
        <w:jc w:val="both"/>
        <w:rPr>
          <w:rStyle w:val="54"/>
          <w:rFonts w:hint="eastAsia" w:ascii="宋体" w:hAnsi="宋体" w:eastAsia="宋体" w:cs="宋体"/>
          <w:b w:val="0"/>
          <w:i w:val="0"/>
          <w:color w:val="auto"/>
          <w:sz w:val="28"/>
          <w:szCs w:val="28"/>
          <w:highlight w:val="none"/>
        </w:rPr>
      </w:pPr>
      <w:bookmarkStart w:id="83" w:name="_Toc19146"/>
      <w:r>
        <w:rPr>
          <w:rStyle w:val="54"/>
          <w:rFonts w:hint="eastAsia" w:ascii="宋体" w:hAnsi="宋体" w:eastAsia="宋体" w:cs="宋体"/>
          <w:i w:val="0"/>
          <w:color w:val="auto"/>
          <w:sz w:val="28"/>
          <w:szCs w:val="28"/>
          <w:highlight w:val="none"/>
        </w:rPr>
        <w:t>一、概述</w:t>
      </w:r>
    </w:p>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84" w:name="_Toc69456003"/>
      <w:r>
        <w:rPr>
          <w:rFonts w:hint="eastAsia" w:ascii="宋体" w:hAnsi="宋体" w:eastAsia="宋体" w:cs="宋体"/>
          <w:color w:val="auto"/>
          <w:sz w:val="28"/>
          <w:szCs w:val="28"/>
          <w:highlight w:val="none"/>
        </w:rPr>
        <w:t>（一）项目背景</w:t>
      </w:r>
      <w:bookmarkEnd w:id="84"/>
    </w:p>
    <w:p>
      <w:pPr>
        <w:spacing w:line="560" w:lineRule="exact"/>
        <w:ind w:firstLine="645"/>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随着兵团法院信息化工作的不断深入和完善，兵团法院建成了服务人民群众、服务审判执行、服务司法管理的诸多信息系统，为诉讼服务、阳光司法、审判执行、司法管理等工作提供了广泛的信息服务和应用支持，信息化运维在法院信息化工作中具有重要支撑作用，加强信息化运行维护工作，能够为信息化建设、应用成效提升提供有力保障。</w:t>
      </w:r>
    </w:p>
    <w:p>
      <w:pPr>
        <w:spacing w:line="560" w:lineRule="exact"/>
        <w:ind w:firstLine="645"/>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本项目升级和运维服务范围包括兵团分院，13家中级人民法院和30家基层人民法院。兵团法院已实现审判业务管理系统、办公平台等的集中部署，便于统一维护和管理。本项目需要为兵团法院提供审判相关业务及办公系统升级和运维服务。</w:t>
      </w:r>
      <w:bookmarkStart w:id="85" w:name="_Toc69456005"/>
    </w:p>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r>
        <w:rPr>
          <w:rFonts w:hint="eastAsia" w:ascii="宋体" w:hAnsi="宋体" w:eastAsia="宋体" w:cs="宋体"/>
          <w:color w:val="auto"/>
          <w:sz w:val="28"/>
          <w:szCs w:val="28"/>
          <w:highlight w:val="none"/>
        </w:rPr>
        <w:t>（二）服务目标</w:t>
      </w:r>
      <w:bookmarkEnd w:id="85"/>
    </w:p>
    <w:p>
      <w:pPr>
        <w:spacing w:line="560" w:lineRule="exact"/>
        <w:ind w:firstLine="645"/>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保障本项目所包含审判相关业务及办公系统正常稳定运行，按照信息系统升级要求完成相应系统的升级更新，逐步实现以业务和应用为导向，通过统一服务管理体系及工具等手段，实现由人为管理转向流程控制管理,由被动服务向主动运维转变，提升系统性能、提高服务效率，从而带动兵团法院系统业务应用的提升，由运维质效推动审判业务质效。</w:t>
      </w:r>
    </w:p>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86" w:name="_Toc69456004"/>
      <w:r>
        <w:rPr>
          <w:rFonts w:hint="eastAsia" w:ascii="宋体" w:hAnsi="宋体" w:eastAsia="宋体" w:cs="宋体"/>
          <w:color w:val="auto"/>
          <w:sz w:val="28"/>
          <w:szCs w:val="28"/>
          <w:highlight w:val="none"/>
        </w:rPr>
        <w:t>（三）</w:t>
      </w:r>
      <w:bookmarkEnd w:id="86"/>
      <w:r>
        <w:rPr>
          <w:rFonts w:hint="eastAsia" w:ascii="宋体" w:hAnsi="宋体" w:eastAsia="宋体" w:cs="宋体"/>
          <w:color w:val="auto"/>
          <w:sz w:val="28"/>
          <w:szCs w:val="28"/>
          <w:highlight w:val="none"/>
        </w:rPr>
        <w:t>采购清单</w:t>
      </w:r>
    </w:p>
    <w:p>
      <w:pPr>
        <w:spacing w:line="560" w:lineRule="exact"/>
        <w:ind w:firstLine="645"/>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本项目审判及办公信息系统升级和运维服务范围为44家法院，包括兵团分院，13家中级人民法院和30家基层人民法院。</w:t>
      </w:r>
    </w:p>
    <w:p>
      <w:pPr>
        <w:spacing w:line="560" w:lineRule="exact"/>
        <w:ind w:firstLine="645"/>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项目采购清单如下表所示：</w:t>
      </w:r>
    </w:p>
    <w:tbl>
      <w:tblPr>
        <w:tblStyle w:val="20"/>
        <w:tblW w:w="7891" w:type="dxa"/>
        <w:jc w:val="center"/>
        <w:tblLayout w:type="autofit"/>
        <w:tblCellMar>
          <w:top w:w="0" w:type="dxa"/>
          <w:left w:w="108" w:type="dxa"/>
          <w:bottom w:w="0" w:type="dxa"/>
          <w:right w:w="108" w:type="dxa"/>
        </w:tblCellMar>
      </w:tblPr>
      <w:tblGrid>
        <w:gridCol w:w="720"/>
        <w:gridCol w:w="2320"/>
        <w:gridCol w:w="1003"/>
        <w:gridCol w:w="1296"/>
        <w:gridCol w:w="2552"/>
      </w:tblGrid>
      <w:tr>
        <w:tblPrEx>
          <w:tblCellMar>
            <w:top w:w="0" w:type="dxa"/>
            <w:left w:w="108" w:type="dxa"/>
            <w:bottom w:w="0" w:type="dxa"/>
            <w:right w:w="108" w:type="dxa"/>
          </w:tblCellMar>
        </w:tblPrEx>
        <w:trPr>
          <w:trHeight w:val="532" w:hRule="atLeast"/>
          <w:jc w:val="center"/>
        </w:trPr>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序号</w:t>
            </w:r>
          </w:p>
        </w:tc>
        <w:tc>
          <w:tcPr>
            <w:tcW w:w="232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内容</w:t>
            </w:r>
          </w:p>
        </w:tc>
        <w:tc>
          <w:tcPr>
            <w:tcW w:w="100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数量</w:t>
            </w:r>
          </w:p>
        </w:tc>
        <w:tc>
          <w:tcPr>
            <w:tcW w:w="129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单位</w:t>
            </w:r>
          </w:p>
        </w:tc>
        <w:tc>
          <w:tcPr>
            <w:tcW w:w="2552" w:type="dxa"/>
            <w:tcBorders>
              <w:top w:val="single" w:color="auto" w:sz="8" w:space="0"/>
              <w:left w:val="nil"/>
              <w:bottom w:val="single" w:color="auto" w:sz="8" w:space="0"/>
              <w:right w:val="single" w:color="auto" w:sz="8" w:space="0"/>
            </w:tcBorders>
            <w:shd w:val="clear" w:color="auto" w:fill="auto"/>
            <w:vAlign w:val="center"/>
          </w:tcPr>
          <w:p>
            <w:pPr>
              <w:widowControl/>
              <w:ind w:firstLine="562"/>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备注</w:t>
            </w:r>
          </w:p>
        </w:tc>
      </w:tr>
      <w:tr>
        <w:tblPrEx>
          <w:tblCellMar>
            <w:top w:w="0" w:type="dxa"/>
            <w:left w:w="108" w:type="dxa"/>
            <w:bottom w:w="0" w:type="dxa"/>
            <w:right w:w="108" w:type="dxa"/>
          </w:tblCellMar>
        </w:tblPrEx>
        <w:trPr>
          <w:trHeight w:val="870" w:hRule="atLeast"/>
          <w:jc w:val="center"/>
        </w:trPr>
        <w:tc>
          <w:tcPr>
            <w:tcW w:w="72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2320"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审判及办公信息系统升级运维服务</w:t>
            </w:r>
          </w:p>
        </w:tc>
        <w:tc>
          <w:tcPr>
            <w:tcW w:w="1003"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296"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w:t>
            </w:r>
          </w:p>
        </w:tc>
        <w:tc>
          <w:tcPr>
            <w:tcW w:w="2552"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详见服务目录</w:t>
            </w:r>
          </w:p>
        </w:tc>
      </w:tr>
      <w:tr>
        <w:tblPrEx>
          <w:tblCellMar>
            <w:top w:w="0" w:type="dxa"/>
            <w:left w:w="108" w:type="dxa"/>
            <w:bottom w:w="0" w:type="dxa"/>
            <w:right w:w="108" w:type="dxa"/>
          </w:tblCellMar>
        </w:tblPrEx>
        <w:trPr>
          <w:trHeight w:val="585" w:hRule="atLeast"/>
          <w:jc w:val="center"/>
        </w:trPr>
        <w:tc>
          <w:tcPr>
            <w:tcW w:w="72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2320"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与统建平台数据对接同步服务</w:t>
            </w:r>
          </w:p>
        </w:tc>
        <w:tc>
          <w:tcPr>
            <w:tcW w:w="1003"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296"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w:t>
            </w:r>
          </w:p>
        </w:tc>
        <w:tc>
          <w:tcPr>
            <w:tcW w:w="2552"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详见服务目录</w:t>
            </w:r>
          </w:p>
        </w:tc>
      </w:tr>
      <w:tr>
        <w:tblPrEx>
          <w:tblCellMar>
            <w:top w:w="0" w:type="dxa"/>
            <w:left w:w="108" w:type="dxa"/>
            <w:bottom w:w="0" w:type="dxa"/>
            <w:right w:w="108" w:type="dxa"/>
          </w:tblCellMar>
        </w:tblPrEx>
        <w:trPr>
          <w:trHeight w:val="585" w:hRule="atLeast"/>
          <w:jc w:val="center"/>
        </w:trPr>
        <w:tc>
          <w:tcPr>
            <w:tcW w:w="720" w:type="dxa"/>
            <w:tcBorders>
              <w:top w:val="single" w:color="auto" w:sz="4" w:space="0"/>
              <w:left w:val="single" w:color="auto" w:sz="8" w:space="0"/>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2320" w:type="dxa"/>
            <w:tcBorders>
              <w:top w:val="single" w:color="auto" w:sz="4" w:space="0"/>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兵团分院驻场服务</w:t>
            </w:r>
          </w:p>
        </w:tc>
        <w:tc>
          <w:tcPr>
            <w:tcW w:w="1003"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296"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w:t>
            </w:r>
          </w:p>
        </w:tc>
        <w:tc>
          <w:tcPr>
            <w:tcW w:w="2552" w:type="dxa"/>
            <w:tcBorders>
              <w:top w:val="single" w:color="auto" w:sz="4" w:space="0"/>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兵团分院驻场13人</w:t>
            </w:r>
          </w:p>
        </w:tc>
      </w:tr>
      <w:tr>
        <w:tblPrEx>
          <w:tblCellMar>
            <w:top w:w="0" w:type="dxa"/>
            <w:left w:w="108" w:type="dxa"/>
            <w:bottom w:w="0" w:type="dxa"/>
            <w:right w:w="108" w:type="dxa"/>
          </w:tblCellMar>
        </w:tblPrEx>
        <w:trPr>
          <w:trHeight w:val="585" w:hRule="atLeast"/>
          <w:jc w:val="center"/>
        </w:trPr>
        <w:tc>
          <w:tcPr>
            <w:tcW w:w="720" w:type="dxa"/>
            <w:tcBorders>
              <w:top w:val="single" w:color="auto" w:sz="4" w:space="0"/>
              <w:left w:val="single" w:color="auto" w:sz="8" w:space="0"/>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2320" w:type="dxa"/>
            <w:tcBorders>
              <w:top w:val="single" w:color="auto" w:sz="4" w:space="0"/>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兵团法院系统定期巡检服务</w:t>
            </w:r>
          </w:p>
        </w:tc>
        <w:tc>
          <w:tcPr>
            <w:tcW w:w="1003"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296"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w:t>
            </w:r>
          </w:p>
        </w:tc>
        <w:tc>
          <w:tcPr>
            <w:tcW w:w="2552" w:type="dxa"/>
            <w:tcBorders>
              <w:top w:val="single" w:color="auto" w:sz="4" w:space="0"/>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兵团分院辖区43家法院，每家法院每年2次。</w:t>
            </w:r>
          </w:p>
        </w:tc>
      </w:tr>
      <w:tr>
        <w:tblPrEx>
          <w:tblCellMar>
            <w:top w:w="0" w:type="dxa"/>
            <w:left w:w="108" w:type="dxa"/>
            <w:bottom w:w="0" w:type="dxa"/>
            <w:right w:w="108" w:type="dxa"/>
          </w:tblCellMar>
        </w:tblPrEx>
        <w:trPr>
          <w:trHeight w:val="837" w:hRule="atLeast"/>
          <w:jc w:val="center"/>
        </w:trPr>
        <w:tc>
          <w:tcPr>
            <w:tcW w:w="720" w:type="dxa"/>
            <w:tcBorders>
              <w:top w:val="nil"/>
              <w:left w:val="single" w:color="auto" w:sz="8" w:space="0"/>
              <w:bottom w:val="single" w:color="auto" w:sz="4"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2320" w:type="dxa"/>
            <w:tcBorders>
              <w:top w:val="nil"/>
              <w:left w:val="nil"/>
              <w:bottom w:val="single" w:color="auto" w:sz="4" w:space="0"/>
              <w:right w:val="single" w:color="auto" w:sz="8" w:space="0"/>
            </w:tcBorders>
            <w:shd w:val="clear" w:color="auto" w:fill="auto"/>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“法信2.0智推”平台租赁服务</w:t>
            </w:r>
          </w:p>
        </w:tc>
        <w:tc>
          <w:tcPr>
            <w:tcW w:w="1003" w:type="dxa"/>
            <w:tcBorders>
              <w:top w:val="nil"/>
              <w:left w:val="nil"/>
              <w:bottom w:val="single" w:color="auto" w:sz="4"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296" w:type="dxa"/>
            <w:tcBorders>
              <w:top w:val="nil"/>
              <w:left w:val="nil"/>
              <w:bottom w:val="single" w:color="auto" w:sz="4"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w:t>
            </w:r>
          </w:p>
        </w:tc>
        <w:tc>
          <w:tcPr>
            <w:tcW w:w="2552" w:type="dxa"/>
            <w:tcBorders>
              <w:top w:val="nil"/>
              <w:left w:val="nil"/>
              <w:bottom w:val="single" w:color="auto" w:sz="4" w:space="0"/>
              <w:right w:val="single" w:color="auto" w:sz="8" w:space="0"/>
            </w:tcBorders>
            <w:shd w:val="clear" w:color="auto" w:fill="auto"/>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详见服务目录</w:t>
            </w:r>
          </w:p>
        </w:tc>
      </w:tr>
      <w:tr>
        <w:tblPrEx>
          <w:tblCellMar>
            <w:top w:w="0" w:type="dxa"/>
            <w:left w:w="108" w:type="dxa"/>
            <w:bottom w:w="0" w:type="dxa"/>
            <w:right w:w="108" w:type="dxa"/>
          </w:tblCellMar>
        </w:tblPrEx>
        <w:trPr>
          <w:trHeight w:val="837" w:hRule="atLeast"/>
          <w:jc w:val="center"/>
        </w:trPr>
        <w:tc>
          <w:tcPr>
            <w:tcW w:w="720" w:type="dxa"/>
            <w:tcBorders>
              <w:top w:val="single" w:color="auto" w:sz="4" w:space="0"/>
              <w:left w:val="single" w:color="auto" w:sz="8" w:space="0"/>
              <w:bottom w:val="single" w:color="auto" w:sz="4"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2320" w:type="dxa"/>
            <w:tcBorders>
              <w:top w:val="single" w:color="auto" w:sz="4" w:space="0"/>
              <w:left w:val="nil"/>
              <w:bottom w:val="single" w:color="auto" w:sz="4" w:space="0"/>
              <w:right w:val="single" w:color="auto" w:sz="8" w:space="0"/>
            </w:tcBorders>
            <w:shd w:val="clear" w:color="auto" w:fill="auto"/>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其他服务内容</w:t>
            </w:r>
          </w:p>
        </w:tc>
        <w:tc>
          <w:tcPr>
            <w:tcW w:w="1003" w:type="dxa"/>
            <w:tcBorders>
              <w:top w:val="single" w:color="auto" w:sz="4" w:space="0"/>
              <w:left w:val="nil"/>
              <w:bottom w:val="single" w:color="auto" w:sz="4"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296" w:type="dxa"/>
            <w:tcBorders>
              <w:top w:val="single" w:color="auto" w:sz="4" w:space="0"/>
              <w:left w:val="nil"/>
              <w:bottom w:val="single" w:color="auto" w:sz="4" w:space="0"/>
              <w:right w:val="single" w:color="auto" w:sz="8" w:space="0"/>
            </w:tcBorders>
            <w:shd w:val="clear" w:color="auto" w:fill="auto"/>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w:t>
            </w:r>
          </w:p>
        </w:tc>
        <w:tc>
          <w:tcPr>
            <w:tcW w:w="2552" w:type="dxa"/>
            <w:tcBorders>
              <w:top w:val="single" w:color="auto" w:sz="4" w:space="0"/>
              <w:left w:val="nil"/>
              <w:bottom w:val="single" w:color="auto" w:sz="4" w:space="0"/>
              <w:right w:val="single" w:color="auto" w:sz="8" w:space="0"/>
            </w:tcBorders>
            <w:shd w:val="clear" w:color="auto" w:fill="auto"/>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详见服务目录</w:t>
            </w:r>
          </w:p>
        </w:tc>
      </w:tr>
    </w:tbl>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87" w:name="_Toc69456006"/>
      <w:r>
        <w:rPr>
          <w:rFonts w:hint="eastAsia" w:ascii="宋体" w:hAnsi="宋体" w:eastAsia="宋体" w:cs="宋体"/>
          <w:color w:val="auto"/>
          <w:sz w:val="28"/>
          <w:szCs w:val="28"/>
          <w:highlight w:val="none"/>
        </w:rPr>
        <w:t>（四）软件服务</w:t>
      </w:r>
      <w:bookmarkEnd w:id="87"/>
      <w:r>
        <w:rPr>
          <w:rFonts w:hint="eastAsia" w:ascii="宋体" w:hAnsi="宋体" w:eastAsia="宋体" w:cs="宋体"/>
          <w:color w:val="auto"/>
          <w:sz w:val="28"/>
          <w:szCs w:val="28"/>
          <w:highlight w:val="none"/>
        </w:rPr>
        <w:t>目录</w:t>
      </w:r>
    </w:p>
    <w:p>
      <w:pPr>
        <w:spacing w:line="560" w:lineRule="exact"/>
        <w:ind w:firstLine="645"/>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本项目内容包括兵团法院系统审判及办公信息系统升级运维服务、与统建平台数据对接同步服务、兵团分院驻场服务、兵团法院系统巡检服务、“法信2.0智推”平台租赁服务和其他服务6个部分。</w:t>
      </w:r>
    </w:p>
    <w:p>
      <w:pPr>
        <w:spacing w:line="560" w:lineRule="exact"/>
        <w:ind w:firstLine="645"/>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具体服务目录内容如下：</w:t>
      </w:r>
    </w:p>
    <w:p>
      <w:pPr>
        <w:pStyle w:val="6"/>
        <w:spacing w:before="156" w:beforeLines="50" w:after="156" w:afterLines="50" w:line="240" w:lineRule="auto"/>
        <w:ind w:left="802"/>
        <w:rPr>
          <w:rFonts w:hint="eastAsia" w:ascii="宋体" w:hAnsi="宋体" w:eastAsia="宋体" w:cs="宋体"/>
          <w:color w:val="auto"/>
          <w:sz w:val="28"/>
          <w:szCs w:val="28"/>
          <w:highlight w:val="none"/>
        </w:rPr>
      </w:pPr>
      <w:bookmarkStart w:id="88" w:name="_Toc65956852"/>
      <w:bookmarkStart w:id="89" w:name="_Toc65240239"/>
      <w:bookmarkStart w:id="90" w:name="_Toc69456007"/>
      <w:bookmarkStart w:id="91" w:name="_Toc65837716"/>
      <w:r>
        <w:rPr>
          <w:rFonts w:hint="eastAsia" w:ascii="宋体" w:hAnsi="宋体" w:eastAsia="宋体" w:cs="宋体"/>
          <w:color w:val="auto"/>
          <w:sz w:val="28"/>
          <w:szCs w:val="28"/>
          <w:highlight w:val="none"/>
        </w:rPr>
        <w:t>1、审判及办公信息系统服务目录</w:t>
      </w:r>
      <w:bookmarkEnd w:id="88"/>
      <w:bookmarkEnd w:id="89"/>
      <w:bookmarkEnd w:id="90"/>
      <w:bookmarkEnd w:id="91"/>
      <w:bookmarkStart w:id="92" w:name="_Toc65956853"/>
      <w:bookmarkStart w:id="93" w:name="_Toc65837717"/>
      <w:bookmarkStart w:id="94" w:name="_Toc62580570"/>
      <w:bookmarkStart w:id="95" w:name="_Toc69456008"/>
      <w:bookmarkStart w:id="96" w:name="_Toc65240240"/>
      <w:bookmarkStart w:id="97" w:name="_Toc65786100"/>
    </w:p>
    <w:p>
      <w:pPr>
        <w:pStyle w:val="55"/>
        <w:spacing w:beforeLines="0" w:afterLines="0"/>
        <w:ind w:firstLine="560" w:firstLineChars="200"/>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1.1服务人民群众业务系统</w:t>
      </w:r>
      <w:bookmarkEnd w:id="92"/>
      <w:bookmarkEnd w:id="93"/>
      <w:bookmarkEnd w:id="94"/>
      <w:bookmarkEnd w:id="95"/>
      <w:bookmarkEnd w:id="96"/>
      <w:bookmarkEnd w:id="97"/>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2"/>
        <w:gridCol w:w="3416"/>
        <w:gridCol w:w="1776"/>
        <w:gridCol w:w="21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6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3416"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信息系统名称</w:t>
            </w:r>
          </w:p>
        </w:tc>
        <w:tc>
          <w:tcPr>
            <w:tcW w:w="1776"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服务范围</w:t>
            </w:r>
          </w:p>
        </w:tc>
        <w:tc>
          <w:tcPr>
            <w:tcW w:w="217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6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416"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司法公开</w:t>
            </w:r>
          </w:p>
        </w:tc>
        <w:tc>
          <w:tcPr>
            <w:tcW w:w="1776"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44家法院</w:t>
            </w:r>
          </w:p>
        </w:tc>
        <w:tc>
          <w:tcPr>
            <w:tcW w:w="217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软件日常运行维护，版本升级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6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416"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法院触摸屏查询系统</w:t>
            </w:r>
          </w:p>
        </w:tc>
        <w:tc>
          <w:tcPr>
            <w:tcW w:w="1776"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14家法院</w:t>
            </w:r>
          </w:p>
        </w:tc>
        <w:tc>
          <w:tcPr>
            <w:tcW w:w="217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软件日常运行维护，版本升级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6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416"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LED大屏幕信息公开系统</w:t>
            </w:r>
          </w:p>
        </w:tc>
        <w:tc>
          <w:tcPr>
            <w:tcW w:w="1776"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4家法院</w:t>
            </w:r>
          </w:p>
        </w:tc>
        <w:tc>
          <w:tcPr>
            <w:tcW w:w="217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软件日常运行维护，版本升级</w:t>
            </w:r>
          </w:p>
        </w:tc>
      </w:tr>
    </w:tbl>
    <w:p>
      <w:pPr>
        <w:pStyle w:val="55"/>
        <w:spacing w:beforeLines="0" w:afterLines="0"/>
        <w:ind w:firstLine="560" w:firstLineChars="200"/>
        <w:outlineLvl w:val="2"/>
        <w:rPr>
          <w:rFonts w:hint="eastAsia" w:ascii="宋体" w:hAnsi="宋体" w:eastAsia="宋体" w:cs="宋体"/>
          <w:color w:val="auto"/>
          <w:sz w:val="28"/>
          <w:szCs w:val="28"/>
          <w:highlight w:val="none"/>
        </w:rPr>
      </w:pPr>
      <w:bookmarkStart w:id="98" w:name="_Toc65837718"/>
      <w:bookmarkStart w:id="99" w:name="_Toc65240241"/>
      <w:bookmarkStart w:id="100" w:name="_Toc65956854"/>
      <w:bookmarkStart w:id="101" w:name="_Toc69456009"/>
      <w:bookmarkStart w:id="102" w:name="_Toc65786101"/>
      <w:bookmarkStart w:id="103" w:name="_Toc62580571"/>
      <w:r>
        <w:rPr>
          <w:rFonts w:hint="eastAsia" w:ascii="宋体" w:hAnsi="宋体" w:eastAsia="宋体" w:cs="宋体"/>
          <w:color w:val="auto"/>
          <w:sz w:val="28"/>
          <w:szCs w:val="28"/>
          <w:highlight w:val="none"/>
        </w:rPr>
        <w:t>1.2服务审判相关业务系统</w:t>
      </w:r>
      <w:bookmarkEnd w:id="98"/>
      <w:bookmarkEnd w:id="99"/>
      <w:bookmarkEnd w:id="100"/>
      <w:bookmarkEnd w:id="101"/>
      <w:bookmarkEnd w:id="102"/>
      <w:bookmarkEnd w:id="103"/>
    </w:p>
    <w:tbl>
      <w:tblPr>
        <w:tblStyle w:val="20"/>
        <w:tblW w:w="81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0"/>
        <w:gridCol w:w="3098"/>
        <w:gridCol w:w="1700"/>
        <w:gridCol w:w="25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3098"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信息系统名称</w:t>
            </w:r>
          </w:p>
        </w:tc>
        <w:tc>
          <w:tcPr>
            <w:tcW w:w="1700"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服务范围</w:t>
            </w:r>
          </w:p>
        </w:tc>
        <w:tc>
          <w:tcPr>
            <w:tcW w:w="257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098"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审判业务管理系统</w:t>
            </w:r>
          </w:p>
        </w:tc>
        <w:tc>
          <w:tcPr>
            <w:tcW w:w="1700"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44家法院</w:t>
            </w:r>
          </w:p>
        </w:tc>
        <w:tc>
          <w:tcPr>
            <w:tcW w:w="257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缺陷修复，功能增加，性能优化，信息维护，版本升级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098"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案件查询统计</w:t>
            </w:r>
          </w:p>
        </w:tc>
        <w:tc>
          <w:tcPr>
            <w:tcW w:w="1700"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44家法院</w:t>
            </w:r>
          </w:p>
        </w:tc>
        <w:tc>
          <w:tcPr>
            <w:tcW w:w="257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日常使用维护，版本升级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098"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审判质效评估系统</w:t>
            </w:r>
          </w:p>
        </w:tc>
        <w:tc>
          <w:tcPr>
            <w:tcW w:w="1700"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44家法院</w:t>
            </w:r>
          </w:p>
        </w:tc>
        <w:tc>
          <w:tcPr>
            <w:tcW w:w="257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功能增加，信息维护，版本升级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098"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绩效考核系统</w:t>
            </w:r>
          </w:p>
        </w:tc>
        <w:tc>
          <w:tcPr>
            <w:tcW w:w="1700"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44家法院</w:t>
            </w:r>
          </w:p>
        </w:tc>
        <w:tc>
          <w:tcPr>
            <w:tcW w:w="257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信息维护，版本升级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3098"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案件数据汇集</w:t>
            </w:r>
          </w:p>
        </w:tc>
        <w:tc>
          <w:tcPr>
            <w:tcW w:w="1700"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兵团分院</w:t>
            </w:r>
          </w:p>
        </w:tc>
        <w:tc>
          <w:tcPr>
            <w:tcW w:w="257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性能优化，信息维护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3098"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自定义统计分析</w:t>
            </w:r>
          </w:p>
        </w:tc>
        <w:tc>
          <w:tcPr>
            <w:tcW w:w="1700"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44家法院</w:t>
            </w:r>
          </w:p>
        </w:tc>
        <w:tc>
          <w:tcPr>
            <w:tcW w:w="257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性能优化，版本升级</w:t>
            </w:r>
          </w:p>
        </w:tc>
      </w:tr>
    </w:tbl>
    <w:p>
      <w:pPr>
        <w:pStyle w:val="55"/>
        <w:spacing w:beforeLines="0" w:afterLines="0"/>
        <w:ind w:firstLine="560" w:firstLineChars="200"/>
        <w:outlineLvl w:val="2"/>
        <w:rPr>
          <w:rFonts w:hint="eastAsia" w:ascii="宋体" w:hAnsi="宋体" w:eastAsia="宋体" w:cs="宋体"/>
          <w:color w:val="auto"/>
          <w:sz w:val="28"/>
          <w:szCs w:val="28"/>
          <w:highlight w:val="none"/>
        </w:rPr>
      </w:pPr>
      <w:bookmarkStart w:id="104" w:name="_Toc69456010"/>
      <w:bookmarkStart w:id="105" w:name="_Toc62580572"/>
      <w:bookmarkStart w:id="106" w:name="_Toc65240242"/>
      <w:bookmarkStart w:id="107" w:name="_Toc65956855"/>
      <w:bookmarkStart w:id="108" w:name="_Toc65786102"/>
      <w:bookmarkStart w:id="109" w:name="_Toc65837719"/>
      <w:r>
        <w:rPr>
          <w:rFonts w:hint="eastAsia" w:ascii="宋体" w:hAnsi="宋体" w:eastAsia="宋体" w:cs="宋体"/>
          <w:color w:val="auto"/>
          <w:sz w:val="28"/>
          <w:szCs w:val="28"/>
          <w:highlight w:val="none"/>
        </w:rPr>
        <w:t>1.3服务司法管理业务系统</w:t>
      </w:r>
      <w:bookmarkEnd w:id="104"/>
      <w:bookmarkEnd w:id="105"/>
      <w:bookmarkEnd w:id="106"/>
      <w:bookmarkEnd w:id="107"/>
      <w:bookmarkEnd w:id="108"/>
      <w:bookmarkEnd w:id="109"/>
    </w:p>
    <w:tbl>
      <w:tblPr>
        <w:tblStyle w:val="20"/>
        <w:tblW w:w="81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1"/>
        <w:gridCol w:w="3148"/>
        <w:gridCol w:w="1671"/>
        <w:gridCol w:w="2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9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3148" w:type="dxa"/>
            <w:tcBorders>
              <w:top w:val="single" w:color="auto"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信息系统名称</w:t>
            </w:r>
          </w:p>
        </w:tc>
        <w:tc>
          <w:tcPr>
            <w:tcW w:w="1671" w:type="dxa"/>
            <w:tcBorders>
              <w:top w:val="single" w:color="auto" w:sz="4" w:space="0"/>
              <w:left w:val="single" w:color="auto"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服务范围</w:t>
            </w:r>
          </w:p>
        </w:tc>
        <w:tc>
          <w:tcPr>
            <w:tcW w:w="2575"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9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148"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门户系统</w:t>
            </w:r>
          </w:p>
        </w:tc>
        <w:tc>
          <w:tcPr>
            <w:tcW w:w="1671"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44家法院</w:t>
            </w:r>
          </w:p>
        </w:tc>
        <w:tc>
          <w:tcPr>
            <w:tcW w:w="2575"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软件日常运行维护，版本升级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9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148"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公文管理系统</w:t>
            </w:r>
          </w:p>
        </w:tc>
        <w:tc>
          <w:tcPr>
            <w:tcW w:w="1671"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44家法院</w:t>
            </w:r>
          </w:p>
        </w:tc>
        <w:tc>
          <w:tcPr>
            <w:tcW w:w="2575"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软件日常运行维护，版本升级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9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148"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档案信息管理系统</w:t>
            </w:r>
          </w:p>
        </w:tc>
        <w:tc>
          <w:tcPr>
            <w:tcW w:w="1671"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44家法院</w:t>
            </w:r>
          </w:p>
        </w:tc>
        <w:tc>
          <w:tcPr>
            <w:tcW w:w="2575"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性能优化，信息维护，版本升级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9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148"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法院专网网站</w:t>
            </w:r>
          </w:p>
        </w:tc>
        <w:tc>
          <w:tcPr>
            <w:tcW w:w="1671"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44家法院</w:t>
            </w:r>
          </w:p>
        </w:tc>
        <w:tc>
          <w:tcPr>
            <w:tcW w:w="2575"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改版，日常使用维护，版本升级</w:t>
            </w:r>
          </w:p>
        </w:tc>
      </w:tr>
    </w:tbl>
    <w:p>
      <w:pPr>
        <w:pStyle w:val="6"/>
        <w:tabs>
          <w:tab w:val="left" w:pos="5368"/>
        </w:tabs>
        <w:spacing w:before="156" w:beforeLines="50" w:after="156" w:afterLines="50" w:line="240" w:lineRule="auto"/>
        <w:ind w:left="802"/>
        <w:rPr>
          <w:rFonts w:hint="eastAsia" w:ascii="宋体" w:hAnsi="宋体" w:eastAsia="宋体" w:cs="宋体"/>
          <w:color w:val="auto"/>
          <w:sz w:val="28"/>
          <w:szCs w:val="28"/>
          <w:highlight w:val="none"/>
        </w:rPr>
      </w:pPr>
      <w:bookmarkStart w:id="110" w:name="_Toc65956864"/>
      <w:bookmarkStart w:id="111" w:name="_Toc65837728"/>
      <w:bookmarkStart w:id="112" w:name="_Toc65240251"/>
      <w:bookmarkStart w:id="113" w:name="_Toc69456019"/>
      <w:r>
        <w:rPr>
          <w:rFonts w:hint="eastAsia" w:ascii="宋体" w:hAnsi="宋体" w:eastAsia="宋体" w:cs="宋体"/>
          <w:color w:val="auto"/>
          <w:sz w:val="28"/>
          <w:szCs w:val="28"/>
          <w:highlight w:val="none"/>
        </w:rPr>
        <w:t>2、应用软件系统功能模块列表</w:t>
      </w:r>
      <w:bookmarkEnd w:id="110"/>
      <w:bookmarkEnd w:id="111"/>
      <w:bookmarkEnd w:id="112"/>
      <w:bookmarkEnd w:id="113"/>
      <w:r>
        <w:rPr>
          <w:rFonts w:hint="eastAsia" w:ascii="宋体" w:hAnsi="宋体" w:eastAsia="宋体" w:cs="宋体"/>
          <w:color w:val="auto"/>
          <w:sz w:val="28"/>
          <w:szCs w:val="28"/>
          <w:highlight w:val="none"/>
        </w:rPr>
        <w:tab/>
      </w:r>
    </w:p>
    <w:p>
      <w:pPr>
        <w:pStyle w:val="55"/>
        <w:spacing w:beforeLines="0" w:afterLines="0"/>
        <w:ind w:firstLine="560" w:firstLineChars="200"/>
        <w:outlineLvl w:val="2"/>
        <w:rPr>
          <w:rFonts w:hint="eastAsia" w:ascii="宋体" w:hAnsi="宋体" w:eastAsia="宋体" w:cs="宋体"/>
          <w:color w:val="auto"/>
          <w:sz w:val="28"/>
          <w:szCs w:val="28"/>
          <w:highlight w:val="none"/>
        </w:rPr>
      </w:pPr>
      <w:bookmarkStart w:id="114" w:name="_Toc65240252"/>
      <w:bookmarkStart w:id="115" w:name="_Toc65956865"/>
      <w:bookmarkStart w:id="116" w:name="_Toc65837729"/>
      <w:bookmarkStart w:id="117" w:name="_Toc62580582"/>
      <w:bookmarkStart w:id="118" w:name="_Toc65786112"/>
      <w:bookmarkStart w:id="119" w:name="_Toc69456020"/>
      <w:r>
        <w:rPr>
          <w:rFonts w:hint="eastAsia" w:ascii="宋体" w:hAnsi="宋体" w:eastAsia="宋体" w:cs="宋体"/>
          <w:color w:val="auto"/>
          <w:sz w:val="28"/>
          <w:szCs w:val="28"/>
          <w:highlight w:val="none"/>
        </w:rPr>
        <w:t>2.1服务人民群众业务系统</w:t>
      </w:r>
      <w:bookmarkEnd w:id="114"/>
      <w:bookmarkEnd w:id="115"/>
      <w:bookmarkEnd w:id="116"/>
      <w:bookmarkEnd w:id="117"/>
      <w:bookmarkEnd w:id="118"/>
      <w:bookmarkEnd w:id="119"/>
    </w:p>
    <w:tbl>
      <w:tblPr>
        <w:tblStyle w:val="20"/>
        <w:tblW w:w="83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76"/>
        <w:gridCol w:w="2268"/>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17" w:type="dxa"/>
            <w:tcBorders>
              <w:top w:val="single" w:color="000000" w:sz="4" w:space="0"/>
              <w:left w:val="single" w:color="000000" w:sz="4" w:space="0"/>
              <w:bottom w:val="single" w:color="auto"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276" w:type="dxa"/>
            <w:tcBorders>
              <w:top w:val="single" w:color="000000" w:sz="4" w:space="0"/>
              <w:left w:val="single" w:color="000000" w:sz="4" w:space="0"/>
              <w:bottom w:val="single" w:color="auto"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p>
        </w:tc>
        <w:tc>
          <w:tcPr>
            <w:tcW w:w="226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主模块</w:t>
            </w:r>
          </w:p>
        </w:tc>
        <w:tc>
          <w:tcPr>
            <w:tcW w:w="3969"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子模块/功能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2" w:hRule="atLeast"/>
          <w:jc w:val="center"/>
        </w:trPr>
        <w:tc>
          <w:tcPr>
            <w:tcW w:w="817"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276"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司法公开</w:t>
            </w:r>
          </w:p>
        </w:tc>
        <w:tc>
          <w:tcPr>
            <w:tcW w:w="2268" w:type="dxa"/>
            <w:vMerge w:val="restart"/>
            <w:tcBorders>
              <w:top w:val="single" w:color="000000" w:sz="4" w:space="0"/>
              <w:left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审判流程公开</w:t>
            </w: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审判流程规范性文书公开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17" w:type="dxa"/>
            <w:vMerge w:val="continue"/>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68" w:type="dxa"/>
            <w:vMerge w:val="continue"/>
            <w:tcBorders>
              <w:top w:val="single" w:color="000000" w:sz="4" w:space="0"/>
              <w:left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案件信息公开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17" w:type="dxa"/>
            <w:vMerge w:val="continue"/>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68" w:type="dxa"/>
            <w:vMerge w:val="continue"/>
            <w:tcBorders>
              <w:top w:val="single" w:color="000000" w:sz="4" w:space="0"/>
              <w:left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案件流程明细信息公开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17" w:type="dxa"/>
            <w:vMerge w:val="continue"/>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68" w:type="dxa"/>
            <w:vMerge w:val="continue"/>
            <w:tcBorders>
              <w:top w:val="single" w:color="000000" w:sz="4" w:space="0"/>
              <w:left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公告信息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17" w:type="dxa"/>
            <w:vMerge w:val="continue"/>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68" w:type="dxa"/>
            <w:vMerge w:val="continue"/>
            <w:tcBorders>
              <w:top w:val="single" w:color="000000" w:sz="4" w:space="0"/>
              <w:left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减刑假释公示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2" w:hRule="atLeast"/>
          <w:jc w:val="center"/>
        </w:trPr>
        <w:tc>
          <w:tcPr>
            <w:tcW w:w="817" w:type="dxa"/>
            <w:vMerge w:val="continue"/>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68" w:type="dxa"/>
            <w:tcBorders>
              <w:top w:val="single" w:color="000000" w:sz="4" w:space="0"/>
              <w:left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裁判文书公开</w:t>
            </w: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裁判文书公开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1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68" w:type="dxa"/>
            <w:vMerge w:val="restart"/>
            <w:tcBorders>
              <w:top w:val="single" w:color="000000" w:sz="4" w:space="0"/>
              <w:left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执行信息公开</w:t>
            </w: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执行流程公开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1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68" w:type="dxa"/>
            <w:vMerge w:val="continue"/>
            <w:tcBorders>
              <w:left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执行案件公开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1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68" w:type="dxa"/>
            <w:vMerge w:val="continue"/>
            <w:tcBorders>
              <w:left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执行信息查询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1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68" w:type="dxa"/>
            <w:vMerge w:val="continue"/>
            <w:tcBorders>
              <w:left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被执行人查询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1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68" w:type="dxa"/>
            <w:vMerge w:val="continue"/>
            <w:tcBorders>
              <w:left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执行公告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1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68" w:type="dxa"/>
            <w:tcBorders>
              <w:left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审务信息公开</w:t>
            </w: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开庭信息公开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7"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276"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法院触摸屏查询系统</w:t>
            </w:r>
          </w:p>
        </w:tc>
        <w:tc>
          <w:tcPr>
            <w:tcW w:w="226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法院概况</w:t>
            </w:r>
          </w:p>
        </w:tc>
        <w:tc>
          <w:tcPr>
            <w:tcW w:w="3969"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介绍法院情况，法院的审判理念、法庭分布等信息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kern w:val="0"/>
                <w:szCs w:val="21"/>
                <w:highlight w:val="none"/>
              </w:rPr>
            </w:pPr>
          </w:p>
        </w:tc>
        <w:tc>
          <w:tcPr>
            <w:tcW w:w="226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诉讼指南</w:t>
            </w:r>
          </w:p>
        </w:tc>
        <w:tc>
          <w:tcPr>
            <w:tcW w:w="3969"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本诉讼流程、诉讼常识、诉讼费交纳、民事诉讼、行政诉讼、申请执行、执行流程、审判监督、财产保全、权利义务、举证责任、法庭规则、强制措施、案件受理等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kern w:val="0"/>
                <w:szCs w:val="21"/>
                <w:highlight w:val="none"/>
              </w:rPr>
            </w:pPr>
          </w:p>
        </w:tc>
        <w:tc>
          <w:tcPr>
            <w:tcW w:w="2268"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开庭公告</w:t>
            </w: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滚动形式公布法庭开庭排期情况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kern w:val="0"/>
                <w:szCs w:val="21"/>
                <w:highlight w:val="none"/>
              </w:rPr>
            </w:pPr>
          </w:p>
        </w:tc>
        <w:tc>
          <w:tcPr>
            <w:tcW w:w="226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案件查询</w:t>
            </w: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审判流程案件和执行案件查询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kern w:val="0"/>
                <w:szCs w:val="21"/>
                <w:highlight w:val="none"/>
              </w:rPr>
            </w:pPr>
          </w:p>
        </w:tc>
        <w:tc>
          <w:tcPr>
            <w:tcW w:w="2268"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文书样式</w:t>
            </w: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诉讼文书样式、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kern w:val="0"/>
                <w:szCs w:val="21"/>
                <w:highlight w:val="none"/>
              </w:rPr>
            </w:pPr>
          </w:p>
        </w:tc>
        <w:tc>
          <w:tcPr>
            <w:tcW w:w="2268"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法律法规</w:t>
            </w: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法庭审判过程中一些常用法律术语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7"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276"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LED大屏幕信息公开系统</w:t>
            </w:r>
          </w:p>
        </w:tc>
        <w:tc>
          <w:tcPr>
            <w:tcW w:w="2268"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开庭信息公开</w:t>
            </w: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开庭公告显示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kern w:val="0"/>
                <w:szCs w:val="21"/>
                <w:highlight w:val="none"/>
              </w:rPr>
            </w:pPr>
          </w:p>
        </w:tc>
        <w:tc>
          <w:tcPr>
            <w:tcW w:w="2268"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条件维护</w:t>
            </w:r>
          </w:p>
        </w:tc>
        <w:tc>
          <w:tcPr>
            <w:tcW w:w="396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案件起止时间维护</w:t>
            </w:r>
          </w:p>
        </w:tc>
      </w:tr>
    </w:tbl>
    <w:p>
      <w:pPr>
        <w:ind w:firstLine="560"/>
        <w:rPr>
          <w:rFonts w:hint="eastAsia" w:ascii="宋体" w:hAnsi="宋体" w:eastAsia="宋体" w:cs="宋体"/>
          <w:color w:val="auto"/>
          <w:szCs w:val="28"/>
          <w:highlight w:val="none"/>
        </w:rPr>
      </w:pPr>
    </w:p>
    <w:p>
      <w:pPr>
        <w:pStyle w:val="55"/>
        <w:spacing w:beforeLines="0" w:afterLines="0"/>
        <w:ind w:firstLine="560" w:firstLineChars="200"/>
        <w:outlineLvl w:val="2"/>
        <w:rPr>
          <w:rFonts w:hint="eastAsia" w:ascii="宋体" w:hAnsi="宋体" w:eastAsia="宋体" w:cs="宋体"/>
          <w:color w:val="auto"/>
          <w:sz w:val="28"/>
          <w:szCs w:val="28"/>
          <w:highlight w:val="none"/>
        </w:rPr>
      </w:pPr>
      <w:bookmarkStart w:id="120" w:name="_Toc69456021"/>
      <w:bookmarkStart w:id="121" w:name="_Toc65786113"/>
      <w:bookmarkStart w:id="122" w:name="_Toc62580583"/>
      <w:bookmarkStart w:id="123" w:name="_Toc65837730"/>
      <w:bookmarkStart w:id="124" w:name="_Toc65240253"/>
      <w:bookmarkStart w:id="125" w:name="_Toc65956866"/>
      <w:r>
        <w:rPr>
          <w:rFonts w:hint="eastAsia" w:ascii="宋体" w:hAnsi="宋体" w:eastAsia="宋体" w:cs="宋体"/>
          <w:color w:val="auto"/>
          <w:sz w:val="28"/>
          <w:szCs w:val="28"/>
          <w:highlight w:val="none"/>
        </w:rPr>
        <w:t>2.2服务审判相关业务系统</w:t>
      </w:r>
      <w:bookmarkEnd w:id="120"/>
      <w:bookmarkEnd w:id="121"/>
      <w:bookmarkEnd w:id="122"/>
      <w:bookmarkEnd w:id="123"/>
      <w:bookmarkEnd w:id="124"/>
      <w:bookmarkEnd w:id="125"/>
    </w:p>
    <w:tbl>
      <w:tblPr>
        <w:tblStyle w:val="20"/>
        <w:tblpPr w:leftFromText="180" w:rightFromText="180" w:vertAnchor="text" w:tblpXSpec="center" w:tblpY="1"/>
        <w:tblOverlap w:val="never"/>
        <w:tblW w:w="83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1276"/>
        <w:gridCol w:w="2234"/>
        <w:gridCol w:w="40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p>
        </w:tc>
        <w:tc>
          <w:tcPr>
            <w:tcW w:w="22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主模块</w:t>
            </w:r>
          </w:p>
        </w:tc>
        <w:tc>
          <w:tcPr>
            <w:tcW w:w="400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子模块/功能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276"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审判业务管理系统</w:t>
            </w:r>
          </w:p>
        </w:tc>
        <w:tc>
          <w:tcPr>
            <w:tcW w:w="2234" w:type="dxa"/>
            <w:vMerge w:val="restart"/>
            <w:tcBorders>
              <w:top w:val="single" w:color="000000" w:sz="4" w:space="0"/>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收案立案</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收案登记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立案审批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立案编号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不予受理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案件复制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审批登记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top w:val="single" w:color="000000" w:sz="4" w:space="0"/>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诉讼参加人管理</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当事人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诉讼代理人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法定代理人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强制措施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前科劣迹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辩护人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其他诉讼参与人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top w:val="single" w:color="000000" w:sz="4" w:space="0"/>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分案移交</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移送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批量分案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批量移送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批量接收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top w:val="single" w:color="000000" w:sz="4" w:space="0"/>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庭前准备</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开庭排期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异地开庭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证据管理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回避处理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诉讼保全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担保管理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管辖处理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top w:val="single" w:color="000000" w:sz="4" w:space="0"/>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开庭评议</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开庭记录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案件评议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审委会讨论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法官专业会议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文书制作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top w:val="single" w:color="000000" w:sz="4" w:space="0"/>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结案归档</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定罪量刑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结案登记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结案文书提取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附带民事诉讼结案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裁判文书隐名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案件生效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top w:val="single" w:color="000000" w:sz="4" w:space="0"/>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上诉管理</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上抗诉登记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刑罚报核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复议管理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案件移送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后审管理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top w:val="single" w:color="000000" w:sz="4" w:space="0"/>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其他辅助功能</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工作安排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办案日志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风险评估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适用程序变更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送达管理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案件关联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当事人追加或变更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我的短信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top w:val="single" w:color="000000" w:sz="4" w:space="0"/>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网上审批事项</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审限变更流程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程序变更流程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立案审批流程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案件报结流程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承办法官变更流程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文书不上网审批流程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退案审批流程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当事人变更流程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top w:val="single" w:color="000000" w:sz="4" w:space="0"/>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首页</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预警提示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个性化界面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我的立案</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我的案件</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功能操作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个案办理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标识系列案</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台账报表</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收案登记簿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归档登记簿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流程卡片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我的短信</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上诉管理</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上诉移送管理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上诉移送跟踪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上诉接收管理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上诉退回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调卷管理</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发送调卷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接收调卷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案件查询</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期限跟踪</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立案期限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审理期限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期限变更情况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长期未结案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日志查询</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诉讼费查询</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审判管理</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全庭案件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分管案件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全院案件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流程节点控制</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节点定义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节点导引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节点预警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节点锁定和解冻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节点流转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审限管理</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初始值计算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期限变更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期限跟踪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期限警示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审判管理报表</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法官审判业绩情况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审判业务部门办案统计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辅助决策（全兵团查询统计）</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辖区法院案件查询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辖区法院长期未结案查询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辖区法院久押不决查询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辖区法院各法院收结存统计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系统管理</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基础定义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授权管理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运行管理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参数设置</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案件代字管理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立案权限管理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文书生成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重点涉案人员管理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法庭设置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节假日管理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基础组件</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网上审批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网上消息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工作流引擎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流程监管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276"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案件查询统计</w:t>
            </w: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综合查询</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开庭查询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上抗诉查询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后审信息查询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保全查询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离婚纠纷案件查询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当事人信息查询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辩护人信息查询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刑事案件查询</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全院久押不决查询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判处及生效刑罚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案件统计</w:t>
            </w: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收结存动态统计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立案工作量统计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案件类型分类统计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长期未结案统计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归档情况统计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院庭长办案统计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审限变更情况统计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本院一审判决被改发统计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二审改发下级法院统计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结案效率统计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left"/>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裁判文书上网统计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276"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审判质效评估系统</w:t>
            </w:r>
          </w:p>
        </w:tc>
        <w:tc>
          <w:tcPr>
            <w:tcW w:w="2234" w:type="dxa"/>
            <w:vMerge w:val="restart"/>
            <w:tcBorders>
              <w:left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指标体系管理</w:t>
            </w:r>
          </w:p>
        </w:tc>
        <w:tc>
          <w:tcPr>
            <w:tcW w:w="4003" w:type="dxa"/>
            <w:tcBorders>
              <w:top w:val="single" w:color="000000" w:sz="4" w:space="0"/>
              <w:left w:val="single" w:color="000000"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指标体系配置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评估方案配置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评估对象管理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基础数据定义</w:t>
            </w:r>
          </w:p>
        </w:tc>
        <w:tc>
          <w:tcPr>
            <w:tcW w:w="4003" w:type="dxa"/>
            <w:tcBorders>
              <w:top w:val="single" w:color="000000" w:sz="4" w:space="0"/>
              <w:left w:val="single" w:color="000000"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数据源管理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采集接口管理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基础数据定义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采集脚本维护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基础数据管理</w:t>
            </w: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数据采集管理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数据维护管理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质效指标分析</w:t>
            </w:r>
          </w:p>
        </w:tc>
        <w:tc>
          <w:tcPr>
            <w:tcW w:w="4003" w:type="dxa"/>
            <w:tcBorders>
              <w:top w:val="single" w:color="000000" w:sz="4" w:space="0"/>
              <w:left w:val="single" w:color="000000"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评估管理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质效分析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评估报告生成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自定义报表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系统管理</w:t>
            </w:r>
          </w:p>
        </w:tc>
        <w:tc>
          <w:tcPr>
            <w:tcW w:w="4003" w:type="dxa"/>
            <w:tcBorders>
              <w:top w:val="single" w:color="000000" w:sz="4" w:space="0"/>
              <w:left w:val="single" w:color="000000"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用户管理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权限管理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角色管理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维护管理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276"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绩效考核系统</w:t>
            </w:r>
          </w:p>
        </w:tc>
        <w:tc>
          <w:tcPr>
            <w:tcW w:w="2234"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基础配置</w:t>
            </w: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指标管理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方案管理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对象配置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被考核对象配置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评分人配置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质效数据点采集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采集数据维护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事项考核</w:t>
            </w: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初评得分汇总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法官自核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复议审批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政治部复核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院领导核准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事项查询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bottom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定性评价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查询统计</w:t>
            </w: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个人登记情况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定性评价查询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评价得分汇总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评价数量统计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未完成评价查询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我的考核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明细查询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人员考核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部门考核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法院考核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方案考核情况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方案考核查询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团队考核结果汇总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276"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案件数据汇集</w:t>
            </w:r>
          </w:p>
        </w:tc>
        <w:tc>
          <w:tcPr>
            <w:tcW w:w="2234" w:type="dxa"/>
            <w:vMerge w:val="restart"/>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数据汇集</w:t>
            </w: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数据转换和采集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数据打包推送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数据传输交换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数据落地集中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数据解析和加载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数据质量检查</w:t>
            </w: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数据质量规则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数据规则检查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restart"/>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数据上报及接口开发</w:t>
            </w: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数据包生成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数据包上报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数据包检查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数据服务接口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1276"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自定义统计分析</w:t>
            </w:r>
          </w:p>
        </w:tc>
        <w:tc>
          <w:tcPr>
            <w:tcW w:w="2234" w:type="dxa"/>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自定义条件维护</w:t>
            </w: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新增、修改、删除自定义条件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自定义条件选取</w:t>
            </w: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装载自定义条件列表供选取、赋值、组合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自定义查询引擎</w:t>
            </w: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根据选取的自定义条件，进行实时查询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851"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276"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234" w:type="dxa"/>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查询结果展示</w:t>
            </w:r>
          </w:p>
        </w:tc>
        <w:tc>
          <w:tcPr>
            <w:tcW w:w="4003"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按照经办法院、案件类型、统计指标，进行分类展示</w:t>
            </w:r>
          </w:p>
        </w:tc>
      </w:tr>
    </w:tbl>
    <w:p>
      <w:pPr>
        <w:rPr>
          <w:rFonts w:hint="eastAsia" w:ascii="宋体" w:hAnsi="宋体" w:eastAsia="宋体" w:cs="宋体"/>
          <w:color w:val="auto"/>
          <w:highlight w:val="none"/>
        </w:rPr>
      </w:pPr>
      <w:bookmarkStart w:id="126" w:name="_Toc65837731"/>
      <w:bookmarkStart w:id="127" w:name="_Toc65786114"/>
      <w:bookmarkStart w:id="128" w:name="_Toc62580584"/>
      <w:bookmarkStart w:id="129" w:name="_Toc65240254"/>
      <w:bookmarkStart w:id="130" w:name="_Toc65956867"/>
    </w:p>
    <w:p>
      <w:pPr>
        <w:pStyle w:val="55"/>
        <w:spacing w:beforeLines="0" w:afterLines="0"/>
        <w:ind w:firstLine="560" w:firstLineChars="200"/>
        <w:outlineLvl w:val="2"/>
        <w:rPr>
          <w:rFonts w:hint="eastAsia" w:ascii="宋体" w:hAnsi="宋体" w:eastAsia="宋体" w:cs="宋体"/>
          <w:color w:val="auto"/>
          <w:sz w:val="28"/>
          <w:szCs w:val="28"/>
          <w:highlight w:val="none"/>
        </w:rPr>
      </w:pPr>
      <w:bookmarkStart w:id="131" w:name="_Toc69456022"/>
      <w:r>
        <w:rPr>
          <w:rFonts w:hint="eastAsia" w:ascii="宋体" w:hAnsi="宋体" w:eastAsia="宋体" w:cs="宋体"/>
          <w:color w:val="auto"/>
          <w:sz w:val="28"/>
          <w:szCs w:val="28"/>
          <w:highlight w:val="none"/>
        </w:rPr>
        <w:t>2.3服务司法管理业务系统</w:t>
      </w:r>
      <w:bookmarkEnd w:id="126"/>
      <w:bookmarkEnd w:id="127"/>
      <w:bookmarkEnd w:id="128"/>
      <w:bookmarkEnd w:id="129"/>
      <w:bookmarkEnd w:id="130"/>
      <w:bookmarkEnd w:id="131"/>
    </w:p>
    <w:tbl>
      <w:tblPr>
        <w:tblStyle w:val="20"/>
        <w:tblpPr w:leftFromText="180" w:rightFromText="180" w:vertAnchor="text" w:tblpXSpec="center" w:tblpY="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7"/>
        <w:gridCol w:w="1330"/>
        <w:gridCol w:w="2364"/>
        <w:gridCol w:w="41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tcBorders>
              <w:top w:val="single" w:color="000000" w:sz="4" w:space="0"/>
              <w:left w:val="single" w:color="000000" w:sz="4" w:space="0"/>
              <w:bottom w:val="single" w:color="auto"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330" w:type="dxa"/>
            <w:tcBorders>
              <w:top w:val="single" w:color="000000" w:sz="4" w:space="0"/>
              <w:left w:val="single" w:color="000000" w:sz="4" w:space="0"/>
              <w:bottom w:val="single" w:color="auto"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p>
        </w:tc>
        <w:tc>
          <w:tcPr>
            <w:tcW w:w="23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主模块</w:t>
            </w:r>
          </w:p>
        </w:tc>
        <w:tc>
          <w:tcPr>
            <w:tcW w:w="4137"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子模块/功能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330"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门户系统</w:t>
            </w: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功能页面</w:t>
            </w: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统一登录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菜单管理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常用功能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频道管理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系统集成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单点登录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代办事项集成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案件功能集成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提醒管理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后台管理</w:t>
            </w: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应用管理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应用授权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频道管理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频道授权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账号映射管理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角色管理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角色授权管理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数据分发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缓存管理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330"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公文管理系统</w:t>
            </w:r>
          </w:p>
        </w:tc>
        <w:tc>
          <w:tcPr>
            <w:tcW w:w="2364"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收文管理</w:t>
            </w: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我的收文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签批文件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传阅文件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收文拟办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分管阅办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部门审签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收文审签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发文管理</w:t>
            </w: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我的拟稿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发文审签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行文编号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行文盖章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行文下发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行文文印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事务办理</w:t>
            </w: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我的交办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我的申请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事项审批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我的事项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分管事项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事项评价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事务催办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事项办理管理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查询统计</w:t>
            </w: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公文查询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公文统计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事务查询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院领导交办事项办理表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部门落实领导交办情况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部门未办结交办情况表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事务统计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公文浏览中心</w:t>
            </w: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外部来文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法院公文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重要通知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调研信息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传阅其他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收藏夹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个人办公</w:t>
            </w: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日志管理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备忘录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个人资料夹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授权代办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个人批语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个人联络组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个人模版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部门联络组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申请代理设置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日程安排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日程查询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文件共享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tcBorders>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领导设置</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领导设置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tcBorders>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领导周工作计划</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领导周工作计划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tcBorders>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公文设置</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公文设置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887"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tcBorders>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通知公告</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通知公告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330"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档案信息管理系统</w:t>
            </w:r>
          </w:p>
        </w:tc>
        <w:tc>
          <w:tcPr>
            <w:tcW w:w="2364"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归档文件</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新增、编辑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提交档案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文书档案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提交档案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案卷管理</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新增、编辑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卷目管理</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新增、编辑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归档结案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退回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电子卷浏览页面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归档文件</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批量接收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批量退回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文书档案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批量接收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批量退回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著录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编辑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电子卷浏览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影像卷管理</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卷目生成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引入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插入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设为封面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设为目录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设为备考表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设为封底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页码重排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覆盖本页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后插文件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影像文件打印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归档文件</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新增、编辑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文书档案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案卷管理</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新增、编辑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会计档案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新增、编辑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基建档案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设备档案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照片档案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新增、编辑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录音档案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录像档案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光盘档案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实物档案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新增、编辑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鉴定档案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著录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编辑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电子卷浏览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影像卷管理</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卷目生成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引入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插入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位置调整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在影像件类别增加链接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设为封面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设为目录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设为备考表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设为封底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页码重排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覆盖本页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后插文件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影像文件打印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借阅申请</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申请（编辑）</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档案借阅审批</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审批</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审批确认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授权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授权确认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借阅登记</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(对实体借阅有效)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登记</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引入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借出的电子卷</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借出的实体卷</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催还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借卷登记</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查阅申请</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申请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异地档案查阅</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申请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保存并发送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查阅授权</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附件浏览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审批授权</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异地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调卷申请【调卷法院】</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新调卷、编辑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调卷审批【调卷法院】</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发送调卷【调卷法院】</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接收调卷【被调卷法院】</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调卷审查【被调卷法院】</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反馈调卷【被调卷法院】</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反馈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业务参数</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文件服务器参数</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在线扫描文件服务器</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档案分类设置</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卷目设置</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档号格式设置</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代码维护</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档案盒管理</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文件分类设置</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鉴定申请</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申请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编辑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鉴定申请/编辑</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档案浏览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档案鉴定浏览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档案浏览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过期档案选择</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鉴定审批</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批量审批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档案鉴定浏览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档案浏览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鉴定审批</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档案浏览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鉴定处理</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手工登记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还原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清册打印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鉴定处理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档案鉴定浏览</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档案浏览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影像卷/原文浏览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本院诉讼案卷查询</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过程卷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部门诉讼案卷查询</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过程卷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分管部门诉讼案卷查询</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过程卷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本人诉讼案卷查询</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过程卷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诉讼案卷统计</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诉讼归档统计（按年度）</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诉讼归档统计（按承办部门）</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诉讼归档统计（按承办人）</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诉讼归档统计（按书记员）</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诉讼归档统计（按提交归档人）</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诉讼归档统计（按承办部门、案件类型）</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借阅查询</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借阅统计</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超期未还明细表</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档案利用人次明细表</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影像卷利用统计</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实体卷借阅统计</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文书档案查询</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归档统计（年度-保管期限）</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归档统计（机构问题-保管期限）</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影像卷操作日志查询</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影像卷操作日志统计</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案件移交时间明细表</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验收归档卷宗明细表</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诉讼档案扫描统计</w:t>
            </w: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vMerge w:val="continue"/>
            <w:tcBorders>
              <w:left w:val="single" w:color="000000" w:sz="4" w:space="0"/>
              <w:right w:val="single" w:color="000000" w:sz="4" w:space="0"/>
            </w:tcBorders>
            <w:vAlign w:val="center"/>
          </w:tcPr>
          <w:p>
            <w:pPr>
              <w:rPr>
                <w:rFonts w:hint="eastAsia" w:ascii="宋体" w:hAnsi="宋体" w:eastAsia="宋体" w:cs="宋体"/>
                <w:color w:val="auto"/>
                <w:szCs w:val="21"/>
                <w:highlight w:val="none"/>
              </w:rPr>
            </w:pPr>
          </w:p>
        </w:tc>
        <w:tc>
          <w:tcPr>
            <w:tcW w:w="4137"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330" w:type="dxa"/>
            <w:vMerge w:val="restart"/>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法院专网网站</w:t>
            </w:r>
          </w:p>
        </w:tc>
        <w:tc>
          <w:tcPr>
            <w:tcW w:w="2364" w:type="dxa"/>
            <w:tcBorders>
              <w:left w:val="single" w:color="000000" w:sz="4" w:space="0"/>
              <w:right w:val="single" w:color="000000" w:sz="4" w:space="0"/>
            </w:tcBorders>
            <w:vAlign w:val="center"/>
          </w:tcPr>
          <w:p>
            <w:pPr>
              <w:widowControl/>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标题栏目</w:t>
            </w:r>
          </w:p>
        </w:tc>
        <w:tc>
          <w:tcPr>
            <w:tcW w:w="4137"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标题栏目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tcBorders>
              <w:left w:val="single" w:color="000000" w:sz="4" w:space="0"/>
              <w:right w:val="single" w:color="000000" w:sz="4" w:space="0"/>
            </w:tcBorders>
            <w:vAlign w:val="center"/>
          </w:tcPr>
          <w:p>
            <w:pPr>
              <w:widowControl/>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主页栏目</w:t>
            </w:r>
          </w:p>
        </w:tc>
        <w:tc>
          <w:tcPr>
            <w:tcW w:w="4137"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主页栏目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tcBorders>
              <w:left w:val="single" w:color="000000" w:sz="4" w:space="0"/>
              <w:right w:val="single" w:color="000000" w:sz="4" w:space="0"/>
            </w:tcBorders>
            <w:vAlign w:val="center"/>
          </w:tcPr>
          <w:p>
            <w:pPr>
              <w:widowControl/>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专栏</w:t>
            </w:r>
          </w:p>
        </w:tc>
        <w:tc>
          <w:tcPr>
            <w:tcW w:w="4137"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tcBorders>
              <w:left w:val="single" w:color="000000" w:sz="4" w:space="0"/>
              <w:right w:val="single" w:color="000000" w:sz="4" w:space="0"/>
            </w:tcBorders>
            <w:vAlign w:val="center"/>
          </w:tcPr>
          <w:p>
            <w:pPr>
              <w:widowControl/>
              <w:rPr>
                <w:rFonts w:hint="eastAsia" w:ascii="宋体" w:hAnsi="宋体" w:eastAsia="宋体" w:cs="宋体"/>
                <w:color w:val="auto"/>
                <w:szCs w:val="21"/>
                <w:highlight w:val="none"/>
              </w:rPr>
            </w:pPr>
            <w:r>
              <w:rPr>
                <w:rFonts w:hint="eastAsia" w:ascii="宋体" w:hAnsi="宋体" w:eastAsia="宋体" w:cs="宋体"/>
                <w:color w:val="auto"/>
                <w:szCs w:val="21"/>
                <w:highlight w:val="none"/>
              </w:rPr>
              <w:t>后台维护</w:t>
            </w:r>
          </w:p>
        </w:tc>
        <w:tc>
          <w:tcPr>
            <w:tcW w:w="4137"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szCs w:val="21"/>
                <w:highlight w:val="none"/>
              </w:rPr>
            </w:pPr>
            <w:r>
              <w:rPr>
                <w:rFonts w:hint="eastAsia" w:ascii="宋体" w:hAnsi="宋体" w:eastAsia="宋体" w:cs="宋体"/>
                <w:color w:val="auto"/>
                <w:szCs w:val="21"/>
                <w:highlight w:val="none"/>
              </w:rPr>
              <w:t>后台维护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tcBorders>
              <w:left w:val="single" w:color="000000" w:sz="4" w:space="0"/>
              <w:right w:val="single" w:color="000000" w:sz="4" w:space="0"/>
            </w:tcBorders>
            <w:vAlign w:val="center"/>
          </w:tcPr>
          <w:p>
            <w:pPr>
              <w:widowControl/>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w:t>
            </w:r>
          </w:p>
        </w:tc>
        <w:tc>
          <w:tcPr>
            <w:tcW w:w="4137"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szCs w:val="21"/>
                <w:highlight w:val="none"/>
              </w:rPr>
            </w:pPr>
            <w:r>
              <w:rPr>
                <w:rFonts w:hint="eastAsia" w:ascii="宋体" w:hAnsi="宋体" w:eastAsia="宋体" w:cs="宋体"/>
                <w:color w:val="auto"/>
                <w:szCs w:val="21"/>
                <w:highlight w:val="none"/>
              </w:rPr>
              <w:t>站内查询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887" w:type="dxa"/>
            <w:vMerge w:val="continue"/>
            <w:tcBorders>
              <w:left w:val="single" w:color="000000" w:sz="4" w:space="0"/>
              <w:right w:val="single" w:color="000000" w:sz="4" w:space="0"/>
            </w:tcBorders>
          </w:tcPr>
          <w:p>
            <w:pPr>
              <w:jc w:val="center"/>
              <w:rPr>
                <w:rFonts w:hint="eastAsia" w:ascii="宋体" w:hAnsi="宋体" w:eastAsia="宋体" w:cs="宋体"/>
                <w:color w:val="auto"/>
                <w:szCs w:val="21"/>
                <w:highlight w:val="none"/>
              </w:rPr>
            </w:pPr>
          </w:p>
        </w:tc>
        <w:tc>
          <w:tcPr>
            <w:tcW w:w="1330" w:type="dxa"/>
            <w:vMerge w:val="continue"/>
            <w:tcBorders>
              <w:left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p>
        </w:tc>
        <w:tc>
          <w:tcPr>
            <w:tcW w:w="2364" w:type="dxa"/>
            <w:tcBorders>
              <w:left w:val="single" w:color="000000" w:sz="4" w:space="0"/>
              <w:right w:val="single" w:color="000000" w:sz="4" w:space="0"/>
            </w:tcBorders>
            <w:vAlign w:val="center"/>
          </w:tcPr>
          <w:p>
            <w:pPr>
              <w:widowControl/>
              <w:rPr>
                <w:rFonts w:hint="eastAsia" w:ascii="宋体" w:hAnsi="宋体" w:eastAsia="宋体" w:cs="宋体"/>
                <w:color w:val="auto"/>
                <w:szCs w:val="21"/>
                <w:highlight w:val="none"/>
              </w:rPr>
            </w:pPr>
            <w:r>
              <w:rPr>
                <w:rFonts w:hint="eastAsia" w:ascii="宋体" w:hAnsi="宋体" w:eastAsia="宋体" w:cs="宋体"/>
                <w:color w:val="auto"/>
                <w:szCs w:val="21"/>
                <w:highlight w:val="none"/>
              </w:rPr>
              <w:t>链接</w:t>
            </w:r>
          </w:p>
        </w:tc>
        <w:tc>
          <w:tcPr>
            <w:tcW w:w="4137" w:type="dxa"/>
            <w:tcBorders>
              <w:top w:val="single" w:color="000000" w:sz="4" w:space="0"/>
              <w:left w:val="single" w:color="000000" w:sz="4" w:space="0"/>
              <w:bottom w:val="single" w:color="000000" w:sz="4" w:space="0"/>
              <w:right w:val="single" w:color="auto" w:sz="4" w:space="0"/>
            </w:tcBorders>
            <w:vAlign w:val="center"/>
          </w:tcPr>
          <w:p>
            <w:pPr>
              <w:widowControl/>
              <w:rPr>
                <w:rFonts w:hint="eastAsia" w:ascii="宋体" w:hAnsi="宋体" w:eastAsia="宋体" w:cs="宋体"/>
                <w:color w:val="auto"/>
                <w:szCs w:val="21"/>
                <w:highlight w:val="none"/>
              </w:rPr>
            </w:pPr>
            <w:r>
              <w:rPr>
                <w:rFonts w:hint="eastAsia" w:ascii="宋体" w:hAnsi="宋体" w:eastAsia="宋体" w:cs="宋体"/>
                <w:color w:val="auto"/>
                <w:szCs w:val="21"/>
                <w:highlight w:val="none"/>
              </w:rPr>
              <w:t>友情链接</w:t>
            </w:r>
          </w:p>
        </w:tc>
      </w:tr>
    </w:tbl>
    <w:p>
      <w:pPr>
        <w:pStyle w:val="6"/>
        <w:tabs>
          <w:tab w:val="left" w:pos="5505"/>
        </w:tabs>
        <w:spacing w:before="156" w:beforeLines="50" w:after="156" w:afterLines="50" w:line="240" w:lineRule="auto"/>
        <w:ind w:left="937"/>
        <w:rPr>
          <w:rFonts w:hint="eastAsia" w:ascii="宋体" w:hAnsi="宋体" w:eastAsia="宋体" w:cs="宋体"/>
          <w:color w:val="auto"/>
          <w:sz w:val="28"/>
          <w:szCs w:val="28"/>
          <w:highlight w:val="none"/>
        </w:rPr>
      </w:pPr>
      <w:bookmarkStart w:id="132" w:name="_Toc69456023"/>
      <w:bookmarkStart w:id="133" w:name="_Toc65240255"/>
      <w:bookmarkStart w:id="134" w:name="_Toc65837732"/>
      <w:bookmarkStart w:id="135" w:name="_Toc65956868"/>
      <w:r>
        <w:rPr>
          <w:rFonts w:hint="eastAsia" w:ascii="宋体" w:hAnsi="宋体" w:eastAsia="宋体" w:cs="宋体"/>
          <w:color w:val="auto"/>
          <w:sz w:val="28"/>
          <w:szCs w:val="28"/>
          <w:highlight w:val="none"/>
        </w:rPr>
        <w:t>3、与统建平台数据对接同步服务清单</w:t>
      </w:r>
      <w:bookmarkEnd w:id="132"/>
      <w:bookmarkEnd w:id="133"/>
      <w:bookmarkEnd w:id="134"/>
      <w:bookmarkEnd w:id="135"/>
    </w:p>
    <w:p>
      <w:pPr>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根据最高法院统建平台数据对接要求，结合最高院数据对接标准的变更，平台的升级，完成审判及办公信息系统数据对接同步服务，确保数据交互正常、稳定。</w:t>
      </w:r>
    </w:p>
    <w:p>
      <w:pPr>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数据对接服务列表如下：</w:t>
      </w:r>
    </w:p>
    <w:p>
      <w:pPr>
        <w:pStyle w:val="2"/>
        <w:rPr>
          <w:rFonts w:hint="eastAsia" w:ascii="宋体" w:hAnsi="宋体" w:eastAsia="宋体" w:cs="宋体"/>
          <w:color w:val="auto"/>
          <w:highlight w:val="none"/>
        </w:rPr>
      </w:pPr>
    </w:p>
    <w:tbl>
      <w:tblPr>
        <w:tblStyle w:val="20"/>
        <w:tblW w:w="8398" w:type="dxa"/>
        <w:jc w:val="center"/>
        <w:tblLayout w:type="autofit"/>
        <w:tblCellMar>
          <w:top w:w="0" w:type="dxa"/>
          <w:left w:w="108" w:type="dxa"/>
          <w:bottom w:w="0" w:type="dxa"/>
          <w:right w:w="108" w:type="dxa"/>
        </w:tblCellMar>
      </w:tblPr>
      <w:tblGrid>
        <w:gridCol w:w="794"/>
        <w:gridCol w:w="5446"/>
        <w:gridCol w:w="2158"/>
      </w:tblGrid>
      <w:tr>
        <w:tblPrEx>
          <w:tblCellMar>
            <w:top w:w="0" w:type="dxa"/>
            <w:left w:w="108" w:type="dxa"/>
            <w:bottom w:w="0" w:type="dxa"/>
            <w:right w:w="108" w:type="dxa"/>
          </w:tblCellMar>
        </w:tblPrEx>
        <w:trPr>
          <w:trHeight w:val="410" w:hRule="atLeast"/>
          <w:jc w:val="center"/>
        </w:trPr>
        <w:tc>
          <w:tcPr>
            <w:tcW w:w="7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序号</w:t>
            </w:r>
          </w:p>
        </w:tc>
        <w:tc>
          <w:tcPr>
            <w:tcW w:w="544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数据对接服务项目</w:t>
            </w:r>
          </w:p>
        </w:tc>
        <w:tc>
          <w:tcPr>
            <w:tcW w:w="215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对接单位</w:t>
            </w:r>
          </w:p>
        </w:tc>
      </w:tr>
      <w:tr>
        <w:tblPrEx>
          <w:tblCellMar>
            <w:top w:w="0" w:type="dxa"/>
            <w:left w:w="108" w:type="dxa"/>
            <w:bottom w:w="0" w:type="dxa"/>
            <w:right w:w="108" w:type="dxa"/>
          </w:tblCellMar>
        </w:tblPrEx>
        <w:trPr>
          <w:trHeight w:val="588" w:hRule="atLeast"/>
          <w:jc w:val="center"/>
        </w:trPr>
        <w:tc>
          <w:tcPr>
            <w:tcW w:w="7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5446"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一级网数据上报系统（2015标准）</w:t>
            </w:r>
          </w:p>
        </w:tc>
        <w:tc>
          <w:tcPr>
            <w:tcW w:w="2158" w:type="dxa"/>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最高院</w:t>
            </w:r>
          </w:p>
        </w:tc>
      </w:tr>
      <w:tr>
        <w:tblPrEx>
          <w:tblCellMar>
            <w:top w:w="0" w:type="dxa"/>
            <w:left w:w="108" w:type="dxa"/>
            <w:bottom w:w="0" w:type="dxa"/>
            <w:right w:w="108" w:type="dxa"/>
          </w:tblCellMar>
        </w:tblPrEx>
        <w:trPr>
          <w:trHeight w:val="588" w:hRule="atLeast"/>
          <w:jc w:val="center"/>
        </w:trPr>
        <w:tc>
          <w:tcPr>
            <w:tcW w:w="7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544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人民法院数据平台三类外部数据对接服务</w:t>
            </w:r>
          </w:p>
        </w:tc>
        <w:tc>
          <w:tcPr>
            <w:tcW w:w="215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最高院</w:t>
            </w:r>
          </w:p>
        </w:tc>
      </w:tr>
      <w:tr>
        <w:tblPrEx>
          <w:tblCellMar>
            <w:top w:w="0" w:type="dxa"/>
            <w:left w:w="108" w:type="dxa"/>
            <w:bottom w:w="0" w:type="dxa"/>
            <w:right w:w="108" w:type="dxa"/>
          </w:tblCellMar>
        </w:tblPrEx>
        <w:trPr>
          <w:trHeight w:val="588" w:hRule="atLeast"/>
          <w:jc w:val="center"/>
        </w:trPr>
        <w:tc>
          <w:tcPr>
            <w:tcW w:w="7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544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兵团法院外部领导干部过问案件信息数据对接服务</w:t>
            </w:r>
          </w:p>
        </w:tc>
        <w:tc>
          <w:tcPr>
            <w:tcW w:w="215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最高院</w:t>
            </w:r>
          </w:p>
        </w:tc>
      </w:tr>
      <w:tr>
        <w:tblPrEx>
          <w:tblCellMar>
            <w:top w:w="0" w:type="dxa"/>
            <w:left w:w="108" w:type="dxa"/>
            <w:bottom w:w="0" w:type="dxa"/>
            <w:right w:w="108" w:type="dxa"/>
          </w:tblCellMar>
        </w:tblPrEx>
        <w:trPr>
          <w:trHeight w:val="588" w:hRule="atLeast"/>
          <w:jc w:val="center"/>
        </w:trPr>
        <w:tc>
          <w:tcPr>
            <w:tcW w:w="7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544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兵团移动微法院网上立案数据对接服务</w:t>
            </w:r>
          </w:p>
        </w:tc>
        <w:tc>
          <w:tcPr>
            <w:tcW w:w="215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最高院</w:t>
            </w:r>
          </w:p>
        </w:tc>
      </w:tr>
      <w:tr>
        <w:tblPrEx>
          <w:tblCellMar>
            <w:top w:w="0" w:type="dxa"/>
            <w:left w:w="108" w:type="dxa"/>
            <w:bottom w:w="0" w:type="dxa"/>
            <w:right w:w="108" w:type="dxa"/>
          </w:tblCellMar>
        </w:tblPrEx>
        <w:trPr>
          <w:trHeight w:val="588" w:hRule="atLeast"/>
          <w:jc w:val="center"/>
        </w:trPr>
        <w:tc>
          <w:tcPr>
            <w:tcW w:w="7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544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全国法院信访信息管理系统数据对接服务</w:t>
            </w:r>
          </w:p>
        </w:tc>
        <w:tc>
          <w:tcPr>
            <w:tcW w:w="215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最高院</w:t>
            </w:r>
          </w:p>
        </w:tc>
      </w:tr>
      <w:tr>
        <w:tblPrEx>
          <w:tblCellMar>
            <w:top w:w="0" w:type="dxa"/>
            <w:left w:w="108" w:type="dxa"/>
            <w:bottom w:w="0" w:type="dxa"/>
            <w:right w:w="108" w:type="dxa"/>
          </w:tblCellMar>
        </w:tblPrEx>
        <w:trPr>
          <w:trHeight w:val="588" w:hRule="atLeast"/>
          <w:jc w:val="center"/>
        </w:trPr>
        <w:tc>
          <w:tcPr>
            <w:tcW w:w="7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544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兵团法院裁判文书自动上网数据对接服务</w:t>
            </w:r>
          </w:p>
        </w:tc>
        <w:tc>
          <w:tcPr>
            <w:tcW w:w="215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最高院</w:t>
            </w:r>
          </w:p>
        </w:tc>
      </w:tr>
      <w:tr>
        <w:tblPrEx>
          <w:tblCellMar>
            <w:top w:w="0" w:type="dxa"/>
            <w:left w:w="108" w:type="dxa"/>
            <w:bottom w:w="0" w:type="dxa"/>
            <w:right w:w="108" w:type="dxa"/>
          </w:tblCellMar>
        </w:tblPrEx>
        <w:trPr>
          <w:trHeight w:val="588" w:hRule="atLeast"/>
          <w:jc w:val="center"/>
        </w:trPr>
        <w:tc>
          <w:tcPr>
            <w:tcW w:w="7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w:t>
            </w:r>
          </w:p>
        </w:tc>
        <w:tc>
          <w:tcPr>
            <w:tcW w:w="544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全国企业破产重整案件信息平台数据对接服务</w:t>
            </w:r>
          </w:p>
        </w:tc>
        <w:tc>
          <w:tcPr>
            <w:tcW w:w="215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最高院</w:t>
            </w:r>
          </w:p>
        </w:tc>
      </w:tr>
      <w:tr>
        <w:tblPrEx>
          <w:tblCellMar>
            <w:top w:w="0" w:type="dxa"/>
            <w:left w:w="108" w:type="dxa"/>
            <w:bottom w:w="0" w:type="dxa"/>
            <w:right w:w="108" w:type="dxa"/>
          </w:tblCellMar>
        </w:tblPrEx>
        <w:trPr>
          <w:trHeight w:val="588" w:hRule="atLeast"/>
          <w:jc w:val="center"/>
        </w:trPr>
        <w:tc>
          <w:tcPr>
            <w:tcW w:w="7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w:t>
            </w:r>
          </w:p>
        </w:tc>
        <w:tc>
          <w:tcPr>
            <w:tcW w:w="544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兵团法院“道交一体化平台”数据对接服务</w:t>
            </w:r>
          </w:p>
        </w:tc>
        <w:tc>
          <w:tcPr>
            <w:tcW w:w="215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最高院</w:t>
            </w:r>
          </w:p>
        </w:tc>
      </w:tr>
      <w:tr>
        <w:tblPrEx>
          <w:tblCellMar>
            <w:top w:w="0" w:type="dxa"/>
            <w:left w:w="108" w:type="dxa"/>
            <w:bottom w:w="0" w:type="dxa"/>
            <w:right w:w="108" w:type="dxa"/>
          </w:tblCellMar>
        </w:tblPrEx>
        <w:trPr>
          <w:trHeight w:val="588" w:hRule="atLeast"/>
          <w:jc w:val="center"/>
        </w:trPr>
        <w:tc>
          <w:tcPr>
            <w:tcW w:w="7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9</w:t>
            </w:r>
          </w:p>
        </w:tc>
        <w:tc>
          <w:tcPr>
            <w:tcW w:w="544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科技法庭庭审信息数据对接服务</w:t>
            </w:r>
          </w:p>
        </w:tc>
        <w:tc>
          <w:tcPr>
            <w:tcW w:w="215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天宇威视、华宇</w:t>
            </w:r>
          </w:p>
        </w:tc>
      </w:tr>
      <w:tr>
        <w:tblPrEx>
          <w:tblCellMar>
            <w:top w:w="0" w:type="dxa"/>
            <w:left w:w="108" w:type="dxa"/>
            <w:bottom w:w="0" w:type="dxa"/>
            <w:right w:w="108" w:type="dxa"/>
          </w:tblCellMar>
        </w:tblPrEx>
        <w:trPr>
          <w:trHeight w:val="588" w:hRule="atLeast"/>
          <w:jc w:val="center"/>
        </w:trPr>
        <w:tc>
          <w:tcPr>
            <w:tcW w:w="7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p>
        </w:tc>
        <w:tc>
          <w:tcPr>
            <w:tcW w:w="544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Zwz政法委数据对接服务</w:t>
            </w:r>
          </w:p>
        </w:tc>
        <w:tc>
          <w:tcPr>
            <w:tcW w:w="215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兵团政法委</w:t>
            </w:r>
          </w:p>
        </w:tc>
      </w:tr>
      <w:tr>
        <w:tblPrEx>
          <w:tblCellMar>
            <w:top w:w="0" w:type="dxa"/>
            <w:left w:w="108" w:type="dxa"/>
            <w:bottom w:w="0" w:type="dxa"/>
            <w:right w:w="108" w:type="dxa"/>
          </w:tblCellMar>
        </w:tblPrEx>
        <w:trPr>
          <w:trHeight w:val="588" w:hRule="atLeast"/>
          <w:jc w:val="center"/>
        </w:trPr>
        <w:tc>
          <w:tcPr>
            <w:tcW w:w="7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544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206系统数据对接服务</w:t>
            </w:r>
          </w:p>
        </w:tc>
        <w:tc>
          <w:tcPr>
            <w:tcW w:w="215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科大讯飞</w:t>
            </w:r>
          </w:p>
        </w:tc>
      </w:tr>
      <w:tr>
        <w:tblPrEx>
          <w:tblCellMar>
            <w:top w:w="0" w:type="dxa"/>
            <w:left w:w="108" w:type="dxa"/>
            <w:bottom w:w="0" w:type="dxa"/>
            <w:right w:w="108" w:type="dxa"/>
          </w:tblCellMar>
        </w:tblPrEx>
        <w:trPr>
          <w:trHeight w:val="598" w:hRule="atLeast"/>
          <w:jc w:val="center"/>
        </w:trPr>
        <w:tc>
          <w:tcPr>
            <w:tcW w:w="79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544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“法智罗盘”数据对接服务</w:t>
            </w:r>
          </w:p>
        </w:tc>
        <w:tc>
          <w:tcPr>
            <w:tcW w:w="215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最高院</w:t>
            </w:r>
          </w:p>
        </w:tc>
      </w:tr>
    </w:tbl>
    <w:p>
      <w:pPr>
        <w:pStyle w:val="6"/>
        <w:tabs>
          <w:tab w:val="left" w:pos="5505"/>
        </w:tabs>
        <w:spacing w:before="156" w:beforeLines="50" w:after="156" w:afterLines="50" w:line="240" w:lineRule="auto"/>
        <w:ind w:left="802"/>
        <w:rPr>
          <w:rFonts w:hint="eastAsia" w:ascii="宋体" w:hAnsi="宋体" w:eastAsia="宋体" w:cs="宋体"/>
          <w:color w:val="auto"/>
          <w:sz w:val="28"/>
          <w:szCs w:val="28"/>
          <w:highlight w:val="none"/>
        </w:rPr>
      </w:pPr>
      <w:bookmarkStart w:id="136" w:name="_Toc65837733"/>
      <w:bookmarkStart w:id="137" w:name="_Toc65240256"/>
      <w:bookmarkStart w:id="138" w:name="_Toc65956869"/>
      <w:bookmarkStart w:id="139" w:name="_Toc69456024"/>
      <w:r>
        <w:rPr>
          <w:rFonts w:hint="eastAsia" w:ascii="宋体" w:hAnsi="宋体" w:eastAsia="宋体" w:cs="宋体"/>
          <w:color w:val="auto"/>
          <w:sz w:val="28"/>
          <w:szCs w:val="28"/>
          <w:highlight w:val="none"/>
        </w:rPr>
        <w:t>4、数据库运维服务目录</w:t>
      </w:r>
      <w:bookmarkEnd w:id="136"/>
      <w:bookmarkEnd w:id="137"/>
      <w:bookmarkEnd w:id="138"/>
      <w:bookmarkEnd w:id="139"/>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8"/>
        <w:gridCol w:w="3205"/>
        <w:gridCol w:w="1965"/>
        <w:gridCol w:w="2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jc w:val="center"/>
        </w:trPr>
        <w:tc>
          <w:tcPr>
            <w:tcW w:w="1068" w:type="dxa"/>
            <w:vAlign w:val="center"/>
          </w:tcPr>
          <w:p>
            <w:pPr>
              <w:pStyle w:val="24"/>
              <w:tabs>
                <w:tab w:val="center" w:pos="4201"/>
                <w:tab w:val="right" w:leader="dot" w:pos="9298"/>
              </w:tabs>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3205" w:type="dxa"/>
            <w:vAlign w:val="center"/>
          </w:tcPr>
          <w:p>
            <w:pPr>
              <w:pStyle w:val="24"/>
              <w:tabs>
                <w:tab w:val="center" w:pos="4201"/>
                <w:tab w:val="right" w:leader="dot" w:pos="9298"/>
              </w:tabs>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数据库类型</w:t>
            </w:r>
          </w:p>
        </w:tc>
        <w:tc>
          <w:tcPr>
            <w:tcW w:w="1965" w:type="dxa"/>
            <w:tcBorders>
              <w:right w:val="single" w:color="auto" w:sz="4" w:space="0"/>
            </w:tcBorders>
            <w:vAlign w:val="center"/>
          </w:tcPr>
          <w:p>
            <w:pPr>
              <w:pStyle w:val="24"/>
              <w:tabs>
                <w:tab w:val="center" w:pos="4201"/>
                <w:tab w:val="right" w:leader="dot" w:pos="9298"/>
              </w:tabs>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系统环境</w:t>
            </w:r>
          </w:p>
        </w:tc>
        <w:tc>
          <w:tcPr>
            <w:tcW w:w="2361" w:type="dxa"/>
            <w:tcBorders>
              <w:left w:val="single" w:color="auto" w:sz="4" w:space="0"/>
            </w:tcBorders>
            <w:vAlign w:val="center"/>
          </w:tcPr>
          <w:p>
            <w:pPr>
              <w:pStyle w:val="24"/>
              <w:tabs>
                <w:tab w:val="center" w:pos="4201"/>
                <w:tab w:val="right" w:leader="dot" w:pos="9298"/>
              </w:tabs>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运维内容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8" w:hRule="atLeast"/>
          <w:jc w:val="center"/>
        </w:trPr>
        <w:tc>
          <w:tcPr>
            <w:tcW w:w="1068" w:type="dxa"/>
            <w:vAlign w:val="center"/>
          </w:tcPr>
          <w:p>
            <w:pPr>
              <w:pStyle w:val="24"/>
              <w:tabs>
                <w:tab w:val="center" w:pos="4201"/>
                <w:tab w:val="right" w:leader="dot" w:pos="9298"/>
              </w:tabs>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205"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Oracle 11g R2</w:t>
            </w:r>
          </w:p>
        </w:tc>
        <w:tc>
          <w:tcPr>
            <w:tcW w:w="1965" w:type="dxa"/>
            <w:tcBorders>
              <w:right w:val="single" w:color="auto" w:sz="4" w:space="0"/>
            </w:tcBorders>
            <w:vAlign w:val="center"/>
          </w:tcPr>
          <w:p>
            <w:pPr>
              <w:pStyle w:val="24"/>
              <w:tabs>
                <w:tab w:val="center" w:pos="4201"/>
                <w:tab w:val="right" w:leader="dot" w:pos="9298"/>
              </w:tabs>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Linux</w:t>
            </w:r>
          </w:p>
        </w:tc>
        <w:tc>
          <w:tcPr>
            <w:tcW w:w="2361" w:type="dxa"/>
            <w:tcBorders>
              <w:left w:val="single" w:color="auto" w:sz="4" w:space="0"/>
            </w:tcBorders>
            <w:vAlign w:val="center"/>
          </w:tcPr>
          <w:p>
            <w:pPr>
              <w:pStyle w:val="24"/>
              <w:tabs>
                <w:tab w:val="center" w:pos="4201"/>
                <w:tab w:val="right" w:leader="dot" w:pos="9298"/>
              </w:tabs>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数据库健康检查，数据库扩容，数据备份，数据恢复校验测试，性能调优等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8" w:hRule="atLeast"/>
          <w:jc w:val="center"/>
        </w:trPr>
        <w:tc>
          <w:tcPr>
            <w:tcW w:w="1068" w:type="dxa"/>
            <w:vAlign w:val="center"/>
          </w:tcPr>
          <w:p>
            <w:pPr>
              <w:pStyle w:val="24"/>
              <w:tabs>
                <w:tab w:val="center" w:pos="4201"/>
                <w:tab w:val="right" w:leader="dot" w:pos="9298"/>
              </w:tabs>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205"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Sybase ASE 15.7</w:t>
            </w:r>
          </w:p>
        </w:tc>
        <w:tc>
          <w:tcPr>
            <w:tcW w:w="1965" w:type="dxa"/>
            <w:tcBorders>
              <w:right w:val="single" w:color="auto" w:sz="4" w:space="0"/>
            </w:tcBorders>
            <w:vAlign w:val="center"/>
          </w:tcPr>
          <w:p>
            <w:pPr>
              <w:pStyle w:val="24"/>
              <w:tabs>
                <w:tab w:val="center" w:pos="4201"/>
                <w:tab w:val="right" w:leader="dot" w:pos="9298"/>
              </w:tabs>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Linux</w:t>
            </w:r>
          </w:p>
        </w:tc>
        <w:tc>
          <w:tcPr>
            <w:tcW w:w="2361" w:type="dxa"/>
            <w:tcBorders>
              <w:left w:val="single" w:color="auto" w:sz="4" w:space="0"/>
            </w:tcBorders>
            <w:vAlign w:val="center"/>
          </w:tcPr>
          <w:p>
            <w:pPr>
              <w:pStyle w:val="24"/>
              <w:tabs>
                <w:tab w:val="center" w:pos="4201"/>
                <w:tab w:val="right" w:leader="dot" w:pos="9298"/>
              </w:tabs>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数据库健康检查，数据库扩容，数据备份，数据恢复校验测试，性能调优等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7" w:hRule="atLeast"/>
          <w:jc w:val="center"/>
        </w:trPr>
        <w:tc>
          <w:tcPr>
            <w:tcW w:w="1068" w:type="dxa"/>
            <w:vAlign w:val="center"/>
          </w:tcPr>
          <w:p>
            <w:pPr>
              <w:pStyle w:val="24"/>
              <w:tabs>
                <w:tab w:val="center" w:pos="4201"/>
                <w:tab w:val="right" w:leader="dot" w:pos="9298"/>
              </w:tabs>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205"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SQL SERVER 2005/2008</w:t>
            </w:r>
          </w:p>
        </w:tc>
        <w:tc>
          <w:tcPr>
            <w:tcW w:w="1965" w:type="dxa"/>
            <w:tcBorders>
              <w:right w:val="single" w:color="auto" w:sz="4" w:space="0"/>
            </w:tcBorders>
            <w:vAlign w:val="center"/>
          </w:tcPr>
          <w:p>
            <w:pPr>
              <w:pStyle w:val="24"/>
              <w:tabs>
                <w:tab w:val="center" w:pos="4201"/>
                <w:tab w:val="right" w:leader="dot" w:pos="9298"/>
              </w:tabs>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Windows server 2008 R2</w:t>
            </w:r>
          </w:p>
        </w:tc>
        <w:tc>
          <w:tcPr>
            <w:tcW w:w="2361" w:type="dxa"/>
            <w:tcBorders>
              <w:left w:val="single" w:color="auto" w:sz="4" w:space="0"/>
            </w:tcBorders>
            <w:vAlign w:val="center"/>
          </w:tcPr>
          <w:p>
            <w:pPr>
              <w:pStyle w:val="24"/>
              <w:tabs>
                <w:tab w:val="center" w:pos="4201"/>
                <w:tab w:val="right" w:leader="dot" w:pos="9298"/>
              </w:tabs>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数据库健康检查，数据库扩容，数据备份，数据恢复校验测试，性能调优等</w:t>
            </w:r>
          </w:p>
        </w:tc>
      </w:tr>
    </w:tbl>
    <w:p>
      <w:pPr>
        <w:ind w:firstLine="560"/>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6"/>
        <w:tabs>
          <w:tab w:val="left" w:pos="5505"/>
        </w:tabs>
        <w:spacing w:before="156" w:beforeLines="50" w:after="156" w:afterLines="50" w:line="240" w:lineRule="auto"/>
        <w:ind w:left="802"/>
        <w:rPr>
          <w:rFonts w:hint="eastAsia" w:ascii="宋体" w:hAnsi="宋体" w:eastAsia="宋体" w:cs="宋体"/>
          <w:color w:val="auto"/>
          <w:sz w:val="28"/>
          <w:szCs w:val="28"/>
          <w:highlight w:val="none"/>
        </w:rPr>
      </w:pPr>
      <w:bookmarkStart w:id="140" w:name="_Toc69456025"/>
      <w:bookmarkStart w:id="141" w:name="_Toc65837734"/>
      <w:bookmarkStart w:id="142" w:name="_Toc65956870"/>
      <w:bookmarkStart w:id="143" w:name="_Toc65240257"/>
      <w:r>
        <w:rPr>
          <w:rFonts w:hint="eastAsia" w:ascii="宋体" w:hAnsi="宋体" w:eastAsia="宋体" w:cs="宋体"/>
          <w:color w:val="auto"/>
          <w:sz w:val="28"/>
          <w:szCs w:val="28"/>
          <w:highlight w:val="none"/>
        </w:rPr>
        <w:t>5、“法信2.0智推”平台服务目录</w:t>
      </w:r>
      <w:bookmarkEnd w:id="140"/>
      <w:bookmarkEnd w:id="141"/>
      <w:bookmarkEnd w:id="142"/>
      <w:bookmarkEnd w:id="143"/>
    </w:p>
    <w:tbl>
      <w:tblPr>
        <w:tblStyle w:val="20"/>
        <w:tblpPr w:leftFromText="180" w:rightFromText="180" w:vertAnchor="text" w:horzAnchor="page" w:tblpXSpec="center" w:tblpY="794"/>
        <w:tblOverlap w:val="never"/>
        <w:tblW w:w="48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06"/>
        <w:gridCol w:w="2274"/>
        <w:gridCol w:w="2701"/>
        <w:gridCol w:w="3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7" w:hRule="atLeast"/>
        </w:trPr>
        <w:tc>
          <w:tcPr>
            <w:tcW w:w="525" w:type="pct"/>
            <w:tcBorders>
              <w:top w:val="single" w:color="auto" w:sz="4" w:space="0"/>
            </w:tcBorders>
            <w:shd w:val="clear" w:color="auto" w:fill="D9D9D9"/>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产品服务项目</w:t>
            </w:r>
          </w:p>
        </w:tc>
        <w:tc>
          <w:tcPr>
            <w:tcW w:w="1186" w:type="pct"/>
            <w:tcBorders>
              <w:top w:val="single" w:color="auto" w:sz="4" w:space="0"/>
            </w:tcBorders>
            <w:shd w:val="clear" w:color="auto" w:fill="D9D9D9"/>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描述</w:t>
            </w:r>
          </w:p>
        </w:tc>
        <w:tc>
          <w:tcPr>
            <w:tcW w:w="1409" w:type="pct"/>
            <w:tcBorders>
              <w:top w:val="single" w:color="auto" w:sz="4" w:space="0"/>
            </w:tcBorders>
            <w:shd w:val="clear" w:color="auto" w:fill="D9D9D9"/>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数据量</w:t>
            </w:r>
            <w:r>
              <w:rPr>
                <w:rFonts w:hint="eastAsia" w:ascii="宋体" w:hAnsi="宋体" w:eastAsia="宋体" w:cs="宋体"/>
                <w:color w:val="auto"/>
                <w:szCs w:val="21"/>
                <w:highlight w:val="none"/>
                <w:vertAlign w:val="superscript"/>
              </w:rPr>
              <w:t>*</w:t>
            </w:r>
            <w:r>
              <w:rPr>
                <w:rFonts w:hint="eastAsia" w:ascii="宋体" w:hAnsi="宋体" w:eastAsia="宋体" w:cs="宋体"/>
                <w:color w:val="auto"/>
                <w:szCs w:val="21"/>
                <w:highlight w:val="none"/>
              </w:rPr>
              <w:t>/年更新量</w:t>
            </w:r>
          </w:p>
        </w:tc>
        <w:tc>
          <w:tcPr>
            <w:tcW w:w="1880" w:type="pct"/>
            <w:tcBorders>
              <w:top w:val="single" w:color="auto" w:sz="4" w:space="0"/>
            </w:tcBorders>
            <w:shd w:val="clear" w:color="auto" w:fill="D9D9D9"/>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功   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525"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法律信息平台大纲知识体系服务</w:t>
            </w:r>
          </w:p>
        </w:tc>
        <w:tc>
          <w:tcPr>
            <w:tcW w:w="1186" w:type="pct"/>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1.须提供国内规模较大、分层较深、延展至法律事实、纠纷点、精华点的法律知识体系图谱；</w:t>
            </w:r>
          </w:p>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2.须提供国内串联知识元较多的，专业法律知识服务必备的法律知识地图</w:t>
            </w:r>
          </w:p>
        </w:tc>
        <w:tc>
          <w:tcPr>
            <w:tcW w:w="1409" w:type="pct"/>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1.法律知识分类导航体系分类条目不少于16万条</w:t>
            </w:r>
          </w:p>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2.加工编辑串连法律知识元不少于27万条，/年更新量不少于2万条</w:t>
            </w:r>
          </w:p>
        </w:tc>
        <w:tc>
          <w:tcPr>
            <w:tcW w:w="1880" w:type="pct"/>
            <w:vAlign w:val="center"/>
          </w:tcPr>
          <w:p>
            <w:pPr>
              <w:numPr>
                <w:ilvl w:val="0"/>
                <w:numId w:val="23"/>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法律信息平台大纲全局检索推送功能；</w:t>
            </w:r>
          </w:p>
          <w:p>
            <w:pPr>
              <w:numPr>
                <w:ilvl w:val="0"/>
                <w:numId w:val="23"/>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法律信息平台大纲知识地图浏览查询功能；</w:t>
            </w:r>
          </w:p>
          <w:p>
            <w:pPr>
              <w:numPr>
                <w:ilvl w:val="0"/>
                <w:numId w:val="23"/>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法律信息平台大纲1414个案由罪名的法律知识一站式解决方案服务。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7" w:hRule="atLeast"/>
        </w:trPr>
        <w:tc>
          <w:tcPr>
            <w:tcW w:w="525"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类案检索知识资源服务</w:t>
            </w:r>
          </w:p>
        </w:tc>
        <w:tc>
          <w:tcPr>
            <w:tcW w:w="1186" w:type="pct"/>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提供覆盖重点案由罪名的维度体系，通过人工智能技术推送类案，提供智能、精准、便捷的类案检索服务和法律知识推送服务</w:t>
            </w:r>
          </w:p>
        </w:tc>
        <w:tc>
          <w:tcPr>
            <w:tcW w:w="1409" w:type="pct"/>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提供不少于300个案由罪名的类案检索服务，案由/罪名维度条目总量不少于13000条，/年更新量约100个案由罪名，3000条维度</w:t>
            </w:r>
          </w:p>
        </w:tc>
        <w:tc>
          <w:tcPr>
            <w:tcW w:w="1880" w:type="pct"/>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支持三种功能：</w:t>
            </w:r>
          </w:p>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1.支持选择预设维度找类案；</w:t>
            </w:r>
          </w:p>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2.支持快速跳转法信大纲，提供法律知识一站式解决方案服务；</w:t>
            </w:r>
          </w:p>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3.支持类案结果可视化分析。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案例要旨知识资源服务</w:t>
            </w:r>
          </w:p>
        </w:tc>
        <w:tc>
          <w:tcPr>
            <w:tcW w:w="1186" w:type="pct"/>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须为有特色的裁判文书库，须全部提炼案例要旨、梗概，容量最大，具有权威性、指导性的案例要旨库</w:t>
            </w:r>
          </w:p>
        </w:tc>
        <w:tc>
          <w:tcPr>
            <w:tcW w:w="1409" w:type="pct"/>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数据总量不少于120,000篇，/年更新量约10,000篇，其中：</w:t>
            </w:r>
          </w:p>
          <w:p>
            <w:pPr>
              <w:numPr>
                <w:ilvl w:val="0"/>
                <w:numId w:val="24"/>
              </w:numPr>
              <w:ind w:left="0"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民事61632篇</w:t>
            </w:r>
          </w:p>
          <w:p>
            <w:pPr>
              <w:numPr>
                <w:ilvl w:val="0"/>
                <w:numId w:val="24"/>
              </w:numPr>
              <w:ind w:left="0"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刑事34942篇</w:t>
            </w:r>
          </w:p>
          <w:p>
            <w:pPr>
              <w:numPr>
                <w:ilvl w:val="0"/>
                <w:numId w:val="24"/>
              </w:numPr>
              <w:ind w:left="0"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行政8614篇</w:t>
            </w:r>
          </w:p>
          <w:p>
            <w:pPr>
              <w:numPr>
                <w:ilvl w:val="0"/>
                <w:numId w:val="24"/>
              </w:numPr>
              <w:ind w:left="0"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知识产权7401篇</w:t>
            </w:r>
          </w:p>
          <w:p>
            <w:pPr>
              <w:numPr>
                <w:ilvl w:val="0"/>
                <w:numId w:val="24"/>
              </w:numPr>
              <w:ind w:left="0"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赔偿870篇</w:t>
            </w:r>
          </w:p>
          <w:p>
            <w:pPr>
              <w:numPr>
                <w:ilvl w:val="0"/>
                <w:numId w:val="24"/>
              </w:numPr>
              <w:ind w:left="0"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执行2413篇</w:t>
            </w:r>
          </w:p>
        </w:tc>
        <w:tc>
          <w:tcPr>
            <w:tcW w:w="1880" w:type="pct"/>
          </w:tcPr>
          <w:p>
            <w:pPr>
              <w:numPr>
                <w:ilvl w:val="0"/>
                <w:numId w:val="25"/>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最高法院八大权威来源案例搜集、数字化服务；</w:t>
            </w:r>
          </w:p>
          <w:p>
            <w:pPr>
              <w:numPr>
                <w:ilvl w:val="0"/>
                <w:numId w:val="25"/>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全国法院系统公布公开案例搜集、数字化服务；</w:t>
            </w:r>
          </w:p>
          <w:p>
            <w:pPr>
              <w:numPr>
                <w:ilvl w:val="0"/>
                <w:numId w:val="25"/>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所有案例的要旨提炼、梗概编写服务；</w:t>
            </w:r>
          </w:p>
          <w:p>
            <w:pPr>
              <w:numPr>
                <w:ilvl w:val="0"/>
                <w:numId w:val="25"/>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所有案例关联知识体系、推荐度标示、属性标签功能；</w:t>
            </w:r>
          </w:p>
          <w:p>
            <w:pPr>
              <w:numPr>
                <w:ilvl w:val="0"/>
                <w:numId w:val="25"/>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相关案例、同类案例、同法院、上级法院案例推荐功能，案例引用法条超链功能；</w:t>
            </w:r>
          </w:p>
          <w:p>
            <w:pPr>
              <w:numPr>
                <w:ilvl w:val="0"/>
                <w:numId w:val="25"/>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收藏、下载、打印功能。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法律观点知识资源服务</w:t>
            </w:r>
          </w:p>
        </w:tc>
        <w:tc>
          <w:tcPr>
            <w:tcW w:w="1186"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1.须提供国内规模较大且具有法律文献的观点库；</w:t>
            </w:r>
          </w:p>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2.须提供立法、司法、专家精华观点，解决法官标准化裁判说理、释法痛点。</w:t>
            </w:r>
          </w:p>
        </w:tc>
        <w:tc>
          <w:tcPr>
            <w:tcW w:w="1409" w:type="pct"/>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数据总量不少于150,000篇，其中：</w:t>
            </w:r>
          </w:p>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1.立法观点22285篇</w:t>
            </w:r>
          </w:p>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2.司法观点60071篇</w:t>
            </w:r>
          </w:p>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3.学术观点72974篇 </w:t>
            </w:r>
          </w:p>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4.实务观点1626篇</w:t>
            </w:r>
          </w:p>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5.域外观点1608篇</w:t>
            </w:r>
          </w:p>
        </w:tc>
        <w:tc>
          <w:tcPr>
            <w:tcW w:w="1880" w:type="pct"/>
          </w:tcPr>
          <w:p>
            <w:pPr>
              <w:pStyle w:val="18"/>
              <w:widowControl/>
              <w:numPr>
                <w:ilvl w:val="0"/>
                <w:numId w:val="26"/>
              </w:numPr>
              <w:ind w:left="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每年不少于1000种权威法律实务图书数字化\碎片化服务；</w:t>
            </w:r>
          </w:p>
          <w:p>
            <w:pPr>
              <w:pStyle w:val="18"/>
              <w:widowControl/>
              <w:numPr>
                <w:ilvl w:val="0"/>
                <w:numId w:val="26"/>
              </w:numPr>
              <w:ind w:left="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须提供所有观点的梗概提炼、图书超链、知识体系串联、属性标签功能；</w:t>
            </w:r>
          </w:p>
          <w:p>
            <w:pPr>
              <w:pStyle w:val="18"/>
              <w:widowControl/>
              <w:numPr>
                <w:ilvl w:val="0"/>
                <w:numId w:val="26"/>
              </w:numPr>
              <w:ind w:left="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收藏、下载、打印功能。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法律图书知识资源服务</w:t>
            </w:r>
          </w:p>
        </w:tc>
        <w:tc>
          <w:tcPr>
            <w:tcW w:w="1186"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须提供国内较大的法律实务数字图书库</w:t>
            </w:r>
          </w:p>
        </w:tc>
        <w:tc>
          <w:tcPr>
            <w:tcW w:w="1409" w:type="pct"/>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须提供至少6800种法律实务数字图书，其中独家版权图书不少于4000种，年更新量不少于500种。</w:t>
            </w:r>
          </w:p>
        </w:tc>
        <w:tc>
          <w:tcPr>
            <w:tcW w:w="1880" w:type="pct"/>
          </w:tcPr>
          <w:p>
            <w:pPr>
              <w:numPr>
                <w:ilvl w:val="0"/>
                <w:numId w:val="27"/>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须提供所有纸质图书的数字化加工\xml加工服务;</w:t>
            </w:r>
          </w:p>
          <w:p>
            <w:pPr>
              <w:numPr>
                <w:ilvl w:val="0"/>
                <w:numId w:val="27"/>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须提供所有图书原版原式阅读及文本阅读功能；</w:t>
            </w:r>
          </w:p>
          <w:p>
            <w:pPr>
              <w:numPr>
                <w:ilvl w:val="0"/>
                <w:numId w:val="27"/>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同一作者图书推荐功能；</w:t>
            </w:r>
          </w:p>
          <w:p>
            <w:pPr>
              <w:numPr>
                <w:ilvl w:val="0"/>
                <w:numId w:val="27"/>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同类图书推荐功能。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法律文件知识资源服务</w:t>
            </w:r>
          </w:p>
        </w:tc>
        <w:tc>
          <w:tcPr>
            <w:tcW w:w="1186" w:type="pct"/>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提供1949年以来中央和地方发布的所有法律、法规、司法解释、地方性法规标准法律文本的数据库</w:t>
            </w:r>
          </w:p>
        </w:tc>
        <w:tc>
          <w:tcPr>
            <w:tcW w:w="1409" w:type="pct"/>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数据总量不少于1,380,000篇，年更新量不少于80,000篇，其中：</w:t>
            </w:r>
          </w:p>
          <w:p>
            <w:pPr>
              <w:pStyle w:val="18"/>
              <w:widowControl/>
              <w:numPr>
                <w:ilvl w:val="0"/>
                <w:numId w:val="28"/>
              </w:numPr>
              <w:ind w:left="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国家法律275,943篇/年更新不少于14,000篇</w:t>
            </w:r>
          </w:p>
          <w:p>
            <w:pPr>
              <w:pStyle w:val="18"/>
              <w:widowControl/>
              <w:numPr>
                <w:ilvl w:val="0"/>
                <w:numId w:val="28"/>
              </w:numPr>
              <w:ind w:left="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地方法规1,042,467篇/年更新不少于75,000篇</w:t>
            </w:r>
          </w:p>
          <w:p>
            <w:pPr>
              <w:pStyle w:val="18"/>
              <w:widowControl/>
              <w:numPr>
                <w:ilvl w:val="0"/>
                <w:numId w:val="28"/>
              </w:numPr>
              <w:ind w:left="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立法资料约21,343篇</w:t>
            </w:r>
          </w:p>
          <w:p>
            <w:pPr>
              <w:pStyle w:val="18"/>
              <w:widowControl/>
              <w:numPr>
                <w:ilvl w:val="0"/>
                <w:numId w:val="28"/>
              </w:numPr>
              <w:ind w:left="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司法资料约1,760篇</w:t>
            </w:r>
          </w:p>
          <w:p>
            <w:pPr>
              <w:pStyle w:val="18"/>
              <w:widowControl/>
              <w:numPr>
                <w:ilvl w:val="0"/>
                <w:numId w:val="28"/>
              </w:numPr>
              <w:ind w:left="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香港法律法规库约2,128篇</w:t>
            </w:r>
          </w:p>
          <w:p>
            <w:pPr>
              <w:pStyle w:val="18"/>
              <w:widowControl/>
              <w:numPr>
                <w:ilvl w:val="0"/>
                <w:numId w:val="28"/>
              </w:numPr>
              <w:ind w:left="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澳门法律法规库约23,636篇</w:t>
            </w:r>
          </w:p>
          <w:p>
            <w:pPr>
              <w:pStyle w:val="18"/>
              <w:widowControl/>
              <w:numPr>
                <w:ilvl w:val="0"/>
                <w:numId w:val="28"/>
              </w:numPr>
              <w:ind w:left="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台湾法律法规库约8,643篇</w:t>
            </w:r>
          </w:p>
          <w:p>
            <w:pPr>
              <w:numPr>
                <w:ilvl w:val="0"/>
                <w:numId w:val="28"/>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国际法约7,149篇</w:t>
            </w:r>
          </w:p>
        </w:tc>
        <w:tc>
          <w:tcPr>
            <w:tcW w:w="1880" w:type="pct"/>
          </w:tcPr>
          <w:p>
            <w:pPr>
              <w:numPr>
                <w:ilvl w:val="0"/>
                <w:numId w:val="29"/>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关联知识体系功能；</w:t>
            </w:r>
          </w:p>
          <w:p>
            <w:pPr>
              <w:numPr>
                <w:ilvl w:val="0"/>
                <w:numId w:val="29"/>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法律修订沿革功能</w:t>
            </w:r>
          </w:p>
          <w:p>
            <w:pPr>
              <w:numPr>
                <w:ilvl w:val="0"/>
                <w:numId w:val="29"/>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条文修订沿革功能</w:t>
            </w:r>
          </w:p>
          <w:p>
            <w:pPr>
              <w:numPr>
                <w:ilvl w:val="0"/>
                <w:numId w:val="29"/>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引用统计功能</w:t>
            </w:r>
          </w:p>
          <w:p>
            <w:pPr>
              <w:numPr>
                <w:ilvl w:val="0"/>
                <w:numId w:val="29"/>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法律效力标注功能</w:t>
            </w:r>
          </w:p>
          <w:p>
            <w:pPr>
              <w:numPr>
                <w:ilvl w:val="0"/>
                <w:numId w:val="29"/>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法条原文超链功能</w:t>
            </w:r>
          </w:p>
          <w:p>
            <w:pPr>
              <w:numPr>
                <w:ilvl w:val="0"/>
                <w:numId w:val="29"/>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收藏、下载、打印功能</w:t>
            </w:r>
          </w:p>
          <w:p>
            <w:pPr>
              <w:numPr>
                <w:ilvl w:val="0"/>
                <w:numId w:val="29"/>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法条引用超链（迭代功能）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法条释义库</w:t>
            </w:r>
          </w:p>
        </w:tc>
        <w:tc>
          <w:tcPr>
            <w:tcW w:w="1186" w:type="pct"/>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提供立法司法机关对法律条文理解与适用</w:t>
            </w:r>
          </w:p>
        </w:tc>
        <w:tc>
          <w:tcPr>
            <w:tcW w:w="1409" w:type="pct"/>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数据总量不少于34764篇，包括全国人大法工委立法释义、两高司法释义、专家学者释义</w:t>
            </w:r>
          </w:p>
        </w:tc>
        <w:tc>
          <w:tcPr>
            <w:tcW w:w="1880" w:type="pct"/>
          </w:tcPr>
          <w:p>
            <w:pPr>
              <w:pStyle w:val="29"/>
              <w:numPr>
                <w:ilvl w:val="0"/>
                <w:numId w:val="30"/>
              </w:numPr>
              <w:autoSpaceDE w:val="0"/>
              <w:autoSpaceDN w:val="0"/>
              <w:adjustRightInd w:val="0"/>
              <w:ind w:left="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原文超链功能</w:t>
            </w:r>
          </w:p>
          <w:p>
            <w:pPr>
              <w:pStyle w:val="29"/>
              <w:numPr>
                <w:ilvl w:val="0"/>
                <w:numId w:val="30"/>
              </w:numPr>
              <w:autoSpaceDE w:val="0"/>
              <w:autoSpaceDN w:val="0"/>
              <w:adjustRightInd w:val="0"/>
              <w:ind w:left="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收藏、下载、打印功能</w:t>
            </w:r>
          </w:p>
          <w:p>
            <w:pPr>
              <w:pStyle w:val="29"/>
              <w:numPr>
                <w:ilvl w:val="0"/>
                <w:numId w:val="30"/>
              </w:numPr>
              <w:autoSpaceDE w:val="0"/>
              <w:autoSpaceDN w:val="0"/>
              <w:adjustRightInd w:val="0"/>
              <w:ind w:left="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引用超链（迭代功能）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法律文书范本知识资源服务</w:t>
            </w:r>
          </w:p>
        </w:tc>
        <w:tc>
          <w:tcPr>
            <w:tcW w:w="1186"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提供公、检、法、司及其他行政部门正式公布的法律文书范本及行政文书范本</w:t>
            </w:r>
          </w:p>
        </w:tc>
        <w:tc>
          <w:tcPr>
            <w:tcW w:w="1409" w:type="pct"/>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数据总量不少于4370篇，其中：</w:t>
            </w:r>
          </w:p>
          <w:p>
            <w:pPr>
              <w:numPr>
                <w:ilvl w:val="0"/>
                <w:numId w:val="31"/>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公检法司法律文书文书不少于2800篇</w:t>
            </w:r>
          </w:p>
          <w:p>
            <w:pPr>
              <w:numPr>
                <w:ilvl w:val="0"/>
                <w:numId w:val="31"/>
              </w:numPr>
              <w:autoSpaceDE w:val="0"/>
              <w:autoSpaceDN w:val="0"/>
              <w:adjustRightInd w:val="0"/>
              <w:ind w:left="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其他行政文书不少于1500篇</w:t>
            </w:r>
          </w:p>
        </w:tc>
        <w:tc>
          <w:tcPr>
            <w:tcW w:w="1880" w:type="pct"/>
          </w:tcPr>
          <w:p>
            <w:pPr>
              <w:pStyle w:val="18"/>
              <w:widowControl/>
              <w:numPr>
                <w:ilvl w:val="0"/>
                <w:numId w:val="32"/>
              </w:numPr>
              <w:ind w:left="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在线撰写</w:t>
            </w:r>
          </w:p>
          <w:p>
            <w:pPr>
              <w:pStyle w:val="18"/>
              <w:widowControl/>
              <w:numPr>
                <w:ilvl w:val="0"/>
                <w:numId w:val="32"/>
              </w:numPr>
              <w:ind w:left="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附录撰写说明</w:t>
            </w:r>
          </w:p>
          <w:p>
            <w:pPr>
              <w:pStyle w:val="18"/>
              <w:widowControl/>
              <w:numPr>
                <w:ilvl w:val="0"/>
                <w:numId w:val="32"/>
              </w:numPr>
              <w:ind w:left="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在线另存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裁判文书知识资源服务</w:t>
            </w:r>
          </w:p>
        </w:tc>
        <w:tc>
          <w:tcPr>
            <w:tcW w:w="1186"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须提供全国法院裁判文书的检索服务</w:t>
            </w:r>
          </w:p>
        </w:tc>
        <w:tc>
          <w:tcPr>
            <w:tcW w:w="1409" w:type="pct"/>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须提供的裁判文书总量不少于5100万篇，年更新量与裁判文书网同。</w:t>
            </w:r>
          </w:p>
        </w:tc>
        <w:tc>
          <w:tcPr>
            <w:tcW w:w="1880" w:type="pct"/>
          </w:tcPr>
          <w:p>
            <w:pPr>
              <w:autoSpaceDE w:val="0"/>
              <w:autoSpaceDN w:val="0"/>
              <w:adjustRightInd w:val="0"/>
              <w:rPr>
                <w:rFonts w:hint="eastAsia"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法律期刊论文知识资源服务</w:t>
            </w:r>
          </w:p>
        </w:tc>
        <w:tc>
          <w:tcPr>
            <w:tcW w:w="1186" w:type="pct"/>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须提供针对法官办案的法律实务文献数据库</w:t>
            </w:r>
          </w:p>
        </w:tc>
        <w:tc>
          <w:tcPr>
            <w:tcW w:w="1409" w:type="pct"/>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收录不少于170种法学期刊，数据总量不少于700,000篇/年更新量不少于24,000篇，其中：</w:t>
            </w:r>
          </w:p>
          <w:p>
            <w:pPr>
              <w:numPr>
                <w:ilvl w:val="0"/>
                <w:numId w:val="33"/>
              </w:numPr>
              <w:ind w:left="0"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核心期刊约145,000篇</w:t>
            </w:r>
          </w:p>
          <w:p>
            <w:pPr>
              <w:numPr>
                <w:ilvl w:val="0"/>
                <w:numId w:val="33"/>
              </w:numPr>
              <w:ind w:left="0"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非核心期刊约446,000篇</w:t>
            </w:r>
          </w:p>
          <w:p>
            <w:pPr>
              <w:numPr>
                <w:ilvl w:val="0"/>
                <w:numId w:val="33"/>
              </w:numPr>
              <w:ind w:left="0"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实务期刊约53,000篇</w:t>
            </w:r>
          </w:p>
          <w:p>
            <w:pPr>
              <w:numPr>
                <w:ilvl w:val="0"/>
                <w:numId w:val="33"/>
              </w:numPr>
              <w:ind w:left="0"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法学集刊约30,000篇</w:t>
            </w:r>
          </w:p>
          <w:p>
            <w:pPr>
              <w:numPr>
                <w:ilvl w:val="0"/>
                <w:numId w:val="33"/>
              </w:numPr>
              <w:ind w:left="0"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大学学报约100,000篇</w:t>
            </w:r>
          </w:p>
          <w:p>
            <w:pPr>
              <w:numPr>
                <w:ilvl w:val="0"/>
                <w:numId w:val="33"/>
              </w:numPr>
              <w:ind w:left="0"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学位论文约18,000篇</w:t>
            </w:r>
          </w:p>
          <w:p>
            <w:pPr>
              <w:numPr>
                <w:ilvl w:val="0"/>
                <w:numId w:val="33"/>
              </w:numPr>
              <w:ind w:left="0"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英文期刊3,600篇</w:t>
            </w:r>
          </w:p>
        </w:tc>
        <w:tc>
          <w:tcPr>
            <w:tcW w:w="1880" w:type="pct"/>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1.须具备关联知识体系；</w:t>
            </w:r>
          </w:p>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2.收藏、下载、打印功能；</w:t>
            </w:r>
          </w:p>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3.同一作者图书推荐功能（迭代功能）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公报数据库(外网使用)</w:t>
            </w:r>
          </w:p>
        </w:tc>
        <w:tc>
          <w:tcPr>
            <w:tcW w:w="1186" w:type="pct"/>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由最高人民法院公报编辑部和人民法院电子音像出版社合办，提供1985年创刊以来的公报过刊浏览服务以及复制使用服务</w:t>
            </w:r>
          </w:p>
        </w:tc>
        <w:tc>
          <w:tcPr>
            <w:tcW w:w="1409" w:type="pct"/>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收录公报过刊数据1357篇，其中：</w:t>
            </w:r>
          </w:p>
          <w:p>
            <w:pPr>
              <w:numPr>
                <w:ilvl w:val="0"/>
                <w:numId w:val="34"/>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文献数据74篇</w:t>
            </w:r>
          </w:p>
          <w:p>
            <w:pPr>
              <w:numPr>
                <w:ilvl w:val="0"/>
                <w:numId w:val="34"/>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法律法规数据100篇</w:t>
            </w:r>
          </w:p>
          <w:p>
            <w:pPr>
              <w:numPr>
                <w:ilvl w:val="0"/>
                <w:numId w:val="34"/>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司法解释数据373篇</w:t>
            </w:r>
          </w:p>
          <w:p>
            <w:pPr>
              <w:numPr>
                <w:ilvl w:val="0"/>
                <w:numId w:val="34"/>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司法文件数据286篇</w:t>
            </w:r>
          </w:p>
          <w:p>
            <w:pPr>
              <w:numPr>
                <w:ilvl w:val="0"/>
                <w:numId w:val="34"/>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任命事项数据65篇</w:t>
            </w:r>
          </w:p>
          <w:p>
            <w:pPr>
              <w:numPr>
                <w:ilvl w:val="0"/>
                <w:numId w:val="34"/>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司法统计数据8篇</w:t>
            </w:r>
          </w:p>
          <w:p>
            <w:pPr>
              <w:numPr>
                <w:ilvl w:val="0"/>
                <w:numId w:val="34"/>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裁判文书数据91篇</w:t>
            </w:r>
          </w:p>
          <w:p>
            <w:pPr>
              <w:numPr>
                <w:ilvl w:val="0"/>
                <w:numId w:val="34"/>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案例数据360篇</w:t>
            </w:r>
          </w:p>
        </w:tc>
        <w:tc>
          <w:tcPr>
            <w:tcW w:w="1880" w:type="pct"/>
          </w:tcPr>
          <w:p>
            <w:pPr>
              <w:numPr>
                <w:ilvl w:val="0"/>
                <w:numId w:val="35"/>
              </w:num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数据检索、查询、浏览功能；</w:t>
            </w:r>
          </w:p>
          <w:p>
            <w:pPr>
              <w:numPr>
                <w:ilvl w:val="0"/>
                <w:numId w:val="35"/>
              </w:num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数据复制功能；</w:t>
            </w:r>
          </w:p>
          <w:p>
            <w:pPr>
              <w:numPr>
                <w:ilvl w:val="0"/>
                <w:numId w:val="35"/>
              </w:num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数据下载打印功能（迭代功能）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行业标准数据库</w:t>
            </w:r>
          </w:p>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(外网使用)</w:t>
            </w:r>
          </w:p>
        </w:tc>
        <w:tc>
          <w:tcPr>
            <w:tcW w:w="1186" w:type="pct"/>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提供国家行业标准计量规程规范</w:t>
            </w:r>
          </w:p>
        </w:tc>
        <w:tc>
          <w:tcPr>
            <w:tcW w:w="1409" w:type="pct"/>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数据总量不少于71000篇，其中：</w:t>
            </w:r>
          </w:p>
          <w:p>
            <w:pPr>
              <w:pStyle w:val="29"/>
              <w:numPr>
                <w:ilvl w:val="0"/>
                <w:numId w:val="36"/>
              </w:numPr>
              <w:ind w:left="0"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国家标准数据53978篇</w:t>
            </w:r>
          </w:p>
          <w:p>
            <w:pPr>
              <w:pStyle w:val="29"/>
              <w:numPr>
                <w:ilvl w:val="0"/>
                <w:numId w:val="36"/>
              </w:numPr>
              <w:ind w:left="0"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行业标准数据16453篇</w:t>
            </w:r>
          </w:p>
          <w:p>
            <w:pPr>
              <w:pStyle w:val="29"/>
              <w:numPr>
                <w:ilvl w:val="0"/>
                <w:numId w:val="36"/>
              </w:numPr>
              <w:ind w:left="0"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计量规程数据1794篇</w:t>
            </w:r>
          </w:p>
        </w:tc>
        <w:tc>
          <w:tcPr>
            <w:tcW w:w="1880" w:type="pct"/>
          </w:tcPr>
          <w:p>
            <w:pPr>
              <w:pStyle w:val="29"/>
              <w:numPr>
                <w:ilvl w:val="0"/>
                <w:numId w:val="37"/>
              </w:numPr>
              <w:autoSpaceDE w:val="0"/>
              <w:autoSpaceDN w:val="0"/>
              <w:adjustRightInd w:val="0"/>
              <w:ind w:left="0"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在线查询功能</w:t>
            </w:r>
          </w:p>
          <w:p>
            <w:pPr>
              <w:pStyle w:val="29"/>
              <w:numPr>
                <w:ilvl w:val="0"/>
                <w:numId w:val="37"/>
              </w:numPr>
              <w:autoSpaceDE w:val="0"/>
              <w:autoSpaceDN w:val="0"/>
              <w:adjustRightInd w:val="0"/>
              <w:ind w:left="0"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详细信息及文前页下载服务</w:t>
            </w:r>
          </w:p>
          <w:p>
            <w:pPr>
              <w:pStyle w:val="29"/>
              <w:numPr>
                <w:ilvl w:val="0"/>
                <w:numId w:val="37"/>
              </w:numPr>
              <w:autoSpaceDE w:val="0"/>
              <w:autoSpaceDN w:val="0"/>
              <w:adjustRightInd w:val="0"/>
              <w:ind w:left="0"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全文阅读付费链接入口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知识产权数据库</w:t>
            </w:r>
          </w:p>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(外网使用)</w:t>
            </w:r>
          </w:p>
        </w:tc>
        <w:tc>
          <w:tcPr>
            <w:tcW w:w="1186" w:type="pct"/>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提供知识产权（专利、商标、版权）数据智能检索、多维呈现、统计分析</w:t>
            </w:r>
          </w:p>
        </w:tc>
        <w:tc>
          <w:tcPr>
            <w:tcW w:w="1409" w:type="pct"/>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提供全面完整的知识产权数据资源，其中：</w:t>
            </w:r>
          </w:p>
          <w:p>
            <w:pPr>
              <w:numPr>
                <w:ilvl w:val="0"/>
                <w:numId w:val="38"/>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专利数据资源1.2亿余条</w:t>
            </w:r>
          </w:p>
          <w:p>
            <w:pPr>
              <w:numPr>
                <w:ilvl w:val="0"/>
                <w:numId w:val="38"/>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商标数据资源5000万余条</w:t>
            </w:r>
          </w:p>
          <w:p>
            <w:pPr>
              <w:numPr>
                <w:ilvl w:val="0"/>
                <w:numId w:val="38"/>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版权数据资源（包括中国软件著作权数据和中国作品登记数据）1200万余条</w:t>
            </w:r>
          </w:p>
        </w:tc>
        <w:tc>
          <w:tcPr>
            <w:tcW w:w="1880" w:type="pct"/>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1.快捷智能检索功能</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（1）多方式检索和智能识别功能；</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（2）专利多模式智能检索</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（3）商标、版权高级智能检索</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2.多维度信息呈现效果</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（1）智能关联检索结果</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（2）多维排序和筛选功能</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（3）检索结果模式的切换</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3.大数据统计分析功能</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包括自定义分析、聚类分析、关联分析、引证分析、技术生命周期分析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裁判剖析引擎（LD）服务</w:t>
            </w:r>
          </w:p>
        </w:tc>
        <w:tc>
          <w:tcPr>
            <w:tcW w:w="1186"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须展示同案类案大数据智能匹配,实现类案同判;</w:t>
            </w:r>
          </w:p>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须将信息抽取、数据挖掘、分布式计算应用于司法领域;</w:t>
            </w:r>
          </w:p>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须实现对海量裁判文书无限维度剖析、聚类分析和智能排序。</w:t>
            </w:r>
          </w:p>
        </w:tc>
        <w:tc>
          <w:tcPr>
            <w:tcW w:w="1409" w:type="pct"/>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须具备不少于15个检索段落，不少于10个剖析维度，不少于8个筛选角度，不少于8个显示指数，不少于8个排序指标，不少于6个显示条件</w:t>
            </w:r>
          </w:p>
        </w:tc>
        <w:tc>
          <w:tcPr>
            <w:tcW w:w="1880" w:type="pct"/>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年度不少于三次功能迭代更新（包括增加、优化剖析条件）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同案智推引擎（SP）服务</w:t>
            </w:r>
          </w:p>
        </w:tc>
        <w:tc>
          <w:tcPr>
            <w:tcW w:w="1186"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须将自然语言处理 、机器学习等人工智能方法应用于裁判同案匹配领域，加速匹配同案，一键智能推送。</w:t>
            </w:r>
          </w:p>
        </w:tc>
        <w:tc>
          <w:tcPr>
            <w:tcW w:w="1409" w:type="pct"/>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须根据自然技术发展状况，年度功能优化更新不少于两次</w:t>
            </w:r>
          </w:p>
        </w:tc>
        <w:tc>
          <w:tcPr>
            <w:tcW w:w="1880" w:type="pct"/>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支持三种功能：</w:t>
            </w:r>
          </w:p>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1.支持整篇格式化裁判文书找同案；</w:t>
            </w:r>
          </w:p>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2.支持法言法语专业表述法律关系找同案；</w:t>
            </w:r>
          </w:p>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3.支持口语表述事实案情找同案。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三网同步服务</w:t>
            </w:r>
          </w:p>
        </w:tc>
        <w:tc>
          <w:tcPr>
            <w:tcW w:w="4475" w:type="pct"/>
            <w:gridSpan w:val="3"/>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提供法院专网、互联网、移动网三网下的知识服务，为法官移动办案、巡回审判和派出执行时提供即时知识服务。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法官个人知识管理服务</w:t>
            </w:r>
          </w:p>
        </w:tc>
        <w:tc>
          <w:tcPr>
            <w:tcW w:w="4475" w:type="pct"/>
            <w:gridSpan w:val="3"/>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提供基于个人知识管理和学习需要的批注、笔记、编辑、投稿、分享、评论等功能。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1" w:hRule="atLeast"/>
        </w:trPr>
        <w:tc>
          <w:tcPr>
            <w:tcW w:w="525"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法院内网sns社区服务</w:t>
            </w:r>
          </w:p>
        </w:tc>
        <w:tc>
          <w:tcPr>
            <w:tcW w:w="4475" w:type="pct"/>
            <w:gridSpan w:val="3"/>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在法院内网环境下提供包含微博，论坛，群组，问答，好友、私信信息等功能模块。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在线客服服务</w:t>
            </w:r>
          </w:p>
        </w:tc>
        <w:tc>
          <w:tcPr>
            <w:tcW w:w="4475" w:type="pct"/>
            <w:gridSpan w:val="3"/>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提供法院内网、互联网在线客服服务，为用户提供专属辅助检索服务。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525" w:type="pct"/>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接口服务</w:t>
            </w:r>
          </w:p>
        </w:tc>
        <w:tc>
          <w:tcPr>
            <w:tcW w:w="4475" w:type="pct"/>
            <w:gridSpan w:val="3"/>
            <w:vAlign w:val="center"/>
          </w:tcPr>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提供法院内网接口改造、升级服务。</w:t>
            </w:r>
          </w:p>
        </w:tc>
      </w:tr>
    </w:tbl>
    <w:p>
      <w:pPr>
        <w:ind w:firstLine="560"/>
        <w:rPr>
          <w:rFonts w:hint="eastAsia" w:ascii="宋体" w:hAnsi="宋体" w:eastAsia="宋体" w:cs="宋体"/>
          <w:color w:val="auto"/>
          <w:highlight w:val="none"/>
        </w:rPr>
      </w:pPr>
    </w:p>
    <w:p>
      <w:pPr>
        <w:pStyle w:val="6"/>
        <w:tabs>
          <w:tab w:val="left" w:pos="5505"/>
        </w:tabs>
        <w:spacing w:before="156" w:beforeLines="50" w:after="156" w:afterLines="50" w:line="240" w:lineRule="auto"/>
        <w:ind w:left="802"/>
        <w:rPr>
          <w:rFonts w:hint="eastAsia" w:ascii="宋体" w:hAnsi="宋体" w:eastAsia="宋体" w:cs="宋体"/>
          <w:color w:val="auto"/>
          <w:sz w:val="28"/>
          <w:szCs w:val="28"/>
          <w:highlight w:val="none"/>
        </w:rPr>
      </w:pPr>
      <w:bookmarkStart w:id="144" w:name="_Toc65956871"/>
      <w:bookmarkStart w:id="145" w:name="_Toc69456026"/>
      <w:bookmarkStart w:id="146" w:name="_Toc65837735"/>
      <w:bookmarkStart w:id="147" w:name="_Toc65240258"/>
      <w:r>
        <w:rPr>
          <w:rFonts w:hint="eastAsia" w:ascii="宋体" w:hAnsi="宋体" w:eastAsia="宋体" w:cs="宋体"/>
          <w:color w:val="auto"/>
          <w:sz w:val="28"/>
          <w:szCs w:val="28"/>
          <w:highlight w:val="none"/>
        </w:rPr>
        <w:t>6、其它服务内容目录</w:t>
      </w:r>
      <w:bookmarkEnd w:id="144"/>
      <w:bookmarkEnd w:id="145"/>
      <w:bookmarkEnd w:id="146"/>
      <w:bookmarkEnd w:id="147"/>
    </w:p>
    <w:tbl>
      <w:tblPr>
        <w:tblStyle w:val="20"/>
        <w:tblW w:w="90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8"/>
        <w:gridCol w:w="4937"/>
        <w:gridCol w:w="3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88" w:type="dxa"/>
            <w:tcBorders>
              <w:top w:val="single" w:color="000000" w:sz="4" w:space="0"/>
              <w:left w:val="single" w:color="000000" w:sz="4" w:space="0"/>
              <w:bottom w:val="single" w:color="000000" w:sz="4" w:space="0"/>
              <w:right w:val="single" w:color="000000" w:sz="4" w:space="0"/>
            </w:tcBorders>
          </w:tcPr>
          <w:p>
            <w:pPr>
              <w:spacing w:line="5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4937" w:type="dxa"/>
            <w:tcBorders>
              <w:top w:val="single" w:color="000000" w:sz="4" w:space="0"/>
              <w:left w:val="single" w:color="000000" w:sz="4" w:space="0"/>
              <w:bottom w:val="single" w:color="000000" w:sz="4" w:space="0"/>
              <w:right w:val="single" w:color="000000" w:sz="4" w:space="0"/>
            </w:tcBorders>
          </w:tcPr>
          <w:p>
            <w:pPr>
              <w:spacing w:line="500" w:lineRule="exact"/>
              <w:ind w:firstLine="1614" w:firstLineChars="734"/>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服务内容</w:t>
            </w:r>
          </w:p>
        </w:tc>
        <w:tc>
          <w:tcPr>
            <w:tcW w:w="3119" w:type="dxa"/>
            <w:tcBorders>
              <w:top w:val="single" w:color="000000" w:sz="4" w:space="0"/>
              <w:left w:val="single" w:color="000000" w:sz="4" w:space="0"/>
              <w:bottom w:val="single" w:color="000000" w:sz="4" w:space="0"/>
              <w:right w:val="single" w:color="auto" w:sz="4" w:space="0"/>
            </w:tcBorders>
            <w:vAlign w:val="center"/>
          </w:tcPr>
          <w:p>
            <w:pPr>
              <w:spacing w:line="500" w:lineRule="exact"/>
              <w:ind w:firstLine="195" w:firstLineChars="89"/>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88"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24" w:firstLineChars="1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493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通讯录维护</w:t>
            </w:r>
          </w:p>
        </w:tc>
        <w:tc>
          <w:tcPr>
            <w:tcW w:w="3119" w:type="dxa"/>
            <w:tcBorders>
              <w:top w:val="single" w:color="000000" w:sz="4" w:space="0"/>
              <w:left w:val="single" w:color="000000" w:sz="4" w:space="0"/>
              <w:bottom w:val="single" w:color="000000" w:sz="4" w:space="0"/>
              <w:right w:val="single" w:color="auto" w:sz="4" w:space="0"/>
            </w:tcBorders>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负责兵团分院维护，指导辖区法院维护。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88"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24" w:firstLineChars="1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493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cocall账号维护</w:t>
            </w:r>
          </w:p>
        </w:tc>
        <w:tc>
          <w:tcPr>
            <w:tcW w:w="3119" w:type="dxa"/>
            <w:tcBorders>
              <w:top w:val="single" w:color="000000" w:sz="4" w:space="0"/>
              <w:left w:val="single" w:color="000000" w:sz="4" w:space="0"/>
              <w:bottom w:val="single" w:color="000000" w:sz="4" w:space="0"/>
              <w:right w:val="single" w:color="auto" w:sz="4" w:space="0"/>
            </w:tcBorders>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负责兵团分院维护，指导辖区法院维护。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88"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24" w:firstLineChars="1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493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统一用户管理系统账号维护</w:t>
            </w:r>
          </w:p>
        </w:tc>
        <w:tc>
          <w:tcPr>
            <w:tcW w:w="3119" w:type="dxa"/>
            <w:tcBorders>
              <w:top w:val="single" w:color="000000" w:sz="4" w:space="0"/>
              <w:left w:val="single" w:color="000000" w:sz="4" w:space="0"/>
              <w:bottom w:val="single" w:color="000000" w:sz="4" w:space="0"/>
              <w:right w:val="single" w:color="auto" w:sz="4" w:space="0"/>
            </w:tcBorders>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负责兵团分院维护，指导辖区法院维护。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88"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24" w:firstLineChars="1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493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协助兵团分院信息中心完成交办的信息化工作事项</w:t>
            </w:r>
          </w:p>
        </w:tc>
        <w:tc>
          <w:tcPr>
            <w:tcW w:w="3119" w:type="dxa"/>
            <w:tcBorders>
              <w:top w:val="single" w:color="000000" w:sz="4" w:space="0"/>
              <w:left w:val="single" w:color="000000" w:sz="4" w:space="0"/>
              <w:bottom w:val="single" w:color="000000" w:sz="4" w:space="0"/>
              <w:right w:val="single" w:color="auto" w:sz="4" w:space="0"/>
            </w:tcBorders>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负责兵团分院本级</w:t>
            </w:r>
          </w:p>
        </w:tc>
      </w:tr>
    </w:tbl>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148" w:name="_Toc69456027"/>
      <w:r>
        <w:rPr>
          <w:rFonts w:hint="eastAsia" w:ascii="宋体" w:hAnsi="宋体" w:eastAsia="宋体" w:cs="宋体"/>
          <w:color w:val="auto"/>
          <w:sz w:val="28"/>
          <w:szCs w:val="28"/>
          <w:highlight w:val="none"/>
        </w:rPr>
        <w:t>（五）系统互联互通需求</w:t>
      </w:r>
    </w:p>
    <w:p>
      <w:pPr>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在兵团法院现有审判及办公信息系统的基础上进行升级、修改和运行维护，需与现有系统和数据资源之间做到无缝连接、互联互通。要求互联互通的7个重要信息系统如下表所示：</w:t>
      </w:r>
    </w:p>
    <w:p>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要求实现无缝连接、互联互通的信息系统列表</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2453"/>
        <w:gridCol w:w="44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4" w:hRule="atLeast"/>
          <w:jc w:val="center"/>
        </w:trPr>
        <w:tc>
          <w:tcPr>
            <w:tcW w:w="8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453"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信息系统名称</w:t>
            </w:r>
          </w:p>
        </w:tc>
        <w:tc>
          <w:tcPr>
            <w:tcW w:w="4493"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 w:hRule="atLeast"/>
          <w:jc w:val="center"/>
        </w:trPr>
        <w:tc>
          <w:tcPr>
            <w:tcW w:w="8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453" w:type="dxa"/>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司法公开</w:t>
            </w:r>
          </w:p>
        </w:tc>
        <w:tc>
          <w:tcPr>
            <w:tcW w:w="4493" w:type="dxa"/>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包含审判案件信息、执行案件信息和开庭信息公开。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 w:hRule="atLeast"/>
          <w:jc w:val="center"/>
        </w:trPr>
        <w:tc>
          <w:tcPr>
            <w:tcW w:w="8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453" w:type="dxa"/>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审判业务管理系统</w:t>
            </w:r>
          </w:p>
        </w:tc>
        <w:tc>
          <w:tcPr>
            <w:tcW w:w="4493" w:type="dxa"/>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兵团三级法院案件管理系统，支持各类案件全流程办理。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2" w:hRule="atLeast"/>
          <w:jc w:val="center"/>
        </w:trPr>
        <w:tc>
          <w:tcPr>
            <w:tcW w:w="8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453" w:type="dxa"/>
            <w:vAlign w:val="center"/>
          </w:tcPr>
          <w:p>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公文管理系统</w:t>
            </w:r>
          </w:p>
        </w:tc>
        <w:tc>
          <w:tcPr>
            <w:tcW w:w="4493" w:type="dxa"/>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兵团三级法院收文、发文和上下级流转公文办理。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8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453" w:type="dxa"/>
            <w:vAlign w:val="center"/>
          </w:tcPr>
          <w:p>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案件查询统计系统</w:t>
            </w:r>
          </w:p>
        </w:tc>
        <w:tc>
          <w:tcPr>
            <w:tcW w:w="4493" w:type="dxa"/>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审判各案件类型数据查询、分析和统计。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 w:hRule="atLeast"/>
          <w:jc w:val="center"/>
        </w:trPr>
        <w:tc>
          <w:tcPr>
            <w:tcW w:w="8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453" w:type="dxa"/>
            <w:vAlign w:val="center"/>
          </w:tcPr>
          <w:p>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档案信息管理系统</w:t>
            </w:r>
          </w:p>
        </w:tc>
        <w:tc>
          <w:tcPr>
            <w:tcW w:w="4493" w:type="dxa"/>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案件电子档案管理，包括查询、借阅、统计等功能。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8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453" w:type="dxa"/>
            <w:vAlign w:val="center"/>
          </w:tcPr>
          <w:p>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案件数据汇集</w:t>
            </w:r>
          </w:p>
        </w:tc>
        <w:tc>
          <w:tcPr>
            <w:tcW w:w="4493" w:type="dxa"/>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兵团三级法院案件数据的汇集，为各类复杂统计分析和数据交换作准备。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8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453" w:type="dxa"/>
            <w:vAlign w:val="center"/>
          </w:tcPr>
          <w:p>
            <w:pP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一级网数据上报系统（2015法标）</w:t>
            </w:r>
          </w:p>
        </w:tc>
        <w:tc>
          <w:tcPr>
            <w:tcW w:w="4493" w:type="dxa"/>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兵团三级法院案件相关数据上报最高法院。</w:t>
            </w:r>
          </w:p>
        </w:tc>
      </w:tr>
    </w:tbl>
    <w:p>
      <w:pPr>
        <w:ind w:firstLine="560" w:firstLineChars="200"/>
        <w:rPr>
          <w:rFonts w:hint="eastAsia" w:ascii="宋体" w:hAnsi="宋体" w:eastAsia="宋体" w:cs="宋体"/>
          <w:color w:val="auto"/>
          <w:sz w:val="28"/>
          <w:szCs w:val="28"/>
          <w:highlight w:val="none"/>
        </w:rPr>
      </w:pPr>
    </w:p>
    <w:p>
      <w:pPr>
        <w:pStyle w:val="5"/>
        <w:spacing w:before="156" w:beforeLines="50" w:after="156" w:afterLines="50" w:line="240" w:lineRule="auto"/>
        <w:ind w:firstLine="562"/>
        <w:rPr>
          <w:rStyle w:val="54"/>
          <w:rFonts w:hint="eastAsia" w:ascii="宋体" w:hAnsi="宋体" w:eastAsia="宋体" w:cs="宋体"/>
          <w:b w:val="0"/>
          <w:i w:val="0"/>
          <w:color w:val="auto"/>
          <w:sz w:val="28"/>
          <w:szCs w:val="28"/>
          <w:highlight w:val="none"/>
        </w:rPr>
      </w:pPr>
      <w:r>
        <w:rPr>
          <w:rStyle w:val="54"/>
          <w:rFonts w:hint="eastAsia" w:ascii="宋体" w:hAnsi="宋体" w:eastAsia="宋体" w:cs="宋体"/>
          <w:i w:val="0"/>
          <w:color w:val="auto"/>
          <w:sz w:val="28"/>
          <w:szCs w:val="28"/>
          <w:highlight w:val="none"/>
        </w:rPr>
        <w:t>二、服务需求</w:t>
      </w:r>
      <w:bookmarkEnd w:id="148"/>
    </w:p>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149" w:name="_Toc69456028"/>
      <w:r>
        <w:rPr>
          <w:rFonts w:hint="eastAsia" w:ascii="宋体" w:hAnsi="宋体" w:eastAsia="宋体" w:cs="宋体"/>
          <w:color w:val="auto"/>
          <w:sz w:val="28"/>
          <w:szCs w:val="28"/>
          <w:highlight w:val="none"/>
        </w:rPr>
        <w:t>（一）软件服务范围</w:t>
      </w:r>
      <w:bookmarkEnd w:id="149"/>
    </w:p>
    <w:p>
      <w:pPr>
        <w:spacing w:line="560" w:lineRule="exact"/>
        <w:ind w:firstLine="645"/>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服务范围包括兵团法院系统44家法院，分别是兵团分院，13家中级人民法院和30家基层人民法院。列表如下：</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7107" w:type="dxa"/>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新疆维吾尔自治区高级人民法院生产建设兵团分院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新疆生产建设兵团第一师中级人民法院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金银川垦区人民法院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阿克苏垦区人民法院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阿拉尔垦区人民法院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新疆生产建设兵团第二师中级人民法院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库尔勒垦区人民法院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乌鲁克垦区人民法院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焉耆垦区人民法院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新疆生产建设兵团第三师中级人民法院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喀什垦区人民法院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图木休克垦区人民法院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新疆生产建设兵团第四师中级人民法院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霍城垦区人民法院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伊宁垦区人民法院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昭苏垦区人民法院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新疆生产建设兵团第五师中级人民法院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博乐垦区人民法院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19</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塔斯海垦区人民法院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新疆生产建设兵团第六师中级人民法院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五家渠垦区人民法院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奇台垦区人民法院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23</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芳草湖垦区人民法院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新疆生产建设兵团第七师中级人民法院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25</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奎屯垦区人民法院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车排子垦区人民法院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27</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新疆生产建设兵团第八师中级人民法院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下野地垦区人民法院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莫索湾垦区人民法院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30</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石河子市人民法院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新疆生产建设兵团第九师中级人民法院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32</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额敏垦区人民法院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叶尔盖提垦区人民法院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新疆生产建设兵团第十师中级人民法院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35</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北屯垦区人民法院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36</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巴里巴盖垦区人民法院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37</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新疆生产建设兵团第十二师中级人民法院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38</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乌鲁木齐垦区人民法院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39</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三坪垦区人民法院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40</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新疆生产建设兵团第十三师中级人民法院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41</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哈密垦区人民法院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42</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巴里坤垦区人民法院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43</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新疆生产建设兵团第十四师中级人民法院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3" w:hRule="exact"/>
          <w:jc w:val="center"/>
        </w:trPr>
        <w:tc>
          <w:tcPr>
            <w:tcW w:w="129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44</w:t>
            </w:r>
          </w:p>
        </w:tc>
        <w:tc>
          <w:tcPr>
            <w:tcW w:w="710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和田垦区人民法院</w:t>
            </w:r>
          </w:p>
        </w:tc>
      </w:tr>
    </w:tbl>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信息系统部署：兵团法院审判相关业务及办公平台系统主要以集中方式部署在兵团分院。</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信息系统使用规模：兵团法院主要业务信息系统覆盖兵团法院系统，共有1846个法院专网计算机客户端，主要业务信息系统包括法院审判业务管理系统、办公平台、公文管理系统、档案信息管理系统等。其他应用管理系统依据功能不同，应用范围不同，实际使用客户端数量不等。具体情况列表如下：</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1、服务人民群众业务系统</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2"/>
        <w:gridCol w:w="4961"/>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496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信息系统名称</w:t>
            </w:r>
          </w:p>
        </w:tc>
        <w:tc>
          <w:tcPr>
            <w:tcW w:w="1985"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客户端（或法院）</w:t>
            </w:r>
          </w:p>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4961"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司法公开</w:t>
            </w:r>
          </w:p>
        </w:tc>
        <w:tc>
          <w:tcPr>
            <w:tcW w:w="1985"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44家法院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4961"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法院触摸屏查询系统</w:t>
            </w:r>
          </w:p>
        </w:tc>
        <w:tc>
          <w:tcPr>
            <w:tcW w:w="1985"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14家法院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4961"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LED大屏幕信息公开系统</w:t>
            </w:r>
          </w:p>
        </w:tc>
        <w:tc>
          <w:tcPr>
            <w:tcW w:w="1985"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4家法院</w:t>
            </w:r>
          </w:p>
        </w:tc>
      </w:tr>
    </w:tbl>
    <w:p>
      <w:pPr>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2、服务审判相关业务系统</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4"/>
        <w:gridCol w:w="5392"/>
        <w:gridCol w:w="22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10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539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信息系统名称</w:t>
            </w:r>
          </w:p>
        </w:tc>
        <w:tc>
          <w:tcPr>
            <w:tcW w:w="2212"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客户端（或法院）</w:t>
            </w:r>
          </w:p>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10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审判业务管理系统</w:t>
            </w:r>
          </w:p>
        </w:tc>
        <w:tc>
          <w:tcPr>
            <w:tcW w:w="2212"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10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案件查询统计</w:t>
            </w:r>
          </w:p>
        </w:tc>
        <w:tc>
          <w:tcPr>
            <w:tcW w:w="2212"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10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审判质效评估系统</w:t>
            </w:r>
          </w:p>
        </w:tc>
        <w:tc>
          <w:tcPr>
            <w:tcW w:w="2212"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10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绩效考核系统</w:t>
            </w:r>
          </w:p>
        </w:tc>
        <w:tc>
          <w:tcPr>
            <w:tcW w:w="2212"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10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案件数据汇集</w:t>
            </w:r>
          </w:p>
        </w:tc>
        <w:tc>
          <w:tcPr>
            <w:tcW w:w="2212"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兵团分院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0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自定义统计分析</w:t>
            </w:r>
          </w:p>
        </w:tc>
        <w:tc>
          <w:tcPr>
            <w:tcW w:w="2212"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745</w:t>
            </w:r>
          </w:p>
        </w:tc>
      </w:tr>
    </w:tbl>
    <w:p>
      <w:pPr>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3、服务司法管理业务系统</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1"/>
        <w:gridCol w:w="5430"/>
        <w:gridCol w:w="2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10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54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信息系统名称</w:t>
            </w:r>
          </w:p>
        </w:tc>
        <w:tc>
          <w:tcPr>
            <w:tcW w:w="2227" w:type="dxa"/>
            <w:tcBorders>
              <w:top w:val="single" w:color="000000" w:sz="4" w:space="0"/>
              <w:left w:val="single" w:color="000000" w:sz="4" w:space="0"/>
              <w:bottom w:val="single" w:color="000000" w:sz="4" w:space="0"/>
              <w:right w:val="single" w:color="auto" w:sz="4" w:space="0"/>
            </w:tcBorders>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客户端（或法院）</w:t>
            </w:r>
          </w:p>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0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5430"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门户系统</w:t>
            </w:r>
          </w:p>
        </w:tc>
        <w:tc>
          <w:tcPr>
            <w:tcW w:w="2227"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0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5430"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公文管理系统</w:t>
            </w:r>
          </w:p>
        </w:tc>
        <w:tc>
          <w:tcPr>
            <w:tcW w:w="2227"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0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5430"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档案信息管理系统</w:t>
            </w:r>
          </w:p>
        </w:tc>
        <w:tc>
          <w:tcPr>
            <w:tcW w:w="2227"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0" w:hRule="atLeast"/>
          <w:jc w:val="center"/>
        </w:trPr>
        <w:tc>
          <w:tcPr>
            <w:tcW w:w="10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5430"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法院专网网站（76个站点）</w:t>
            </w:r>
          </w:p>
        </w:tc>
        <w:tc>
          <w:tcPr>
            <w:tcW w:w="2227"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44家法院</w:t>
            </w:r>
          </w:p>
        </w:tc>
      </w:tr>
    </w:tbl>
    <w:p>
      <w:pPr>
        <w:spacing w:line="560" w:lineRule="exact"/>
        <w:ind w:firstLine="645"/>
        <w:rPr>
          <w:rFonts w:hint="eastAsia" w:ascii="宋体" w:hAnsi="宋体" w:eastAsia="宋体" w:cs="宋体"/>
          <w:color w:val="auto"/>
          <w:sz w:val="32"/>
          <w:szCs w:val="32"/>
          <w:highlight w:val="none"/>
        </w:rPr>
      </w:pPr>
    </w:p>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150" w:name="_Toc69456029"/>
      <w:r>
        <w:rPr>
          <w:rFonts w:hint="eastAsia" w:ascii="宋体" w:hAnsi="宋体" w:eastAsia="宋体" w:cs="宋体"/>
          <w:color w:val="auto"/>
          <w:sz w:val="28"/>
          <w:szCs w:val="28"/>
          <w:highlight w:val="none"/>
        </w:rPr>
        <w:t>（二）服务内容</w:t>
      </w:r>
      <w:bookmarkEnd w:id="150"/>
    </w:p>
    <w:p>
      <w:pPr>
        <w:pStyle w:val="6"/>
        <w:spacing w:before="156" w:beforeLines="50" w:after="156" w:afterLines="50" w:line="240" w:lineRule="auto"/>
        <w:ind w:left="802"/>
        <w:rPr>
          <w:rFonts w:hint="eastAsia" w:ascii="宋体" w:hAnsi="宋体" w:eastAsia="宋体" w:cs="宋体"/>
          <w:color w:val="auto"/>
          <w:sz w:val="28"/>
          <w:szCs w:val="28"/>
          <w:highlight w:val="none"/>
        </w:rPr>
      </w:pPr>
      <w:bookmarkStart w:id="151" w:name="_Toc69456030"/>
      <w:r>
        <w:rPr>
          <w:rFonts w:hint="eastAsia" w:ascii="宋体" w:hAnsi="宋体" w:eastAsia="宋体" w:cs="宋体"/>
          <w:color w:val="auto"/>
          <w:sz w:val="28"/>
          <w:szCs w:val="28"/>
          <w:highlight w:val="none"/>
        </w:rPr>
        <w:t>1、审判及办公信息系统升级运维服务</w:t>
      </w:r>
      <w:bookmarkEnd w:id="151"/>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审判及办公信息系统运维对象包括三大类业务信息系统，即服务人民群众业务系统、服务审判业务系统和服务司法管理业务系统。</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审判及办公信息系统运维服务内容主要包括例行操作和服务响应支持。审判及办公信息系统升级内容主要指审判相关业务及办公系统按照法院要求及业务规范需求进行优化升级的软件开发内容，同时保证现有各种应用软件系统的互联互通。</w:t>
      </w:r>
    </w:p>
    <w:p>
      <w:pPr>
        <w:pStyle w:val="7"/>
        <w:ind w:left="643"/>
        <w:rPr>
          <w:rFonts w:hint="eastAsia" w:ascii="宋体" w:hAnsi="宋体" w:eastAsia="宋体" w:cs="宋体"/>
          <w:color w:val="auto"/>
          <w:highlight w:val="none"/>
        </w:rPr>
      </w:pPr>
      <w:bookmarkStart w:id="152" w:name="_Toc69456031"/>
      <w:r>
        <w:rPr>
          <w:rFonts w:hint="eastAsia" w:ascii="宋体" w:hAnsi="宋体" w:eastAsia="宋体" w:cs="宋体"/>
          <w:color w:val="auto"/>
          <w:highlight w:val="none"/>
        </w:rPr>
        <w:t>1.1例行操作</w:t>
      </w:r>
      <w:bookmarkEnd w:id="152"/>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信息系统的例行操作包括系统监控和预防性检查。</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信息系统的监控包括：系统的响应时间是否正常；系统连通性是否正常；系统日志是否有新的故障信息记录；系统任务管理进程状态是否正常；系统中间件性能是否正常；系统的功能是否正常。</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预防性检查包括：系统数据库运行是否正常；应用程序内存占用率是否正常；应用程序存储空间资源占用率是否正常。</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例行检查频率：信息系统例行检查工作每月一次。</w:t>
      </w:r>
    </w:p>
    <w:p>
      <w:pPr>
        <w:pStyle w:val="7"/>
        <w:ind w:left="643"/>
        <w:rPr>
          <w:rFonts w:hint="eastAsia" w:ascii="宋体" w:hAnsi="宋体" w:eastAsia="宋体" w:cs="宋体"/>
          <w:color w:val="auto"/>
          <w:highlight w:val="none"/>
        </w:rPr>
      </w:pPr>
      <w:bookmarkStart w:id="153" w:name="_Toc69456032"/>
      <w:r>
        <w:rPr>
          <w:rFonts w:hint="eastAsia" w:ascii="宋体" w:hAnsi="宋体" w:eastAsia="宋体" w:cs="宋体"/>
          <w:color w:val="auto"/>
          <w:highlight w:val="none"/>
        </w:rPr>
        <w:t>1.2服务响应支持</w:t>
      </w:r>
      <w:bookmarkEnd w:id="153"/>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事件驱动响应包括：应用程序故障处理；应用程序BUG修复；应急处置。</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服务请求响应包括：用户的日常使用支持；信息系统的账号管理（增加、修改、删除等）；用户需求记录、反馈；用户使用培训；信息系统的平台迁移。</w:t>
      </w:r>
    </w:p>
    <w:p>
      <w:pPr>
        <w:pStyle w:val="7"/>
        <w:ind w:left="643"/>
        <w:rPr>
          <w:rFonts w:hint="eastAsia" w:ascii="宋体" w:hAnsi="宋体" w:eastAsia="宋体" w:cs="宋体"/>
          <w:color w:val="auto"/>
          <w:highlight w:val="none"/>
        </w:rPr>
      </w:pPr>
      <w:bookmarkStart w:id="154" w:name="_Toc69456033"/>
      <w:r>
        <w:rPr>
          <w:rFonts w:hint="eastAsia" w:ascii="宋体" w:hAnsi="宋体" w:eastAsia="宋体" w:cs="宋体"/>
          <w:color w:val="auto"/>
          <w:highlight w:val="none"/>
        </w:rPr>
        <w:t>1.3优化升级</w:t>
      </w:r>
      <w:bookmarkEnd w:id="154"/>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（1）信息系统升级：因法院业务需求调整、变更引起的信息系统优化升级。</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（2）信息系统补丁更新：厂家系统版本升级、bug修复等日常补丁更新。</w:t>
      </w:r>
    </w:p>
    <w:p>
      <w:pPr>
        <w:pStyle w:val="7"/>
        <w:ind w:left="643"/>
        <w:rPr>
          <w:rFonts w:hint="eastAsia" w:ascii="宋体" w:hAnsi="宋体" w:eastAsia="宋体" w:cs="宋体"/>
          <w:color w:val="auto"/>
          <w:highlight w:val="none"/>
        </w:rPr>
      </w:pPr>
      <w:bookmarkStart w:id="155" w:name="_Toc69456038"/>
      <w:r>
        <w:rPr>
          <w:rFonts w:hint="eastAsia" w:ascii="宋体" w:hAnsi="宋体" w:eastAsia="宋体" w:cs="宋体"/>
          <w:color w:val="auto"/>
          <w:highlight w:val="none"/>
        </w:rPr>
        <w:t>1.4兵团分院数据运维服务</w:t>
      </w:r>
      <w:bookmarkEnd w:id="155"/>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数据运维对象主要包括审判和办公系统相关数据库运维和相关信息系统数据运维服务。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数据运维的运维服务内容包括例行操作检查、服务响应支持、数据质量维持服务和数据统计分析服务。</w:t>
      </w:r>
    </w:p>
    <w:p>
      <w:pPr>
        <w:pStyle w:val="7"/>
        <w:ind w:left="643"/>
        <w:rPr>
          <w:rFonts w:hint="eastAsia" w:ascii="宋体" w:hAnsi="宋体" w:eastAsia="宋体" w:cs="宋体"/>
          <w:color w:val="auto"/>
          <w:highlight w:val="none"/>
        </w:rPr>
      </w:pPr>
      <w:bookmarkStart w:id="156" w:name="_Toc69456039"/>
      <w:r>
        <w:rPr>
          <w:rFonts w:hint="eastAsia" w:ascii="宋体" w:hAnsi="宋体" w:eastAsia="宋体" w:cs="宋体"/>
          <w:color w:val="auto"/>
          <w:highlight w:val="none"/>
        </w:rPr>
        <w:t>1.4.1例行操作</w:t>
      </w:r>
      <w:bookmarkEnd w:id="156"/>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数据的预防性检查：数据库常规检查；数据备份检查；数据可恢复性检查。</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数据的常规作业：数据备份；应用程序备份；实体文件备份。</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例行检查频率：数据备份例行检查工作每月一次。</w:t>
      </w:r>
    </w:p>
    <w:p>
      <w:pPr>
        <w:pStyle w:val="7"/>
        <w:ind w:left="643"/>
        <w:rPr>
          <w:rFonts w:hint="eastAsia" w:ascii="宋体" w:hAnsi="宋体" w:eastAsia="宋体" w:cs="宋体"/>
          <w:color w:val="auto"/>
          <w:highlight w:val="none"/>
        </w:rPr>
      </w:pPr>
      <w:bookmarkStart w:id="157" w:name="_Toc69456040"/>
      <w:r>
        <w:rPr>
          <w:rFonts w:hint="eastAsia" w:ascii="宋体" w:hAnsi="宋体" w:eastAsia="宋体" w:cs="宋体"/>
          <w:color w:val="auto"/>
          <w:highlight w:val="none"/>
        </w:rPr>
        <w:t>1.4.2服务响应支持</w:t>
      </w:r>
      <w:bookmarkEnd w:id="157"/>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（1）数据库故障处理；（2）数据库迁移；（3）数据库重装；（4）备份数据恢复等。</w:t>
      </w:r>
    </w:p>
    <w:p>
      <w:pPr>
        <w:pStyle w:val="7"/>
        <w:ind w:left="643"/>
        <w:rPr>
          <w:rFonts w:hint="eastAsia" w:ascii="宋体" w:hAnsi="宋体" w:eastAsia="宋体" w:cs="宋体"/>
          <w:color w:val="auto"/>
          <w:highlight w:val="none"/>
        </w:rPr>
      </w:pPr>
      <w:bookmarkStart w:id="158" w:name="_Toc69456041"/>
      <w:r>
        <w:rPr>
          <w:rFonts w:hint="eastAsia" w:ascii="宋体" w:hAnsi="宋体" w:eastAsia="宋体" w:cs="宋体"/>
          <w:color w:val="auto"/>
          <w:highlight w:val="none"/>
        </w:rPr>
        <w:t>1.4.3数据质量维持服务</w:t>
      </w:r>
      <w:bookmarkEnd w:id="158"/>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基于最高人民法院大数据管理与服务平台和执行指挥数据管理平台，每日监控兵团法院系统案件数据、文书数据、电子卷宗数据上报质量，及时发现问题并处理。</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（1）每日监控数据实时上报接口、全量上报接口和月结接口运行情况，如有异常，及时排除。</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（2）每日检查大数据平台中两库比对模块案件覆盖率是否达到99%以上，如果低于99%，需及时处理新收差异、旧存差异、已结差异、未结差异和异常案件列表。</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（3）每日检查大数据平台中案件质量报告，司法统计信息质检、案件基本信息质检和审判管理信息质检合格率是否达到98%以上，如果低于98%，需及时导出不合格案件列表，排查处理问题。</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（4）每日检查大数据平台中文书质量报告，文书质量置信度是否达到95%以上，如果低于95%，需及时导出不合格案件列表，排查处理问题。</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（5）每日检查大数据平台中电子卷宗数据汇聚情况，最高法院原审卷宗汇聚统计情况，卷宗档案合并可用率是否达到95%，如果低于95%，需及时导出不合格案件列表，排查处理问题。</w:t>
      </w:r>
    </w:p>
    <w:p>
      <w:pPr>
        <w:pStyle w:val="7"/>
        <w:ind w:left="643"/>
        <w:rPr>
          <w:rFonts w:hint="eastAsia" w:ascii="宋体" w:hAnsi="宋体" w:eastAsia="宋体" w:cs="宋体"/>
          <w:color w:val="auto"/>
          <w:highlight w:val="none"/>
        </w:rPr>
      </w:pPr>
      <w:bookmarkStart w:id="159" w:name="_Toc69456042"/>
      <w:r>
        <w:rPr>
          <w:rFonts w:hint="eastAsia" w:ascii="宋体" w:hAnsi="宋体" w:eastAsia="宋体" w:cs="宋体"/>
          <w:color w:val="auto"/>
          <w:highlight w:val="none"/>
        </w:rPr>
        <w:t>1.4.4数据统计服务</w:t>
      </w:r>
      <w:bookmarkEnd w:id="159"/>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专人协助兵团分院司法统计人员完成以下数据统计服务。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（1）月度、季度、年度报表数据统计；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（2）兵团法院系统审判执行态势分析报告所需数据统计；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（3）兵团法院系统案件数据汇集执行案件相关数据统计；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（4）兵团分院个人绩效考核相关数据统计。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（5）兵团分院办公室、各业务部门临时所需个性化数据统计。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（6）兵团分院外部单位调阅数据统计。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（7）指导、协助各师法院个性化需求数据统计。</w:t>
      </w:r>
    </w:p>
    <w:p>
      <w:pPr>
        <w:pStyle w:val="7"/>
        <w:ind w:left="643"/>
        <w:rPr>
          <w:rFonts w:hint="eastAsia" w:ascii="宋体" w:hAnsi="宋体" w:eastAsia="宋体" w:cs="宋体"/>
          <w:color w:val="auto"/>
          <w:highlight w:val="none"/>
        </w:rPr>
      </w:pPr>
      <w:bookmarkStart w:id="160" w:name="_Toc69456043"/>
      <w:r>
        <w:rPr>
          <w:rFonts w:hint="eastAsia" w:ascii="宋体" w:hAnsi="宋体" w:eastAsia="宋体" w:cs="宋体"/>
          <w:color w:val="auto"/>
          <w:highlight w:val="none"/>
        </w:rPr>
        <w:t>1.4.5数据库维护服务</w:t>
      </w:r>
      <w:bookmarkEnd w:id="160"/>
    </w:p>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161" w:name="_Toc202250856"/>
      <w:bookmarkStart w:id="162" w:name="_Toc193630775"/>
      <w:bookmarkStart w:id="163" w:name="_Toc65240270"/>
      <w:bookmarkStart w:id="164" w:name="_Toc245527931"/>
      <w:r>
        <w:rPr>
          <w:rFonts w:hint="eastAsia" w:ascii="宋体" w:hAnsi="宋体" w:eastAsia="宋体" w:cs="宋体"/>
          <w:color w:val="auto"/>
          <w:sz w:val="28"/>
          <w:szCs w:val="28"/>
          <w:highlight w:val="none"/>
        </w:rPr>
        <w:t>数据库运维包括数据库软件维护，软件升级，数据库安全加固，数据库性能监控、调优，数据备份与恢复协助和技术培训服务等。</w:t>
      </w:r>
    </w:p>
    <w:bookmarkEnd w:id="161"/>
    <w:bookmarkEnd w:id="162"/>
    <w:bookmarkEnd w:id="163"/>
    <w:bookmarkEnd w:id="164"/>
    <w:p>
      <w:pPr>
        <w:pStyle w:val="24"/>
        <w:tabs>
          <w:tab w:val="center" w:pos="4201"/>
          <w:tab w:val="right" w:leader="dot" w:pos="9298"/>
        </w:tabs>
        <w:ind w:firstLine="560"/>
        <w:rPr>
          <w:rFonts w:hint="eastAsia" w:ascii="宋体" w:hAnsi="宋体" w:eastAsia="宋体" w:cs="宋体"/>
          <w:color w:val="auto"/>
          <w:sz w:val="32"/>
          <w:szCs w:val="32"/>
          <w:highlight w:val="none"/>
        </w:rPr>
      </w:pPr>
      <w:r>
        <w:rPr>
          <w:rFonts w:hint="eastAsia" w:ascii="宋体" w:hAnsi="宋体" w:eastAsia="宋体" w:cs="宋体"/>
          <w:color w:val="auto"/>
          <w:sz w:val="28"/>
          <w:szCs w:val="28"/>
          <w:highlight w:val="none"/>
        </w:rPr>
        <w:t>在服务有效期内根据用户需要，不定期安排具有丰富项目实施经验的资深技术人员或聘请外部有关专家与客户进行相关技术专题的交流。</w:t>
      </w:r>
    </w:p>
    <w:p>
      <w:pPr>
        <w:pStyle w:val="6"/>
        <w:spacing w:before="156" w:beforeLines="50" w:after="156" w:afterLines="50" w:line="240" w:lineRule="auto"/>
        <w:ind w:left="802"/>
        <w:rPr>
          <w:rFonts w:hint="eastAsia" w:ascii="宋体" w:hAnsi="宋体" w:eastAsia="宋体" w:cs="宋体"/>
          <w:color w:val="auto"/>
          <w:sz w:val="28"/>
          <w:szCs w:val="28"/>
          <w:highlight w:val="none"/>
        </w:rPr>
      </w:pPr>
      <w:bookmarkStart w:id="165" w:name="_Toc69456034"/>
      <w:r>
        <w:rPr>
          <w:rFonts w:hint="eastAsia" w:ascii="宋体" w:hAnsi="宋体" w:eastAsia="宋体" w:cs="宋体"/>
          <w:color w:val="auto"/>
          <w:sz w:val="28"/>
          <w:szCs w:val="28"/>
          <w:highlight w:val="none"/>
        </w:rPr>
        <w:t>2、与统建平台数据对接同步服务</w:t>
      </w:r>
      <w:bookmarkEnd w:id="165"/>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与统建平台数据对接同步服务是指对兵团法院与最高院及其他外部单位对接的数据服务的使用、同步维护，保证数据同步和数据交互正常稳定运行。</w:t>
      </w:r>
    </w:p>
    <w:p>
      <w:pPr>
        <w:pStyle w:val="7"/>
        <w:ind w:left="643"/>
        <w:rPr>
          <w:rFonts w:hint="eastAsia" w:ascii="宋体" w:hAnsi="宋体" w:eastAsia="宋体" w:cs="宋体"/>
          <w:color w:val="auto"/>
          <w:highlight w:val="none"/>
        </w:rPr>
      </w:pPr>
      <w:bookmarkStart w:id="166" w:name="_Toc69456035"/>
      <w:r>
        <w:rPr>
          <w:rFonts w:hint="eastAsia" w:ascii="宋体" w:hAnsi="宋体" w:eastAsia="宋体" w:cs="宋体"/>
          <w:color w:val="auto"/>
          <w:highlight w:val="none"/>
        </w:rPr>
        <w:t>2.1例行操作</w:t>
      </w:r>
      <w:bookmarkEnd w:id="166"/>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数据对接服务的监控包括：响应时间是否正常；连通性是否正常；日志是否有新的故障信息记录；功能是否正常。</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例行检查频率：每月一次，重要数据对接服务每天一次。</w:t>
      </w:r>
    </w:p>
    <w:p>
      <w:pPr>
        <w:pStyle w:val="7"/>
        <w:rPr>
          <w:rFonts w:hint="eastAsia" w:ascii="宋体" w:hAnsi="宋体" w:eastAsia="宋体" w:cs="宋体"/>
          <w:color w:val="auto"/>
          <w:highlight w:val="none"/>
        </w:rPr>
      </w:pPr>
      <w:bookmarkStart w:id="167" w:name="_Toc69456036"/>
      <w:r>
        <w:rPr>
          <w:rFonts w:hint="eastAsia" w:ascii="宋体" w:hAnsi="宋体" w:eastAsia="宋体" w:cs="宋体"/>
          <w:color w:val="auto"/>
          <w:highlight w:val="none"/>
        </w:rPr>
        <w:t>2.2服务响应支持</w:t>
      </w:r>
      <w:bookmarkEnd w:id="167"/>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事件驱动响应包括:数据对接服务程序故障处理；数据对接服务程序BUG修复；应急处置。</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服务请求响应包括:用户的日常使用支持；用户需求记录、反馈；）用户使用培训；数据对接的迁移。</w:t>
      </w:r>
    </w:p>
    <w:p>
      <w:pPr>
        <w:pStyle w:val="7"/>
        <w:rPr>
          <w:rFonts w:hint="eastAsia" w:ascii="宋体" w:hAnsi="宋体" w:eastAsia="宋体" w:cs="宋体"/>
          <w:color w:val="auto"/>
          <w:highlight w:val="none"/>
        </w:rPr>
      </w:pPr>
      <w:bookmarkStart w:id="168" w:name="_Toc69456037"/>
      <w:r>
        <w:rPr>
          <w:rFonts w:hint="eastAsia" w:ascii="宋体" w:hAnsi="宋体" w:eastAsia="宋体" w:cs="宋体"/>
          <w:color w:val="auto"/>
          <w:highlight w:val="none"/>
        </w:rPr>
        <w:t>2.3优化完善</w:t>
      </w:r>
      <w:bookmarkEnd w:id="168"/>
    </w:p>
    <w:p>
      <w:pPr>
        <w:pStyle w:val="24"/>
        <w:tabs>
          <w:tab w:val="center" w:pos="4201"/>
          <w:tab w:val="right" w:leader="dot" w:pos="9298"/>
        </w:tabs>
        <w:ind w:firstLine="560"/>
        <w:rPr>
          <w:rFonts w:hint="eastAsia" w:ascii="宋体" w:hAnsi="宋体" w:eastAsia="宋体" w:cs="宋体"/>
          <w:color w:val="auto"/>
          <w:sz w:val="32"/>
          <w:szCs w:val="32"/>
          <w:highlight w:val="none"/>
        </w:rPr>
      </w:pPr>
      <w:r>
        <w:rPr>
          <w:rFonts w:hint="eastAsia" w:ascii="宋体" w:hAnsi="宋体" w:eastAsia="宋体" w:cs="宋体"/>
          <w:color w:val="auto"/>
          <w:sz w:val="28"/>
          <w:szCs w:val="28"/>
          <w:highlight w:val="none"/>
        </w:rPr>
        <w:t>数据对接服务的bug修复和补丁更新。</w:t>
      </w:r>
    </w:p>
    <w:p>
      <w:pPr>
        <w:pStyle w:val="6"/>
        <w:spacing w:before="156" w:beforeLines="50" w:after="156" w:afterLines="50" w:line="240" w:lineRule="auto"/>
        <w:rPr>
          <w:rFonts w:hint="eastAsia" w:ascii="宋体" w:hAnsi="宋体" w:eastAsia="宋体" w:cs="宋体"/>
          <w:color w:val="auto"/>
          <w:sz w:val="28"/>
          <w:szCs w:val="28"/>
          <w:highlight w:val="none"/>
        </w:rPr>
      </w:pPr>
      <w:bookmarkStart w:id="169" w:name="_Toc69456044"/>
      <w:r>
        <w:rPr>
          <w:rFonts w:hint="eastAsia" w:ascii="宋体" w:hAnsi="宋体" w:eastAsia="宋体" w:cs="宋体"/>
          <w:color w:val="auto"/>
          <w:sz w:val="28"/>
          <w:szCs w:val="28"/>
          <w:highlight w:val="none"/>
        </w:rPr>
        <w:t>3、兵团分院驻场服务</w:t>
      </w:r>
      <w:bookmarkEnd w:id="169"/>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兵团分院驻场服务主要包括信息软件运维和硬件运维。其中软件运维人员数量不能少于9名，包含审判综合服务1名，软件系统前台维护4名，软件系统后台维护2名，数据统计1名，数据库运维1名。硬件运维人员不能少于4名，包含机房运维服务1名，会议保障服务1名，桌面运维服务2名。</w:t>
      </w:r>
    </w:p>
    <w:p>
      <w:pPr>
        <w:pStyle w:val="7"/>
        <w:rPr>
          <w:rFonts w:hint="eastAsia" w:ascii="宋体" w:hAnsi="宋体" w:eastAsia="宋体" w:cs="宋体"/>
          <w:color w:val="auto"/>
          <w:highlight w:val="none"/>
        </w:rPr>
      </w:pPr>
      <w:bookmarkStart w:id="170" w:name="_Toc69456045"/>
      <w:r>
        <w:rPr>
          <w:rFonts w:hint="eastAsia" w:ascii="宋体" w:hAnsi="宋体" w:eastAsia="宋体" w:cs="宋体"/>
          <w:color w:val="auto"/>
          <w:highlight w:val="none"/>
        </w:rPr>
        <w:t>3.1软件维护服务</w:t>
      </w:r>
      <w:bookmarkEnd w:id="170"/>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在用户日常使用系统过程中的操作方面的困难，提供必要的讲解、指导或现场帮助，保证用户在最短的时间内解决操作问题。</w:t>
      </w:r>
    </w:p>
    <w:p>
      <w:pPr>
        <w:pStyle w:val="24"/>
        <w:tabs>
          <w:tab w:val="center" w:pos="4201"/>
          <w:tab w:val="right" w:leader="dot" w:pos="9298"/>
        </w:tabs>
        <w:ind w:firstLine="562"/>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服务请求处理：</w:t>
      </w:r>
      <w:r>
        <w:rPr>
          <w:rFonts w:hint="eastAsia" w:ascii="宋体" w:hAnsi="宋体" w:eastAsia="宋体" w:cs="宋体"/>
          <w:color w:val="auto"/>
          <w:sz w:val="28"/>
          <w:szCs w:val="28"/>
          <w:highlight w:val="none"/>
        </w:rPr>
        <w:t>处理电话、报修系统等渠道的服务请求。</w:t>
      </w:r>
    </w:p>
    <w:p>
      <w:pPr>
        <w:pStyle w:val="24"/>
        <w:tabs>
          <w:tab w:val="center" w:pos="4201"/>
          <w:tab w:val="right" w:leader="dot" w:pos="9298"/>
        </w:tabs>
        <w:ind w:firstLine="562"/>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系统运行监控：</w:t>
      </w:r>
      <w:r>
        <w:rPr>
          <w:rFonts w:hint="eastAsia" w:ascii="宋体" w:hAnsi="宋体" w:eastAsia="宋体" w:cs="宋体"/>
          <w:color w:val="auto"/>
          <w:sz w:val="28"/>
          <w:szCs w:val="28"/>
          <w:highlight w:val="none"/>
        </w:rPr>
        <w:t xml:space="preserve">每日监控系统运行情况，若发现异常情况及时处理。 </w:t>
      </w:r>
    </w:p>
    <w:p>
      <w:pPr>
        <w:pStyle w:val="24"/>
        <w:tabs>
          <w:tab w:val="center" w:pos="4201"/>
          <w:tab w:val="right" w:leader="dot" w:pos="9298"/>
        </w:tabs>
        <w:ind w:firstLine="562"/>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软件bug处理：</w:t>
      </w:r>
      <w:r>
        <w:rPr>
          <w:rFonts w:hint="eastAsia" w:ascii="宋体" w:hAnsi="宋体" w:eastAsia="宋体" w:cs="宋体"/>
          <w:color w:val="auto"/>
          <w:sz w:val="28"/>
          <w:szCs w:val="28"/>
          <w:highlight w:val="none"/>
        </w:rPr>
        <w:t>每日随时收集记录用户在使用系统过程中发现的BUG，并根据问题的严重程度及用户要求的紧急程度，给予及时的解决。如果常驻人员解决不了，由项目承担公司后台解决。</w:t>
      </w:r>
    </w:p>
    <w:p>
      <w:pPr>
        <w:pStyle w:val="24"/>
        <w:tabs>
          <w:tab w:val="center" w:pos="4201"/>
          <w:tab w:val="right" w:leader="dot" w:pos="9298"/>
        </w:tabs>
        <w:ind w:firstLine="562"/>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数据备份协助：</w:t>
      </w:r>
      <w:r>
        <w:rPr>
          <w:rFonts w:hint="eastAsia" w:ascii="宋体" w:hAnsi="宋体" w:eastAsia="宋体" w:cs="宋体"/>
          <w:color w:val="auto"/>
          <w:sz w:val="28"/>
          <w:szCs w:val="28"/>
          <w:highlight w:val="none"/>
        </w:rPr>
        <w:t>数据库备份的指导、检查和督促，每月定期协助、监控系统管理员对系统产生的业务数据做一次增量导出，以便用户做备份。</w:t>
      </w:r>
    </w:p>
    <w:p>
      <w:pPr>
        <w:pStyle w:val="24"/>
        <w:tabs>
          <w:tab w:val="center" w:pos="4201"/>
          <w:tab w:val="right" w:leader="dot" w:pos="9298"/>
        </w:tabs>
        <w:ind w:firstLine="562"/>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日志跟踪：</w:t>
      </w:r>
      <w:r>
        <w:rPr>
          <w:rFonts w:hint="eastAsia" w:ascii="宋体" w:hAnsi="宋体" w:eastAsia="宋体" w:cs="宋体"/>
          <w:color w:val="auto"/>
          <w:sz w:val="28"/>
          <w:szCs w:val="28"/>
          <w:highlight w:val="none"/>
        </w:rPr>
        <w:t>每周查看整理系统运行日志，发现并解决问题。</w:t>
      </w:r>
    </w:p>
    <w:p>
      <w:pPr>
        <w:pStyle w:val="24"/>
        <w:tabs>
          <w:tab w:val="center" w:pos="4201"/>
          <w:tab w:val="right" w:leader="dot" w:pos="9298"/>
        </w:tabs>
        <w:ind w:firstLine="562"/>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周报整理：</w:t>
      </w:r>
      <w:r>
        <w:rPr>
          <w:rFonts w:hint="eastAsia" w:ascii="宋体" w:hAnsi="宋体" w:eastAsia="宋体" w:cs="宋体"/>
          <w:color w:val="auto"/>
          <w:sz w:val="28"/>
          <w:szCs w:val="28"/>
          <w:highlight w:val="none"/>
        </w:rPr>
        <w:t>每周编写系统使用情况报告、问题解决情况报告给用户的技术管理部门。</w:t>
      </w:r>
    </w:p>
    <w:p>
      <w:pPr>
        <w:pStyle w:val="24"/>
        <w:tabs>
          <w:tab w:val="center" w:pos="4201"/>
          <w:tab w:val="right" w:leader="dot" w:pos="9298"/>
        </w:tabs>
        <w:ind w:firstLine="562"/>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月度检查：</w:t>
      </w:r>
      <w:r>
        <w:rPr>
          <w:rFonts w:hint="eastAsia" w:ascii="宋体" w:hAnsi="宋体" w:eastAsia="宋体" w:cs="宋体"/>
          <w:color w:val="auto"/>
          <w:sz w:val="28"/>
          <w:szCs w:val="28"/>
          <w:highlight w:val="none"/>
        </w:rPr>
        <w:t>每月组织对系统运行情况的检查与审核，通过现场核查、调取相关的运维工作记录、审查运维报告等方式，对各系统的日常工作情况进行全面的检查与审核，以发现、分析系统整体的运行问题。对于发现的问题，经双方协商调用必要的服务支持资源及时予以解决，并将问题及解决办法形成文档。</w:t>
      </w:r>
      <w:bookmarkStart w:id="171" w:name="_Toc425673228"/>
      <w:bookmarkStart w:id="172" w:name="_Toc69456046"/>
      <w:bookmarkStart w:id="173" w:name="_Toc456036744"/>
      <w:bookmarkStart w:id="174" w:name="_Toc65240267"/>
    </w:p>
    <w:p>
      <w:pPr>
        <w:pStyle w:val="24"/>
        <w:tabs>
          <w:tab w:val="center" w:pos="4201"/>
          <w:tab w:val="right" w:leader="dot" w:pos="9298"/>
        </w:tabs>
        <w:ind w:firstLine="562"/>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系统调优升级</w:t>
      </w:r>
      <w:bookmarkEnd w:id="171"/>
      <w:bookmarkEnd w:id="172"/>
      <w:bookmarkEnd w:id="173"/>
      <w:bookmarkEnd w:id="174"/>
      <w:r>
        <w:rPr>
          <w:rFonts w:hint="eastAsia" w:ascii="宋体" w:hAnsi="宋体" w:eastAsia="宋体" w:cs="宋体"/>
          <w:b/>
          <w:bCs/>
          <w:color w:val="auto"/>
          <w:sz w:val="28"/>
          <w:szCs w:val="28"/>
          <w:highlight w:val="none"/>
        </w:rPr>
        <w:t>：</w:t>
      </w:r>
      <w:r>
        <w:rPr>
          <w:rFonts w:hint="eastAsia" w:ascii="宋体" w:hAnsi="宋体" w:eastAsia="宋体" w:cs="宋体"/>
          <w:color w:val="auto"/>
          <w:sz w:val="28"/>
          <w:szCs w:val="28"/>
          <w:highlight w:val="none"/>
        </w:rPr>
        <w:t>定期测试系统的性能指标，并采取措施对系统的性能进行优化。</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在经过用户同意的情况下，给用户对应的产品进行升级。</w:t>
      </w:r>
    </w:p>
    <w:p>
      <w:pPr>
        <w:ind w:firstLine="562" w:firstLineChars="200"/>
        <w:rPr>
          <w:rFonts w:hint="eastAsia" w:ascii="宋体" w:hAnsi="宋体" w:eastAsia="宋体" w:cs="宋体"/>
          <w:bCs/>
          <w:color w:val="auto"/>
          <w:sz w:val="28"/>
          <w:szCs w:val="28"/>
          <w:highlight w:val="none"/>
        </w:rPr>
      </w:pPr>
      <w:bookmarkStart w:id="175" w:name="_Toc69456047"/>
      <w:bookmarkStart w:id="176" w:name="_Toc456036745"/>
      <w:bookmarkStart w:id="177" w:name="_Toc65240268"/>
      <w:bookmarkStart w:id="178" w:name="_Toc425673229"/>
      <w:r>
        <w:rPr>
          <w:rFonts w:hint="eastAsia" w:ascii="宋体" w:hAnsi="宋体" w:eastAsia="宋体" w:cs="宋体"/>
          <w:b/>
          <w:bCs/>
          <w:color w:val="auto"/>
          <w:sz w:val="28"/>
          <w:szCs w:val="28"/>
          <w:highlight w:val="none"/>
        </w:rPr>
        <w:t>系统完善修改</w:t>
      </w:r>
      <w:bookmarkEnd w:id="175"/>
      <w:bookmarkEnd w:id="176"/>
      <w:bookmarkEnd w:id="177"/>
      <w:bookmarkEnd w:id="178"/>
      <w:r>
        <w:rPr>
          <w:rFonts w:hint="eastAsia" w:ascii="宋体" w:hAnsi="宋体" w:eastAsia="宋体" w:cs="宋体"/>
          <w:b/>
          <w:bCs/>
          <w:color w:val="auto"/>
          <w:sz w:val="28"/>
          <w:szCs w:val="28"/>
          <w:highlight w:val="none"/>
        </w:rPr>
        <w:t>：</w:t>
      </w:r>
      <w:r>
        <w:rPr>
          <w:rFonts w:hint="eastAsia" w:ascii="宋体" w:hAnsi="宋体" w:eastAsia="宋体" w:cs="宋体"/>
          <w:bCs/>
          <w:color w:val="auto"/>
          <w:sz w:val="28"/>
          <w:szCs w:val="28"/>
          <w:highlight w:val="none"/>
        </w:rPr>
        <w:t>若用户因为业务需求变化提出信息系统修改需求，应积极给予及时响应，并提供软件现有框架内的维护性调整修改，若需求涉及到数据结构、处理逻辑、软件功能、软件界面较大调整的需求时，应提供书面的需求处理意见书，费用根据工作量大小另行协商处理。</w:t>
      </w:r>
    </w:p>
    <w:p>
      <w:pPr>
        <w:pStyle w:val="7"/>
        <w:rPr>
          <w:rFonts w:hint="eastAsia" w:ascii="宋体" w:hAnsi="宋体" w:eastAsia="宋体" w:cs="宋体"/>
          <w:color w:val="auto"/>
          <w:sz w:val="28"/>
          <w:szCs w:val="28"/>
          <w:highlight w:val="none"/>
        </w:rPr>
      </w:pPr>
      <w:r>
        <w:rPr>
          <w:rFonts w:hint="eastAsia" w:ascii="宋体" w:hAnsi="宋体" w:eastAsia="宋体" w:cs="宋体"/>
          <w:color w:val="auto"/>
          <w:highlight w:val="none"/>
        </w:rPr>
        <w:t>3.2硬件</w:t>
      </w:r>
      <w:r>
        <w:rPr>
          <w:rFonts w:hint="eastAsia" w:ascii="宋体" w:hAnsi="宋体" w:eastAsia="宋体" w:cs="宋体"/>
          <w:color w:val="auto"/>
          <w:sz w:val="28"/>
          <w:szCs w:val="28"/>
          <w:highlight w:val="none"/>
        </w:rPr>
        <w:t>维护服务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①中心机房：范围内设备包括路由器、交换机、安全设备、服务器、存储、虚拟化、应用备份系统、ＵＰＳ、机房市电、机房环控、机房出入管理、楼层配线间管理。</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②网络接入：兵团分院局域网、互联网的技术支持工作；</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③公共应用系统：监控、门禁。</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④桌面维护：终端设备包括台式计算机、笔记本计算机、云桌面、打印机、扫描仪等办公外设。</w:t>
      </w:r>
    </w:p>
    <w:p>
      <w:pPr>
        <w:pStyle w:val="24"/>
        <w:tabs>
          <w:tab w:val="center" w:pos="4201"/>
          <w:tab w:val="right" w:leader="dot" w:pos="9298"/>
        </w:tabs>
        <w:ind w:firstLine="560"/>
        <w:rPr>
          <w:rFonts w:hint="eastAsia" w:ascii="宋体" w:hAnsi="宋体" w:eastAsia="宋体" w:cs="宋体"/>
          <w:color w:val="auto"/>
          <w:sz w:val="32"/>
          <w:szCs w:val="32"/>
          <w:highlight w:val="none"/>
        </w:rPr>
      </w:pPr>
      <w:r>
        <w:rPr>
          <w:rFonts w:hint="eastAsia" w:ascii="宋体" w:hAnsi="宋体" w:eastAsia="宋体" w:cs="宋体"/>
          <w:color w:val="auto"/>
          <w:sz w:val="28"/>
          <w:szCs w:val="28"/>
          <w:highlight w:val="none"/>
        </w:rPr>
        <w:t>⑤会议系统：包含视频、本地、培训、演示、活动等使用场景音视频技术保障。</w:t>
      </w:r>
    </w:p>
    <w:p>
      <w:pPr>
        <w:pStyle w:val="6"/>
        <w:spacing w:before="156" w:beforeLines="50" w:after="156" w:afterLines="50" w:line="240" w:lineRule="auto"/>
        <w:rPr>
          <w:rFonts w:hint="eastAsia" w:ascii="宋体" w:hAnsi="宋体" w:eastAsia="宋体" w:cs="宋体"/>
          <w:color w:val="auto"/>
          <w:sz w:val="28"/>
          <w:szCs w:val="28"/>
          <w:highlight w:val="none"/>
        </w:rPr>
      </w:pPr>
      <w:bookmarkStart w:id="179" w:name="_Toc69456048"/>
      <w:r>
        <w:rPr>
          <w:rFonts w:hint="eastAsia" w:ascii="宋体" w:hAnsi="宋体" w:eastAsia="宋体" w:cs="宋体"/>
          <w:color w:val="auto"/>
          <w:sz w:val="28"/>
          <w:szCs w:val="28"/>
          <w:highlight w:val="none"/>
        </w:rPr>
        <w:t>4、兵团法院系统巡检服务</w:t>
      </w:r>
      <w:bookmarkEnd w:id="179"/>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每年定期对各师法院提供现场巡访服务，覆盖兵团分院辖区43个法院。为法院用户提供面对面培训、指导、交流和业务沟通服务。巡检过程中将收集客户问题，对用户的系统运行情况的定期检查、优化，对该项目包含的各信息系统应用推进工作进行指导，对潜在的故障点进行预防。</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巡检服务作为驻场服务的有效补充, 以中级法院及辖区法院为一个服务区域，选派业务技术能力强的巡检服务团队，提供更多与干警面对面沟通交流的机会，切实破解应用瓶颈和应用成效难题、全面提升审判体系和审判能力的信息化、现代化应用水平。</w:t>
      </w:r>
    </w:p>
    <w:p>
      <w:pPr>
        <w:pStyle w:val="7"/>
        <w:rPr>
          <w:rFonts w:hint="eastAsia" w:ascii="宋体" w:hAnsi="宋体" w:eastAsia="宋体" w:cs="宋体"/>
          <w:color w:val="auto"/>
          <w:highlight w:val="none"/>
        </w:rPr>
      </w:pPr>
      <w:bookmarkStart w:id="180" w:name="_Toc69456049"/>
      <w:r>
        <w:rPr>
          <w:rFonts w:hint="eastAsia" w:ascii="宋体" w:hAnsi="宋体" w:eastAsia="宋体" w:cs="宋体"/>
          <w:color w:val="auto"/>
          <w:highlight w:val="none"/>
        </w:rPr>
        <w:t>4.1巡检服务特点</w:t>
      </w:r>
      <w:bookmarkEnd w:id="180"/>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①主动服务。深入庭室，开展面对面交流、一对一培训、现场解决应用中的问题、收集干警想法和改进建议；根据需要举办专题培训、集中解答、座谈交流会和应用研讨会。</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②定期服务。每年巡检两次，每个法院每次巡检服务一周。每次巡检服务拟定一个服务主题。</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③精准服务。根据每次巡检服务的主题，梳理总结主要应用成效点和区域法院干警应用过程中集中反映的问题，制定每次上门服务的《巡检服务工作表》，对标对表找差距，有针对性地解决应用成效问题。</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④跟踪机制。针对现场不能解决的问题、干警的改进建议等内容，建立跟踪反馈机制，确保每个问题、每个事项都落到实处，并反馈到每个当事人。</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⑤能力提升。针对技术部门、业务庭室骨干、驻场服务人员，组织针对性的培训和交流，以点带面，全面提高服务能力。</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⑥评价机制。每次巡检服务，由院方组织相关人员进行评价，以便改进服务水平。</w:t>
      </w:r>
    </w:p>
    <w:p>
      <w:pPr>
        <w:pStyle w:val="7"/>
        <w:rPr>
          <w:rFonts w:hint="eastAsia" w:ascii="宋体" w:hAnsi="宋体" w:eastAsia="宋体" w:cs="宋体"/>
          <w:color w:val="auto"/>
          <w:highlight w:val="none"/>
        </w:rPr>
      </w:pPr>
      <w:bookmarkStart w:id="181" w:name="_Toc69456050"/>
      <w:r>
        <w:rPr>
          <w:rFonts w:hint="eastAsia" w:ascii="宋体" w:hAnsi="宋体" w:eastAsia="宋体" w:cs="宋体"/>
          <w:color w:val="auto"/>
          <w:highlight w:val="none"/>
        </w:rPr>
        <w:t>4.2工作思路</w:t>
      </w:r>
      <w:bookmarkEnd w:id="181"/>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组织保证。领导重视、业务部门积极协同、技术部门全程跟踪是巡检服务实际成效的重要保证。应明确指定巡检服务的总牵头人，负责与巡检服务组对接，负责全院部门、人员、计划安排的组织协调；应明确每个业务部门领导是应用成效和修改需求的第一责任人；每个业务部门应明确指定1-2业务骨干，让他们先学先用，以点带面。</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巡检服务组应指定负责人，全面负责按要求按计划完成巡检服务工作；售后服务部及分管领导应根据要求深入巡检服务现场，及时协调解决工作问题。</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周密准备。巡检服务组应提前将本次服务主题、《巡检服务工作表》、进度计划、人员安排报送院方。院方应提前组织相关部门收集问题、将计划安排通知到相关部门和人员、决定是否先行召开相关部门参加的启动会。</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精心组织。巡检服务组负责人应首先现场沟通工作计划安排，并按照计划有序开展工作；应与院方总牵头人保持密切联系，及时分析研究工作中的问题，并采取必要的改进措施；及时研究共性问题，提出解决方案，并组织落实。</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④汇报制度。建立巡检服务微信工作群和日报制度。结束时，应提交总结报告，并请院方组织评价。</w:t>
      </w:r>
    </w:p>
    <w:p>
      <w:pPr>
        <w:pStyle w:val="7"/>
        <w:rPr>
          <w:rFonts w:hint="eastAsia" w:ascii="宋体" w:hAnsi="宋体" w:eastAsia="宋体" w:cs="宋体"/>
          <w:color w:val="auto"/>
          <w:highlight w:val="none"/>
        </w:rPr>
      </w:pPr>
      <w:bookmarkStart w:id="182" w:name="_Toc69456051"/>
      <w:r>
        <w:rPr>
          <w:rFonts w:hint="eastAsia" w:ascii="宋体" w:hAnsi="宋体" w:eastAsia="宋体" w:cs="宋体"/>
          <w:color w:val="auto"/>
          <w:highlight w:val="none"/>
        </w:rPr>
        <w:t>4.3巡检工作内容</w:t>
      </w:r>
      <w:bookmarkEnd w:id="182"/>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系统基础配置。按照院方的组织机构和职责、人员角色和职责、各类审批流程、办公办案流程等要求，全面检查软件系统的应用环境、系统参数、工作流定义、操作权限分配、外围接口、传输交换等基础配置，使其符合院方办公办案和信息化应用的实际情况。</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②庭室现场服务。深入庭室，开展面对面交流、一对一培训、现场答疑、现场解决问题、收集改进建议。</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③跟踪解决问题。针对现场不能解决的问题、提交的修改需求、干警的改进建议等内容，给出明确的计划安排，并负责全程跟踪到底。</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解决共性问题。服务过程中，注意干警问题的群聚现象，根据需要组织专题培训、集中解答；收集应用中的主要问题和应用现状，结合各地的经验做法，组织座谈交流会、应用研讨会，集中解决业务流程和应用操作的规范性、一致性问题；及时向技术部门反馈干警的改进建议，结合院方的信息化规划、顶层设计和应用需求，选派产品经理介绍解决方案。</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⑤庭室骨干培养。服务过程中，有意识注重对庭室业务骨干的指导和培养，并根据需要组织专门培训，以点带面，全面提高信息化应用水平。</w:t>
      </w:r>
    </w:p>
    <w:p>
      <w:pPr>
        <w:pStyle w:val="7"/>
        <w:rPr>
          <w:rFonts w:hint="eastAsia" w:ascii="宋体" w:hAnsi="宋体" w:eastAsia="宋体" w:cs="宋体"/>
          <w:color w:val="auto"/>
          <w:highlight w:val="none"/>
        </w:rPr>
      </w:pPr>
      <w:bookmarkStart w:id="183" w:name="_Toc69456052"/>
      <w:r>
        <w:rPr>
          <w:rFonts w:hint="eastAsia" w:ascii="宋体" w:hAnsi="宋体" w:eastAsia="宋体" w:cs="宋体"/>
          <w:color w:val="auto"/>
          <w:highlight w:val="none"/>
        </w:rPr>
        <w:t>4.4巡检频率</w:t>
      </w:r>
      <w:bookmarkEnd w:id="183"/>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①每季度确保每个法院电话巡检一次。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②每年各师法院现场巡检两次。</w:t>
      </w:r>
    </w:p>
    <w:p>
      <w:pPr>
        <w:pStyle w:val="7"/>
        <w:rPr>
          <w:rFonts w:hint="eastAsia" w:ascii="宋体" w:hAnsi="宋体" w:eastAsia="宋体" w:cs="宋体"/>
          <w:color w:val="auto"/>
          <w:highlight w:val="none"/>
        </w:rPr>
      </w:pPr>
      <w:bookmarkStart w:id="184" w:name="_Toc69456053"/>
      <w:r>
        <w:rPr>
          <w:rFonts w:hint="eastAsia" w:ascii="宋体" w:hAnsi="宋体" w:eastAsia="宋体" w:cs="宋体"/>
          <w:color w:val="auto"/>
          <w:highlight w:val="none"/>
        </w:rPr>
        <w:t>4.5巡检组织方式</w:t>
      </w:r>
      <w:bookmarkEnd w:id="184"/>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巡检工作以中院为单位开展，覆盖44家法院，配备专业服务人员，深入一线庭室提供全面的技术支持服务。</w:t>
      </w:r>
    </w:p>
    <w:p>
      <w:pPr>
        <w:pStyle w:val="7"/>
        <w:rPr>
          <w:rFonts w:hint="eastAsia" w:ascii="宋体" w:hAnsi="宋体" w:eastAsia="宋体" w:cs="宋体"/>
          <w:color w:val="auto"/>
          <w:highlight w:val="none"/>
        </w:rPr>
      </w:pPr>
      <w:bookmarkStart w:id="185" w:name="_Toc69456054"/>
      <w:r>
        <w:rPr>
          <w:rFonts w:hint="eastAsia" w:ascii="宋体" w:hAnsi="宋体" w:eastAsia="宋体" w:cs="宋体"/>
          <w:color w:val="auto"/>
          <w:highlight w:val="none"/>
        </w:rPr>
        <w:t>4.6工作方案</w:t>
      </w:r>
      <w:bookmarkEnd w:id="185"/>
    </w:p>
    <w:p>
      <w:pPr>
        <w:ind w:firstLine="56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巡检服务工作方案</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1"/>
        <w:gridCol w:w="1134"/>
        <w:gridCol w:w="1417"/>
        <w:gridCol w:w="1418"/>
        <w:gridCol w:w="1417"/>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17" w:type="dxa"/>
            <w:vMerge w:val="restart"/>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准</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阶</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段</w:t>
            </w:r>
          </w:p>
        </w:tc>
        <w:tc>
          <w:tcPr>
            <w:tcW w:w="851" w:type="dxa"/>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w:t>
            </w:r>
          </w:p>
        </w:tc>
        <w:tc>
          <w:tcPr>
            <w:tcW w:w="6854" w:type="dxa"/>
            <w:gridSpan w:val="5"/>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1.收集两级法院应用问题，确定本次巡检服务的重点工作。</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2.联系落实巡检服务的时间和初步工作安排。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817" w:type="dxa"/>
            <w:vMerge w:val="continue"/>
            <w:vAlign w:val="center"/>
          </w:tcPr>
          <w:p>
            <w:pPr>
              <w:rPr>
                <w:rFonts w:hint="eastAsia" w:ascii="宋体" w:hAnsi="宋体" w:eastAsia="宋体" w:cs="宋体"/>
                <w:color w:val="auto"/>
                <w:sz w:val="24"/>
                <w:szCs w:val="24"/>
                <w:highlight w:val="none"/>
              </w:rPr>
            </w:pPr>
          </w:p>
        </w:tc>
        <w:tc>
          <w:tcPr>
            <w:tcW w:w="851" w:type="dxa"/>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院方</w:t>
            </w:r>
          </w:p>
        </w:tc>
        <w:tc>
          <w:tcPr>
            <w:tcW w:w="6854" w:type="dxa"/>
            <w:gridSpan w:val="5"/>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1.收集两级法院庭室的问题和建议。</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2.发布巡检服务的通知。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17" w:type="dxa"/>
            <w:vMerge w:val="restart"/>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阶</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段</w:t>
            </w:r>
          </w:p>
        </w:tc>
        <w:tc>
          <w:tcPr>
            <w:tcW w:w="851" w:type="dxa"/>
          </w:tcPr>
          <w:p>
            <w:pPr>
              <w:rPr>
                <w:rFonts w:hint="eastAsia" w:ascii="宋体" w:hAnsi="宋体" w:eastAsia="宋体" w:cs="宋体"/>
                <w:color w:val="auto"/>
                <w:sz w:val="24"/>
                <w:szCs w:val="24"/>
                <w:highlight w:val="none"/>
              </w:rPr>
            </w:pPr>
          </w:p>
        </w:tc>
        <w:tc>
          <w:tcPr>
            <w:tcW w:w="1134" w:type="dxa"/>
          </w:tcPr>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第一天</w:t>
            </w:r>
          </w:p>
        </w:tc>
        <w:tc>
          <w:tcPr>
            <w:tcW w:w="1417" w:type="dxa"/>
          </w:tcPr>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第二天</w:t>
            </w:r>
          </w:p>
        </w:tc>
        <w:tc>
          <w:tcPr>
            <w:tcW w:w="1418" w:type="dxa"/>
          </w:tcPr>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第三天</w:t>
            </w:r>
          </w:p>
        </w:tc>
        <w:tc>
          <w:tcPr>
            <w:tcW w:w="1417" w:type="dxa"/>
          </w:tcPr>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第四天</w:t>
            </w:r>
          </w:p>
        </w:tc>
        <w:tc>
          <w:tcPr>
            <w:tcW w:w="1468" w:type="dxa"/>
          </w:tcPr>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817" w:type="dxa"/>
            <w:vMerge w:val="continue"/>
          </w:tcPr>
          <w:p>
            <w:pPr>
              <w:rPr>
                <w:rFonts w:hint="eastAsia" w:ascii="宋体" w:hAnsi="宋体" w:eastAsia="宋体" w:cs="宋体"/>
                <w:color w:val="auto"/>
                <w:sz w:val="24"/>
                <w:szCs w:val="24"/>
                <w:highlight w:val="none"/>
              </w:rPr>
            </w:pPr>
          </w:p>
        </w:tc>
        <w:tc>
          <w:tcPr>
            <w:tcW w:w="851"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上午</w:t>
            </w:r>
          </w:p>
        </w:tc>
        <w:tc>
          <w:tcPr>
            <w:tcW w:w="1134"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启动会</w:t>
            </w:r>
          </w:p>
        </w:tc>
        <w:tc>
          <w:tcPr>
            <w:tcW w:w="1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扫庭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(含基层院)</w:t>
            </w:r>
          </w:p>
        </w:tc>
        <w:tc>
          <w:tcPr>
            <w:tcW w:w="1418"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扫庭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(含基层院)</w:t>
            </w:r>
          </w:p>
        </w:tc>
        <w:tc>
          <w:tcPr>
            <w:tcW w:w="1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扫庭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(含基层院)</w:t>
            </w:r>
          </w:p>
        </w:tc>
        <w:tc>
          <w:tcPr>
            <w:tcW w:w="1468"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处理问题</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整理汇报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817" w:type="dxa"/>
            <w:vMerge w:val="continue"/>
          </w:tcPr>
          <w:p>
            <w:pPr>
              <w:rPr>
                <w:rFonts w:hint="eastAsia" w:ascii="宋体" w:hAnsi="宋体" w:eastAsia="宋体" w:cs="宋体"/>
                <w:color w:val="auto"/>
                <w:sz w:val="24"/>
                <w:szCs w:val="24"/>
                <w:highlight w:val="none"/>
              </w:rPr>
            </w:pPr>
          </w:p>
        </w:tc>
        <w:tc>
          <w:tcPr>
            <w:tcW w:w="851"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下午</w:t>
            </w:r>
          </w:p>
        </w:tc>
        <w:tc>
          <w:tcPr>
            <w:tcW w:w="1134"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扫庭</w:t>
            </w:r>
          </w:p>
        </w:tc>
        <w:tc>
          <w:tcPr>
            <w:tcW w:w="1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扫庭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(含基层院)</w:t>
            </w:r>
          </w:p>
        </w:tc>
        <w:tc>
          <w:tcPr>
            <w:tcW w:w="1418"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扫庭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(含基层院)</w:t>
            </w:r>
          </w:p>
        </w:tc>
        <w:tc>
          <w:tcPr>
            <w:tcW w:w="1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扫庭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(含基层院)</w:t>
            </w:r>
          </w:p>
        </w:tc>
        <w:tc>
          <w:tcPr>
            <w:tcW w:w="1468"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总结会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pPr>
              <w:rPr>
                <w:rFonts w:hint="eastAsia" w:ascii="宋体" w:hAnsi="宋体" w:eastAsia="宋体" w:cs="宋体"/>
                <w:color w:val="auto"/>
                <w:sz w:val="24"/>
                <w:szCs w:val="24"/>
                <w:highlight w:val="none"/>
              </w:rPr>
            </w:pPr>
          </w:p>
        </w:tc>
        <w:tc>
          <w:tcPr>
            <w:tcW w:w="851"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晚上</w:t>
            </w:r>
          </w:p>
        </w:tc>
        <w:tc>
          <w:tcPr>
            <w:tcW w:w="1134"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处理问题</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（日报）</w:t>
            </w:r>
          </w:p>
        </w:tc>
        <w:tc>
          <w:tcPr>
            <w:tcW w:w="1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处理问题</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（日报）</w:t>
            </w:r>
          </w:p>
        </w:tc>
        <w:tc>
          <w:tcPr>
            <w:tcW w:w="1418"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处理问题</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（日报）</w:t>
            </w:r>
          </w:p>
        </w:tc>
        <w:tc>
          <w:tcPr>
            <w:tcW w:w="1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处理问题</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（日报）</w:t>
            </w:r>
          </w:p>
        </w:tc>
        <w:tc>
          <w:tcPr>
            <w:tcW w:w="1468" w:type="dxa"/>
            <w:vAlign w:val="center"/>
          </w:tcPr>
          <w:p>
            <w:pPr>
              <w:jc w:val="center"/>
              <w:rPr>
                <w:rFonts w:hint="eastAsia" w:ascii="宋体" w:hAnsi="宋体" w:eastAsia="宋体" w:cs="宋体"/>
                <w:color w:val="auto"/>
                <w:sz w:val="24"/>
                <w:szCs w:val="24"/>
                <w:highlight w:val="none"/>
              </w:rPr>
            </w:pPr>
          </w:p>
        </w:tc>
      </w:tr>
    </w:tbl>
    <w:p>
      <w:pPr>
        <w:rPr>
          <w:rFonts w:hint="eastAsia" w:ascii="宋体" w:hAnsi="宋体" w:eastAsia="宋体" w:cs="宋体"/>
          <w:color w:val="auto"/>
          <w:highlight w:val="none"/>
        </w:rPr>
      </w:pPr>
    </w:p>
    <w:p>
      <w:pPr>
        <w:pStyle w:val="6"/>
        <w:spacing w:before="156" w:beforeLines="50" w:after="156" w:afterLines="50" w:line="240" w:lineRule="auto"/>
        <w:rPr>
          <w:rFonts w:hint="eastAsia" w:ascii="宋体" w:hAnsi="宋体" w:eastAsia="宋体" w:cs="宋体"/>
          <w:color w:val="auto"/>
          <w:sz w:val="28"/>
          <w:szCs w:val="28"/>
          <w:highlight w:val="none"/>
        </w:rPr>
      </w:pPr>
      <w:bookmarkStart w:id="186" w:name="_Toc69456055"/>
      <w:r>
        <w:rPr>
          <w:rFonts w:hint="eastAsia" w:ascii="宋体" w:hAnsi="宋体" w:eastAsia="宋体" w:cs="宋体"/>
          <w:color w:val="auto"/>
          <w:sz w:val="28"/>
          <w:szCs w:val="28"/>
          <w:highlight w:val="none"/>
        </w:rPr>
        <w:t>5、“法信2.0智推”平台租赁服务</w:t>
      </w:r>
      <w:bookmarkEnd w:id="186"/>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院租用“法信2.0智推”平台。为兵团法院系统员额法官、法官助理提供服务，确保其能够在立案、审判、执行案件的全流程，在内网、外网和移动端的全空间，在业务办案和学习研究的全场景下，能够方便快捷使用“法信”平台，查询检索海量知识资源，并获得大数据智推服务。</w:t>
      </w:r>
    </w:p>
    <w:p>
      <w:pPr>
        <w:pStyle w:val="7"/>
        <w:rPr>
          <w:rFonts w:hint="eastAsia" w:ascii="宋体" w:hAnsi="宋体" w:eastAsia="宋体" w:cs="宋体"/>
          <w:color w:val="auto"/>
          <w:highlight w:val="none"/>
        </w:rPr>
      </w:pPr>
      <w:bookmarkStart w:id="187" w:name="_Toc65240279"/>
      <w:bookmarkStart w:id="188" w:name="_Toc69456056"/>
      <w:bookmarkStart w:id="189" w:name="_Toc499220056"/>
      <w:r>
        <w:rPr>
          <w:rFonts w:hint="eastAsia" w:ascii="宋体" w:hAnsi="宋体" w:eastAsia="宋体" w:cs="宋体"/>
          <w:color w:val="auto"/>
          <w:highlight w:val="none"/>
        </w:rPr>
        <w:t>5.1业务目标</w:t>
      </w:r>
      <w:bookmarkEnd w:id="187"/>
      <w:bookmarkEnd w:id="188"/>
      <w:bookmarkEnd w:id="189"/>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anchor distT="0" distB="0" distL="114300" distR="114300" simplePos="0" relativeHeight="251662336" behindDoc="0" locked="0" layoutInCell="1" allowOverlap="1">
            <wp:simplePos x="0" y="0"/>
            <wp:positionH relativeFrom="column">
              <wp:posOffset>85090</wp:posOffset>
            </wp:positionH>
            <wp:positionV relativeFrom="paragraph">
              <wp:posOffset>1728470</wp:posOffset>
            </wp:positionV>
            <wp:extent cx="5274310" cy="3172460"/>
            <wp:effectExtent l="0" t="0" r="13970" b="1270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172460"/>
                    </a:xfrm>
                    <a:prstGeom prst="rect">
                      <a:avLst/>
                    </a:prstGeom>
                    <a:noFill/>
                    <a:ln>
                      <a:noFill/>
                    </a:ln>
                  </pic:spPr>
                </pic:pic>
              </a:graphicData>
            </a:graphic>
          </wp:anchor>
        </w:drawing>
      </w:r>
      <w:r>
        <w:rPr>
          <w:rFonts w:hint="eastAsia" w:ascii="宋体" w:hAnsi="宋体" w:eastAsia="宋体" w:cs="宋体"/>
          <w:color w:val="auto"/>
          <w:sz w:val="28"/>
          <w:szCs w:val="28"/>
          <w:highlight w:val="none"/>
        </w:rPr>
        <w:t>总目标是确保法官能够在立案、审判、执行案件的全流程，在内网、外网和移动端的全空间，在业务办案和学习研究的全场景下，能够无缝对接“法信”平台的海量知识资源并获得大数据智推服务。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具体目标如下：</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实现兵团法院审判流程管理系统与“法信”平台知识资源服务的无缝对接，基于和审判流程管理系统的深度融合，通过对案件前期数字档案资料的大数据分析，通过法律知识图谱实现将“法信”平台的知识元精准推送到法官办案的各个环节当中。</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实现法官能够使用专有账号获得“法信”平台在互联网和移动端的所有全权限服务，能够在兵团法院内网环境下通过访问“法信”平台内网站点获得“法信”平台全权限服务。确保法官在任何时间、任何地点、使用任何终端都可以接受“法信”平台知识服务,通过使用“法信”平台的个人知识学习管理服务，内网社群服务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（3）实现法官通过办公平台一键登录（不用二次输入用户名密码）法信平台内网服务器站点。</w:t>
      </w:r>
    </w:p>
    <w:p>
      <w:pPr>
        <w:pStyle w:val="7"/>
        <w:rPr>
          <w:rFonts w:hint="eastAsia" w:ascii="宋体" w:hAnsi="宋体" w:eastAsia="宋体" w:cs="宋体"/>
          <w:color w:val="auto"/>
          <w:highlight w:val="none"/>
        </w:rPr>
      </w:pPr>
      <w:bookmarkStart w:id="190" w:name="_Toc65240280"/>
      <w:bookmarkStart w:id="191" w:name="_Toc499220057"/>
      <w:bookmarkStart w:id="192" w:name="_Toc69456057"/>
      <w:r>
        <w:rPr>
          <w:rFonts w:hint="eastAsia" w:ascii="宋体" w:hAnsi="宋体" w:eastAsia="宋体" w:cs="宋体"/>
          <w:color w:val="auto"/>
          <w:highlight w:val="none"/>
        </w:rPr>
        <w:t>5.2技术目标（获取的知识服务）</w:t>
      </w:r>
      <w:bookmarkEnd w:id="190"/>
      <w:bookmarkEnd w:id="191"/>
      <w:bookmarkEnd w:id="192"/>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为实现上述业务目标，兵团法院通过司法信息资源数据服务项目，可在合同期内获取“法信”平台（计算机软件著作权登记号：2017SR032414）与法信大纲（著作权证号：国作登字-2016-L-00244741）所提供的不同于传统数据库的服务，获取一站式、高效、便捷的法律知识服务。</w:t>
      </w:r>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5276850" cy="2609850"/>
            <wp:effectExtent l="0" t="0" r="1143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6850" cy="2609850"/>
                    </a:xfrm>
                    <a:prstGeom prst="rect">
                      <a:avLst/>
                    </a:prstGeom>
                    <a:noFill/>
                    <a:ln>
                      <a:noFill/>
                    </a:ln>
                  </pic:spPr>
                </pic:pic>
              </a:graphicData>
            </a:graphic>
          </wp:inline>
        </w:drawing>
      </w:r>
    </w:p>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具体服务内容和项目如下：</w:t>
      </w:r>
    </w:p>
    <w:p>
      <w:pPr>
        <w:pStyle w:val="24"/>
        <w:tabs>
          <w:tab w:val="center" w:pos="4201"/>
          <w:tab w:val="right" w:leader="dot" w:pos="9298"/>
        </w:tabs>
        <w:ind w:firstLine="562"/>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知识内容服务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（1）法信大纲知识体系服务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（2）法信专有知识服务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（3）深度加工的权威公共法律资源</w:t>
      </w:r>
    </w:p>
    <w:p>
      <w:pPr>
        <w:pStyle w:val="24"/>
        <w:tabs>
          <w:tab w:val="center" w:pos="4201"/>
          <w:tab w:val="right" w:leader="dot" w:pos="9298"/>
        </w:tabs>
        <w:ind w:firstLine="562"/>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法律大数据服务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（1）同案智推引擎(SP)——自然语义同案智推服务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（2）裁判剖析引擎（LD）服务</w:t>
      </w:r>
    </w:p>
    <w:p>
      <w:pPr>
        <w:pStyle w:val="24"/>
        <w:tabs>
          <w:tab w:val="center" w:pos="4201"/>
          <w:tab w:val="right" w:leader="dot" w:pos="9298"/>
        </w:tabs>
        <w:ind w:firstLine="562"/>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人工知识服务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（1）在线客服</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（2）法律知识检索培训服务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（3）法院大数据分析服务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（4）提供法院内网sns社区服务</w:t>
      </w:r>
    </w:p>
    <w:p>
      <w:pPr>
        <w:pStyle w:val="24"/>
        <w:tabs>
          <w:tab w:val="center" w:pos="4201"/>
          <w:tab w:val="right" w:leader="dot" w:pos="9298"/>
        </w:tabs>
        <w:ind w:firstLine="562"/>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三网同步法官个人知识管理服务</w:t>
      </w:r>
    </w:p>
    <w:p>
      <w:pPr>
        <w:pStyle w:val="24"/>
        <w:tabs>
          <w:tab w:val="center" w:pos="4201"/>
          <w:tab w:val="right" w:leader="dot" w:pos="9298"/>
        </w:tabs>
        <w:ind w:firstLine="562"/>
        <w:rPr>
          <w:rFonts w:hint="eastAsia" w:ascii="宋体" w:hAnsi="宋体" w:eastAsia="宋体" w:cs="宋体"/>
          <w:b/>
          <w:bCs/>
          <w:color w:val="auto"/>
          <w:sz w:val="28"/>
          <w:szCs w:val="28"/>
          <w:highlight w:val="none"/>
        </w:rPr>
      </w:pPr>
      <w:bookmarkStart w:id="193" w:name="_Toc65240281"/>
      <w:bookmarkStart w:id="194" w:name="_Toc499220058"/>
      <w:r>
        <w:rPr>
          <w:rFonts w:hint="eastAsia" w:ascii="宋体" w:hAnsi="宋体" w:eastAsia="宋体" w:cs="宋体"/>
          <w:b/>
          <w:bCs/>
          <w:color w:val="auto"/>
          <w:sz w:val="28"/>
          <w:szCs w:val="28"/>
          <w:highlight w:val="none"/>
        </w:rPr>
        <w:t>知识内容服务</w:t>
      </w:r>
      <w:bookmarkEnd w:id="193"/>
      <w:bookmarkEnd w:id="194"/>
    </w:p>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195" w:name="_Toc499220059"/>
      <w:r>
        <w:rPr>
          <w:rFonts w:hint="eastAsia" w:ascii="宋体" w:hAnsi="宋体" w:eastAsia="宋体" w:cs="宋体"/>
          <w:color w:val="auto"/>
          <w:sz w:val="28"/>
          <w:szCs w:val="28"/>
          <w:highlight w:val="none"/>
        </w:rPr>
        <w:t>（1）法信独有的法信大纲知识体系服务</w:t>
      </w:r>
      <w:bookmarkEnd w:id="195"/>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信大纲是以中国社会主义成文法律体系的部门法法条为“纲”，以案例、法条、案由中提炼、概括出的基本法律纠纷点、关系点为“目”，结构化、系统化标注、串联、聚类法律条文、案例、法律观点等海量法律知识元，具有逻辑性、体系性、推演性，为用户定位、推荐权威、精准、统一知识服务的法律知识图谱。</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法信大纲是目前国内规模最大、提供国内串联知识元最多，分层最深、唯一延展至法律事实、纠纷点、精华点的法律知识体系图谱，是专业法律知识服务领域必备的法律知识地图。</w:t>
      </w:r>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5276850" cy="4086225"/>
            <wp:effectExtent l="0" t="0" r="1143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4086225"/>
                    </a:xfrm>
                    <a:prstGeom prst="rect">
                      <a:avLst/>
                    </a:prstGeom>
                    <a:noFill/>
                    <a:ln>
                      <a:noFill/>
                    </a:ln>
                  </pic:spPr>
                </pic:pic>
              </a:graphicData>
            </a:graphic>
          </wp:inline>
        </w:drawing>
      </w:r>
    </w:p>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法信大纲知识服务内容包括</w:t>
      </w:r>
    </w:p>
    <w:p>
      <w:pPr>
        <w:pStyle w:val="24"/>
        <w:tabs>
          <w:tab w:val="center" w:pos="4201"/>
          <w:tab w:val="right" w:leader="dot" w:pos="9298"/>
        </w:tabs>
        <w:ind w:left="985"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1）法律知识分类导航体系，分类条目15万条/年更新不少于1.3万条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通过法信大纲的智能标引作用可以实现：</w:t>
      </w:r>
    </w:p>
    <w:p>
      <w:pPr>
        <w:pStyle w:val="24"/>
        <w:numPr>
          <w:ilvl w:val="0"/>
          <w:numId w:val="39"/>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法信大纲全局检索推送功能；</w:t>
      </w:r>
    </w:p>
    <w:p>
      <w:pPr>
        <w:pStyle w:val="24"/>
        <w:numPr>
          <w:ilvl w:val="0"/>
          <w:numId w:val="39"/>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法信大纲知识地图浏览查询功能；</w:t>
      </w:r>
    </w:p>
    <w:p>
      <w:pPr>
        <w:pStyle w:val="24"/>
        <w:numPr>
          <w:ilvl w:val="0"/>
          <w:numId w:val="39"/>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通过大纲串联知识源所带来的精准检索服务；</w:t>
      </w:r>
    </w:p>
    <w:p>
      <w:pPr>
        <w:pStyle w:val="24"/>
        <w:tabs>
          <w:tab w:val="center" w:pos="4201"/>
          <w:tab w:val="right" w:leader="dot" w:pos="9298"/>
        </w:tabs>
        <w:ind w:left="985"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2）加工编辑串连法律知识元24万条/年更新量不少于5.8万条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法信大纲串联下的1364个案由罪名的法律知识一站式解决方案服务。</w:t>
      </w:r>
    </w:p>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196" w:name="_Toc499220060"/>
      <w:r>
        <w:rPr>
          <w:rFonts w:hint="eastAsia" w:ascii="宋体" w:hAnsi="宋体" w:eastAsia="宋体" w:cs="宋体"/>
          <w:color w:val="auto"/>
          <w:sz w:val="28"/>
          <w:szCs w:val="28"/>
          <w:highlight w:val="none"/>
        </w:rPr>
        <w:t>（2）法信专有知识服务</w:t>
      </w:r>
      <w:bookmarkEnd w:id="196"/>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5267325" cy="2876550"/>
            <wp:effectExtent l="0" t="0" r="571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7325" cy="2876550"/>
                    </a:xfrm>
                    <a:prstGeom prst="rect">
                      <a:avLst/>
                    </a:prstGeom>
                    <a:noFill/>
                    <a:ln>
                      <a:noFill/>
                    </a:ln>
                  </pic:spPr>
                </pic:pic>
              </a:graphicData>
            </a:graphic>
          </wp:inline>
        </w:drawing>
      </w:r>
    </w:p>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24"/>
        <w:tabs>
          <w:tab w:val="center" w:pos="4201"/>
          <w:tab w:val="right" w:leader="dot" w:pos="9298"/>
        </w:tabs>
        <w:ind w:left="982" w:firstLine="0" w:firstLineChars="0"/>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1）案例要旨库</w:t>
      </w:r>
      <w:r>
        <w:rPr>
          <w:rFonts w:hint="eastAsia" w:ascii="宋体" w:hAnsi="宋体" w:eastAsia="宋体" w:cs="宋体"/>
          <w:color w:val="auto"/>
          <w:sz w:val="28"/>
          <w:szCs w:val="28"/>
          <w:highlight w:val="none"/>
        </w:rPr>
        <w:t>：国内最大的法院类案裁判规则与要旨库</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不同于任何裁判文书库，法信提供的是国内唯一全部提炼案例要旨、梗概，容量最大，最具权威性、指导性的案例要旨库。服务期内享有以下知识服务：</w:t>
      </w:r>
    </w:p>
    <w:p>
      <w:pPr>
        <w:pStyle w:val="24"/>
        <w:numPr>
          <w:ilvl w:val="0"/>
          <w:numId w:val="40"/>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最高法院八大权威来源案例搜集、数字化服务；</w:t>
      </w:r>
    </w:p>
    <w:p>
      <w:pPr>
        <w:pStyle w:val="24"/>
        <w:numPr>
          <w:ilvl w:val="0"/>
          <w:numId w:val="40"/>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全国法院系统公布公开案例搜集、数字化服务；</w:t>
      </w:r>
    </w:p>
    <w:p>
      <w:pPr>
        <w:pStyle w:val="24"/>
        <w:numPr>
          <w:ilvl w:val="0"/>
          <w:numId w:val="40"/>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所有案例的要旨提炼、梗概编写服务；</w:t>
      </w:r>
    </w:p>
    <w:p>
      <w:pPr>
        <w:pStyle w:val="24"/>
        <w:numPr>
          <w:ilvl w:val="0"/>
          <w:numId w:val="40"/>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所有案例关联知识体系、推荐度标示、属性标签功能；</w:t>
      </w:r>
    </w:p>
    <w:p>
      <w:pPr>
        <w:pStyle w:val="24"/>
        <w:numPr>
          <w:ilvl w:val="0"/>
          <w:numId w:val="40"/>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相关案例、同类案例、同法院、上级法院案例推荐功能，案例引用法条超链功能；</w:t>
      </w:r>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5267325" cy="4410075"/>
            <wp:effectExtent l="0" t="0" r="571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7325" cy="4410075"/>
                    </a:xfrm>
                    <a:prstGeom prst="rect">
                      <a:avLst/>
                    </a:prstGeom>
                    <a:noFill/>
                    <a:ln>
                      <a:noFill/>
                    </a:ln>
                  </pic:spPr>
                </pic:pic>
              </a:graphicData>
            </a:graphic>
          </wp:inline>
        </w:drawing>
      </w:r>
    </w:p>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24"/>
        <w:tabs>
          <w:tab w:val="center" w:pos="4201"/>
          <w:tab w:val="right" w:leader="dot" w:pos="9298"/>
        </w:tabs>
        <w:ind w:left="982" w:firstLine="0" w:firstLineChars="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2）法律图书库</w:t>
      </w:r>
      <w:r>
        <w:rPr>
          <w:rFonts w:hint="eastAsia" w:ascii="宋体" w:hAnsi="宋体" w:eastAsia="宋体" w:cs="宋体"/>
          <w:color w:val="auto"/>
          <w:sz w:val="28"/>
          <w:szCs w:val="28"/>
          <w:highlight w:val="none"/>
        </w:rPr>
        <w:t>：囊括最高法所有审判指导理解适用图书</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提供国内最大的法律实务数字图书库，拥有4000种人民法院出版社专有版权法律实务图书，1000种授权版权法律实务图书，并提供所有纸质图书的数字化加工\xml加工服务。同时，提供所有图书原版原式阅读及文本阅读功能；同一作者图书推荐功能；同类图书推荐功能。</w:t>
      </w:r>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5267325" cy="4124325"/>
            <wp:effectExtent l="0" t="0" r="571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67325" cy="4124325"/>
                    </a:xfrm>
                    <a:prstGeom prst="rect">
                      <a:avLst/>
                    </a:prstGeom>
                    <a:noFill/>
                    <a:ln>
                      <a:noFill/>
                    </a:ln>
                  </pic:spPr>
                </pic:pic>
              </a:graphicData>
            </a:graphic>
          </wp:inline>
        </w:drawing>
      </w:r>
    </w:p>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24"/>
        <w:tabs>
          <w:tab w:val="center" w:pos="4201"/>
          <w:tab w:val="right" w:leader="dot" w:pos="9298"/>
        </w:tabs>
        <w:ind w:left="982" w:firstLine="0" w:firstLineChars="0"/>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3）法律观点库</w:t>
      </w:r>
      <w:r>
        <w:rPr>
          <w:rFonts w:hint="eastAsia" w:ascii="宋体" w:hAnsi="宋体" w:eastAsia="宋体" w:cs="宋体"/>
          <w:color w:val="auto"/>
          <w:sz w:val="28"/>
          <w:szCs w:val="28"/>
          <w:highlight w:val="none"/>
        </w:rPr>
        <w:t>：国内唯一的裁判说理观点库, 逻辑节选提炼聚类</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提供国内规模最大且唯一的法律文献观点库，是国内唯一提供立法、司法、专家精华观点，解决法官标准化裁判说理、释法痛点的数据库，包含：</w:t>
      </w:r>
    </w:p>
    <w:p>
      <w:pPr>
        <w:pStyle w:val="24"/>
        <w:numPr>
          <w:ilvl w:val="0"/>
          <w:numId w:val="41"/>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10万篇法律观点,立法司法学术观点悉数追溯可查出处；</w:t>
      </w:r>
    </w:p>
    <w:p>
      <w:pPr>
        <w:pStyle w:val="24"/>
        <w:numPr>
          <w:ilvl w:val="0"/>
          <w:numId w:val="41"/>
        </w:numPr>
        <w:tabs>
          <w:tab w:val="center" w:pos="4201"/>
          <w:tab w:val="right" w:leader="dot" w:pos="9298"/>
        </w:tabs>
        <w:ind w:firstLineChars="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每年不少于1000种权威法律实务图书数字化\碎片化服务；</w:t>
      </w:r>
    </w:p>
    <w:p>
      <w:pPr>
        <w:pStyle w:val="24"/>
        <w:numPr>
          <w:ilvl w:val="0"/>
          <w:numId w:val="41"/>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所有观点的梗概提炼、图书超链、知识体系串联、属性标签功能；</w:t>
      </w:r>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4810125" cy="3990975"/>
            <wp:effectExtent l="0" t="0" r="571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10125" cy="3990975"/>
                    </a:xfrm>
                    <a:prstGeom prst="rect">
                      <a:avLst/>
                    </a:prstGeom>
                    <a:noFill/>
                    <a:ln>
                      <a:noFill/>
                    </a:ln>
                  </pic:spPr>
                </pic:pic>
              </a:graphicData>
            </a:graphic>
          </wp:inline>
        </w:drawing>
      </w:r>
    </w:p>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24"/>
        <w:tabs>
          <w:tab w:val="center" w:pos="4201"/>
          <w:tab w:val="right" w:leader="dot" w:pos="9298"/>
        </w:tabs>
        <w:ind w:left="982" w:firstLine="0" w:firstLineChars="0"/>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4）法条释义库</w:t>
      </w:r>
      <w:r>
        <w:rPr>
          <w:rFonts w:hint="eastAsia" w:ascii="宋体" w:hAnsi="宋体" w:eastAsia="宋体" w:cs="宋体"/>
          <w:color w:val="auto"/>
          <w:sz w:val="28"/>
          <w:szCs w:val="28"/>
          <w:highlight w:val="none"/>
        </w:rPr>
        <w:t>: 国内唯一的法律、司法解释条文理解适用库</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提供1949年以来中央和地方发布的所有法律、法规、司法解释、地方性法规标准法律文本的数据库，包含：</w:t>
      </w:r>
    </w:p>
    <w:p>
      <w:pPr>
        <w:pStyle w:val="24"/>
        <w:numPr>
          <w:ilvl w:val="0"/>
          <w:numId w:val="42"/>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关联知识体系功能；</w:t>
      </w:r>
    </w:p>
    <w:p>
      <w:pPr>
        <w:pStyle w:val="24"/>
        <w:numPr>
          <w:ilvl w:val="0"/>
          <w:numId w:val="42"/>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法律修订沿革功能；</w:t>
      </w:r>
    </w:p>
    <w:p>
      <w:pPr>
        <w:pStyle w:val="24"/>
        <w:numPr>
          <w:ilvl w:val="0"/>
          <w:numId w:val="42"/>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条文修订沿革功能；</w:t>
      </w:r>
    </w:p>
    <w:p>
      <w:pPr>
        <w:pStyle w:val="24"/>
        <w:numPr>
          <w:ilvl w:val="0"/>
          <w:numId w:val="42"/>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条文释义功能；</w:t>
      </w:r>
    </w:p>
    <w:p>
      <w:pPr>
        <w:pStyle w:val="24"/>
        <w:numPr>
          <w:ilvl w:val="0"/>
          <w:numId w:val="42"/>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引用统计功能；</w:t>
      </w:r>
    </w:p>
    <w:p>
      <w:pPr>
        <w:pStyle w:val="24"/>
        <w:numPr>
          <w:ilvl w:val="0"/>
          <w:numId w:val="42"/>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法律效力标注功能；</w:t>
      </w:r>
    </w:p>
    <w:p>
      <w:pPr>
        <w:pStyle w:val="24"/>
        <w:numPr>
          <w:ilvl w:val="0"/>
          <w:numId w:val="42"/>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法条原文超链功能；</w:t>
      </w:r>
    </w:p>
    <w:p>
      <w:pPr>
        <w:pStyle w:val="24"/>
        <w:numPr>
          <w:ilvl w:val="0"/>
          <w:numId w:val="42"/>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法条引用超链（迭代更新）</w:t>
      </w:r>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5267325" cy="4848225"/>
            <wp:effectExtent l="0" t="0" r="571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7325" cy="4848225"/>
                    </a:xfrm>
                    <a:prstGeom prst="rect">
                      <a:avLst/>
                    </a:prstGeom>
                    <a:noFill/>
                    <a:ln>
                      <a:noFill/>
                    </a:ln>
                  </pic:spPr>
                </pic:pic>
              </a:graphicData>
            </a:graphic>
          </wp:inline>
        </w:drawing>
      </w:r>
    </w:p>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24"/>
        <w:tabs>
          <w:tab w:val="center" w:pos="4201"/>
          <w:tab w:val="right" w:leader="dot" w:pos="9298"/>
        </w:tabs>
        <w:ind w:left="982" w:firstLine="0" w:firstLineChars="0"/>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 xml:space="preserve">5）司法资料库 </w:t>
      </w:r>
      <w:r>
        <w:rPr>
          <w:rFonts w:hint="eastAsia" w:ascii="宋体" w:hAnsi="宋体" w:eastAsia="宋体" w:cs="宋体"/>
          <w:color w:val="auto"/>
          <w:sz w:val="28"/>
          <w:szCs w:val="28"/>
          <w:highlight w:val="none"/>
        </w:rPr>
        <w:t>：两高地方法院会议纪要、领导讲话、司法政策</w:t>
      </w:r>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5267325" cy="213360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67325" cy="2133600"/>
                    </a:xfrm>
                    <a:prstGeom prst="rect">
                      <a:avLst/>
                    </a:prstGeom>
                    <a:noFill/>
                    <a:ln>
                      <a:noFill/>
                    </a:ln>
                  </pic:spPr>
                </pic:pic>
              </a:graphicData>
            </a:graphic>
          </wp:inline>
        </w:drawing>
      </w:r>
    </w:p>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197" w:name="_Toc499220061"/>
      <w:r>
        <w:rPr>
          <w:rFonts w:hint="eastAsia" w:ascii="宋体" w:hAnsi="宋体" w:eastAsia="宋体" w:cs="宋体"/>
          <w:color w:val="auto"/>
          <w:sz w:val="28"/>
          <w:szCs w:val="28"/>
          <w:highlight w:val="none"/>
        </w:rPr>
        <w:t>（3）深度加工的权威公共法律资源</w:t>
      </w:r>
      <w:bookmarkEnd w:id="197"/>
    </w:p>
    <w:p>
      <w:pPr>
        <w:pStyle w:val="24"/>
        <w:tabs>
          <w:tab w:val="center" w:pos="4201"/>
          <w:tab w:val="right" w:leader="dot" w:pos="9298"/>
        </w:tabs>
        <w:ind w:left="98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1）权威流程审核、深度加工的法律法规</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提供中央文件库/地方文件库/立法资料库/司法资料库(专有)/国际条约库,共计收录标注200万篇法律文献。在确保来源的权威性外，还经过严格流程审核，并进行深度加工整理：通过编辑标注历史沿革、实现每一条法律的释义串联、可视化引用统计、法条引用案例超链等功能；</w:t>
      </w:r>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5267325" cy="430530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7325" cy="4305300"/>
                    </a:xfrm>
                    <a:prstGeom prst="rect">
                      <a:avLst/>
                    </a:prstGeom>
                    <a:noFill/>
                    <a:ln>
                      <a:noFill/>
                    </a:ln>
                  </pic:spPr>
                </pic:pic>
              </a:graphicData>
            </a:graphic>
          </wp:inline>
        </w:drawing>
      </w:r>
    </w:p>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5067300" cy="33528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067300" cy="3352800"/>
                    </a:xfrm>
                    <a:prstGeom prst="rect">
                      <a:avLst/>
                    </a:prstGeom>
                    <a:noFill/>
                    <a:ln>
                      <a:noFill/>
                    </a:ln>
                  </pic:spPr>
                </pic:pic>
              </a:graphicData>
            </a:graphic>
          </wp:inline>
        </w:drawing>
      </w:r>
    </w:p>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24"/>
        <w:tabs>
          <w:tab w:val="center" w:pos="4201"/>
          <w:tab w:val="right" w:leader="dot" w:pos="9298"/>
        </w:tabs>
        <w:ind w:left="98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2）司法裁判库</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提供全国法院裁判文书的检索服务，同步收录更新裁判文书网2400万法院裁判，同时提供多维度案例剖析。</w:t>
      </w:r>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5267325" cy="4914900"/>
            <wp:effectExtent l="0" t="0" r="571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7325" cy="4914900"/>
                    </a:xfrm>
                    <a:prstGeom prst="rect">
                      <a:avLst/>
                    </a:prstGeom>
                    <a:noFill/>
                    <a:ln>
                      <a:noFill/>
                    </a:ln>
                  </pic:spPr>
                </pic:pic>
              </a:graphicData>
            </a:graphic>
          </wp:inline>
        </w:drawing>
      </w:r>
    </w:p>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24"/>
        <w:tabs>
          <w:tab w:val="center" w:pos="4201"/>
          <w:tab w:val="right" w:leader="dot" w:pos="9298"/>
        </w:tabs>
        <w:ind w:left="98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3）法律期刊库</w:t>
      </w:r>
    </w:p>
    <w:p>
      <w:pPr>
        <w:pStyle w:val="24"/>
        <w:tabs>
          <w:tab w:val="center" w:pos="4201"/>
          <w:tab w:val="right" w:leader="dot" w:pos="9298"/>
        </w:tabs>
        <w:ind w:firstLine="562"/>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法律期刊库</w:t>
      </w:r>
      <w:r>
        <w:rPr>
          <w:rFonts w:hint="eastAsia" w:ascii="宋体" w:hAnsi="宋体" w:eastAsia="宋体" w:cs="宋体"/>
          <w:color w:val="auto"/>
          <w:sz w:val="28"/>
          <w:szCs w:val="28"/>
          <w:highlight w:val="none"/>
        </w:rPr>
        <w:t>是国内目前唯一专门针对法官办案的法律实务文献数据库，关联知识体系，每年采购、收录150种核心法学期刊40万篇法学论文，年更新2.5万篇法学论文。同时也提供收藏、下载、打印功能；同一作者图书推荐功能。</w:t>
      </w:r>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5267325" cy="449580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7325" cy="4495800"/>
                    </a:xfrm>
                    <a:prstGeom prst="rect">
                      <a:avLst/>
                    </a:prstGeom>
                    <a:noFill/>
                    <a:ln>
                      <a:noFill/>
                    </a:ln>
                  </pic:spPr>
                </pic:pic>
              </a:graphicData>
            </a:graphic>
          </wp:inline>
        </w:drawing>
      </w:r>
    </w:p>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上述知识内容服务要确保在总体3000万铺底数据量基础上，在单台虚拟服务器的测试环境下，单用户进行全库检索、搜索法信大纲、搜法律、高级检索国家法律数据库、高级检索立法资料库、搜案例、高级检索案例库、搜观点、高级检索观点库、搜图书、高级检索图书库、搜期刊和高级检索期刊库操作的响应时间分别为1.538秒、1.547秒、2.607秒、1.423秒、0.642秒、2.677 秒、1.290 秒、1.443 秒、1.655 秒、1.789 秒、1.613 秒、2.297 秒和 1.562 秒,均满足响应时间小于3秒的用户需求；同时系统支持并发500用户进行上述操作。</w:t>
      </w:r>
    </w:p>
    <w:p>
      <w:pPr>
        <w:pStyle w:val="24"/>
        <w:tabs>
          <w:tab w:val="center" w:pos="4201"/>
          <w:tab w:val="right" w:leader="dot" w:pos="9298"/>
        </w:tabs>
        <w:ind w:firstLine="562"/>
        <w:rPr>
          <w:rFonts w:hint="eastAsia" w:ascii="宋体" w:hAnsi="宋体" w:eastAsia="宋体" w:cs="宋体"/>
          <w:b/>
          <w:bCs/>
          <w:color w:val="auto"/>
          <w:sz w:val="28"/>
          <w:szCs w:val="28"/>
          <w:highlight w:val="none"/>
        </w:rPr>
      </w:pPr>
      <w:bookmarkStart w:id="198" w:name="_Toc499220062"/>
      <w:bookmarkStart w:id="199" w:name="_Toc65240282"/>
      <w:r>
        <w:rPr>
          <w:rFonts w:hint="eastAsia" w:ascii="宋体" w:hAnsi="宋体" w:eastAsia="宋体" w:cs="宋体"/>
          <w:b/>
          <w:bCs/>
          <w:color w:val="auto"/>
          <w:sz w:val="28"/>
          <w:szCs w:val="28"/>
          <w:highlight w:val="none"/>
        </w:rPr>
        <w:t>法律大数据服务</w:t>
      </w:r>
      <w:bookmarkEnd w:id="198"/>
      <w:bookmarkEnd w:id="199"/>
    </w:p>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200" w:name="_Toc499220063"/>
      <w:r>
        <w:rPr>
          <w:rFonts w:hint="eastAsia" w:ascii="宋体" w:hAnsi="宋体" w:eastAsia="宋体" w:cs="宋体"/>
          <w:color w:val="auto"/>
          <w:sz w:val="28"/>
          <w:szCs w:val="28"/>
          <w:highlight w:val="none"/>
        </w:rPr>
        <w:t>（1）同案智推引擎(SP)——自然语义同案智推服务</w:t>
      </w:r>
      <w:bookmarkEnd w:id="200"/>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国内首度将自然语言处理 、机器学习等人工智能方法应用于裁判同案匹配领域，加速匹配同案，一键智能推送。</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信”平台采用人工智能语义分析技术研发的“同案智推大数据引擎（SP）”通过采用自然语义分析和分词技术对裁判文书的法律专业术语进行匹配转化，实现智能化支持非法律专业的普通公众用自然语言（非法言法语）一键式查找与自己所遇纠纷案情高度相似的既往判决，匹配同案，比对案情，预测纠纷在未来诉讼中的预判结果和裁判走向。“法信”平台的自然语义同案智推服务能够充分发挥以案释法以案普法作用，对于面向公众的诉讼服务智能化有非常积极的应用价值。支持三种功能：</w:t>
      </w:r>
    </w:p>
    <w:p>
      <w:pPr>
        <w:pStyle w:val="24"/>
        <w:numPr>
          <w:ilvl w:val="0"/>
          <w:numId w:val="43"/>
        </w:numPr>
        <w:tabs>
          <w:tab w:val="center" w:pos="4201"/>
          <w:tab w:val="right" w:leader="dot" w:pos="9298"/>
        </w:tabs>
        <w:ind w:firstLineChars="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支持整篇格式化裁判文书找同案；</w:t>
      </w:r>
    </w:p>
    <w:p>
      <w:pPr>
        <w:pStyle w:val="24"/>
        <w:numPr>
          <w:ilvl w:val="0"/>
          <w:numId w:val="43"/>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支持法言法语专业表述法律关系找同案；</w:t>
      </w:r>
    </w:p>
    <w:p>
      <w:pPr>
        <w:pStyle w:val="24"/>
        <w:numPr>
          <w:ilvl w:val="0"/>
          <w:numId w:val="43"/>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支持口语表述事实案情找同案。</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在服务期内，将根据自然技术发展状况，年度功能优化更新不少于两次。</w:t>
      </w:r>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5276850" cy="2028825"/>
            <wp:effectExtent l="0" t="0" r="11430" b="133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6850" cy="2028825"/>
                    </a:xfrm>
                    <a:prstGeom prst="rect">
                      <a:avLst/>
                    </a:prstGeom>
                    <a:noFill/>
                    <a:ln>
                      <a:noFill/>
                    </a:ln>
                  </pic:spPr>
                </pic:pic>
              </a:graphicData>
            </a:graphic>
          </wp:inline>
        </w:drawing>
      </w:r>
    </w:p>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201" w:name="_Toc499220064"/>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（2）裁判剖析引擎（LD）服务</w:t>
      </w:r>
      <w:bookmarkEnd w:id="201"/>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国内首家实现对海量裁判文书无限维度剖析、聚类分析和智能排序。首度将信息抽取、数据挖掘、分布式计算创造性地应用于司法领域。</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信”平台采用大数据技术研发的“裁判剖析大数据引擎（LD）”通过对裁判文书特定段落进行无限维度、多条件的自由组合和层层剖析，利用大数据的聚类分析和智能排序功能，帮助法律人借助专业术语和要素在办理同类案件时同步实现法律事实的比对、法律关系的匹配、法律依据的核校和裁判量刑的参照。“法信”平台的专业剖析类案同判服务能够最大限度地消除或减少“同案不同判”，利用大数据技术手段帮助法官参考在先判决裁判尺度，减少主观因素，控制自由裁量权，统一法律适用。</w:t>
      </w:r>
    </w:p>
    <w:p>
      <w:pPr>
        <w:pStyle w:val="24"/>
        <w:numPr>
          <w:ilvl w:val="0"/>
          <w:numId w:val="44"/>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提供全国法院裁判文书的检索服务；</w:t>
      </w:r>
    </w:p>
    <w:p>
      <w:pPr>
        <w:pStyle w:val="24"/>
        <w:numPr>
          <w:ilvl w:val="0"/>
          <w:numId w:val="44"/>
        </w:numPr>
        <w:tabs>
          <w:tab w:val="center" w:pos="4201"/>
          <w:tab w:val="right" w:leader="dot" w:pos="9298"/>
        </w:tabs>
        <w:ind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同案类案大数据智能匹配,实现类案同判;</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在服务期内，提供年度不少于三次功能迭代更新，包括增加、优化剖析条件。</w:t>
      </w:r>
    </w:p>
    <w:p>
      <w:pPr>
        <w:pStyle w:val="24"/>
        <w:tabs>
          <w:tab w:val="center" w:pos="4201"/>
          <w:tab w:val="right" w:leader="dot" w:pos="9298"/>
        </w:tabs>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0" distR="0">
            <wp:extent cx="5267325" cy="2790825"/>
            <wp:effectExtent l="0" t="0" r="5715"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pPr>
        <w:rPr>
          <w:rFonts w:hint="eastAsia" w:ascii="宋体" w:hAnsi="宋体" w:eastAsia="宋体" w:cs="宋体"/>
          <w:color w:val="auto"/>
          <w:highlight w:val="none"/>
        </w:rPr>
      </w:pPr>
    </w:p>
    <w:p>
      <w:pPr>
        <w:pStyle w:val="24"/>
        <w:tabs>
          <w:tab w:val="center" w:pos="4201"/>
          <w:tab w:val="right" w:leader="dot" w:pos="9298"/>
        </w:tabs>
        <w:ind w:firstLine="562"/>
        <w:rPr>
          <w:rFonts w:hint="eastAsia" w:ascii="宋体" w:hAnsi="宋体" w:eastAsia="宋体" w:cs="宋体"/>
          <w:b/>
          <w:bCs/>
          <w:color w:val="auto"/>
          <w:sz w:val="28"/>
          <w:szCs w:val="28"/>
          <w:highlight w:val="none"/>
        </w:rPr>
      </w:pPr>
      <w:bookmarkStart w:id="202" w:name="_Toc65240283"/>
      <w:bookmarkStart w:id="203" w:name="_Toc499220066"/>
      <w:r>
        <w:rPr>
          <w:rFonts w:hint="eastAsia" w:ascii="宋体" w:hAnsi="宋体" w:eastAsia="宋体" w:cs="宋体"/>
          <w:b/>
          <w:bCs/>
          <w:color w:val="auto"/>
          <w:sz w:val="28"/>
          <w:szCs w:val="28"/>
          <w:highlight w:val="none"/>
        </w:rPr>
        <w:t>人工知识服务</w:t>
      </w:r>
      <w:bookmarkEnd w:id="202"/>
      <w:bookmarkEnd w:id="203"/>
    </w:p>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204" w:name="_Toc499220067"/>
      <w:r>
        <w:rPr>
          <w:rFonts w:hint="eastAsia" w:ascii="宋体" w:hAnsi="宋体" w:eastAsia="宋体" w:cs="宋体"/>
          <w:color w:val="auto"/>
          <w:sz w:val="28"/>
          <w:szCs w:val="28"/>
          <w:highlight w:val="none"/>
        </w:rPr>
        <w:t>（1）在线客服</w:t>
      </w:r>
      <w:bookmarkEnd w:id="204"/>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国内最专业的法律知识检索团队提供7×12小时在线客服，提供终极法律知识检索服务。</w:t>
      </w:r>
    </w:p>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205" w:name="_Toc499220068"/>
      <w:r>
        <w:rPr>
          <w:rFonts w:hint="eastAsia" w:ascii="宋体" w:hAnsi="宋体" w:eastAsia="宋体" w:cs="宋体"/>
          <w:color w:val="auto"/>
          <w:sz w:val="28"/>
          <w:szCs w:val="28"/>
          <w:highlight w:val="none"/>
        </w:rPr>
        <w:t>（2）法律知识检索培训服务</w:t>
      </w:r>
      <w:bookmarkEnd w:id="205"/>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一年不低于四次的产品及法律知识检索及法律大数据分析服务。</w:t>
      </w:r>
    </w:p>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206" w:name="_Toc499220069"/>
      <w:r>
        <w:rPr>
          <w:rFonts w:hint="eastAsia" w:ascii="宋体" w:hAnsi="宋体" w:eastAsia="宋体" w:cs="宋体"/>
          <w:color w:val="auto"/>
          <w:sz w:val="28"/>
          <w:szCs w:val="28"/>
          <w:highlight w:val="none"/>
        </w:rPr>
        <w:t>（3）法院内网sns社区服务</w:t>
      </w:r>
      <w:bookmarkEnd w:id="206"/>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常驻法律检索专家进行定期法律信息解答。</w:t>
      </w:r>
    </w:p>
    <w:p>
      <w:pPr>
        <w:pStyle w:val="24"/>
        <w:tabs>
          <w:tab w:val="center" w:pos="4201"/>
          <w:tab w:val="right" w:leader="dot" w:pos="9298"/>
        </w:tabs>
        <w:ind w:firstLine="562"/>
        <w:rPr>
          <w:rFonts w:hint="eastAsia" w:ascii="宋体" w:hAnsi="宋体" w:eastAsia="宋体" w:cs="宋体"/>
          <w:b/>
          <w:bCs/>
          <w:color w:val="auto"/>
          <w:sz w:val="28"/>
          <w:szCs w:val="28"/>
          <w:highlight w:val="none"/>
        </w:rPr>
      </w:pPr>
      <w:bookmarkStart w:id="207" w:name="_Toc65240284"/>
      <w:bookmarkStart w:id="208" w:name="_Toc499220070"/>
      <w:r>
        <w:rPr>
          <w:rFonts w:hint="eastAsia" w:ascii="宋体" w:hAnsi="宋体" w:eastAsia="宋体" w:cs="宋体"/>
          <w:b/>
          <w:bCs/>
          <w:color w:val="auto"/>
          <w:sz w:val="28"/>
          <w:szCs w:val="28"/>
          <w:highlight w:val="none"/>
        </w:rPr>
        <w:t>三网同步法官个人知识管理服务</w:t>
      </w:r>
      <w:bookmarkEnd w:id="207"/>
      <w:bookmarkEnd w:id="208"/>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提供法院专网、互联网、移动网三网下的知识服务，为法官移动办案、巡回审判和派出执行时提供即时知识服务，提供三网同步的基于个人搜索记录、个人知识管理和学习需要的批注、笔记、编辑、投稿、分享、评论等功能。</w:t>
      </w:r>
    </w:p>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209" w:name="_Toc69456058"/>
      <w:r>
        <w:rPr>
          <w:rFonts w:hint="eastAsia" w:ascii="宋体" w:hAnsi="宋体" w:eastAsia="宋体" w:cs="宋体"/>
          <w:color w:val="auto"/>
          <w:sz w:val="28"/>
          <w:szCs w:val="28"/>
          <w:highlight w:val="none"/>
        </w:rPr>
        <w:t>（三）服务响应时间需求</w:t>
      </w:r>
      <w:bookmarkEnd w:id="209"/>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各项服务的响应时间需求如下：</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1、信息系统运维服务时间响应需求</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2"/>
        <w:gridCol w:w="2697"/>
        <w:gridCol w:w="42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269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信息系统名称</w:t>
            </w:r>
          </w:p>
        </w:tc>
        <w:tc>
          <w:tcPr>
            <w:tcW w:w="4299"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响应时间需求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697"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司法公开</w:t>
            </w:r>
          </w:p>
        </w:tc>
        <w:tc>
          <w:tcPr>
            <w:tcW w:w="4299"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在1小时以内响应，4小时以内处理。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697"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法院触摸屏查询系统</w:t>
            </w:r>
          </w:p>
        </w:tc>
        <w:tc>
          <w:tcPr>
            <w:tcW w:w="4299"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在1小时以内响应，4小时以内处理。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697"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LED大屏幕信息公开系统</w:t>
            </w:r>
          </w:p>
        </w:tc>
        <w:tc>
          <w:tcPr>
            <w:tcW w:w="4299" w:type="dxa"/>
            <w:tcBorders>
              <w:top w:val="single" w:color="000000" w:sz="4" w:space="0"/>
              <w:left w:val="single" w:color="000000" w:sz="4" w:space="0"/>
              <w:bottom w:val="single" w:color="000000" w:sz="4" w:space="0"/>
              <w:right w:val="single" w:color="auto" w:sz="4" w:space="0"/>
            </w:tcBorders>
            <w:vAlign w:val="center"/>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在1小时以内响应，4小时以内处理。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697"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审判业务管理系统</w:t>
            </w:r>
          </w:p>
        </w:tc>
        <w:tc>
          <w:tcPr>
            <w:tcW w:w="4299"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在1小时以内响应，4小时以内处理。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系统发生无法正常登陆故障应在2小时内解决。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697"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案件查询统计</w:t>
            </w:r>
          </w:p>
        </w:tc>
        <w:tc>
          <w:tcPr>
            <w:tcW w:w="4299"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在3小时以内响应，8小时以内处理。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发生系统无法正常统计数据时，用户急需数据应当立即安排技术人员辅助完成统计。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2697"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审判质效评估系统</w:t>
            </w:r>
          </w:p>
        </w:tc>
        <w:tc>
          <w:tcPr>
            <w:tcW w:w="4299"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在3小时以内响应，8小时以内处理。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发生系统无法正常统计数据时，用户急需数据应当立即安排技术人员辅助完成统计。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2697"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绩效考核系统</w:t>
            </w:r>
          </w:p>
        </w:tc>
        <w:tc>
          <w:tcPr>
            <w:tcW w:w="4299"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在3小时以内响应，8小时以内处理。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发生系统无法正常统计数据时，用户急需数据应当立即安排技术人员辅助完成统计。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2697"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案件数据汇集</w:t>
            </w:r>
          </w:p>
        </w:tc>
        <w:tc>
          <w:tcPr>
            <w:tcW w:w="429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在1小时以内响应，4小时以内处理。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2697"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自定义统计分析</w:t>
            </w:r>
          </w:p>
        </w:tc>
        <w:tc>
          <w:tcPr>
            <w:tcW w:w="429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在1小时以内响应，4小时以内处理。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2697" w:type="dxa"/>
            <w:tcBorders>
              <w:top w:val="single" w:color="000000" w:sz="4" w:space="0"/>
              <w:left w:val="single" w:color="000000" w:sz="4" w:space="0"/>
              <w:bottom w:val="single" w:color="000000" w:sz="4" w:space="0"/>
              <w:right w:val="single" w:color="000000" w:sz="4" w:space="0"/>
            </w:tcBorders>
            <w:vAlign w:val="center"/>
          </w:tcPr>
          <w:p>
            <w:pPr>
              <w:tabs>
                <w:tab w:val="left" w:pos="600"/>
              </w:tabs>
              <w:rPr>
                <w:rFonts w:hint="eastAsia" w:ascii="宋体" w:hAnsi="宋体" w:eastAsia="宋体" w:cs="宋体"/>
                <w:color w:val="auto"/>
                <w:szCs w:val="21"/>
                <w:highlight w:val="none"/>
              </w:rPr>
            </w:pPr>
            <w:r>
              <w:rPr>
                <w:rFonts w:hint="eastAsia" w:ascii="宋体" w:hAnsi="宋体" w:eastAsia="宋体" w:cs="宋体"/>
                <w:color w:val="auto"/>
                <w:szCs w:val="21"/>
                <w:highlight w:val="none"/>
              </w:rPr>
              <w:t>门户系统</w:t>
            </w:r>
          </w:p>
        </w:tc>
        <w:tc>
          <w:tcPr>
            <w:tcW w:w="429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在1小时以内响应，4小时以内处理。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2697" w:type="dxa"/>
            <w:tcBorders>
              <w:top w:val="single" w:color="000000" w:sz="4" w:space="0"/>
              <w:left w:val="single" w:color="000000" w:sz="4" w:space="0"/>
              <w:bottom w:val="single" w:color="000000" w:sz="4" w:space="0"/>
              <w:right w:val="single" w:color="000000" w:sz="4" w:space="0"/>
            </w:tcBorders>
            <w:vAlign w:val="center"/>
          </w:tcPr>
          <w:p>
            <w:pPr>
              <w:tabs>
                <w:tab w:val="left" w:pos="600"/>
              </w:tabs>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公文管理系统</w:t>
            </w:r>
          </w:p>
        </w:tc>
        <w:tc>
          <w:tcPr>
            <w:tcW w:w="429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在1小时以内响应，4小时以内处理。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2697"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档案信息管理系统</w:t>
            </w:r>
          </w:p>
        </w:tc>
        <w:tc>
          <w:tcPr>
            <w:tcW w:w="429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在1小时以内响应，4小时以内处理。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p>
        </w:tc>
        <w:tc>
          <w:tcPr>
            <w:tcW w:w="2697"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法院专网网站</w:t>
            </w:r>
          </w:p>
        </w:tc>
        <w:tc>
          <w:tcPr>
            <w:tcW w:w="429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在1小时以内响应，4小时以内处理。</w:t>
            </w:r>
          </w:p>
        </w:tc>
      </w:tr>
    </w:tbl>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210" w:name="_Toc65786129"/>
      <w:r>
        <w:rPr>
          <w:rFonts w:hint="eastAsia" w:ascii="宋体" w:hAnsi="宋体" w:eastAsia="宋体" w:cs="宋体"/>
          <w:color w:val="auto"/>
          <w:sz w:val="28"/>
          <w:szCs w:val="28"/>
          <w:highlight w:val="none"/>
        </w:rPr>
        <w:t>2、与统建平台数据对接同步服务时间响应需求</w:t>
      </w:r>
      <w:bookmarkEnd w:id="210"/>
    </w:p>
    <w:tbl>
      <w:tblPr>
        <w:tblStyle w:val="20"/>
        <w:tblW w:w="7968" w:type="dxa"/>
        <w:jc w:val="center"/>
        <w:tblLayout w:type="autofit"/>
        <w:tblCellMar>
          <w:top w:w="0" w:type="dxa"/>
          <w:left w:w="108" w:type="dxa"/>
          <w:bottom w:w="0" w:type="dxa"/>
          <w:right w:w="108" w:type="dxa"/>
        </w:tblCellMar>
      </w:tblPr>
      <w:tblGrid>
        <w:gridCol w:w="700"/>
        <w:gridCol w:w="3667"/>
        <w:gridCol w:w="3601"/>
      </w:tblGrid>
      <w:tr>
        <w:tblPrEx>
          <w:tblCellMar>
            <w:top w:w="0" w:type="dxa"/>
            <w:left w:w="108" w:type="dxa"/>
            <w:bottom w:w="0" w:type="dxa"/>
            <w:right w:w="108" w:type="dxa"/>
          </w:tblCellMar>
        </w:tblPrEx>
        <w:trPr>
          <w:trHeight w:val="567"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序号</w:t>
            </w:r>
          </w:p>
        </w:tc>
        <w:tc>
          <w:tcPr>
            <w:tcW w:w="366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服务名称</w:t>
            </w:r>
          </w:p>
        </w:tc>
        <w:tc>
          <w:tcPr>
            <w:tcW w:w="36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b/>
                <w:bCs/>
                <w:color w:val="auto"/>
                <w:kern w:val="0"/>
                <w:szCs w:val="21"/>
                <w:highlight w:val="none"/>
              </w:rPr>
            </w:pPr>
            <w:r>
              <w:rPr>
                <w:rFonts w:hint="eastAsia" w:ascii="宋体" w:hAnsi="宋体" w:eastAsia="宋体" w:cs="宋体"/>
                <w:color w:val="auto"/>
                <w:szCs w:val="21"/>
                <w:highlight w:val="none"/>
              </w:rPr>
              <w:t>响应时间需求</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3667"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一级网数据上报系统（2015标准）</w:t>
            </w:r>
          </w:p>
        </w:tc>
        <w:tc>
          <w:tcPr>
            <w:tcW w:w="3601" w:type="dxa"/>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在1小时以内响应，2小时以内处理。</w:t>
            </w:r>
          </w:p>
        </w:tc>
      </w:tr>
      <w:tr>
        <w:tblPrEx>
          <w:tblCellMar>
            <w:top w:w="0" w:type="dxa"/>
            <w:left w:w="108" w:type="dxa"/>
            <w:bottom w:w="0" w:type="dxa"/>
            <w:right w:w="108" w:type="dxa"/>
          </w:tblCellMar>
        </w:tblPrEx>
        <w:trPr>
          <w:trHeight w:val="567"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366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人民法院数据平台三类外部数据对接服务</w:t>
            </w:r>
          </w:p>
        </w:tc>
        <w:tc>
          <w:tcPr>
            <w:tcW w:w="360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在1小时以内响应，4小时以内处理。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366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兵团法院外部领导干部过问案件信息数据对接服务</w:t>
            </w:r>
          </w:p>
        </w:tc>
        <w:tc>
          <w:tcPr>
            <w:tcW w:w="3601"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在1小时以内响应，4小时以内处理。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366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兵团移动微法院网上立案数据对接服务</w:t>
            </w:r>
          </w:p>
        </w:tc>
        <w:tc>
          <w:tcPr>
            <w:tcW w:w="3601"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在1小时以内响应，2小时以内处理。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366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全国法院信访信息管理系统数据对接服务</w:t>
            </w:r>
          </w:p>
        </w:tc>
        <w:tc>
          <w:tcPr>
            <w:tcW w:w="3601"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在1小时以内响应，4小时以内处理。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366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兵团法院裁判文书自动上网数据对接服务</w:t>
            </w:r>
          </w:p>
        </w:tc>
        <w:tc>
          <w:tcPr>
            <w:tcW w:w="3601"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在1小时以内响应，4小时以内处理。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w:t>
            </w:r>
          </w:p>
        </w:tc>
        <w:tc>
          <w:tcPr>
            <w:tcW w:w="366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全国企业破产重整案件信息平台数据对接服务</w:t>
            </w:r>
          </w:p>
        </w:tc>
        <w:tc>
          <w:tcPr>
            <w:tcW w:w="3601"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在1小时以内响应，4小时以内处理。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w:t>
            </w:r>
          </w:p>
        </w:tc>
        <w:tc>
          <w:tcPr>
            <w:tcW w:w="366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兵团法院“道交一体化平台”数据对接服务</w:t>
            </w:r>
          </w:p>
        </w:tc>
        <w:tc>
          <w:tcPr>
            <w:tcW w:w="3601"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在1小时以内响应，4小时以内处理。</w:t>
            </w:r>
          </w:p>
        </w:tc>
      </w:tr>
      <w:tr>
        <w:tblPrEx>
          <w:tblCellMar>
            <w:top w:w="0" w:type="dxa"/>
            <w:left w:w="108" w:type="dxa"/>
            <w:bottom w:w="0" w:type="dxa"/>
            <w:right w:w="108" w:type="dxa"/>
          </w:tblCellMar>
        </w:tblPrEx>
        <w:trPr>
          <w:trHeight w:val="567"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9</w:t>
            </w:r>
          </w:p>
        </w:tc>
        <w:tc>
          <w:tcPr>
            <w:tcW w:w="366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科技法庭庭审视频数据对接服务</w:t>
            </w:r>
          </w:p>
        </w:tc>
        <w:tc>
          <w:tcPr>
            <w:tcW w:w="360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在1小时以内响应，4小时以内处理。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p>
        </w:tc>
        <w:tc>
          <w:tcPr>
            <w:tcW w:w="366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Zwz政法委数据对接服务</w:t>
            </w:r>
          </w:p>
        </w:tc>
        <w:tc>
          <w:tcPr>
            <w:tcW w:w="3601"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在1小时以内响应，4小时以内处理。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366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206系统数据对接服务</w:t>
            </w:r>
          </w:p>
        </w:tc>
        <w:tc>
          <w:tcPr>
            <w:tcW w:w="3601"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在1小时以内响应，4小时以内处理。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366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“法智罗盘”数据对接服务</w:t>
            </w:r>
          </w:p>
        </w:tc>
        <w:tc>
          <w:tcPr>
            <w:tcW w:w="3601"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在1小时以内响应，4小时以内处理。</w:t>
            </w:r>
          </w:p>
        </w:tc>
      </w:tr>
    </w:tbl>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211" w:name="_Toc65786130"/>
      <w:bookmarkStart w:id="212" w:name="_Toc65837746"/>
      <w:r>
        <w:rPr>
          <w:rFonts w:hint="eastAsia" w:ascii="宋体" w:hAnsi="宋体" w:eastAsia="宋体" w:cs="宋体"/>
          <w:color w:val="auto"/>
          <w:sz w:val="28"/>
          <w:szCs w:val="28"/>
          <w:highlight w:val="none"/>
        </w:rPr>
        <w:t>3、数据库系统服务时间响应需求</w:t>
      </w:r>
      <w:bookmarkEnd w:id="211"/>
      <w:bookmarkEnd w:id="212"/>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2"/>
        <w:gridCol w:w="2271"/>
        <w:gridCol w:w="4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227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信息系统名称</w:t>
            </w:r>
          </w:p>
        </w:tc>
        <w:tc>
          <w:tcPr>
            <w:tcW w:w="4725"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服务质量要求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271" w:type="dxa"/>
            <w:tcBorders>
              <w:top w:val="single" w:color="000000" w:sz="4" w:space="0"/>
              <w:left w:val="single" w:color="000000" w:sz="4" w:space="0"/>
              <w:bottom w:val="single" w:color="000000" w:sz="4" w:space="0"/>
              <w:right w:val="single" w:color="000000" w:sz="4" w:space="0"/>
            </w:tcBorders>
            <w:vAlign w:val="center"/>
          </w:tcPr>
          <w:p>
            <w:pPr>
              <w:tabs>
                <w:tab w:val="left" w:pos="600"/>
              </w:tabs>
              <w:jc w:val="center"/>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Oracle</w:t>
            </w:r>
            <w:r>
              <w:rPr>
                <w:rFonts w:hint="eastAsia" w:ascii="宋体" w:hAnsi="宋体" w:eastAsia="宋体" w:cs="宋体"/>
                <w:color w:val="auto"/>
                <w:szCs w:val="21"/>
                <w:highlight w:val="none"/>
              </w:rPr>
              <w:t>数据库系统</w:t>
            </w:r>
          </w:p>
        </w:tc>
        <w:tc>
          <w:tcPr>
            <w:tcW w:w="4725"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在0.5小时以内响应,2小时以内处理。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发生系统无法正常运行时，应当安排技术人员立即到现场排除故障，恢复运行。如果预计故障解决时间大于1天，应第一时间报告兵团分院信息中心领导，启动应急处理流程。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2"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271" w:type="dxa"/>
            <w:tcBorders>
              <w:top w:val="single" w:color="000000" w:sz="4" w:space="0"/>
              <w:left w:val="single" w:color="000000" w:sz="4" w:space="0"/>
              <w:bottom w:val="single" w:color="000000" w:sz="4" w:space="0"/>
              <w:right w:val="single" w:color="000000" w:sz="4" w:space="0"/>
            </w:tcBorders>
            <w:vAlign w:val="center"/>
          </w:tcPr>
          <w:p>
            <w:pPr>
              <w:tabs>
                <w:tab w:val="left" w:pos="600"/>
              </w:tabs>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SYBASE</w:t>
            </w:r>
            <w:r>
              <w:rPr>
                <w:rFonts w:hint="eastAsia" w:ascii="宋体" w:hAnsi="宋体" w:eastAsia="宋体" w:cs="宋体"/>
                <w:color w:val="auto"/>
                <w:szCs w:val="21"/>
                <w:highlight w:val="none"/>
              </w:rPr>
              <w:t>数据库系统</w:t>
            </w:r>
          </w:p>
        </w:tc>
        <w:tc>
          <w:tcPr>
            <w:tcW w:w="4725"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在0.5小时以内响应,2小时以内处理。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发生系统无法正常运行时，应当安排技术人员立即到现场排除故障，恢复运行。如果预计故障解决时间大于1天，应第一时间报告兵团分院信息中心领导，启动应急处理流程。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271" w:type="dxa"/>
            <w:tcBorders>
              <w:top w:val="single" w:color="000000" w:sz="4" w:space="0"/>
              <w:left w:val="single" w:color="000000" w:sz="4" w:space="0"/>
              <w:bottom w:val="single" w:color="000000" w:sz="4" w:space="0"/>
              <w:right w:val="single" w:color="000000" w:sz="4" w:space="0"/>
            </w:tcBorders>
            <w:vAlign w:val="center"/>
          </w:tcPr>
          <w:p>
            <w:pPr>
              <w:tabs>
                <w:tab w:val="left" w:pos="600"/>
              </w:tabs>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SQL Server</w:t>
            </w:r>
            <w:r>
              <w:rPr>
                <w:rFonts w:hint="eastAsia" w:ascii="宋体" w:hAnsi="宋体" w:eastAsia="宋体" w:cs="宋体"/>
                <w:color w:val="auto"/>
                <w:szCs w:val="21"/>
                <w:highlight w:val="none"/>
              </w:rPr>
              <w:t>数据库系统</w:t>
            </w:r>
          </w:p>
        </w:tc>
        <w:tc>
          <w:tcPr>
            <w:tcW w:w="4725"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在0.5小时以内响应,2小时以内处理。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发生系统无法正常运行时，应当安排技术人员立即到现场排除故障，恢复运行。如果预计故障解决时间大于1天，应第一时间报告兵团分院信息中心领导，启动应急处理流程。</w:t>
            </w:r>
          </w:p>
        </w:tc>
      </w:tr>
    </w:tbl>
    <w:p>
      <w:pPr>
        <w:pStyle w:val="24"/>
        <w:tabs>
          <w:tab w:val="center" w:pos="4201"/>
          <w:tab w:val="right" w:leader="dot" w:pos="9298"/>
        </w:tabs>
        <w:ind w:firstLine="560"/>
        <w:rPr>
          <w:rFonts w:hint="eastAsia" w:ascii="宋体" w:hAnsi="宋体" w:eastAsia="宋体" w:cs="宋体"/>
          <w:color w:val="auto"/>
          <w:sz w:val="28"/>
          <w:szCs w:val="28"/>
          <w:highlight w:val="none"/>
        </w:rPr>
      </w:pPr>
    </w:p>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213" w:name="_Toc69456059"/>
      <w:r>
        <w:rPr>
          <w:rFonts w:hint="eastAsia" w:ascii="宋体" w:hAnsi="宋体" w:eastAsia="宋体" w:cs="宋体"/>
          <w:color w:val="auto"/>
          <w:sz w:val="28"/>
          <w:szCs w:val="28"/>
          <w:highlight w:val="none"/>
        </w:rPr>
        <w:t>（四）驻场服务人员分工需求</w:t>
      </w:r>
      <w:bookmarkEnd w:id="213"/>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按照兵团法院实际工作需要配置驻场技术服务人员，人员数量不能少于13名。其中审判综合服务1名，软件系统前台维护4名，软件系统后台维护2名，数据统计1名，数据库运维1名，机房运维1名，会议保障1名，桌面运维2名。服务人员分工需求如下：</w:t>
      </w:r>
    </w:p>
    <w:p>
      <w:pPr>
        <w:pStyle w:val="6"/>
        <w:rPr>
          <w:rFonts w:hint="eastAsia" w:ascii="宋体" w:hAnsi="宋体" w:eastAsia="宋体" w:cs="宋体"/>
          <w:color w:val="auto"/>
          <w:highlight w:val="none"/>
        </w:rPr>
      </w:pPr>
      <w:bookmarkStart w:id="214" w:name="_Toc69456060"/>
      <w:r>
        <w:rPr>
          <w:rFonts w:hint="eastAsia" w:ascii="宋体" w:hAnsi="宋体" w:eastAsia="宋体" w:cs="宋体"/>
          <w:color w:val="auto"/>
          <w:highlight w:val="none"/>
        </w:rPr>
        <w:t>1、审判综合岗</w:t>
      </w:r>
      <w:bookmarkEnd w:id="214"/>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岗位人数：1名。</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岗位工作内容及工作量：</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①项目整体运维服务工作协调。（287次）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②参与审判、办公、档案、邮件、数据上报等各类各软件系统前台、后台维护。（前台维护156次，后台维护102次）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③审判、办公、档案等业务系统用户反馈意见的需求调研、收集、整理、落实和反馈。（158次）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④与公司开发人员沟通、讨论软件系统升级、修改方案，并跟进后期成效。（91次）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⑤协调并处理各类运维服务工作中的重点、难点问题。（104次）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⑥审判业务管理系统、案件数据汇集、办公平台等重要信息系统数据备份工作。（252次，每个工作日一次）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⑦重点业务软件的集中培训工作。（6次）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⑧兵团分院院领导及各部门领导交办的其他服务工作。（128次）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⑨公司安排的相关工作。（65次）</w:t>
      </w:r>
    </w:p>
    <w:p>
      <w:pPr>
        <w:pStyle w:val="6"/>
        <w:ind w:left="883"/>
        <w:rPr>
          <w:rFonts w:hint="eastAsia" w:ascii="宋体" w:hAnsi="宋体" w:eastAsia="宋体" w:cs="宋体"/>
          <w:color w:val="auto"/>
          <w:highlight w:val="none"/>
        </w:rPr>
      </w:pPr>
      <w:bookmarkStart w:id="215" w:name="_Toc69456061"/>
      <w:r>
        <w:rPr>
          <w:rFonts w:hint="eastAsia" w:ascii="宋体" w:hAnsi="宋体" w:eastAsia="宋体" w:cs="宋体"/>
          <w:color w:val="auto"/>
          <w:highlight w:val="none"/>
        </w:rPr>
        <w:t>2、软件后台服务岗</w:t>
      </w:r>
      <w:bookmarkEnd w:id="215"/>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岗位人数：2名。</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岗位工作内容及工作量（根据2020年服务数据统计）：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①审判、办公、档案、数据上报等各类系统的例行检查服务。（252次，每个系统每天1次）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②指导各级法院各类软件系统后台的功能操作和具体使用。（275次）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③各类接口运行情况检查，异常问题排查和处理。（139次）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④各系统及数据接口的迁移、升级和更新服务响应。（98次）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⑤各师法院软件服务器异常问题排查，并指导法院网管员排除简单故障问题。（117次）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⑥各单位、各厂商相关系统之间的数据对接接口联调、测试和故障排除等。（35次，累计175天）</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⑦最高院大数据平台一致率跟踪，本地和最高数据核对核查等。基于最高人民法院大数据管理与服务平台和执行指挥数据管理平台，每日监控兵团法院系统案件数据、文书数据、电子卷宗数据上报质量，及时发现问题并处理。具体内容包括：</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（1）每日监控数据实时上报接口、全量上报接口和月结接口运行情况，如有异常，及时排除。（252次）</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（2）每日检查大数据平台中两库比对模块案件覆盖率是否达到99%以上，如果低于99%，需及时处理新收差异、旧存差异、已结差异、未结差异和异常案件列表。（252次）</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（3）每日检查大数据平台中案件质量报告，司法统计信息质检、案件基本信息质检和审判管理信息质检合格率是否达到98%以上，如果低于99%，需及时导出不合格案件列表，排查处理问题。（252次）</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（4）每日检查大数据平台中文书质量报告，文书质量置信度是否达到95%以上，如果低于95%，需及时导出不合格案件列表，排查处理问题。（252次）</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（5）每日检查大数据平台中电子卷宗数据汇聚情况，最高法院原审卷宗汇聚统计情况，卷宗档案合并可用率是否达到95%，如果低于95%，需及时导出不合格案件列表，排查处理问题。（252次）</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⑧接听服务电话，响应各软件后台服务内容。（628次）</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⑨组织和开展各软件系统后台使用的操作培训。（7次）</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⑩收集整理接口运行过程中的问题，反馈公司研发处理。（52次）</w:t>
      </w:r>
    </w:p>
    <w:p>
      <w:pPr>
        <w:pStyle w:val="6"/>
        <w:ind w:left="883"/>
        <w:rPr>
          <w:rFonts w:hint="eastAsia" w:ascii="宋体" w:hAnsi="宋体" w:eastAsia="宋体" w:cs="宋体"/>
          <w:color w:val="auto"/>
          <w:highlight w:val="none"/>
        </w:rPr>
      </w:pPr>
      <w:bookmarkStart w:id="216" w:name="_Toc69456062"/>
      <w:r>
        <w:rPr>
          <w:rFonts w:hint="eastAsia" w:ascii="宋体" w:hAnsi="宋体" w:eastAsia="宋体" w:cs="宋体"/>
          <w:color w:val="auto"/>
          <w:highlight w:val="none"/>
        </w:rPr>
        <w:t>3、软件前台服务岗</w:t>
      </w:r>
      <w:bookmarkEnd w:id="216"/>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岗位人数：4名。（2名负责接听服务电话，2名负责cocall、微信等其他渠道服务响应和其他运维工作处理）</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岗位工作内容及工作量（根据2020年服务数据统计）：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①审判、办公、档案、邮件、数据上报及各类接口系统前台使用指导和答疑。（624人·次）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②兵团三级法院日常服务电话、内网cocall、微信等各种渠道服务需求的相应，解决各个法院在办案过程中出现使用问题处理。（日常服务电话9572人·次，内网cocall 2080人·次，微信及微信交流群3120人·次）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③各类软件的补丁更新工作。（241次）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④软件升级后的集中培训和使用指导工作。（65次）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⑤兵团三级法院干警日常办公软件的使用指导工作。（416次）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⑥本级法院各部门干警现场软件应用指导工作。（527次）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⑦本级法院日常服务响应。内容包括：</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a.全国法院统一用户管理系统人员兵团分院维护及辖区法院指导维护工作。（117次，347人）</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b.全国法院即时通讯系统cocall人员账号兵团分院维护及辖区法院指导维护工作。（54次，139人）</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c.兵团分院通讯录新增、修改和删除维护及辖区法院指导维护工作。（220次，754人）</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d.各类软件数据备份、数据检查、数据迁移和数据恢复等数据运维工作。（38次）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⑧用户使用意见和建议的收集、整理和提交工作。（95次）</w:t>
      </w:r>
    </w:p>
    <w:p>
      <w:pPr>
        <w:pStyle w:val="24"/>
        <w:tabs>
          <w:tab w:val="center" w:pos="4201"/>
          <w:tab w:val="right" w:leader="dot" w:pos="9298"/>
        </w:tabs>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⑨运维服务知识的记录、整理、汇总及其他相关服务工作。（52次）</w:t>
      </w:r>
    </w:p>
    <w:p>
      <w:pPr>
        <w:pStyle w:val="6"/>
        <w:ind w:left="883"/>
        <w:rPr>
          <w:rFonts w:hint="eastAsia" w:ascii="宋体" w:hAnsi="宋体" w:eastAsia="宋体" w:cs="宋体"/>
          <w:color w:val="auto"/>
          <w:highlight w:val="none"/>
        </w:rPr>
      </w:pPr>
      <w:bookmarkStart w:id="217" w:name="_Toc69456063"/>
      <w:r>
        <w:rPr>
          <w:rFonts w:hint="eastAsia" w:ascii="宋体" w:hAnsi="宋体" w:eastAsia="宋体" w:cs="宋体"/>
          <w:color w:val="auto"/>
          <w:highlight w:val="none"/>
        </w:rPr>
        <w:t>4、数据统计服务岗</w:t>
      </w:r>
      <w:bookmarkEnd w:id="217"/>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岗位人数：1名。</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岗位工作内容及工作量（根据2020年服务数据统计）：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协助兵团法院司法统计人员完成以下数据统计与分析服务。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①月度、季度、年度报表数据统计。（15次，报表118张）</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②兵团法院系统审判执行态势分析报告所需数据统计与分析。（协助完成报告8篇，工时44个工作日）</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③兵团法院系统执行案件相关数据统计。（28次，报表56张）</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④兵团法院法官、审判辅助人员个人绩效考核相关数据统计。（4次，报表16张，工时20个工作日）</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⑤兵团法院各部门所需个性化数据统计。（93次，报表242张）</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⑥法院外部单位所需数据统计。（15次，28张）</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⑦最高院大数据平台数据质量监控和问题处理。（127次）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⑧院里临时安排的各类工作报告所需的数据统计。（35次）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⑨44家法院案件信息数据核对与修改。（104次，382件）</w:t>
      </w:r>
    </w:p>
    <w:p>
      <w:pPr>
        <w:pStyle w:val="6"/>
        <w:ind w:left="883"/>
        <w:rPr>
          <w:rFonts w:hint="eastAsia" w:ascii="宋体" w:hAnsi="宋体" w:eastAsia="宋体" w:cs="宋体"/>
          <w:color w:val="auto"/>
          <w:highlight w:val="none"/>
        </w:rPr>
      </w:pPr>
      <w:bookmarkStart w:id="218" w:name="_Toc69456064"/>
      <w:r>
        <w:rPr>
          <w:rFonts w:hint="eastAsia" w:ascii="宋体" w:hAnsi="宋体" w:eastAsia="宋体" w:cs="宋体"/>
          <w:color w:val="auto"/>
          <w:highlight w:val="none"/>
        </w:rPr>
        <w:t>5、数据库运维服务岗</w:t>
      </w:r>
      <w:bookmarkEnd w:id="218"/>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岗位人数：1名。</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按照兵团分院数据运维服务中数据库运维服务的要求完成各项服务工作。</w:t>
      </w:r>
    </w:p>
    <w:p>
      <w:pPr>
        <w:pStyle w:val="6"/>
        <w:ind w:left="883"/>
        <w:rPr>
          <w:rFonts w:hint="eastAsia" w:ascii="宋体" w:hAnsi="宋体" w:eastAsia="宋体" w:cs="宋体"/>
          <w:color w:val="auto"/>
          <w:sz w:val="28"/>
          <w:szCs w:val="28"/>
          <w:highlight w:val="none"/>
        </w:rPr>
      </w:pPr>
      <w:r>
        <w:rPr>
          <w:rFonts w:hint="eastAsia" w:ascii="宋体" w:hAnsi="宋体" w:eastAsia="宋体" w:cs="宋体"/>
          <w:color w:val="auto"/>
          <w:highlight w:val="none"/>
        </w:rPr>
        <w:t>6、机房运维服务岗</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岗位人数：1名。</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岗位工作内容及工作量</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①电源、UPS：检查机房供电状况，UPS工作情况、指示状态。检查UPS蓄电池使用状态。</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②机房环境：检查机房卫生状况及物理环境。</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③机房温度：检查温湿度，将温湿度控制在一定范围内。温度：22℃±5℃，湿度 ≤60%.</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④机房空调：空调运行状态、空调内部有无漏水现象、空调噪音、空调风量等。</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⑤机房照明：机房照明系统是否正常，有无异常状况。</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⑥机房PDU：PDU市电或UPS是否正常，</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⑦机房设备：检查机房业务设备物理运行状态，有无报警及指示灯异常状态。。</w:t>
      </w:r>
    </w:p>
    <w:p>
      <w:pPr>
        <w:pStyle w:val="6"/>
        <w:ind w:left="8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7、会议保障服务岗</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岗位人数：1名。</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岗位工作内容及工作量</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负责兵团法院会议系统运维保障工作，对会议设备的正常运行，负责会议室内音视频等设备得联调工作。按照会议不同要求，对现有音视频设备进行适当调整，具体内容如下：</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日常会议保障管理及联调：第一时间内建立视频会议系统设备台账，承办会议工作日志和工作总结月报表；加强视频会议定期进行巡检，每月至少热机保养一次（开机不少于十分钟）及时发现和排除各类隐患、故障保持视频会议系统良好状态，检查视频会议终端连接状态和工作状态，对维保范围内软硬件运行状态进行评估分析，并填写设备运行评估报告，每次巡检应作好记录，纳入半年工作总结提交信息部门审核；加强摄像头、话筒、显示器等终端设备管理。严禁将视频会议主机挪作它用，严禁擅自出借会议系统配套摄像机、显示器和话筒设备；确保控制室整洁有序，设备防尘，接地等安全管理措施落实，严禁闲杂人员进入。</w:t>
      </w:r>
    </w:p>
    <w:p>
      <w:pPr>
        <w:pStyle w:val="24"/>
        <w:tabs>
          <w:tab w:val="center" w:pos="4201"/>
          <w:tab w:val="right" w:leader="dot" w:pos="9298"/>
        </w:tabs>
        <w:ind w:firstLine="560"/>
        <w:rPr>
          <w:rFonts w:hint="eastAsia" w:ascii="宋体" w:hAnsi="宋体" w:eastAsia="宋体" w:cs="宋体"/>
          <w:color w:val="auto"/>
          <w:sz w:val="32"/>
          <w:highlight w:val="none"/>
        </w:rPr>
      </w:pPr>
      <w:r>
        <w:rPr>
          <w:rFonts w:hint="eastAsia" w:ascii="宋体" w:hAnsi="宋体" w:eastAsia="宋体" w:cs="宋体"/>
          <w:color w:val="auto"/>
          <w:sz w:val="28"/>
          <w:szCs w:val="28"/>
          <w:highlight w:val="none"/>
        </w:rPr>
        <w:t>②会中保障：会议进行中，运维工程师全程在视频会议现场提供技术保障（网络、音视频畅通）实时监控本地会场画面，应对会议期间出现各种问题或者突发紧急故障，保障会议系统正常运行；会议进行若出现音频视频信号故障，运维工程师根据实际情况进行故障排除或启用备用会议系统设备，迅速恢复会议系统；会议期间若本地分会场有发言安排时，运维工程师密切关注主会场发言通知信号，及时将镜头切换至领导特写画面，配合做好话筒设备开启、音量调节正常和主备更换等工作，发言结束及时将画面恢复全景。</w:t>
      </w:r>
    </w:p>
    <w:p>
      <w:pPr>
        <w:pStyle w:val="6"/>
        <w:ind w:left="8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8、桌面运维服务岗</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岗位人数：2名。</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岗位工作内容及工作量</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办公区域内桌面端的计算机、云桌面客户端、计算机外设、打印机和其它办公用电子设备等设备进行清洁保养、给配电以及外围设备等环境保养以及桌面端常用的办公软件（包括操作系统软件和办公软件）。</w:t>
      </w:r>
    </w:p>
    <w:p>
      <w:pPr>
        <w:pStyle w:val="24"/>
        <w:tabs>
          <w:tab w:val="center" w:pos="4201"/>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软件维护：操作系统的安装、调试及升级；外设（打印机等设备）的相关驱动程序及软件的安装调试；经客户授权进行软件安装、升级并排除软件使用过程中的故障；解决软件冲突造成的系统故障；对计算机进行病毒检测和清除，防止病毒扩散；</w:t>
      </w:r>
    </w:p>
    <w:p>
      <w:pPr>
        <w:pStyle w:val="24"/>
        <w:tabs>
          <w:tab w:val="center" w:pos="4201"/>
          <w:tab w:val="right" w:leader="dot" w:pos="8222"/>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硬件维修及更换：在响应时间内完成故障设备的维修，维修人员应严格遵守维修规程。对关键重点岗位及紧急的故障及时响应并及时汇报，对于故障设备的维修建立合理的台账机制；对处于保修期内的故障设备，主动协调相应产品供货商予以维修，并监督维修时效和质量。</w:t>
      </w:r>
    </w:p>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219" w:name="_Toc69456065"/>
      <w:r>
        <w:rPr>
          <w:rFonts w:hint="eastAsia" w:ascii="宋体" w:hAnsi="宋体" w:eastAsia="宋体" w:cs="宋体"/>
          <w:color w:val="auto"/>
          <w:sz w:val="28"/>
          <w:szCs w:val="28"/>
          <w:highlight w:val="none"/>
        </w:rPr>
        <w:t>（五）服务保障需求</w:t>
      </w:r>
      <w:bookmarkEnd w:id="219"/>
    </w:p>
    <w:p>
      <w:pPr>
        <w:pStyle w:val="24"/>
        <w:tabs>
          <w:tab w:val="center" w:pos="4201"/>
          <w:tab w:val="right" w:leader="dot" w:pos="9298"/>
        </w:tabs>
        <w:ind w:firstLine="560"/>
        <w:rPr>
          <w:rFonts w:hint="eastAsia" w:ascii="宋体" w:hAnsi="宋体" w:eastAsia="宋体" w:cs="宋体"/>
          <w:color w:val="auto"/>
          <w:szCs w:val="28"/>
          <w:highlight w:val="none"/>
        </w:rPr>
      </w:pPr>
      <w:bookmarkStart w:id="220" w:name="_Toc468990112"/>
      <w:r>
        <w:rPr>
          <w:rFonts w:hint="eastAsia" w:ascii="宋体" w:hAnsi="宋体" w:eastAsia="宋体" w:cs="宋体"/>
          <w:color w:val="auto"/>
          <w:sz w:val="28"/>
          <w:szCs w:val="28"/>
          <w:highlight w:val="none"/>
        </w:rPr>
        <w:t>运维服务保障主要包括人员管理、资源管理和过程管理三个部分。</w:t>
      </w:r>
    </w:p>
    <w:p>
      <w:pPr>
        <w:pStyle w:val="6"/>
        <w:spacing w:before="0" w:after="0" w:line="240" w:lineRule="auto"/>
        <w:ind w:firstLine="562"/>
        <w:rPr>
          <w:rFonts w:hint="eastAsia" w:ascii="宋体" w:hAnsi="宋体" w:eastAsia="宋体" w:cs="宋体"/>
          <w:color w:val="auto"/>
          <w:sz w:val="28"/>
          <w:szCs w:val="28"/>
          <w:highlight w:val="none"/>
        </w:rPr>
      </w:pPr>
      <w:bookmarkStart w:id="221" w:name="_Toc69456066"/>
      <w:bookmarkStart w:id="222" w:name="_Toc65240298"/>
      <w:r>
        <w:rPr>
          <w:rFonts w:hint="eastAsia" w:ascii="宋体" w:hAnsi="宋体" w:eastAsia="宋体" w:cs="宋体"/>
          <w:color w:val="auto"/>
          <w:sz w:val="28"/>
          <w:szCs w:val="28"/>
          <w:highlight w:val="none"/>
        </w:rPr>
        <w:t>1、人员管理</w:t>
      </w:r>
      <w:bookmarkEnd w:id="220"/>
      <w:bookmarkEnd w:id="221"/>
      <w:bookmarkEnd w:id="222"/>
    </w:p>
    <w:p>
      <w:pPr>
        <w:pStyle w:val="7"/>
        <w:ind w:left="643"/>
        <w:rPr>
          <w:rFonts w:hint="eastAsia" w:ascii="宋体" w:hAnsi="宋体" w:eastAsia="宋体" w:cs="宋体"/>
          <w:color w:val="auto"/>
          <w:highlight w:val="none"/>
        </w:rPr>
      </w:pPr>
      <w:bookmarkStart w:id="223" w:name="_Toc69456067"/>
      <w:r>
        <w:rPr>
          <w:rFonts w:hint="eastAsia" w:ascii="宋体" w:hAnsi="宋体" w:eastAsia="宋体" w:cs="宋体"/>
          <w:color w:val="auto"/>
          <w:highlight w:val="none"/>
        </w:rPr>
        <w:t>1.1组织结构</w:t>
      </w:r>
      <w:bookmarkEnd w:id="223"/>
    </w:p>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224" w:name="_Toc480300153"/>
      <w:r>
        <w:rPr>
          <w:rFonts w:hint="eastAsia" w:ascii="宋体" w:hAnsi="宋体" w:eastAsia="宋体" w:cs="宋体"/>
          <w:color w:val="auto"/>
          <w:sz w:val="28"/>
          <w:szCs w:val="28"/>
          <w:highlight w:val="none"/>
        </w:rPr>
        <w:t>根据兵团法院升级、运维服务项目和内容，按照以兵团法院实际工作需要配置服务人员</w:t>
      </w:r>
      <w:bookmarkEnd w:id="224"/>
      <w:r>
        <w:rPr>
          <w:rFonts w:hint="eastAsia" w:ascii="宋体" w:hAnsi="宋体" w:eastAsia="宋体" w:cs="宋体"/>
          <w:color w:val="auto"/>
          <w:sz w:val="28"/>
          <w:szCs w:val="28"/>
          <w:highlight w:val="none"/>
        </w:rPr>
        <w:t>，其中兵团法院驻场服务人员不能少于13名。其中审判综合服务1名，软件系统前台维护4名，软件系统后台维护2名，数据统计1名，数据库运维1名，机房运维1名，会议保障1名，桌面运维2名。</w:t>
      </w:r>
    </w:p>
    <w:p>
      <w:pPr>
        <w:pStyle w:val="7"/>
        <w:ind w:left="643"/>
        <w:rPr>
          <w:rFonts w:hint="eastAsia" w:ascii="宋体" w:hAnsi="宋体" w:eastAsia="宋体" w:cs="宋体"/>
          <w:color w:val="auto"/>
          <w:highlight w:val="none"/>
        </w:rPr>
      </w:pPr>
      <w:bookmarkStart w:id="225" w:name="_Toc69456068"/>
      <w:r>
        <w:rPr>
          <w:rFonts w:hint="eastAsia" w:ascii="宋体" w:hAnsi="宋体" w:eastAsia="宋体" w:cs="宋体"/>
          <w:color w:val="auto"/>
          <w:highlight w:val="none"/>
        </w:rPr>
        <w:t>1.2人员资质及要求</w:t>
      </w:r>
      <w:bookmarkEnd w:id="225"/>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参与本项目的驻场服务工程师，需满足以下要求：</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（1）熟悉本人负责产品和相关业务。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（2）可独立完成本人负责产品的培训、使用指导工作。</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（3）有能力处理本人负责产品的客服电话、常见问题。</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（4）能够准确记录，并理解用户需求，具备一定的需求分析能力。</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（5）了解数据库安装、部署；掌握软件版本补丁升级、数据备份等基本操作。</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（6）熟悉SQL语句、应用服务器安装配置等技术，有一定的数据处理能力，可以配合现场完成简单的数据统计工作。</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（7）有良好团队协作力，能够完成老带新任务。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（8）有良好的承压能力，积极主动承担工作任务，能有效化解工作压力。</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（9）有良好的口头表达能力。</w:t>
      </w:r>
    </w:p>
    <w:p>
      <w:pPr>
        <w:pStyle w:val="7"/>
        <w:ind w:left="643"/>
        <w:rPr>
          <w:rFonts w:hint="eastAsia" w:ascii="宋体" w:hAnsi="宋体" w:eastAsia="宋体" w:cs="宋体"/>
          <w:color w:val="auto"/>
          <w:highlight w:val="none"/>
        </w:rPr>
      </w:pPr>
      <w:bookmarkStart w:id="226" w:name="_Toc69456069"/>
      <w:r>
        <w:rPr>
          <w:rFonts w:hint="eastAsia" w:ascii="宋体" w:hAnsi="宋体" w:eastAsia="宋体" w:cs="宋体"/>
          <w:color w:val="auto"/>
          <w:highlight w:val="none"/>
        </w:rPr>
        <w:t>1.3人员培训</w:t>
      </w:r>
      <w:bookmarkEnd w:id="226"/>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人员培训主要包括运维人员的服务技能、服务规范培训、信息安全、保密和相关法律法规的培训。</w:t>
      </w:r>
    </w:p>
    <w:p>
      <w:pPr>
        <w:pStyle w:val="7"/>
        <w:ind w:left="643"/>
        <w:rPr>
          <w:rFonts w:hint="eastAsia" w:ascii="宋体" w:hAnsi="宋体" w:eastAsia="宋体" w:cs="宋体"/>
          <w:color w:val="auto"/>
          <w:highlight w:val="none"/>
        </w:rPr>
      </w:pPr>
      <w:bookmarkStart w:id="227" w:name="_Toc69456070"/>
      <w:r>
        <w:rPr>
          <w:rFonts w:hint="eastAsia" w:ascii="宋体" w:hAnsi="宋体" w:eastAsia="宋体" w:cs="宋体"/>
          <w:color w:val="auto"/>
          <w:highlight w:val="none"/>
        </w:rPr>
        <w:t>1.4人员考核</w:t>
      </w:r>
      <w:bookmarkEnd w:id="227"/>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对运维人员从知识技能、服务态度、工作质量三个维度进行考核。通过对人员的考核，促进运维人员技能提高，规范运维服务过程，提高运维服务人员的服务意识，从而保障运维服务质量。</w:t>
      </w:r>
    </w:p>
    <w:p>
      <w:pPr>
        <w:pStyle w:val="6"/>
        <w:spacing w:before="0" w:after="0" w:line="240" w:lineRule="auto"/>
        <w:ind w:left="802"/>
        <w:rPr>
          <w:rFonts w:hint="eastAsia" w:ascii="宋体" w:hAnsi="宋体" w:eastAsia="宋体" w:cs="宋体"/>
          <w:color w:val="auto"/>
          <w:sz w:val="28"/>
          <w:szCs w:val="28"/>
          <w:highlight w:val="none"/>
        </w:rPr>
      </w:pPr>
      <w:bookmarkStart w:id="228" w:name="_Toc69456071"/>
      <w:bookmarkStart w:id="229" w:name="_Toc65240299"/>
      <w:bookmarkStart w:id="230" w:name="_Toc468990113"/>
      <w:r>
        <w:rPr>
          <w:rFonts w:hint="eastAsia" w:ascii="宋体" w:hAnsi="宋体" w:eastAsia="宋体" w:cs="宋体"/>
          <w:color w:val="auto"/>
          <w:sz w:val="28"/>
          <w:szCs w:val="28"/>
          <w:highlight w:val="none"/>
        </w:rPr>
        <w:t>2、资源管理</w:t>
      </w:r>
      <w:bookmarkEnd w:id="228"/>
      <w:bookmarkEnd w:id="229"/>
      <w:bookmarkEnd w:id="230"/>
    </w:p>
    <w:p>
      <w:pPr>
        <w:pStyle w:val="7"/>
        <w:ind w:left="643"/>
        <w:rPr>
          <w:rFonts w:hint="eastAsia" w:ascii="宋体" w:hAnsi="宋体" w:eastAsia="宋体" w:cs="宋体"/>
          <w:color w:val="auto"/>
          <w:highlight w:val="none"/>
        </w:rPr>
      </w:pPr>
      <w:bookmarkStart w:id="231" w:name="_Toc69456072"/>
      <w:r>
        <w:rPr>
          <w:rFonts w:hint="eastAsia" w:ascii="宋体" w:hAnsi="宋体" w:eastAsia="宋体" w:cs="宋体"/>
          <w:color w:val="auto"/>
          <w:highlight w:val="none"/>
        </w:rPr>
        <w:t>2.1服务台</w:t>
      </w:r>
      <w:bookmarkEnd w:id="231"/>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建立服务台，通过服务台统一受理用户的服务请求、故障申告和投诉；生成运维服务工单并实施工单的分派、跟踪和关闭；开展用户满意度调查。</w:t>
      </w:r>
    </w:p>
    <w:p>
      <w:pPr>
        <w:pStyle w:val="7"/>
        <w:ind w:left="643"/>
        <w:rPr>
          <w:rFonts w:hint="eastAsia" w:ascii="宋体" w:hAnsi="宋体" w:eastAsia="宋体" w:cs="宋体"/>
          <w:color w:val="auto"/>
          <w:highlight w:val="none"/>
        </w:rPr>
      </w:pPr>
      <w:bookmarkStart w:id="232" w:name="_Toc69456073"/>
      <w:r>
        <w:rPr>
          <w:rFonts w:hint="eastAsia" w:ascii="宋体" w:hAnsi="宋体" w:eastAsia="宋体" w:cs="宋体"/>
          <w:color w:val="auto"/>
          <w:highlight w:val="none"/>
        </w:rPr>
        <w:t>2.2知识库</w:t>
      </w:r>
      <w:bookmarkEnd w:id="232"/>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针对常见问题的描述、分析和解决方法建立知识库，确保整个组织内的知识是可用的、可共享的。建立知识管理机制，对运维服务活动进行知识积累，以保证在整个组织内收集、共享、重复使用所积累的知识和信息。</w:t>
      </w:r>
    </w:p>
    <w:p>
      <w:pPr>
        <w:pStyle w:val="6"/>
        <w:spacing w:before="0" w:after="0" w:line="240" w:lineRule="auto"/>
        <w:ind w:left="802"/>
        <w:rPr>
          <w:rFonts w:hint="eastAsia" w:ascii="宋体" w:hAnsi="宋体" w:eastAsia="宋体" w:cs="宋体"/>
          <w:color w:val="auto"/>
          <w:sz w:val="28"/>
          <w:szCs w:val="28"/>
          <w:highlight w:val="none"/>
        </w:rPr>
      </w:pPr>
      <w:bookmarkStart w:id="233" w:name="_Toc65240300"/>
      <w:bookmarkStart w:id="234" w:name="_Toc69456074"/>
      <w:r>
        <w:rPr>
          <w:rFonts w:hint="eastAsia" w:ascii="宋体" w:hAnsi="宋体" w:eastAsia="宋体" w:cs="宋体"/>
          <w:color w:val="auto"/>
          <w:sz w:val="28"/>
          <w:szCs w:val="28"/>
          <w:highlight w:val="none"/>
        </w:rPr>
        <w:t>3、过程管理</w:t>
      </w:r>
      <w:bookmarkEnd w:id="233"/>
      <w:bookmarkEnd w:id="234"/>
    </w:p>
    <w:p>
      <w:pPr>
        <w:pStyle w:val="7"/>
        <w:ind w:left="643"/>
        <w:rPr>
          <w:rFonts w:hint="eastAsia" w:ascii="宋体" w:hAnsi="宋体" w:eastAsia="宋体" w:cs="宋体"/>
          <w:color w:val="auto"/>
          <w:highlight w:val="none"/>
        </w:rPr>
      </w:pPr>
      <w:bookmarkStart w:id="235" w:name="_Toc69456075"/>
      <w:r>
        <w:rPr>
          <w:rFonts w:hint="eastAsia" w:ascii="宋体" w:hAnsi="宋体" w:eastAsia="宋体" w:cs="宋体"/>
          <w:color w:val="auto"/>
          <w:highlight w:val="none"/>
        </w:rPr>
        <w:t>3.1问题管理</w:t>
      </w:r>
      <w:bookmarkEnd w:id="235"/>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建立与问题处理流程，包括问题建立、分类、调查和诊断、解决、关闭等；建立问题导入知识库机制。</w:t>
      </w:r>
    </w:p>
    <w:p>
      <w:pPr>
        <w:pStyle w:val="7"/>
        <w:ind w:left="643"/>
        <w:rPr>
          <w:rFonts w:hint="eastAsia" w:ascii="宋体" w:hAnsi="宋体" w:eastAsia="宋体" w:cs="宋体"/>
          <w:color w:val="auto"/>
          <w:highlight w:val="none"/>
        </w:rPr>
      </w:pPr>
      <w:bookmarkStart w:id="236" w:name="_Toc69456076"/>
      <w:r>
        <w:rPr>
          <w:rFonts w:hint="eastAsia" w:ascii="宋体" w:hAnsi="宋体" w:eastAsia="宋体" w:cs="宋体"/>
          <w:color w:val="auto"/>
          <w:highlight w:val="none"/>
        </w:rPr>
        <w:t>3.2应急管理</w:t>
      </w:r>
      <w:bookmarkEnd w:id="236"/>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应急管理是应对各种突发事件，提前发现隐患，及时解决问题，降低应急事件可能带来的不良影响的重要保障。</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应急管理包括制定应急预案，明确应急事件的分类分级、人员组成、触发机制、处理流程等；定期开展应急演练。</w:t>
      </w:r>
    </w:p>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237" w:name="_Toc69456077"/>
      <w:r>
        <w:rPr>
          <w:rFonts w:hint="eastAsia" w:ascii="宋体" w:hAnsi="宋体" w:eastAsia="宋体" w:cs="宋体"/>
          <w:color w:val="auto"/>
          <w:sz w:val="28"/>
          <w:szCs w:val="28"/>
          <w:highlight w:val="none"/>
        </w:rPr>
        <w:t>（六）服务质量需求</w:t>
      </w:r>
      <w:bookmarkEnd w:id="237"/>
    </w:p>
    <w:p>
      <w:pPr>
        <w:pStyle w:val="6"/>
        <w:spacing w:before="0" w:after="0" w:line="240" w:lineRule="auto"/>
        <w:ind w:left="802"/>
        <w:rPr>
          <w:rFonts w:hint="eastAsia" w:ascii="宋体" w:hAnsi="宋体" w:eastAsia="宋体" w:cs="宋体"/>
          <w:color w:val="auto"/>
          <w:sz w:val="28"/>
          <w:szCs w:val="28"/>
          <w:highlight w:val="none"/>
        </w:rPr>
      </w:pPr>
      <w:bookmarkStart w:id="238" w:name="_Toc65240292"/>
      <w:bookmarkStart w:id="239" w:name="_Toc69456078"/>
      <w:r>
        <w:rPr>
          <w:rFonts w:hint="eastAsia" w:ascii="宋体" w:hAnsi="宋体" w:eastAsia="宋体" w:cs="宋体"/>
          <w:color w:val="auto"/>
          <w:sz w:val="28"/>
          <w:szCs w:val="28"/>
          <w:highlight w:val="none"/>
        </w:rPr>
        <w:t>1、运维服务质量管理目标</w:t>
      </w:r>
      <w:bookmarkEnd w:id="238"/>
      <w:bookmarkEnd w:id="239"/>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运维质量管理目标包括系统运行正常保障目标，系统运行事故控制目标和运维质量考核目标。</w:t>
      </w:r>
    </w:p>
    <w:p>
      <w:pPr>
        <w:pStyle w:val="7"/>
        <w:rPr>
          <w:rFonts w:hint="eastAsia" w:ascii="宋体" w:hAnsi="宋体" w:eastAsia="宋体" w:cs="宋体"/>
          <w:color w:val="auto"/>
          <w:highlight w:val="none"/>
        </w:rPr>
      </w:pPr>
      <w:bookmarkStart w:id="240" w:name="_Toc69456079"/>
      <w:r>
        <w:rPr>
          <w:rFonts w:hint="eastAsia" w:ascii="宋体" w:hAnsi="宋体" w:eastAsia="宋体" w:cs="宋体"/>
          <w:color w:val="auto"/>
          <w:highlight w:val="none"/>
        </w:rPr>
        <w:t>1.1系统运行正常保障目标</w:t>
      </w:r>
      <w:bookmarkEnd w:id="240"/>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①安全性目标：确保授权用户对信息的正常使用不被异常拒绝，允许其可靠并在必要时能及时地访问和使用信息。</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②可靠性目标：服务提供方所提供的服务必须包含服务协议中承诺的功能。确保服务协议能得到满足，并致力于在业务中断以后进行业务恢复方面。</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③及时性目标：及时性是指服务提供方按照服务要求对服务进行响应的速度。</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④专业性目标：服务提供方在服务过程中展现出的规范性、标准性和先进性的程度。</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⑤灵活性目标：服务提供方服务应对需求变化的能力。</w:t>
      </w:r>
    </w:p>
    <w:p>
      <w:pPr>
        <w:pStyle w:val="7"/>
        <w:rPr>
          <w:rFonts w:hint="eastAsia" w:ascii="宋体" w:hAnsi="宋体" w:eastAsia="宋体" w:cs="宋体"/>
          <w:color w:val="auto"/>
          <w:highlight w:val="none"/>
        </w:rPr>
      </w:pPr>
      <w:bookmarkStart w:id="241" w:name="_Toc69456080"/>
      <w:r>
        <w:rPr>
          <w:rFonts w:hint="eastAsia" w:ascii="宋体" w:hAnsi="宋体" w:eastAsia="宋体" w:cs="宋体"/>
          <w:color w:val="auto"/>
          <w:highlight w:val="none"/>
        </w:rPr>
        <w:t>1.2运维事故控制目标</w:t>
      </w:r>
      <w:bookmarkEnd w:id="241"/>
    </w:p>
    <w:p>
      <w:pPr>
        <w:ind w:firstLine="56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运维事故控制目标</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245"/>
        <w:gridCol w:w="2157"/>
        <w:gridCol w:w="4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17"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245" w:type="dxa"/>
            <w:tcBorders>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运维类型</w:t>
            </w:r>
          </w:p>
        </w:tc>
        <w:tc>
          <w:tcPr>
            <w:tcW w:w="2157" w:type="dxa"/>
            <w:tcBorders>
              <w:lef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运维内容</w:t>
            </w:r>
          </w:p>
        </w:tc>
        <w:tc>
          <w:tcPr>
            <w:tcW w:w="4303"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事故控制目标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245" w:type="dxa"/>
            <w:tcBorders>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信息系统运维服务</w:t>
            </w:r>
          </w:p>
        </w:tc>
        <w:tc>
          <w:tcPr>
            <w:tcW w:w="2157" w:type="dxa"/>
            <w:tcBorders>
              <w:lef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审判业务及综合应用管理系统运维</w:t>
            </w:r>
          </w:p>
        </w:tc>
        <w:tc>
          <w:tcPr>
            <w:tcW w:w="4303"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每个信息系统特别重大事故不出现，重大事故控制在1次/年以内，较大事故控制在3次/年以内，一般事故控制在10次/年以内。</w:t>
            </w:r>
          </w:p>
        </w:tc>
      </w:tr>
    </w:tbl>
    <w:p>
      <w:pPr>
        <w:ind w:firstLine="480"/>
        <w:jc w:val="left"/>
        <w:rPr>
          <w:rFonts w:hint="eastAsia" w:ascii="宋体" w:hAnsi="宋体" w:eastAsia="宋体" w:cs="宋体"/>
          <w:color w:val="auto"/>
          <w:sz w:val="28"/>
          <w:szCs w:val="28"/>
          <w:highlight w:val="none"/>
        </w:rPr>
      </w:pPr>
    </w:p>
    <w:p>
      <w:pPr>
        <w:ind w:firstLine="48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注：本文中“*次/年以内”所指次数包含“*次”。</w:t>
      </w:r>
    </w:p>
    <w:p>
      <w:pPr>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事故按照后果的影响程度分为：特别重大事故、重大事故、较大事故和一般事故。</w:t>
      </w:r>
    </w:p>
    <w:p>
      <w:pPr>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①特别重大事故：系统崩溃导致核心业务停止48小时以上，核心业务重要功能不可用且大面积影响用户，或造成主要业务数据大范围丢失。</w:t>
      </w:r>
    </w:p>
    <w:p>
      <w:pPr>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②重大事故：系统崩溃导致核心业务停止24小时以上,48小时以内，核心业务重要功能不可用，影响用户核心业务正常开展，或造成主要业务数据丢失。</w:t>
      </w:r>
    </w:p>
    <w:p>
      <w:pPr>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③较大事故：系统崩溃导致核心业务停止4小时以上, 24小时以内，核心业务及周边功能不可用，或造成主要业务数据部分丢失，持续故障将大面积影响用户正常业务开展。</w:t>
      </w:r>
    </w:p>
    <w:p>
      <w:pPr>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④一般事故：核心业务系统不可用达到2小时以上，4小时以内，影响部分用户使用。</w:t>
      </w:r>
    </w:p>
    <w:p>
      <w:pPr>
        <w:pStyle w:val="7"/>
        <w:ind w:left="643"/>
        <w:rPr>
          <w:rFonts w:hint="eastAsia" w:ascii="宋体" w:hAnsi="宋体" w:eastAsia="宋体" w:cs="宋体"/>
          <w:color w:val="auto"/>
          <w:highlight w:val="none"/>
        </w:rPr>
      </w:pPr>
      <w:bookmarkStart w:id="242" w:name="_Toc69456081"/>
      <w:r>
        <w:rPr>
          <w:rFonts w:hint="eastAsia" w:ascii="宋体" w:hAnsi="宋体" w:eastAsia="宋体" w:cs="宋体"/>
          <w:color w:val="auto"/>
          <w:highlight w:val="none"/>
        </w:rPr>
        <w:t>1.3运维服务质量考核目标</w:t>
      </w:r>
      <w:bookmarkEnd w:id="242"/>
    </w:p>
    <w:p>
      <w:pPr>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①运行维护过程规范化</w:t>
      </w:r>
    </w:p>
    <w:p>
      <w:pPr>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服务提供方针对运行维护的各领域都应具有明确的实施流程和操作规范。</w:t>
      </w:r>
    </w:p>
    <w:p>
      <w:pPr>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②系统使用人员满意度</w:t>
      </w:r>
    </w:p>
    <w:p>
      <w:pPr>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系统使用人员满意度应在90%以上。</w:t>
      </w:r>
    </w:p>
    <w:p>
      <w:pPr>
        <w:pStyle w:val="6"/>
        <w:spacing w:before="0" w:after="0" w:line="240" w:lineRule="auto"/>
        <w:ind w:left="802"/>
        <w:rPr>
          <w:rFonts w:hint="eastAsia" w:ascii="宋体" w:hAnsi="宋体" w:eastAsia="宋体" w:cs="宋体"/>
          <w:color w:val="auto"/>
          <w:sz w:val="28"/>
          <w:szCs w:val="28"/>
          <w:highlight w:val="none"/>
        </w:rPr>
      </w:pPr>
      <w:bookmarkStart w:id="243" w:name="_Toc69456082"/>
      <w:bookmarkStart w:id="244" w:name="_Toc65240293"/>
      <w:r>
        <w:rPr>
          <w:rFonts w:hint="eastAsia" w:ascii="宋体" w:hAnsi="宋体" w:eastAsia="宋体" w:cs="宋体"/>
          <w:color w:val="auto"/>
          <w:sz w:val="28"/>
          <w:szCs w:val="28"/>
          <w:highlight w:val="none"/>
        </w:rPr>
        <w:t>2、运维服务质量管理内容</w:t>
      </w:r>
      <w:bookmarkEnd w:id="243"/>
      <w:bookmarkEnd w:id="244"/>
    </w:p>
    <w:p>
      <w:pPr>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为了确保运维服务质量管理目标的达成，运维服务质量具体内容包括信息系统服务质量和其他服务内容服务质量。</w:t>
      </w:r>
    </w:p>
    <w:p>
      <w:pPr>
        <w:pStyle w:val="7"/>
        <w:ind w:left="643"/>
        <w:rPr>
          <w:rFonts w:hint="eastAsia" w:ascii="宋体" w:hAnsi="宋体" w:eastAsia="宋体" w:cs="宋体"/>
          <w:color w:val="auto"/>
          <w:highlight w:val="none"/>
        </w:rPr>
      </w:pPr>
      <w:bookmarkStart w:id="245" w:name="_Toc65956890"/>
      <w:bookmarkStart w:id="246" w:name="_Toc65786139"/>
      <w:bookmarkStart w:id="247" w:name="_Toc65240294"/>
      <w:bookmarkStart w:id="248" w:name="_Toc69456083"/>
      <w:bookmarkStart w:id="249" w:name="_Toc65837755"/>
      <w:r>
        <w:rPr>
          <w:rFonts w:hint="eastAsia" w:ascii="宋体" w:hAnsi="宋体" w:eastAsia="宋体" w:cs="宋体"/>
          <w:color w:val="auto"/>
          <w:highlight w:val="none"/>
        </w:rPr>
        <w:t>2.1应用软件系统运维服务质量要求</w:t>
      </w:r>
      <w:bookmarkEnd w:id="245"/>
      <w:bookmarkEnd w:id="246"/>
      <w:bookmarkEnd w:id="247"/>
      <w:bookmarkEnd w:id="248"/>
      <w:bookmarkEnd w:id="249"/>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1"/>
        <w:gridCol w:w="1984"/>
        <w:gridCol w:w="51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11"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984"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信息系统名称</w:t>
            </w:r>
          </w:p>
        </w:tc>
        <w:tc>
          <w:tcPr>
            <w:tcW w:w="515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服务质量要求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司法公开</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4.持续性：平均故障解决时间小于5小时/次。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5.响应时间：在1小时以内响应，4小时以内处理。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6.特性需求：信息数据更新频率1天/次。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法院触摸屏查询系统</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2.可用性：连续正常运行时间&gt;95%；故障次数小于2次/月。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4.持续性：平均故障解决时间小于5小时/次。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5.响应时间：在1小时以内响应，4小时以内处理。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6.特性需求：案件信息数据更新频率应大于3天/次。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LED大屏幕信息公开系统</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2.可用性：连续正常运行时间&gt;95%；故障次数小于2次/月。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4.持续性：平均故障解决时间小于5小时/次。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5.响应时间：在1小时以内响应，4小时以内处理。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6.特性需求：案件信息数据更新频率应大于3天/次。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审判业务管理系统</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2.可用性：连续正常运行时间&gt;98%；故障次数小于5次/月。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3.可靠性：例行操作检查不少于4次/月。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4.持续性：系统非计划停机时间少于3天/季度，平均故障解决时间小于3小时/次。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5.响应时间：在1小时以内响应，4小时以内处理。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6.特性需求：系统发生无法正常登陆故障应在2小时内解决。</w:t>
            </w:r>
          </w:p>
          <w:p>
            <w:pPr>
              <w:rPr>
                <w:rFonts w:hint="eastAsia"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案件查询统计</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4.持续性：平均故障解决时间小于5小时/次。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5.响应时间：在3小时以内响应，8小时以内处理。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6.特性需求：发生系统无法正常统计数据时，用户急需数据应当立即安排技术人员辅助完成统计。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审判质效评估系统</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4.持续性：平均故障解决时间小于5小时/次。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5.响应时间：在3小时以内响应，8小时以内处理。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6.特性需求：发生系统无法正常统计数据时，用户急需数据应当立即安排技术人员辅助完成统计。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绩效考核系统</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4.持续性：平均故障解决时间小于5小时/次。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5.响应时间：在3小时以内响应。</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6.特性需求：发生系统无法正常统计数据时，用户急需数据应当立即安排技术人员辅助完成统计。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案件数据汇集</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5.响应时间：在1小时以内响应，4小时以内处理。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自定义统计分析</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5.响应时间：在1小时以内响应，4小时以内处理。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门户系统</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2.可用性：连续正常运行时间&gt;90%；故障次数&lt;5次/月。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3.持续性：平均故障解决时间小于12小时/次。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4.响应时间：在1小时以内响应，4小时以内处理。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984" w:type="dxa"/>
            <w:tcBorders>
              <w:top w:val="single" w:color="000000" w:sz="4" w:space="0"/>
              <w:left w:val="single" w:color="000000" w:sz="4" w:space="0"/>
              <w:bottom w:val="single" w:color="000000" w:sz="4" w:space="0"/>
              <w:right w:val="single" w:color="000000" w:sz="4" w:space="0"/>
            </w:tcBorders>
            <w:vAlign w:val="center"/>
          </w:tcPr>
          <w:p>
            <w:pPr>
              <w:tabs>
                <w:tab w:val="left" w:pos="600"/>
              </w:tabs>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公文管理</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spacing w:line="0" w:lineRule="atLeast"/>
              <w:ind w:firstLine="35" w:firstLineChars="1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5.响应时间：在1小时以内响应,4小时以内处理。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档案信息管理系统</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5.响应时间：在1小时以内响应,4小时以内处理。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法院专网网站</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4.持续性：平均故障解决时间小于5小时/次。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5.响应时间：在1小时以内响应,4小时以内处理。</w:t>
            </w:r>
          </w:p>
        </w:tc>
      </w:tr>
    </w:tbl>
    <w:p>
      <w:pPr>
        <w:pStyle w:val="7"/>
        <w:rPr>
          <w:rFonts w:hint="eastAsia" w:ascii="宋体" w:hAnsi="宋体" w:eastAsia="宋体" w:cs="宋体"/>
          <w:color w:val="auto"/>
          <w:highlight w:val="none"/>
        </w:rPr>
      </w:pPr>
      <w:bookmarkStart w:id="250" w:name="_Toc65837756"/>
      <w:bookmarkStart w:id="251" w:name="_Toc65956891"/>
      <w:bookmarkStart w:id="252" w:name="_Toc69456084"/>
      <w:bookmarkStart w:id="253" w:name="_Toc65786140"/>
      <w:bookmarkStart w:id="254" w:name="_Toc65240295"/>
      <w:r>
        <w:rPr>
          <w:rFonts w:hint="eastAsia" w:ascii="宋体" w:hAnsi="宋体" w:eastAsia="宋体" w:cs="宋体"/>
          <w:color w:val="auto"/>
          <w:highlight w:val="none"/>
        </w:rPr>
        <w:t>2.2与统建平台数据对接同步服务质量要求</w:t>
      </w:r>
      <w:bookmarkEnd w:id="250"/>
      <w:bookmarkEnd w:id="251"/>
      <w:bookmarkEnd w:id="252"/>
      <w:bookmarkEnd w:id="253"/>
    </w:p>
    <w:tbl>
      <w:tblPr>
        <w:tblStyle w:val="20"/>
        <w:tblW w:w="7968" w:type="dxa"/>
        <w:jc w:val="center"/>
        <w:tblLayout w:type="autofit"/>
        <w:tblCellMar>
          <w:top w:w="0" w:type="dxa"/>
          <w:left w:w="108" w:type="dxa"/>
          <w:bottom w:w="0" w:type="dxa"/>
          <w:right w:w="108" w:type="dxa"/>
        </w:tblCellMar>
      </w:tblPr>
      <w:tblGrid>
        <w:gridCol w:w="700"/>
        <w:gridCol w:w="1979"/>
        <w:gridCol w:w="5289"/>
      </w:tblGrid>
      <w:tr>
        <w:tblPrEx>
          <w:tblCellMar>
            <w:top w:w="0" w:type="dxa"/>
            <w:left w:w="108" w:type="dxa"/>
            <w:bottom w:w="0" w:type="dxa"/>
            <w:right w:w="108" w:type="dxa"/>
          </w:tblCellMar>
        </w:tblPrEx>
        <w:trPr>
          <w:trHeight w:val="567"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序号</w:t>
            </w:r>
          </w:p>
        </w:tc>
        <w:tc>
          <w:tcPr>
            <w:tcW w:w="1979"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tLeas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服务名称</w:t>
            </w:r>
          </w:p>
        </w:tc>
        <w:tc>
          <w:tcPr>
            <w:tcW w:w="5289" w:type="dxa"/>
            <w:tcBorders>
              <w:top w:val="single" w:color="auto" w:sz="4" w:space="0"/>
              <w:left w:val="nil"/>
              <w:bottom w:val="single" w:color="auto" w:sz="4" w:space="0"/>
              <w:right w:val="single" w:color="auto" w:sz="4" w:space="0"/>
            </w:tcBorders>
            <w:shd w:val="clear" w:color="auto" w:fill="auto"/>
            <w:noWrap/>
            <w:vAlign w:val="center"/>
          </w:tcPr>
          <w:p>
            <w:pPr>
              <w:widowControl/>
              <w:ind w:firstLine="420"/>
              <w:jc w:val="center"/>
              <w:rPr>
                <w:rFonts w:hint="eastAsia" w:ascii="宋体" w:hAnsi="宋体" w:eastAsia="宋体" w:cs="宋体"/>
                <w:b/>
                <w:bCs/>
                <w:color w:val="auto"/>
                <w:kern w:val="0"/>
                <w:szCs w:val="21"/>
                <w:highlight w:val="none"/>
              </w:rPr>
            </w:pPr>
            <w:r>
              <w:rPr>
                <w:rFonts w:hint="eastAsia" w:ascii="宋体" w:hAnsi="宋体" w:eastAsia="宋体" w:cs="宋体"/>
                <w:color w:val="auto"/>
                <w:szCs w:val="21"/>
                <w:highlight w:val="none"/>
              </w:rPr>
              <w:t>服务质量要求</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ind w:firstLine="209" w:firstLineChars="9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979"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一级网数据上报系统（2015标准）</w:t>
            </w:r>
          </w:p>
        </w:tc>
        <w:tc>
          <w:tcPr>
            <w:tcW w:w="5289" w:type="dxa"/>
            <w:tcBorders>
              <w:top w:val="nil"/>
              <w:left w:val="nil"/>
              <w:bottom w:val="single" w:color="auto" w:sz="4" w:space="0"/>
              <w:right w:val="single" w:color="auto" w:sz="4" w:space="0"/>
            </w:tcBorders>
            <w:shd w:val="clear" w:color="auto" w:fill="auto"/>
            <w:noWrap/>
            <w:vAlign w:val="center"/>
          </w:tcPr>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5.响应时间：在1小时以内响应,2小时以内处理。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ind w:firstLine="209" w:firstLineChars="9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197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人民法院数据平台三类外部数据对接服务</w:t>
            </w:r>
          </w:p>
        </w:tc>
        <w:tc>
          <w:tcPr>
            <w:tcW w:w="5289" w:type="dxa"/>
            <w:tcBorders>
              <w:top w:val="nil"/>
              <w:left w:val="nil"/>
              <w:bottom w:val="single" w:color="auto" w:sz="4" w:space="0"/>
              <w:right w:val="single" w:color="auto" w:sz="4" w:space="0"/>
            </w:tcBorders>
            <w:shd w:val="clear" w:color="auto" w:fill="auto"/>
            <w:noWrap/>
            <w:vAlign w:val="center"/>
          </w:tcPr>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widowControl/>
              <w:spacing w:line="0" w:lineRule="atLeast"/>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5.响应时间：在1小时以内响应,2小时以内处理。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ind w:firstLine="209" w:firstLineChars="9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197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兵团法院外部领导干部过问案件信息数据对接服务</w:t>
            </w:r>
          </w:p>
        </w:tc>
        <w:tc>
          <w:tcPr>
            <w:tcW w:w="5289" w:type="dxa"/>
            <w:tcBorders>
              <w:top w:val="nil"/>
              <w:left w:val="nil"/>
              <w:bottom w:val="single" w:color="auto" w:sz="4" w:space="0"/>
              <w:right w:val="single" w:color="auto" w:sz="4" w:space="0"/>
            </w:tcBorders>
            <w:shd w:val="clear" w:color="auto" w:fill="auto"/>
            <w:noWrap/>
            <w:vAlign w:val="center"/>
          </w:tcPr>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widowControl/>
              <w:spacing w:line="0" w:lineRule="atLeast"/>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5.响应时间：在1小时以内响应,2小时以内处理。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ind w:firstLine="209" w:firstLineChars="9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197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兵团移动微法院网上立案数据对接服务</w:t>
            </w:r>
          </w:p>
        </w:tc>
        <w:tc>
          <w:tcPr>
            <w:tcW w:w="5289" w:type="dxa"/>
            <w:tcBorders>
              <w:top w:val="nil"/>
              <w:left w:val="nil"/>
              <w:bottom w:val="single" w:color="auto" w:sz="4" w:space="0"/>
              <w:right w:val="single" w:color="auto" w:sz="4" w:space="0"/>
            </w:tcBorders>
            <w:shd w:val="clear" w:color="auto" w:fill="auto"/>
            <w:noWrap/>
            <w:vAlign w:val="center"/>
          </w:tcPr>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widowControl/>
              <w:spacing w:line="0" w:lineRule="atLeast"/>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5.响应时间：在1小时以内响应,2小时以内处理。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ind w:firstLine="209" w:firstLineChars="9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97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全国法院信访信息管理系统数据对接服务</w:t>
            </w:r>
          </w:p>
        </w:tc>
        <w:tc>
          <w:tcPr>
            <w:tcW w:w="5289" w:type="dxa"/>
            <w:tcBorders>
              <w:top w:val="nil"/>
              <w:left w:val="nil"/>
              <w:bottom w:val="single" w:color="auto" w:sz="4" w:space="0"/>
              <w:right w:val="single" w:color="auto" w:sz="4" w:space="0"/>
            </w:tcBorders>
            <w:shd w:val="clear" w:color="auto" w:fill="auto"/>
            <w:noWrap/>
            <w:vAlign w:val="center"/>
          </w:tcPr>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widowControl/>
              <w:spacing w:line="0" w:lineRule="atLeast"/>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5.响应时间：在1小时以内响应,2小时以内处理。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ind w:firstLine="209" w:firstLineChars="9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197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兵团法院裁判文书自动上网数据对接服务</w:t>
            </w:r>
          </w:p>
        </w:tc>
        <w:tc>
          <w:tcPr>
            <w:tcW w:w="5289" w:type="dxa"/>
            <w:tcBorders>
              <w:top w:val="nil"/>
              <w:left w:val="nil"/>
              <w:bottom w:val="single" w:color="auto" w:sz="4" w:space="0"/>
              <w:right w:val="single" w:color="auto" w:sz="4" w:space="0"/>
            </w:tcBorders>
            <w:shd w:val="clear" w:color="auto" w:fill="auto"/>
            <w:noWrap/>
            <w:vAlign w:val="center"/>
          </w:tcPr>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widowControl/>
              <w:spacing w:line="0" w:lineRule="atLeast"/>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5.响应时间：在1小时以内响应,2小时以内处理。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ind w:firstLine="209" w:firstLineChars="9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w:t>
            </w:r>
          </w:p>
        </w:tc>
        <w:tc>
          <w:tcPr>
            <w:tcW w:w="197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全国企业破产重整案件信息平台数据对接服务</w:t>
            </w:r>
          </w:p>
        </w:tc>
        <w:tc>
          <w:tcPr>
            <w:tcW w:w="5289" w:type="dxa"/>
            <w:tcBorders>
              <w:top w:val="nil"/>
              <w:left w:val="nil"/>
              <w:bottom w:val="single" w:color="auto" w:sz="4" w:space="0"/>
              <w:right w:val="single" w:color="auto" w:sz="4" w:space="0"/>
            </w:tcBorders>
            <w:shd w:val="clear" w:color="auto" w:fill="auto"/>
            <w:noWrap/>
            <w:vAlign w:val="center"/>
          </w:tcPr>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widowControl/>
              <w:spacing w:line="0" w:lineRule="atLeast"/>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5.响应时间：在1小时以内响应,2小时以内处理。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ind w:firstLine="209" w:firstLineChars="9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w:t>
            </w:r>
          </w:p>
        </w:tc>
        <w:tc>
          <w:tcPr>
            <w:tcW w:w="197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兵团法院“道交一体化平台”数据对接服务</w:t>
            </w:r>
          </w:p>
        </w:tc>
        <w:tc>
          <w:tcPr>
            <w:tcW w:w="5289" w:type="dxa"/>
            <w:tcBorders>
              <w:top w:val="nil"/>
              <w:left w:val="nil"/>
              <w:bottom w:val="single" w:color="auto" w:sz="4" w:space="0"/>
              <w:right w:val="single" w:color="auto" w:sz="4" w:space="0"/>
            </w:tcBorders>
            <w:shd w:val="clear" w:color="auto" w:fill="auto"/>
            <w:noWrap/>
            <w:vAlign w:val="center"/>
          </w:tcPr>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widowControl/>
              <w:spacing w:line="0" w:lineRule="atLeast"/>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5.响应时间：在1小时以内响应,2小时以内处理。</w:t>
            </w:r>
          </w:p>
        </w:tc>
      </w:tr>
      <w:tr>
        <w:tblPrEx>
          <w:tblCellMar>
            <w:top w:w="0" w:type="dxa"/>
            <w:left w:w="108" w:type="dxa"/>
            <w:bottom w:w="0" w:type="dxa"/>
            <w:right w:w="108" w:type="dxa"/>
          </w:tblCellMar>
        </w:tblPrEx>
        <w:trPr>
          <w:trHeight w:val="567"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209" w:firstLineChars="9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9</w:t>
            </w:r>
          </w:p>
        </w:tc>
        <w:tc>
          <w:tcPr>
            <w:tcW w:w="197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科技法庭庭审信息数据对接服务</w:t>
            </w:r>
          </w:p>
        </w:tc>
        <w:tc>
          <w:tcPr>
            <w:tcW w:w="5289" w:type="dxa"/>
            <w:tcBorders>
              <w:top w:val="single" w:color="auto" w:sz="4" w:space="0"/>
              <w:left w:val="nil"/>
              <w:bottom w:val="single" w:color="auto" w:sz="4" w:space="0"/>
              <w:right w:val="single" w:color="auto" w:sz="4" w:space="0"/>
            </w:tcBorders>
            <w:shd w:val="clear" w:color="auto" w:fill="auto"/>
            <w:noWrap/>
            <w:vAlign w:val="center"/>
          </w:tcPr>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widowControl/>
              <w:spacing w:line="0" w:lineRule="atLeast"/>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5.响应时间：在1小时以内响应,2小时以内处理。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p>
        </w:tc>
        <w:tc>
          <w:tcPr>
            <w:tcW w:w="197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Zwz政法委数据对接服务</w:t>
            </w:r>
          </w:p>
        </w:tc>
        <w:tc>
          <w:tcPr>
            <w:tcW w:w="5289" w:type="dxa"/>
            <w:tcBorders>
              <w:top w:val="nil"/>
              <w:left w:val="nil"/>
              <w:bottom w:val="single" w:color="auto" w:sz="4" w:space="0"/>
              <w:right w:val="single" w:color="auto" w:sz="4" w:space="0"/>
            </w:tcBorders>
            <w:shd w:val="clear" w:color="auto" w:fill="auto"/>
            <w:noWrap/>
            <w:vAlign w:val="center"/>
          </w:tcPr>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widowControl/>
              <w:spacing w:line="0" w:lineRule="atLeast"/>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5.响应时间：在1小时以内响应,2小时以内处理。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197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206系统数据对接服务</w:t>
            </w:r>
          </w:p>
        </w:tc>
        <w:tc>
          <w:tcPr>
            <w:tcW w:w="5289" w:type="dxa"/>
            <w:tcBorders>
              <w:top w:val="nil"/>
              <w:left w:val="nil"/>
              <w:bottom w:val="single" w:color="auto" w:sz="4" w:space="0"/>
              <w:right w:val="single" w:color="auto" w:sz="4" w:space="0"/>
            </w:tcBorders>
            <w:shd w:val="clear" w:color="auto" w:fill="auto"/>
            <w:noWrap/>
            <w:vAlign w:val="center"/>
          </w:tcPr>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widowControl/>
              <w:spacing w:line="0" w:lineRule="atLeast"/>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5.响应时间：在1小时以内响应,2小时以内处理。</w:t>
            </w:r>
          </w:p>
        </w:tc>
      </w:tr>
      <w:tr>
        <w:tblPrEx>
          <w:tblCellMar>
            <w:top w:w="0" w:type="dxa"/>
            <w:left w:w="108" w:type="dxa"/>
            <w:bottom w:w="0" w:type="dxa"/>
            <w:right w:w="108" w:type="dxa"/>
          </w:tblCellMar>
        </w:tblPrEx>
        <w:trPr>
          <w:trHeight w:val="567" w:hRule="atLeast"/>
          <w:jc w:val="center"/>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197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“法智罗盘”数据对接服务</w:t>
            </w:r>
          </w:p>
        </w:tc>
        <w:tc>
          <w:tcPr>
            <w:tcW w:w="5289" w:type="dxa"/>
            <w:tcBorders>
              <w:top w:val="nil"/>
              <w:left w:val="nil"/>
              <w:bottom w:val="single" w:color="auto" w:sz="4" w:space="0"/>
              <w:right w:val="single" w:color="auto" w:sz="4" w:space="0"/>
            </w:tcBorders>
            <w:shd w:val="clear" w:color="auto" w:fill="auto"/>
            <w:noWrap/>
            <w:vAlign w:val="center"/>
          </w:tcPr>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4.持续性：系统非计划停机时间少于3天/季度，平均故障解决时间小于5小时/次。</w:t>
            </w:r>
          </w:p>
          <w:p>
            <w:pPr>
              <w:widowControl/>
              <w:spacing w:line="0" w:lineRule="atLeast"/>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5.响应时间：在1小时以内响应,2小时以内处理。</w:t>
            </w:r>
          </w:p>
        </w:tc>
      </w:tr>
    </w:tbl>
    <w:p>
      <w:pPr>
        <w:pStyle w:val="7"/>
        <w:rPr>
          <w:rFonts w:hint="eastAsia" w:ascii="宋体" w:hAnsi="宋体" w:eastAsia="宋体" w:cs="宋体"/>
          <w:color w:val="auto"/>
          <w:highlight w:val="none"/>
        </w:rPr>
      </w:pPr>
      <w:bookmarkStart w:id="255" w:name="_Toc65837757"/>
      <w:bookmarkStart w:id="256" w:name="_Toc65956892"/>
      <w:bookmarkStart w:id="257" w:name="_Toc69456085"/>
      <w:bookmarkStart w:id="258" w:name="_Toc65786141"/>
      <w:r>
        <w:rPr>
          <w:rFonts w:hint="eastAsia" w:ascii="宋体" w:hAnsi="宋体" w:eastAsia="宋体" w:cs="宋体"/>
          <w:color w:val="auto"/>
          <w:highlight w:val="none"/>
        </w:rPr>
        <w:t>2.3数据库系统运维服务质量要求</w:t>
      </w:r>
      <w:bookmarkEnd w:id="254"/>
      <w:bookmarkEnd w:id="255"/>
      <w:bookmarkEnd w:id="256"/>
      <w:bookmarkEnd w:id="257"/>
      <w:bookmarkEnd w:id="258"/>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2"/>
        <w:gridCol w:w="1704"/>
        <w:gridCol w:w="52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952"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704"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信息系统名称</w:t>
            </w:r>
          </w:p>
        </w:tc>
        <w:tc>
          <w:tcPr>
            <w:tcW w:w="5292"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服务质量要求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704" w:type="dxa"/>
            <w:tcBorders>
              <w:top w:val="single" w:color="000000" w:sz="4" w:space="0"/>
              <w:left w:val="single" w:color="000000" w:sz="4" w:space="0"/>
              <w:bottom w:val="single" w:color="000000" w:sz="4" w:space="0"/>
              <w:right w:val="single" w:color="000000" w:sz="4" w:space="0"/>
            </w:tcBorders>
            <w:vAlign w:val="center"/>
          </w:tcPr>
          <w:p>
            <w:pPr>
              <w:tabs>
                <w:tab w:val="left" w:pos="600"/>
              </w:tabs>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Oracle</w:t>
            </w:r>
            <w:r>
              <w:rPr>
                <w:rFonts w:hint="eastAsia" w:ascii="宋体" w:hAnsi="宋体" w:eastAsia="宋体" w:cs="宋体"/>
                <w:color w:val="auto"/>
                <w:szCs w:val="21"/>
                <w:highlight w:val="none"/>
              </w:rPr>
              <w:t>数据库系统</w:t>
            </w:r>
          </w:p>
        </w:tc>
        <w:tc>
          <w:tcPr>
            <w:tcW w:w="5292"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4.持续性：系统非计划停机时间少于3天/季度，平均故障解决时间小于3小时/次。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5.响应时间：在0.5小时以内响应,2小时以内处理。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6.特性需求：发生系统无法正常运行时，应当安排技术人员立即到现场排除故障，恢复运行。如果预计故障解决时间大于1天，应第一时间报告兵团分院信息中心领导，启动应急处理流程。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704" w:type="dxa"/>
            <w:tcBorders>
              <w:top w:val="single" w:color="000000" w:sz="4" w:space="0"/>
              <w:left w:val="single" w:color="000000" w:sz="4" w:space="0"/>
              <w:bottom w:val="single" w:color="000000" w:sz="4" w:space="0"/>
              <w:right w:val="single" w:color="000000" w:sz="4" w:space="0"/>
            </w:tcBorders>
            <w:vAlign w:val="center"/>
          </w:tcPr>
          <w:p>
            <w:pPr>
              <w:tabs>
                <w:tab w:val="left" w:pos="600"/>
              </w:tabs>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SYBASE</w:t>
            </w:r>
            <w:r>
              <w:rPr>
                <w:rFonts w:hint="eastAsia" w:ascii="宋体" w:hAnsi="宋体" w:eastAsia="宋体" w:cs="宋体"/>
                <w:color w:val="auto"/>
                <w:szCs w:val="21"/>
                <w:highlight w:val="none"/>
              </w:rPr>
              <w:t>数据库系统</w:t>
            </w:r>
          </w:p>
        </w:tc>
        <w:tc>
          <w:tcPr>
            <w:tcW w:w="5292"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4.持续性：系统非计划停机时间少于3天/季度，平均故障解决时间小于3小时/次。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5.响应时间：在0.5小时以内响应,2小时以内处理。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6.特性需求：发生系统无法正常运行时，应当安排技术人员立即到现场排除故障，恢复运行。如果预计故障解决时间大于1天，应第一时间报告兵团分院信息中心领导，启动应急处理流程。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9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704" w:type="dxa"/>
            <w:tcBorders>
              <w:top w:val="single" w:color="000000" w:sz="4" w:space="0"/>
              <w:left w:val="single" w:color="000000" w:sz="4" w:space="0"/>
              <w:bottom w:val="single" w:color="000000" w:sz="4" w:space="0"/>
              <w:right w:val="single" w:color="000000" w:sz="4" w:space="0"/>
            </w:tcBorders>
            <w:vAlign w:val="center"/>
          </w:tcPr>
          <w:p>
            <w:pPr>
              <w:tabs>
                <w:tab w:val="left" w:pos="600"/>
              </w:tabs>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SQL Server</w:t>
            </w:r>
            <w:r>
              <w:rPr>
                <w:rFonts w:hint="eastAsia" w:ascii="宋体" w:hAnsi="宋体" w:eastAsia="宋体" w:cs="宋体"/>
                <w:color w:val="auto"/>
                <w:szCs w:val="21"/>
                <w:highlight w:val="none"/>
              </w:rPr>
              <w:t>数据库系统</w:t>
            </w:r>
          </w:p>
        </w:tc>
        <w:tc>
          <w:tcPr>
            <w:tcW w:w="5292"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4.持续性：系统非计划停机时间少于3天/季度，平均故障解决时间小于3小时/次。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5.响应时间：在0.5小时以内响应,2小时以内处理。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6.特性需求：发生系统无法正常运行时，应当安排技术人员立即到现场排除故障，恢复运行。如果预计故障解决时间大于1天，应第一时间报告兵团分院信息中心领导，启动应急处理流程。</w:t>
            </w:r>
          </w:p>
        </w:tc>
      </w:tr>
    </w:tbl>
    <w:p>
      <w:pPr>
        <w:ind w:firstLine="560"/>
        <w:jc w:val="left"/>
        <w:rPr>
          <w:rFonts w:hint="eastAsia" w:ascii="宋体" w:hAnsi="宋体" w:eastAsia="宋体" w:cs="宋体"/>
          <w:color w:val="auto"/>
          <w:szCs w:val="28"/>
          <w:highlight w:val="none"/>
        </w:rPr>
      </w:pPr>
    </w:p>
    <w:p>
      <w:pPr>
        <w:pStyle w:val="7"/>
        <w:rPr>
          <w:rFonts w:hint="eastAsia" w:ascii="宋体" w:hAnsi="宋体" w:eastAsia="宋体" w:cs="宋体"/>
          <w:color w:val="auto"/>
          <w:highlight w:val="none"/>
        </w:rPr>
      </w:pPr>
      <w:bookmarkStart w:id="259" w:name="_Toc69456086"/>
      <w:bookmarkStart w:id="260" w:name="_Toc65240296"/>
      <w:r>
        <w:rPr>
          <w:rFonts w:hint="eastAsia" w:ascii="宋体" w:hAnsi="宋体" w:eastAsia="宋体" w:cs="宋体"/>
          <w:color w:val="auto"/>
          <w:highlight w:val="none"/>
        </w:rPr>
        <w:t>2.4硬件运维服务质量要求</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1"/>
        <w:gridCol w:w="1984"/>
        <w:gridCol w:w="51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11"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984"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运维内容</w:t>
            </w:r>
          </w:p>
        </w:tc>
        <w:tc>
          <w:tcPr>
            <w:tcW w:w="5153"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服务质量要求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机房运维</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2.可用性：连续正常运行时间&gt;95%；故障次数&lt;3次/月。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4.持续性：平均故障解决时间小于5小时/次。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5.响应时间：在1小时以内响应，4小时以内处理。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6.特性需求：信息数据更新频率1天/次。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会议运维</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2.可用性：连续正常运行时间&gt;95%；故障次数小于2次/月。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4.持续性：平均故障解决时间小于5小时/次。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5.响应时间：在1小时以内响应，4小时以内处理。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6.特性需求：案件信息数据更新频率应大于3天/次。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1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桌面运维</w:t>
            </w:r>
          </w:p>
        </w:tc>
        <w:tc>
          <w:tcPr>
            <w:tcW w:w="5153" w:type="dxa"/>
            <w:tcBorders>
              <w:top w:val="single" w:color="000000" w:sz="4" w:space="0"/>
              <w:left w:val="single" w:color="000000" w:sz="4" w:space="0"/>
              <w:bottom w:val="single" w:color="000000" w:sz="4" w:space="0"/>
              <w:right w:val="single" w:color="auto" w:sz="4" w:space="0"/>
            </w:tcBorders>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特别重大事故不出现，重大事故控制在1次/年以内，较大事故控制在3次/年以内，一般事故控制在10次/年以内。</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2.可用性：连续正常运行时间&gt;95%；故障次数小于2次/月。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3.可靠性：例行操作检查不少于1次/月。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4.持续性：平均故障解决时间小于5小时/次。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5.响应时间：在1小时以内响应，4小时以内处理。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6.特性需求：案件信息数据更新频率应大于3天/次。</w:t>
            </w:r>
          </w:p>
        </w:tc>
      </w:tr>
    </w:tbl>
    <w:p>
      <w:pPr>
        <w:pStyle w:val="6"/>
        <w:spacing w:before="0" w:after="0" w:line="24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3、运维服务质量评定</w:t>
      </w:r>
      <w:bookmarkEnd w:id="259"/>
      <w:bookmarkEnd w:id="260"/>
    </w:p>
    <w:p>
      <w:pPr>
        <w:pStyle w:val="7"/>
        <w:rPr>
          <w:rFonts w:hint="eastAsia" w:ascii="宋体" w:hAnsi="宋体" w:eastAsia="宋体" w:cs="宋体"/>
          <w:color w:val="auto"/>
          <w:highlight w:val="none"/>
        </w:rPr>
      </w:pPr>
      <w:bookmarkStart w:id="261" w:name="_Toc69456087"/>
      <w:r>
        <w:rPr>
          <w:rFonts w:hint="eastAsia" w:ascii="宋体" w:hAnsi="宋体" w:eastAsia="宋体" w:cs="宋体"/>
          <w:color w:val="auto"/>
          <w:highlight w:val="none"/>
        </w:rPr>
        <w:t>3.1评定标准</w:t>
      </w:r>
      <w:bookmarkEnd w:id="261"/>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运维服务质量评价主要从运维过程规范化情况，运维目标的达成情况和用户满意度三个主要部分进行评定。</w:t>
      </w:r>
    </w:p>
    <w:p>
      <w:pPr>
        <w:ind w:firstLine="48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运维服务质量评定标准</w:t>
      </w:r>
    </w:p>
    <w:tbl>
      <w:tblPr>
        <w:tblStyle w:val="20"/>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567"/>
        <w:gridCol w:w="1418"/>
        <w:gridCol w:w="3402"/>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17"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985" w:type="dxa"/>
            <w:gridSpan w:val="2"/>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类型</w:t>
            </w:r>
          </w:p>
        </w:tc>
        <w:tc>
          <w:tcPr>
            <w:tcW w:w="3402"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评定标准</w:t>
            </w:r>
          </w:p>
        </w:tc>
        <w:tc>
          <w:tcPr>
            <w:tcW w:w="2551"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评定等级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985" w:type="dxa"/>
            <w:gridSpan w:val="2"/>
            <w:vMerge w:val="restart"/>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运维过程规范化</w:t>
            </w:r>
          </w:p>
        </w:tc>
        <w:tc>
          <w:tcPr>
            <w:tcW w:w="3402" w:type="dxa"/>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1.运行维护的各项内容都具有明确的实施流程和操作规范的为合格。实施流程不明确，操作规范严重缺失的为不合格。</w:t>
            </w:r>
          </w:p>
        </w:tc>
        <w:tc>
          <w:tcPr>
            <w:tcW w:w="2551"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jc w:val="center"/>
              <w:rPr>
                <w:rFonts w:hint="eastAsia" w:ascii="宋体" w:hAnsi="宋体" w:eastAsia="宋体" w:cs="宋体"/>
                <w:color w:val="auto"/>
                <w:szCs w:val="21"/>
                <w:highlight w:val="none"/>
              </w:rPr>
            </w:pPr>
          </w:p>
        </w:tc>
        <w:tc>
          <w:tcPr>
            <w:tcW w:w="1985" w:type="dxa"/>
            <w:gridSpan w:val="2"/>
            <w:vMerge w:val="continue"/>
            <w:vAlign w:val="center"/>
          </w:tcPr>
          <w:p>
            <w:pPr>
              <w:jc w:val="center"/>
              <w:rPr>
                <w:rFonts w:hint="eastAsia" w:ascii="宋体" w:hAnsi="宋体" w:eastAsia="宋体" w:cs="宋体"/>
                <w:color w:val="auto"/>
                <w:szCs w:val="21"/>
                <w:highlight w:val="none"/>
              </w:rPr>
            </w:pPr>
          </w:p>
        </w:tc>
        <w:tc>
          <w:tcPr>
            <w:tcW w:w="3402" w:type="dxa"/>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2.具有详细的事件管理和问题管理流程，建立了知识库的为合格。反之为不合格。</w:t>
            </w:r>
          </w:p>
        </w:tc>
        <w:tc>
          <w:tcPr>
            <w:tcW w:w="2551"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567" w:type="dxa"/>
            <w:vMerge w:val="restart"/>
            <w:tcBorders>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运维目标</w:t>
            </w:r>
          </w:p>
        </w:tc>
        <w:tc>
          <w:tcPr>
            <w:tcW w:w="1418" w:type="dxa"/>
            <w:tcBorders>
              <w:lef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安全性目标</w:t>
            </w:r>
          </w:p>
        </w:tc>
        <w:tc>
          <w:tcPr>
            <w:tcW w:w="3402" w:type="dxa"/>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各信息系统授权用户可以按照权限进行正常访问和操作的为合格。反之为不合格。</w:t>
            </w:r>
          </w:p>
        </w:tc>
        <w:tc>
          <w:tcPr>
            <w:tcW w:w="2551"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jc w:val="center"/>
              <w:rPr>
                <w:rFonts w:hint="eastAsia" w:ascii="宋体" w:hAnsi="宋体" w:eastAsia="宋体" w:cs="宋体"/>
                <w:color w:val="auto"/>
                <w:szCs w:val="21"/>
                <w:highlight w:val="none"/>
              </w:rPr>
            </w:pPr>
          </w:p>
        </w:tc>
        <w:tc>
          <w:tcPr>
            <w:tcW w:w="567" w:type="dxa"/>
            <w:vMerge w:val="continue"/>
            <w:tcBorders>
              <w:right w:val="single" w:color="auto" w:sz="4" w:space="0"/>
            </w:tcBorders>
            <w:vAlign w:val="center"/>
          </w:tcPr>
          <w:p>
            <w:pPr>
              <w:jc w:val="center"/>
              <w:rPr>
                <w:rFonts w:hint="eastAsia" w:ascii="宋体" w:hAnsi="宋体" w:eastAsia="宋体" w:cs="宋体"/>
                <w:color w:val="auto"/>
                <w:szCs w:val="21"/>
                <w:highlight w:val="none"/>
              </w:rPr>
            </w:pPr>
          </w:p>
        </w:tc>
        <w:tc>
          <w:tcPr>
            <w:tcW w:w="1418" w:type="dxa"/>
            <w:vMerge w:val="restart"/>
            <w:tcBorders>
              <w:lef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可靠性目标</w:t>
            </w:r>
          </w:p>
        </w:tc>
        <w:tc>
          <w:tcPr>
            <w:tcW w:w="3402" w:type="dxa"/>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1.提供的服务完整包含服务协议中中承诺的功能为合格。承诺的服务未达成的数量达到5项及以上为不合格。</w:t>
            </w:r>
          </w:p>
        </w:tc>
        <w:tc>
          <w:tcPr>
            <w:tcW w:w="2551"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jc w:val="center"/>
              <w:rPr>
                <w:rFonts w:hint="eastAsia" w:ascii="宋体" w:hAnsi="宋体" w:eastAsia="宋体" w:cs="宋体"/>
                <w:color w:val="auto"/>
                <w:szCs w:val="21"/>
                <w:highlight w:val="none"/>
              </w:rPr>
            </w:pPr>
          </w:p>
        </w:tc>
        <w:tc>
          <w:tcPr>
            <w:tcW w:w="567" w:type="dxa"/>
            <w:vMerge w:val="continue"/>
            <w:tcBorders>
              <w:right w:val="single" w:color="auto" w:sz="4" w:space="0"/>
            </w:tcBorders>
            <w:vAlign w:val="center"/>
          </w:tcPr>
          <w:p>
            <w:pPr>
              <w:jc w:val="center"/>
              <w:rPr>
                <w:rFonts w:hint="eastAsia" w:ascii="宋体" w:hAnsi="宋体" w:eastAsia="宋体" w:cs="宋体"/>
                <w:color w:val="auto"/>
                <w:szCs w:val="21"/>
                <w:highlight w:val="none"/>
              </w:rPr>
            </w:pPr>
          </w:p>
        </w:tc>
        <w:tc>
          <w:tcPr>
            <w:tcW w:w="1418" w:type="dxa"/>
            <w:vMerge w:val="continue"/>
            <w:tcBorders>
              <w:left w:val="single" w:color="auto" w:sz="4" w:space="0"/>
            </w:tcBorders>
            <w:vAlign w:val="center"/>
          </w:tcPr>
          <w:p>
            <w:pPr>
              <w:jc w:val="center"/>
              <w:rPr>
                <w:rFonts w:hint="eastAsia" w:ascii="宋体" w:hAnsi="宋体" w:eastAsia="宋体" w:cs="宋体"/>
                <w:color w:val="auto"/>
                <w:szCs w:val="21"/>
                <w:highlight w:val="none"/>
              </w:rPr>
            </w:pPr>
          </w:p>
        </w:tc>
        <w:tc>
          <w:tcPr>
            <w:tcW w:w="3402" w:type="dxa"/>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2.系统故障处理时间满足要求的为合格。处理时间严重超出的为不合格。</w:t>
            </w:r>
          </w:p>
        </w:tc>
        <w:tc>
          <w:tcPr>
            <w:tcW w:w="2551"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jc w:val="center"/>
              <w:rPr>
                <w:rFonts w:hint="eastAsia" w:ascii="宋体" w:hAnsi="宋体" w:eastAsia="宋体" w:cs="宋体"/>
                <w:color w:val="auto"/>
                <w:szCs w:val="21"/>
                <w:highlight w:val="none"/>
              </w:rPr>
            </w:pPr>
          </w:p>
        </w:tc>
        <w:tc>
          <w:tcPr>
            <w:tcW w:w="567" w:type="dxa"/>
            <w:vMerge w:val="continue"/>
            <w:tcBorders>
              <w:right w:val="single" w:color="auto" w:sz="4" w:space="0"/>
            </w:tcBorders>
            <w:vAlign w:val="center"/>
          </w:tcPr>
          <w:p>
            <w:pPr>
              <w:jc w:val="center"/>
              <w:rPr>
                <w:rFonts w:hint="eastAsia" w:ascii="宋体" w:hAnsi="宋体" w:eastAsia="宋体" w:cs="宋体"/>
                <w:color w:val="auto"/>
                <w:szCs w:val="21"/>
                <w:highlight w:val="none"/>
              </w:rPr>
            </w:pPr>
          </w:p>
        </w:tc>
        <w:tc>
          <w:tcPr>
            <w:tcW w:w="1418" w:type="dxa"/>
            <w:vMerge w:val="continue"/>
            <w:tcBorders>
              <w:left w:val="single" w:color="auto" w:sz="4" w:space="0"/>
            </w:tcBorders>
            <w:vAlign w:val="center"/>
          </w:tcPr>
          <w:p>
            <w:pPr>
              <w:jc w:val="center"/>
              <w:rPr>
                <w:rFonts w:hint="eastAsia" w:ascii="宋体" w:hAnsi="宋体" w:eastAsia="宋体" w:cs="宋体"/>
                <w:color w:val="auto"/>
                <w:szCs w:val="21"/>
                <w:highlight w:val="none"/>
              </w:rPr>
            </w:pPr>
          </w:p>
        </w:tc>
        <w:tc>
          <w:tcPr>
            <w:tcW w:w="3402" w:type="dxa"/>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3.服务事故等级及发生次数控制在合理范围为合格。严重超出的为不合格。</w:t>
            </w:r>
          </w:p>
        </w:tc>
        <w:tc>
          <w:tcPr>
            <w:tcW w:w="2551"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jc w:val="center"/>
              <w:rPr>
                <w:rFonts w:hint="eastAsia" w:ascii="宋体" w:hAnsi="宋体" w:eastAsia="宋体" w:cs="宋体"/>
                <w:color w:val="auto"/>
                <w:szCs w:val="21"/>
                <w:highlight w:val="none"/>
              </w:rPr>
            </w:pPr>
          </w:p>
        </w:tc>
        <w:tc>
          <w:tcPr>
            <w:tcW w:w="567" w:type="dxa"/>
            <w:vMerge w:val="continue"/>
            <w:tcBorders>
              <w:right w:val="single" w:color="auto" w:sz="4" w:space="0"/>
            </w:tcBorders>
            <w:vAlign w:val="center"/>
          </w:tcPr>
          <w:p>
            <w:pPr>
              <w:jc w:val="center"/>
              <w:rPr>
                <w:rFonts w:hint="eastAsia" w:ascii="宋体" w:hAnsi="宋体" w:eastAsia="宋体" w:cs="宋体"/>
                <w:color w:val="auto"/>
                <w:szCs w:val="21"/>
                <w:highlight w:val="none"/>
              </w:rPr>
            </w:pPr>
          </w:p>
        </w:tc>
        <w:tc>
          <w:tcPr>
            <w:tcW w:w="1418" w:type="dxa"/>
            <w:tcBorders>
              <w:lef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及时性目标</w:t>
            </w:r>
          </w:p>
        </w:tc>
        <w:tc>
          <w:tcPr>
            <w:tcW w:w="3402" w:type="dxa"/>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服务响应时间满足用户要求的为合格，严重超出的为不合格。</w:t>
            </w:r>
          </w:p>
        </w:tc>
        <w:tc>
          <w:tcPr>
            <w:tcW w:w="2551"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jc w:val="center"/>
              <w:rPr>
                <w:rFonts w:hint="eastAsia" w:ascii="宋体" w:hAnsi="宋体" w:eastAsia="宋体" w:cs="宋体"/>
                <w:color w:val="auto"/>
                <w:szCs w:val="21"/>
                <w:highlight w:val="none"/>
              </w:rPr>
            </w:pPr>
          </w:p>
        </w:tc>
        <w:tc>
          <w:tcPr>
            <w:tcW w:w="567" w:type="dxa"/>
            <w:vMerge w:val="continue"/>
            <w:tcBorders>
              <w:right w:val="single" w:color="auto" w:sz="4" w:space="0"/>
            </w:tcBorders>
            <w:vAlign w:val="center"/>
          </w:tcPr>
          <w:p>
            <w:pPr>
              <w:jc w:val="center"/>
              <w:rPr>
                <w:rFonts w:hint="eastAsia" w:ascii="宋体" w:hAnsi="宋体" w:eastAsia="宋体" w:cs="宋体"/>
                <w:color w:val="auto"/>
                <w:szCs w:val="21"/>
                <w:highlight w:val="none"/>
              </w:rPr>
            </w:pPr>
          </w:p>
        </w:tc>
        <w:tc>
          <w:tcPr>
            <w:tcW w:w="1418" w:type="dxa"/>
            <w:tcBorders>
              <w:lef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专业性目标</w:t>
            </w:r>
          </w:p>
        </w:tc>
        <w:tc>
          <w:tcPr>
            <w:tcW w:w="3402" w:type="dxa"/>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技术服务人员在服务过程中展现出的规范性、标准性和先进性的程度。根据用户的实际体验度评定是否合格。</w:t>
            </w:r>
          </w:p>
        </w:tc>
        <w:tc>
          <w:tcPr>
            <w:tcW w:w="2551"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jc w:val="center"/>
              <w:rPr>
                <w:rFonts w:hint="eastAsia" w:ascii="宋体" w:hAnsi="宋体" w:eastAsia="宋体" w:cs="宋体"/>
                <w:color w:val="auto"/>
                <w:szCs w:val="21"/>
                <w:highlight w:val="none"/>
              </w:rPr>
            </w:pPr>
          </w:p>
        </w:tc>
        <w:tc>
          <w:tcPr>
            <w:tcW w:w="567" w:type="dxa"/>
            <w:vMerge w:val="continue"/>
            <w:tcBorders>
              <w:right w:val="single" w:color="auto" w:sz="4" w:space="0"/>
            </w:tcBorders>
            <w:vAlign w:val="center"/>
          </w:tcPr>
          <w:p>
            <w:pPr>
              <w:jc w:val="center"/>
              <w:rPr>
                <w:rFonts w:hint="eastAsia" w:ascii="宋体" w:hAnsi="宋体" w:eastAsia="宋体" w:cs="宋体"/>
                <w:color w:val="auto"/>
                <w:szCs w:val="21"/>
                <w:highlight w:val="none"/>
              </w:rPr>
            </w:pPr>
          </w:p>
        </w:tc>
        <w:tc>
          <w:tcPr>
            <w:tcW w:w="1418" w:type="dxa"/>
            <w:tcBorders>
              <w:lef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灵活性目标</w:t>
            </w:r>
          </w:p>
        </w:tc>
        <w:tc>
          <w:tcPr>
            <w:tcW w:w="3402" w:type="dxa"/>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服务提供方应对需求变化的能力。能够灵活应对的为合格。无法响应的为不合格。</w:t>
            </w:r>
          </w:p>
        </w:tc>
        <w:tc>
          <w:tcPr>
            <w:tcW w:w="2551"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985" w:type="dxa"/>
            <w:gridSpan w:val="2"/>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用户满意度</w:t>
            </w:r>
          </w:p>
        </w:tc>
        <w:tc>
          <w:tcPr>
            <w:tcW w:w="3402" w:type="dxa"/>
          </w:tcPr>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系统使用人员满意度达到90%以上为合格，未达到90%为不合格。</w:t>
            </w:r>
          </w:p>
        </w:tc>
        <w:tc>
          <w:tcPr>
            <w:tcW w:w="2551"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合格、不合格</w:t>
            </w:r>
          </w:p>
        </w:tc>
      </w:tr>
    </w:tbl>
    <w:p>
      <w:pPr>
        <w:pStyle w:val="7"/>
        <w:rPr>
          <w:rFonts w:hint="eastAsia" w:ascii="宋体" w:hAnsi="宋体" w:eastAsia="宋体" w:cs="宋体"/>
          <w:color w:val="auto"/>
          <w:highlight w:val="none"/>
        </w:rPr>
      </w:pPr>
      <w:bookmarkStart w:id="262" w:name="_Toc69456088"/>
      <w:r>
        <w:rPr>
          <w:rFonts w:hint="eastAsia" w:ascii="宋体" w:hAnsi="宋体" w:eastAsia="宋体" w:cs="宋体"/>
          <w:color w:val="auto"/>
          <w:highlight w:val="none"/>
        </w:rPr>
        <w:t>3.2评定结果</w:t>
      </w:r>
      <w:bookmarkEnd w:id="262"/>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服务提供方遵照运维服务目录完成运维服务工作后，根据上述服务质量评定标准进行服务质量综合评定。</w:t>
      </w:r>
    </w:p>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263" w:name="_Toc69456089"/>
      <w:r>
        <w:rPr>
          <w:rFonts w:hint="eastAsia" w:ascii="宋体" w:hAnsi="宋体" w:eastAsia="宋体" w:cs="宋体"/>
          <w:color w:val="auto"/>
          <w:sz w:val="28"/>
          <w:szCs w:val="28"/>
          <w:highlight w:val="none"/>
        </w:rPr>
        <w:t>（七）服务资料需求</w:t>
      </w:r>
      <w:bookmarkEnd w:id="263"/>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项目服务过程中，对信息系统服务响应、日常维护、修改记录进行登记，重要服务内容形成文档资料，定期向院方汇报。</w:t>
      </w:r>
    </w:p>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264" w:name="_Toc69456090"/>
      <w:r>
        <w:rPr>
          <w:rFonts w:hint="eastAsia" w:ascii="宋体" w:hAnsi="宋体" w:eastAsia="宋体" w:cs="宋体"/>
          <w:color w:val="auto"/>
          <w:sz w:val="28"/>
          <w:szCs w:val="28"/>
          <w:highlight w:val="none"/>
        </w:rPr>
        <w:t>（八）服务安全保密需求</w:t>
      </w:r>
      <w:bookmarkEnd w:id="264"/>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服务安全保密需求如下：</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（1）项目成员需要签署保密协议，严格遵守公司保密要求；严格遵守兵团法院的保密要求。</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（2）严格遵守保密管理工作相关法律法规，保守在工作中所涉及的秘密，保密期限与国家对各具体秘密事项保密期限要求相一致。</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（3）严禁擅自记录、复制、拍摄、摘抄、收藏在工作中涉及的国家秘密、工作秘密和敏感信息；严禁将工作中涉及的相关产品技术方案及实施规划透露给无关人员。</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（4）工作中涉及的兵团法院相关电子数据、介质、纸质文件等，在使用完成后24小时内，应返回用户方保管，不得私自复制、保存。</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（5）项目组需要设定项目保密员专人签收、登记、保存、销毁，并妥善保管用户方提供的所有文件资料，禁止向外转借、复印。</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（6）所有开发、测试流程均在用户方提供的场所及载体上进行，不得违规留存涉密载体（包括Ｕ盘、移动硬盘、光盘、手机、电脑等，严禁使用私人存储介质存储涉密信息），不得将涉密载体接入互联网使用。</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（7）严禁擅自接收兵团法院的资料；严禁带回资料；严禁单独接触兵团法院的日常涉密数据。</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（8）项目成员发生岗位调整或离职、辞职，需要严格进行脱密处理，包括但不限于收回所掌握的保密资料、交接其原从事的工作、宣告泄密后果及所承担的责任等。</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（9）项目成员必须定期参加安全保密教育，强化安全意识，并承担安全保密责任。</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（10）如发生国家秘密和工作秘密泄露，项目组成员需要及时上报，配合公司及用户方进行泄密处理，采取有效措施，将泄密范围和危害程度控制到最小。</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（11）系统登记日志不允许填写任何项目信息，只需要登记项目阶段及项目工时。</w:t>
      </w:r>
    </w:p>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265" w:name="_Toc69456091"/>
      <w:r>
        <w:rPr>
          <w:rFonts w:hint="eastAsia" w:ascii="宋体" w:hAnsi="宋体" w:eastAsia="宋体" w:cs="宋体"/>
          <w:color w:val="auto"/>
          <w:sz w:val="28"/>
          <w:szCs w:val="28"/>
          <w:highlight w:val="none"/>
        </w:rPr>
        <w:t>（九）培训服务需求</w:t>
      </w:r>
      <w:bookmarkEnd w:id="265"/>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按照兵团法院的实际需要，提供本项目包含的信息系统、接口系统、法信平台和数据库相关的免费培训服务。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主要包括：</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①提供信息系统升级更新培训服务；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②根据法院人事变动，对新增人员或调岗人员进行相关信息系统操作使用培训；</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③提供兵团法院系统集中培训服务；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④提供辖区法院巡检过程中的针对性培训服务；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培训方式：</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主要以集中培训方式进行，由法院负责组织，通过远程视频会议系统或者腾讯会议的形式进行。</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提供培训学习材料。</w:t>
      </w:r>
    </w:p>
    <w:p>
      <w:pPr>
        <w:pStyle w:val="5"/>
        <w:spacing w:before="156" w:beforeLines="50" w:after="156" w:afterLines="50" w:line="240" w:lineRule="auto"/>
        <w:ind w:firstLine="562"/>
        <w:rPr>
          <w:rFonts w:hint="eastAsia" w:ascii="宋体" w:hAnsi="宋体" w:eastAsia="宋体" w:cs="宋体"/>
          <w:color w:val="auto"/>
          <w:sz w:val="28"/>
          <w:szCs w:val="28"/>
          <w:highlight w:val="none"/>
        </w:rPr>
      </w:pPr>
      <w:bookmarkStart w:id="266" w:name="_Toc69456092"/>
      <w:r>
        <w:rPr>
          <w:rFonts w:hint="eastAsia" w:ascii="宋体" w:hAnsi="宋体" w:eastAsia="宋体" w:cs="宋体"/>
          <w:color w:val="auto"/>
          <w:sz w:val="28"/>
          <w:szCs w:val="28"/>
          <w:highlight w:val="none"/>
        </w:rPr>
        <w:t>（十）驻场文明运维需求</w:t>
      </w:r>
      <w:bookmarkEnd w:id="266"/>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驻场文明运维需求：</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第一条  注意仪表，着装整洁，文明礼貌，进入法院公共场所、办公场所和服务场所严禁大声喧哗，严禁携带易燃、易爆等危险品进入，严禁损坏公共财物。</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第二条  恪守职业道德，遵守劳动纪律，提高防范意识。严禁对外泄露法院各项信息。</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第三条  遵守法院的安全保密管理规定，不得复制、摘抄、携带、传播未经用户允许的工作过程中所接触到的相关文件、资料和数据，不得私自发布未经允许的任何内容。</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第四条  严格遵守用户的内外网络、IP地址、终端计算机设备、中心机房设备、网络设备、安全设备使用规定，不得私自更改系统登陆帐号、设备参数配置、程序和数据，不得违规配备或安装使用麦克风、摄像头、移动硬盘、U盘、数码产品等设备。</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第五条  不得内外网计算机混用，不得在法院计算机、服务器上私自安装与工作无关的软件。</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第六条  严格按照法院作息时间准时上下班，不得迟到、早退、旷工，按时、按要求打卡上下班）。</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第七条  病（事）假、因公外出（或出差）必须向信息中心或主管业务庭室领导报备。</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第八条  因任何情况不在岗时，必须做好未完成工作交接，并报告工作安排人，确保工作有序衔接、正常进行。</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第九条  上班期间，所有驻场服务人员和临时到院技术维护人员必须佩带工牌。</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第十条    不得无故擅自离岗，外出办事必须报备。</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第十一条  不允许聚众聊天、吃零食、吸烟、睡觉、吵闹、大声喧哗，进行网络聊天、玩游戏等娱乐活动，以及其他一些与工作无关的行为。</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第十二条  办公区域，除放置办公文件、及必要物品之外，不乱堆其他东西，做到物品摆放有序、美观。</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第十三条  办公室注意节能环保，下班或外出要关灯、电脑、打印机、空调、饮水机等电器，关好门窗。做好防火、防盗及其它异常情况的防范工作。</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第十四条  应注意个人卫生，每天上班前对本区域的卫生进行清扫和整理，不得出现脏、乱、差。</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第十五条  工作中，要有节约意识，对水、电、纸张、办公设备等物资合理使用。</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第十六条  法院的一切物品属公有财物，非经允许，不得私自携出。</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第十七条  及时接听服务电话，接听电话应做到礼貌、热情、精神、细致、耐心，认真倾听并记录用户问题，严禁推诿狡辩。</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第十八条  到法院办公场所服务、参加各种会议和活动时，应携带笔和工作记录本，详细记录用户的问题、办公地点、联系方式等信息，会议应有完整的会议纪要。</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第十九条  如遇法院重大活动、重大事故或紧急情况时，所有公司运维服务人员应当立即响应、服从安排，不得以任何理由推诿。</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第二十条  兵团法院门禁由司法警察总队统一管理，新入职人员由业务主管部门请示，报分管院领导批准后，由司法警察总队协助完成门禁人脸信息录入和权限设置。</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第二十一条  进出兵团法院内部办公区域时，有意识关好安全门，不要被人尾随进入。严禁私自放入陌生人，陌生人表示找人，务必请其自行联系。如果陌生人执意进入，务必坚决阻拦，必要情况下可寻求他人协助。</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第二十二条  法院领导安排到门口接人时，务必问清人数、姓名，并将接到的人员带到法院领导办公室或指定地点方可离开。严禁接入后任其自行走动。</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第二十三条  兵团法院门禁权限务必及时更新，拥有门禁权限人员离职、调离或不在法院工作等情况应第一时间联系信息中心报备更新。否则，产生的一切不良后果自负。</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第二十四条  违反制度事项，由兵团分院信息中心依据事项的影响程度给予处罚意见。</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第二十五条  兵团分院信息中心将不定期将运维服务人员违反本制度的具体情况向服务人员所在公司反馈。</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第二十六条  如出现影响服务质量的重大事故，信息中心有权向院领导提交书面报告，并纳入全年服务工作评价意见。</w:t>
      </w:r>
    </w:p>
    <w:p>
      <w:pPr>
        <w:pStyle w:val="5"/>
        <w:spacing w:before="156" w:beforeLines="50" w:after="156" w:afterLines="50" w:line="240" w:lineRule="auto"/>
        <w:ind w:firstLine="562"/>
        <w:rPr>
          <w:rFonts w:hint="eastAsia" w:ascii="宋体" w:hAnsi="宋体" w:eastAsia="宋体" w:cs="宋体"/>
          <w:b w:val="0"/>
          <w:color w:val="auto"/>
          <w:sz w:val="28"/>
          <w:szCs w:val="28"/>
          <w:highlight w:val="none"/>
        </w:rPr>
      </w:pPr>
      <w:bookmarkStart w:id="267" w:name="_Toc69456093"/>
      <w:r>
        <w:rPr>
          <w:rFonts w:hint="eastAsia" w:ascii="宋体" w:hAnsi="宋体" w:eastAsia="宋体" w:cs="宋体"/>
          <w:color w:val="auto"/>
          <w:sz w:val="28"/>
          <w:szCs w:val="28"/>
          <w:highlight w:val="none"/>
        </w:rPr>
        <w:t>（十一）应急服务需求</w:t>
      </w:r>
      <w:bookmarkEnd w:id="267"/>
    </w:p>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268" w:name="_Toc425673231"/>
      <w:bookmarkStart w:id="269" w:name="_Toc65240287"/>
      <w:bookmarkStart w:id="270" w:name="_Toc456036747"/>
      <w:r>
        <w:rPr>
          <w:rFonts w:hint="eastAsia" w:ascii="宋体" w:hAnsi="宋体" w:eastAsia="宋体" w:cs="宋体"/>
          <w:color w:val="auto"/>
          <w:sz w:val="28"/>
          <w:szCs w:val="28"/>
          <w:highlight w:val="none"/>
        </w:rPr>
        <w:t>兵团法院应急服务响应需求如下：</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1、危险事件等级定义分类</w:t>
      </w:r>
      <w:bookmarkEnd w:id="268"/>
      <w:bookmarkEnd w:id="269"/>
      <w:bookmarkEnd w:id="270"/>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一般故障：指系统出现轻微错误或瑕疵。</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重大故障：系统出现异常，但不影响日常使用，如局部页面或部分功能无法使用。</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特大故障：系统崩溃、应用服务停止，导致大规模用户无法使用系统，出现数据丢失、系统服务无法启动、数据库无法连接、系统程序异常等。</w:t>
      </w:r>
    </w:p>
    <w:p>
      <w:pPr>
        <w:pStyle w:val="24"/>
        <w:tabs>
          <w:tab w:val="center" w:pos="4201"/>
          <w:tab w:val="right" w:leader="dot" w:pos="9298"/>
        </w:tabs>
        <w:ind w:firstLine="560"/>
        <w:rPr>
          <w:rFonts w:hint="eastAsia" w:ascii="宋体" w:hAnsi="宋体" w:eastAsia="宋体" w:cs="宋体"/>
          <w:color w:val="auto"/>
          <w:sz w:val="28"/>
          <w:szCs w:val="28"/>
          <w:highlight w:val="none"/>
        </w:rPr>
      </w:pPr>
      <w:bookmarkStart w:id="271" w:name="_Toc65240288"/>
      <w:bookmarkStart w:id="272" w:name="_Toc425673232"/>
      <w:bookmarkStart w:id="273" w:name="_Toc456036748"/>
      <w:r>
        <w:rPr>
          <w:rFonts w:hint="eastAsia" w:ascii="宋体" w:hAnsi="宋体" w:eastAsia="宋体" w:cs="宋体"/>
          <w:color w:val="auto"/>
          <w:sz w:val="28"/>
          <w:szCs w:val="28"/>
          <w:highlight w:val="none"/>
        </w:rPr>
        <w:t>2、应急响应流程</w:t>
      </w:r>
      <w:bookmarkEnd w:id="271"/>
      <w:bookmarkEnd w:id="272"/>
      <w:bookmarkEnd w:id="273"/>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报警与确认：对数据库服务器、信息系统的运行状况及网络情况进行监测，及时发现系统异常和网络故障，一旦发现异常情况需及时通知驻场项目维护相关人员进行原因排查和故障处理，必要时公司人员驰援。</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系统检查：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检查网络连接；检查应用服务器性能指标，包括tomcat进程是否正常、cpu使用率、内存使用率等；检查后台数据库性能指标，包括数据库状态、进程、是否启动、cpu使用率、内存使用率。</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事故分析：通过对系统日志、网络设备日志、数据库访问日志等，对事件进行审计，对损失进行评估，追查事件发生原因。</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消除隐患、恢复正常运行：根据审计结果，排除系统隐患，恢复系统正常运行。</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重新启动系统：重新启动数据库服务器和应用服务器。</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故障分析报告：提供故障分析报告，分析故障原因。</w:t>
      </w:r>
    </w:p>
    <w:p>
      <w:pPr>
        <w:pStyle w:val="5"/>
        <w:spacing w:before="156" w:beforeLines="50" w:after="156" w:afterLines="50" w:line="240" w:lineRule="auto"/>
        <w:ind w:firstLine="562"/>
        <w:rPr>
          <w:rStyle w:val="54"/>
          <w:rFonts w:hint="eastAsia" w:ascii="宋体" w:hAnsi="宋体" w:eastAsia="宋体" w:cs="宋体"/>
          <w:b w:val="0"/>
          <w:i w:val="0"/>
          <w:color w:val="auto"/>
          <w:sz w:val="28"/>
          <w:szCs w:val="28"/>
          <w:highlight w:val="none"/>
        </w:rPr>
      </w:pPr>
      <w:r>
        <w:rPr>
          <w:rStyle w:val="54"/>
          <w:rFonts w:hint="eastAsia" w:ascii="宋体" w:hAnsi="宋体" w:eastAsia="宋体" w:cs="宋体"/>
          <w:i w:val="0"/>
          <w:color w:val="auto"/>
          <w:sz w:val="28"/>
          <w:szCs w:val="28"/>
          <w:highlight w:val="none"/>
        </w:rPr>
        <w:t>三、售后服务需求</w:t>
      </w:r>
    </w:p>
    <w:p>
      <w:pPr>
        <w:pStyle w:val="6"/>
        <w:spacing w:before="0" w:after="0" w:line="240" w:lineRule="auto"/>
        <w:ind w:firstLine="562"/>
        <w:rPr>
          <w:rFonts w:hint="eastAsia" w:ascii="宋体" w:hAnsi="宋体" w:eastAsia="宋体" w:cs="宋体"/>
          <w:color w:val="auto"/>
          <w:sz w:val="28"/>
          <w:szCs w:val="28"/>
          <w:highlight w:val="none"/>
        </w:rPr>
      </w:pPr>
      <w:bookmarkStart w:id="274" w:name="_Toc78974393"/>
      <w:r>
        <w:rPr>
          <w:rFonts w:hint="eastAsia" w:ascii="宋体" w:hAnsi="宋体" w:eastAsia="宋体" w:cs="宋体"/>
          <w:color w:val="auto"/>
          <w:sz w:val="28"/>
          <w:szCs w:val="28"/>
          <w:highlight w:val="none"/>
        </w:rPr>
        <w:t>1、售后服务要求</w:t>
      </w:r>
      <w:bookmarkEnd w:id="274"/>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本项目服务期内，供应商应负责对项目包含的各业务系统运行中出现的故障进行解决，提供及时的维护服务。</w:t>
      </w:r>
    </w:p>
    <w:p>
      <w:pPr>
        <w:pStyle w:val="6"/>
        <w:spacing w:before="0" w:after="0" w:line="240" w:lineRule="auto"/>
        <w:ind w:firstLine="56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2、技术支持服务</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在项目服务期内，供应商应提供现场维护和技术支持，包括以下服务内容：</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1、快速响应服务：对于紧急的问题，当天响应处理。此类问题包括：服务器系统、应用系统严重错误等。</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定期环境检修服务：在软件投入运行后，中标人在维护期内，应派出技术人员实施定期例行巡检服务。主要工作内容包括：收集用户使用信息，对网络环境的检查、清理，解答用户疑难，并将结果及时反馈法院信息化管理部门。</w:t>
      </w:r>
    </w:p>
    <w:p>
      <w:pPr>
        <w:pStyle w:val="24"/>
        <w:tabs>
          <w:tab w:val="center" w:pos="4201"/>
          <w:tab w:val="right" w:leader="dot" w:pos="9298"/>
        </w:tabs>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3、热线技术支持服务：软件投入运行后，应为系统管理员建立热线技术支持服务。对于用户在使用方面的疑难，提供热线电话支持，传真和邮件响应。</w:t>
      </w:r>
    </w:p>
    <w:p>
      <w:pPr>
        <w:spacing w:before="205"/>
        <w:outlineLvl w:val="9"/>
        <w:rPr>
          <w:rFonts w:hint="eastAsia" w:ascii="宋体" w:hAnsi="宋体" w:eastAsia="宋体" w:cs="宋体"/>
          <w:color w:val="auto"/>
          <w:highlight w:val="none"/>
        </w:rPr>
      </w:pPr>
    </w:p>
    <w:p>
      <w:pPr>
        <w:pStyle w:val="5"/>
        <w:spacing w:before="205"/>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bookmarkEnd w:id="83"/>
    <w:p>
      <w:pPr>
        <w:pStyle w:val="6"/>
        <w:numPr>
          <w:ilvl w:val="0"/>
          <w:numId w:val="22"/>
        </w:numPr>
        <w:tabs>
          <w:tab w:val="left" w:pos="1444"/>
        </w:tabs>
        <w:ind w:left="0" w:leftChars="0" w:right="158" w:firstLine="0" w:firstLineChars="0"/>
        <w:outlineLvl w:val="0"/>
        <w:rPr>
          <w:rFonts w:hint="eastAsia" w:ascii="宋体" w:hAnsi="宋体" w:eastAsia="宋体" w:cs="宋体"/>
          <w:color w:val="auto"/>
          <w:highlight w:val="none"/>
        </w:rPr>
      </w:pPr>
      <w:bookmarkStart w:id="275" w:name="_Toc5537"/>
      <w:r>
        <w:rPr>
          <w:rFonts w:hint="eastAsia" w:ascii="宋体" w:hAnsi="宋体" w:eastAsia="宋体" w:cs="宋体"/>
          <w:color w:val="auto"/>
          <w:highlight w:val="none"/>
        </w:rPr>
        <w:t>投标文件格式</w:t>
      </w:r>
      <w:bookmarkEnd w:id="275"/>
    </w:p>
    <w:p>
      <w:pPr>
        <w:numPr>
          <w:ilvl w:val="0"/>
          <w:numId w:val="0"/>
        </w:numPr>
        <w:ind w:leftChars="0" w:right="0" w:rightChars="0"/>
        <w:rPr>
          <w:rFonts w:hint="eastAsia" w:ascii="宋体" w:hAnsi="宋体" w:eastAsia="宋体" w:cs="宋体"/>
          <w:color w:val="auto"/>
          <w:highlight w:val="none"/>
          <w:lang w:val="zh-CN" w:eastAsia="zh-CN"/>
        </w:rPr>
      </w:pPr>
    </w:p>
    <w:p>
      <w:pPr>
        <w:tabs>
          <w:tab w:val="left" w:pos="3475"/>
        </w:tabs>
        <w:spacing w:before="201"/>
        <w:ind w:left="2356"/>
        <w:outlineLvl w:val="9"/>
        <w:rPr>
          <w:rFonts w:hint="eastAsia" w:ascii="宋体" w:hAnsi="宋体" w:eastAsia="宋体" w:cs="宋体"/>
          <w:color w:val="auto"/>
          <w:highlight w:val="none"/>
        </w:rPr>
      </w:pPr>
      <w:r>
        <w:rPr>
          <w:rFonts w:hint="eastAsia" w:ascii="宋体" w:hAnsi="宋体" w:eastAsia="宋体" w:cs="宋体"/>
          <w:color w:val="auto"/>
          <w:w w:val="100"/>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w:t>
      </w:r>
      <w:r>
        <w:rPr>
          <w:rFonts w:hint="eastAsia" w:ascii="宋体" w:hAnsi="宋体" w:eastAsia="宋体" w:cs="宋体"/>
          <w:color w:val="auto"/>
          <w:spacing w:val="-3"/>
          <w:highlight w:val="none"/>
        </w:rPr>
        <w:t>项目名称</w:t>
      </w:r>
      <w:r>
        <w:rPr>
          <w:rFonts w:hint="eastAsia" w:ascii="宋体" w:hAnsi="宋体" w:eastAsia="宋体" w:cs="宋体"/>
          <w:color w:val="auto"/>
          <w:highlight w:val="none"/>
        </w:rPr>
        <w:t>）</w:t>
      </w:r>
      <w:r>
        <w:rPr>
          <w:rFonts w:hint="eastAsia" w:ascii="宋体" w:hAnsi="宋体" w:eastAsia="宋体" w:cs="宋体"/>
          <w:color w:val="auto"/>
          <w:spacing w:val="-1"/>
          <w:highlight w:val="none"/>
        </w:rPr>
        <w:t>第 标段</w:t>
      </w:r>
    </w:p>
    <w:p>
      <w:pPr>
        <w:pStyle w:val="2"/>
        <w:spacing w:before="7"/>
        <w:outlineLvl w:val="9"/>
        <w:rPr>
          <w:rFonts w:hint="eastAsia" w:ascii="宋体" w:hAnsi="宋体" w:eastAsia="宋体" w:cs="宋体"/>
          <w:color w:val="auto"/>
          <w:sz w:val="35"/>
          <w:highlight w:val="none"/>
        </w:rPr>
      </w:pPr>
    </w:p>
    <w:p>
      <w:pPr>
        <w:spacing w:before="0"/>
        <w:ind w:left="0" w:right="14" w:firstLine="0"/>
        <w:jc w:val="center"/>
        <w:outlineLvl w:val="9"/>
        <w:rPr>
          <w:rFonts w:hint="eastAsia" w:ascii="宋体" w:hAnsi="宋体" w:eastAsia="宋体" w:cs="宋体"/>
          <w:color w:val="auto"/>
          <w:sz w:val="44"/>
          <w:highlight w:val="none"/>
        </w:rPr>
      </w:pPr>
      <w:r>
        <w:rPr>
          <w:rFonts w:hint="eastAsia" w:ascii="宋体" w:hAnsi="宋体" w:eastAsia="宋体" w:cs="宋体"/>
          <w:color w:val="auto"/>
          <w:sz w:val="44"/>
          <w:highlight w:val="none"/>
        </w:rPr>
        <w:t>投 标 文 件</w:t>
      </w:r>
    </w:p>
    <w:p>
      <w:pPr>
        <w:pStyle w:val="2"/>
        <w:outlineLvl w:val="9"/>
        <w:rPr>
          <w:rFonts w:hint="eastAsia" w:ascii="宋体" w:hAnsi="宋体" w:eastAsia="宋体" w:cs="宋体"/>
          <w:color w:val="auto"/>
          <w:sz w:val="44"/>
          <w:highlight w:val="none"/>
        </w:rPr>
      </w:pPr>
    </w:p>
    <w:p>
      <w:pPr>
        <w:pStyle w:val="2"/>
        <w:outlineLvl w:val="9"/>
        <w:rPr>
          <w:rFonts w:hint="eastAsia" w:ascii="宋体" w:hAnsi="宋体" w:eastAsia="宋体" w:cs="宋体"/>
          <w:color w:val="auto"/>
          <w:sz w:val="44"/>
          <w:highlight w:val="none"/>
        </w:rPr>
      </w:pPr>
    </w:p>
    <w:p>
      <w:pPr>
        <w:pStyle w:val="2"/>
        <w:outlineLvl w:val="9"/>
        <w:rPr>
          <w:rFonts w:hint="eastAsia" w:ascii="宋体" w:hAnsi="宋体" w:eastAsia="宋体" w:cs="宋体"/>
          <w:color w:val="auto"/>
          <w:sz w:val="44"/>
          <w:highlight w:val="none"/>
        </w:rPr>
      </w:pPr>
    </w:p>
    <w:p>
      <w:pPr>
        <w:pStyle w:val="2"/>
        <w:outlineLvl w:val="9"/>
        <w:rPr>
          <w:rFonts w:hint="eastAsia" w:ascii="宋体" w:hAnsi="宋体" w:eastAsia="宋体" w:cs="宋体"/>
          <w:color w:val="auto"/>
          <w:sz w:val="44"/>
          <w:highlight w:val="none"/>
        </w:rPr>
      </w:pPr>
    </w:p>
    <w:p>
      <w:pPr>
        <w:pStyle w:val="2"/>
        <w:outlineLvl w:val="9"/>
        <w:rPr>
          <w:rFonts w:hint="eastAsia" w:ascii="宋体" w:hAnsi="宋体" w:eastAsia="宋体" w:cs="宋体"/>
          <w:color w:val="auto"/>
          <w:sz w:val="44"/>
          <w:highlight w:val="none"/>
        </w:rPr>
      </w:pPr>
    </w:p>
    <w:p>
      <w:pPr>
        <w:pStyle w:val="2"/>
        <w:outlineLvl w:val="9"/>
        <w:rPr>
          <w:rFonts w:hint="eastAsia" w:ascii="宋体" w:hAnsi="宋体" w:eastAsia="宋体" w:cs="宋体"/>
          <w:color w:val="auto"/>
          <w:sz w:val="44"/>
          <w:highlight w:val="none"/>
        </w:rPr>
      </w:pPr>
    </w:p>
    <w:p>
      <w:pPr>
        <w:pStyle w:val="2"/>
        <w:outlineLvl w:val="9"/>
        <w:rPr>
          <w:rFonts w:hint="eastAsia" w:ascii="宋体" w:hAnsi="宋体" w:eastAsia="宋体" w:cs="宋体"/>
          <w:color w:val="auto"/>
          <w:sz w:val="44"/>
          <w:highlight w:val="none"/>
        </w:rPr>
      </w:pPr>
    </w:p>
    <w:p>
      <w:pPr>
        <w:pStyle w:val="2"/>
        <w:outlineLvl w:val="9"/>
        <w:rPr>
          <w:rFonts w:hint="eastAsia" w:ascii="宋体" w:hAnsi="宋体" w:eastAsia="宋体" w:cs="宋体"/>
          <w:color w:val="auto"/>
          <w:sz w:val="44"/>
          <w:highlight w:val="none"/>
        </w:rPr>
      </w:pPr>
    </w:p>
    <w:p>
      <w:pPr>
        <w:pStyle w:val="2"/>
        <w:outlineLvl w:val="9"/>
        <w:rPr>
          <w:rFonts w:hint="eastAsia" w:ascii="宋体" w:hAnsi="宋体" w:eastAsia="宋体" w:cs="宋体"/>
          <w:color w:val="auto"/>
          <w:sz w:val="44"/>
          <w:highlight w:val="none"/>
        </w:rPr>
      </w:pPr>
    </w:p>
    <w:p>
      <w:pPr>
        <w:pStyle w:val="2"/>
        <w:spacing w:before="6"/>
        <w:outlineLvl w:val="9"/>
        <w:rPr>
          <w:rFonts w:hint="eastAsia" w:ascii="宋体" w:hAnsi="宋体" w:eastAsia="宋体" w:cs="宋体"/>
          <w:color w:val="auto"/>
          <w:sz w:val="45"/>
          <w:highlight w:val="none"/>
        </w:rPr>
      </w:pPr>
    </w:p>
    <w:p>
      <w:pPr>
        <w:outlineLvl w:val="9"/>
        <w:rPr>
          <w:rFonts w:hint="eastAsia" w:ascii="宋体" w:hAnsi="宋体" w:eastAsia="宋体" w:cs="宋体"/>
          <w:color w:val="auto"/>
          <w:highlight w:val="none"/>
        </w:rPr>
      </w:pPr>
      <w:r>
        <w:rPr>
          <w:rFonts w:hint="eastAsia" w:ascii="宋体" w:hAnsi="宋体" w:eastAsia="宋体" w:cs="宋体"/>
          <w:color w:val="auto"/>
          <w:highlight w:val="none"/>
        </w:rPr>
        <w:t>投标人：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（盖单位章）</w:t>
      </w:r>
    </w:p>
    <w:p>
      <w:pPr>
        <w:spacing w:before="182"/>
        <w:ind w:left="1677" w:right="0" w:firstLine="0"/>
        <w:jc w:val="left"/>
        <w:outlineLvl w:val="9"/>
        <w:rPr>
          <w:rFonts w:hint="eastAsia" w:ascii="宋体" w:hAnsi="宋体" w:eastAsia="宋体" w:cs="宋体"/>
          <w:color w:val="auto"/>
          <w:sz w:val="28"/>
          <w:highlight w:val="none"/>
        </w:rPr>
      </w:pPr>
      <w:r>
        <w:rPr>
          <w:rFonts w:hint="eastAsia" w:ascii="宋体" w:hAnsi="宋体" w:eastAsia="宋体" w:cs="宋体"/>
          <w:color w:val="auto"/>
          <w:sz w:val="28"/>
          <w:highlight w:val="none"/>
        </w:rPr>
        <w:t>法定代表人（单位负责人）或其委托代理人：</w:t>
      </w:r>
      <w:r>
        <w:rPr>
          <w:rFonts w:hint="eastAsia" w:ascii="宋体" w:hAnsi="宋体" w:eastAsia="宋体" w:cs="宋体"/>
          <w:color w:val="auto"/>
          <w:sz w:val="28"/>
          <w:highlight w:val="none"/>
          <w:u w:val="single"/>
        </w:rPr>
        <w:t xml:space="preserve"> </w:t>
      </w:r>
      <w:r>
        <w:rPr>
          <w:rFonts w:hint="eastAsia" w:ascii="宋体" w:hAnsi="宋体" w:eastAsia="宋体" w:cs="宋体"/>
          <w:color w:val="auto"/>
          <w:sz w:val="28"/>
          <w:highlight w:val="none"/>
        </w:rPr>
        <w:t>（签字）</w:t>
      </w:r>
    </w:p>
    <w:p>
      <w:pPr>
        <w:pStyle w:val="2"/>
        <w:outlineLvl w:val="9"/>
        <w:rPr>
          <w:rFonts w:hint="eastAsia" w:ascii="宋体" w:hAnsi="宋体" w:eastAsia="宋体" w:cs="宋体"/>
          <w:color w:val="auto"/>
          <w:sz w:val="20"/>
          <w:highlight w:val="none"/>
        </w:rPr>
      </w:pPr>
    </w:p>
    <w:p>
      <w:pPr>
        <w:pStyle w:val="2"/>
        <w:spacing w:before="8"/>
        <w:outlineLvl w:val="9"/>
        <w:rPr>
          <w:rFonts w:hint="eastAsia" w:ascii="宋体" w:hAnsi="宋体" w:eastAsia="宋体" w:cs="宋体"/>
          <w:color w:val="auto"/>
          <w:sz w:val="20"/>
          <w:highlight w:val="none"/>
        </w:rPr>
      </w:pPr>
    </w:p>
    <w:p>
      <w:pPr>
        <w:pStyle w:val="12"/>
        <w:rPr>
          <w:rFonts w:hint="eastAsia" w:ascii="宋体" w:hAnsi="宋体" w:eastAsia="宋体" w:cs="宋体"/>
          <w:color w:val="auto"/>
          <w:sz w:val="28"/>
          <w:highlight w:val="none"/>
        </w:rPr>
      </w:pPr>
      <w:r>
        <w:rPr>
          <w:rFonts w:hint="eastAsia" w:ascii="宋体" w:hAnsi="宋体" w:eastAsia="宋体" w:cs="宋体"/>
          <w:color w:val="auto"/>
          <w:w w:val="100"/>
          <w:sz w:val="28"/>
          <w:highlight w:val="none"/>
          <w:u w:val="single"/>
        </w:rPr>
        <w:t xml:space="preserve"> </w:t>
      </w:r>
      <w:r>
        <w:rPr>
          <w:rFonts w:hint="eastAsia" w:ascii="宋体" w:hAnsi="宋体" w:eastAsia="宋体" w:cs="宋体"/>
          <w:color w:val="auto"/>
          <w:sz w:val="28"/>
          <w:highlight w:val="none"/>
          <w:u w:val="single"/>
        </w:rPr>
        <w:tab/>
      </w:r>
      <w:r>
        <w:rPr>
          <w:rFonts w:hint="eastAsia" w:ascii="宋体" w:hAnsi="宋体" w:eastAsia="宋体" w:cs="宋体"/>
          <w:color w:val="auto"/>
          <w:sz w:val="28"/>
          <w:highlight w:val="none"/>
        </w:rPr>
        <w:t>年</w:t>
      </w:r>
      <w:r>
        <w:rPr>
          <w:rFonts w:hint="eastAsia" w:ascii="宋体" w:hAnsi="宋体" w:eastAsia="宋体" w:cs="宋体"/>
          <w:color w:val="auto"/>
          <w:sz w:val="28"/>
          <w:highlight w:val="none"/>
          <w:u w:val="single"/>
        </w:rPr>
        <w:t xml:space="preserve"> </w:t>
      </w:r>
      <w:r>
        <w:rPr>
          <w:rFonts w:hint="eastAsia" w:ascii="宋体" w:hAnsi="宋体" w:eastAsia="宋体" w:cs="宋体"/>
          <w:color w:val="auto"/>
          <w:sz w:val="28"/>
          <w:highlight w:val="none"/>
          <w:u w:val="single"/>
        </w:rPr>
        <w:tab/>
      </w:r>
      <w:r>
        <w:rPr>
          <w:rFonts w:hint="eastAsia" w:ascii="宋体" w:hAnsi="宋体" w:eastAsia="宋体" w:cs="宋体"/>
          <w:color w:val="auto"/>
          <w:sz w:val="28"/>
          <w:highlight w:val="none"/>
        </w:rPr>
        <w:t>月</w:t>
      </w:r>
      <w:r>
        <w:rPr>
          <w:rFonts w:hint="eastAsia" w:ascii="宋体" w:hAnsi="宋体" w:eastAsia="宋体" w:cs="宋体"/>
          <w:color w:val="auto"/>
          <w:sz w:val="28"/>
          <w:highlight w:val="none"/>
          <w:u w:val="single"/>
        </w:rPr>
        <w:t xml:space="preserve"> </w:t>
      </w:r>
      <w:r>
        <w:rPr>
          <w:rFonts w:hint="eastAsia" w:ascii="宋体" w:hAnsi="宋体" w:eastAsia="宋体" w:cs="宋体"/>
          <w:color w:val="auto"/>
          <w:sz w:val="28"/>
          <w:highlight w:val="none"/>
          <w:u w:val="single"/>
        </w:rPr>
        <w:tab/>
      </w:r>
      <w:r>
        <w:rPr>
          <w:rFonts w:hint="eastAsia" w:ascii="宋体" w:hAnsi="宋体" w:eastAsia="宋体" w:cs="宋体"/>
          <w:color w:val="auto"/>
          <w:sz w:val="28"/>
          <w:highlight w:val="none"/>
        </w:rPr>
        <w:t>日</w:t>
      </w:r>
    </w:p>
    <w:p>
      <w:pPr>
        <w:rPr>
          <w:rFonts w:hint="eastAsia" w:ascii="宋体" w:hAnsi="宋体" w:eastAsia="宋体" w:cs="宋体"/>
          <w:color w:val="auto"/>
          <w:sz w:val="28"/>
          <w:highlight w:val="none"/>
        </w:rPr>
      </w:pPr>
      <w:r>
        <w:rPr>
          <w:rFonts w:hint="eastAsia" w:ascii="宋体" w:hAnsi="宋体" w:eastAsia="宋体" w:cs="宋体"/>
          <w:color w:val="auto"/>
          <w:sz w:val="28"/>
          <w:highlight w:val="none"/>
        </w:rPr>
        <w:br w:type="page"/>
      </w:r>
    </w:p>
    <w:p>
      <w:pPr>
        <w:tabs>
          <w:tab w:val="left" w:pos="719"/>
        </w:tabs>
        <w:spacing w:before="50"/>
        <w:ind w:left="0" w:right="159" w:firstLine="0"/>
        <w:jc w:val="center"/>
        <w:rPr>
          <w:rFonts w:hint="eastAsia" w:ascii="宋体" w:hAnsi="宋体" w:eastAsia="宋体" w:cs="宋体"/>
          <w:b/>
          <w:color w:val="auto"/>
          <w:sz w:val="36"/>
          <w:highlight w:val="none"/>
        </w:rPr>
      </w:pPr>
      <w:r>
        <w:rPr>
          <w:rFonts w:hint="eastAsia" w:ascii="宋体" w:hAnsi="宋体" w:eastAsia="宋体" w:cs="宋体"/>
          <w:b/>
          <w:color w:val="auto"/>
          <w:sz w:val="36"/>
          <w:highlight w:val="none"/>
        </w:rPr>
        <w:t>目</w:t>
      </w:r>
      <w:r>
        <w:rPr>
          <w:rFonts w:hint="eastAsia" w:ascii="宋体" w:hAnsi="宋体" w:eastAsia="宋体" w:cs="宋体"/>
          <w:b/>
          <w:color w:val="auto"/>
          <w:sz w:val="36"/>
          <w:highlight w:val="none"/>
        </w:rPr>
        <w:tab/>
      </w:r>
      <w:r>
        <w:rPr>
          <w:rFonts w:hint="eastAsia" w:ascii="宋体" w:hAnsi="宋体" w:eastAsia="宋体" w:cs="宋体"/>
          <w:b/>
          <w:color w:val="auto"/>
          <w:sz w:val="36"/>
          <w:highlight w:val="none"/>
        </w:rPr>
        <w:t>录</w:t>
      </w:r>
    </w:p>
    <w:p>
      <w:pPr>
        <w:pStyle w:val="2"/>
        <w:spacing w:before="2"/>
        <w:rPr>
          <w:rFonts w:hint="eastAsia" w:ascii="宋体" w:hAnsi="宋体" w:eastAsia="宋体" w:cs="宋体"/>
          <w:b/>
          <w:color w:val="auto"/>
          <w:sz w:val="22"/>
          <w:highlight w:val="none"/>
        </w:rPr>
      </w:pPr>
    </w:p>
    <w:p>
      <w:pPr>
        <w:pStyle w:val="2"/>
        <w:spacing w:before="66"/>
        <w:ind w:left="477"/>
        <w:outlineLvl w:val="9"/>
        <w:rPr>
          <w:rFonts w:hint="eastAsia" w:ascii="宋体" w:hAnsi="宋体" w:eastAsia="宋体" w:cs="宋体"/>
          <w:color w:val="auto"/>
          <w:highlight w:val="none"/>
        </w:rPr>
      </w:pPr>
      <w:bookmarkStart w:id="276" w:name="_Toc1576"/>
      <w:r>
        <w:rPr>
          <w:rFonts w:hint="eastAsia" w:ascii="宋体" w:hAnsi="宋体" w:eastAsia="宋体" w:cs="宋体"/>
          <w:color w:val="auto"/>
          <w:highlight w:val="none"/>
        </w:rPr>
        <w:t>一、投标函和开标一览表</w:t>
      </w:r>
      <w:bookmarkEnd w:id="276"/>
    </w:p>
    <w:p>
      <w:pPr>
        <w:pStyle w:val="2"/>
        <w:spacing w:before="10"/>
        <w:rPr>
          <w:rFonts w:hint="eastAsia" w:ascii="宋体" w:hAnsi="宋体" w:eastAsia="宋体" w:cs="宋体"/>
          <w:color w:val="auto"/>
          <w:sz w:val="23"/>
          <w:highlight w:val="none"/>
        </w:rPr>
      </w:pPr>
    </w:p>
    <w:p>
      <w:pPr>
        <w:pStyle w:val="2"/>
        <w:spacing w:line="480" w:lineRule="auto"/>
        <w:ind w:left="477" w:right="1600"/>
        <w:rPr>
          <w:rFonts w:hint="eastAsia" w:ascii="宋体" w:hAnsi="宋体" w:eastAsia="宋体" w:cs="宋体"/>
          <w:color w:val="auto"/>
          <w:highlight w:val="none"/>
        </w:rPr>
      </w:pPr>
      <w:r>
        <w:rPr>
          <w:rFonts w:hint="eastAsia" w:ascii="宋体" w:hAnsi="宋体" w:eastAsia="宋体" w:cs="宋体"/>
          <w:color w:val="auto"/>
          <w:highlight w:val="none"/>
        </w:rPr>
        <w:t>二、法定代表人（单位负责人）身份证明（适用于无委托代理人的情况） 三、授权委托书（适用于有委托代理人的情况）</w:t>
      </w:r>
    </w:p>
    <w:p>
      <w:pPr>
        <w:pStyle w:val="2"/>
        <w:spacing w:line="477" w:lineRule="auto"/>
        <w:ind w:left="477" w:right="6400"/>
        <w:rPr>
          <w:rFonts w:hint="eastAsia" w:ascii="宋体" w:hAnsi="宋体" w:eastAsia="宋体" w:cs="宋体"/>
          <w:color w:val="auto"/>
          <w:highlight w:val="none"/>
        </w:rPr>
      </w:pPr>
      <w:r>
        <w:rPr>
          <w:rFonts w:hint="eastAsia" w:ascii="宋体" w:hAnsi="宋体" w:eastAsia="宋体" w:cs="宋体"/>
          <w:color w:val="auto"/>
          <w:highlight w:val="none"/>
        </w:rPr>
        <w:t>四、联合体协议书（如有</w:t>
      </w:r>
      <w:r>
        <w:rPr>
          <w:rFonts w:hint="eastAsia" w:ascii="宋体" w:hAnsi="宋体" w:eastAsia="宋体" w:cs="宋体"/>
          <w:color w:val="auto"/>
          <w:spacing w:val="-17"/>
          <w:highlight w:val="none"/>
        </w:rPr>
        <w:t xml:space="preserve">） </w:t>
      </w:r>
      <w:r>
        <w:rPr>
          <w:rFonts w:hint="eastAsia" w:ascii="宋体" w:hAnsi="宋体" w:eastAsia="宋体" w:cs="宋体"/>
          <w:color w:val="auto"/>
          <w:highlight w:val="none"/>
        </w:rPr>
        <w:t>五、投标保证金</w:t>
      </w:r>
    </w:p>
    <w:p>
      <w:pPr>
        <w:pStyle w:val="2"/>
        <w:spacing w:line="477" w:lineRule="auto"/>
        <w:ind w:left="477" w:right="6880"/>
        <w:rPr>
          <w:rFonts w:hint="eastAsia" w:ascii="宋体" w:hAnsi="宋体" w:eastAsia="宋体" w:cs="宋体"/>
          <w:color w:val="auto"/>
          <w:highlight w:val="none"/>
        </w:rPr>
      </w:pPr>
      <w:r>
        <w:rPr>
          <w:rFonts w:hint="eastAsia" w:ascii="宋体" w:hAnsi="宋体" w:eastAsia="宋体" w:cs="宋体"/>
          <w:color w:val="auto"/>
          <w:spacing w:val="-2"/>
          <w:highlight w:val="none"/>
        </w:rPr>
        <w:t>六、商务和技术偏差表</w:t>
      </w:r>
      <w:r>
        <w:rPr>
          <w:rFonts w:hint="eastAsia" w:ascii="宋体" w:hAnsi="宋体" w:eastAsia="宋体" w:cs="宋体"/>
          <w:color w:val="auto"/>
          <w:highlight w:val="none"/>
        </w:rPr>
        <w:t>七、分项报价表</w:t>
      </w:r>
    </w:p>
    <w:p>
      <w:pPr>
        <w:pStyle w:val="2"/>
        <w:ind w:left="477"/>
        <w:rPr>
          <w:rFonts w:hint="eastAsia" w:ascii="宋体" w:hAnsi="宋体" w:eastAsia="宋体" w:cs="宋体"/>
          <w:color w:val="auto"/>
          <w:highlight w:val="none"/>
        </w:rPr>
      </w:pPr>
      <w:r>
        <w:rPr>
          <w:rFonts w:hint="eastAsia" w:ascii="宋体" w:hAnsi="宋体" w:eastAsia="宋体" w:cs="宋体"/>
          <w:color w:val="auto"/>
          <w:highlight w:val="none"/>
        </w:rPr>
        <w:t>八、资格审查资料</w:t>
      </w:r>
    </w:p>
    <w:p>
      <w:pPr>
        <w:pStyle w:val="2"/>
        <w:spacing w:before="6"/>
        <w:rPr>
          <w:rFonts w:hint="eastAsia" w:ascii="宋体" w:hAnsi="宋体" w:eastAsia="宋体" w:cs="宋体"/>
          <w:color w:val="auto"/>
          <w:sz w:val="23"/>
          <w:highlight w:val="none"/>
        </w:rPr>
      </w:pPr>
    </w:p>
    <w:p>
      <w:pPr>
        <w:pStyle w:val="2"/>
        <w:spacing w:line="477" w:lineRule="auto"/>
        <w:ind w:left="477" w:right="5200"/>
        <w:rPr>
          <w:rFonts w:hint="eastAsia" w:ascii="宋体" w:hAnsi="宋体" w:eastAsia="宋体" w:cs="宋体"/>
          <w:color w:val="auto"/>
          <w:highlight w:val="none"/>
        </w:rPr>
      </w:pPr>
      <w:r>
        <w:rPr>
          <w:rFonts w:hint="eastAsia" w:ascii="宋体" w:hAnsi="宋体" w:eastAsia="宋体" w:cs="宋体"/>
          <w:color w:val="auto"/>
          <w:spacing w:val="-1"/>
          <w:highlight w:val="none"/>
        </w:rPr>
        <w:t>九、投标设备技术性能指标的详细描述</w:t>
      </w:r>
      <w:r>
        <w:rPr>
          <w:rFonts w:hint="eastAsia" w:ascii="宋体" w:hAnsi="宋体" w:eastAsia="宋体" w:cs="宋体"/>
          <w:color w:val="auto"/>
          <w:highlight w:val="none"/>
        </w:rPr>
        <w:t>十、技术支持资料</w:t>
      </w:r>
    </w:p>
    <w:p>
      <w:pPr>
        <w:pStyle w:val="2"/>
        <w:spacing w:before="1" w:line="477" w:lineRule="auto"/>
        <w:ind w:left="477" w:right="5680"/>
        <w:rPr>
          <w:rFonts w:hint="eastAsia" w:ascii="宋体" w:hAnsi="宋体" w:eastAsia="宋体" w:cs="宋体"/>
          <w:color w:val="auto"/>
          <w:highlight w:val="none"/>
        </w:rPr>
      </w:pPr>
      <w:r>
        <w:rPr>
          <w:rFonts w:hint="eastAsia" w:ascii="宋体" w:hAnsi="宋体" w:eastAsia="宋体" w:cs="宋体"/>
          <w:color w:val="auto"/>
          <w:highlight w:val="none"/>
        </w:rPr>
        <w:t>十一、技术服务和质保期服务计划十二、其他资料</w:t>
      </w:r>
    </w:p>
    <w:p>
      <w:pPr>
        <w:spacing w:after="0" w:line="477" w:lineRule="auto"/>
        <w:rPr>
          <w:rFonts w:hint="eastAsia" w:ascii="宋体" w:hAnsi="宋体" w:eastAsia="宋体" w:cs="宋体"/>
          <w:color w:val="auto"/>
          <w:highlight w:val="none"/>
        </w:rPr>
        <w:sectPr>
          <w:headerReference r:id="rId7" w:type="default"/>
          <w:footerReference r:id="rId8" w:type="default"/>
          <w:pgSz w:w="12240" w:h="15840"/>
          <w:pgMar w:top="1360" w:right="1160" w:bottom="1160" w:left="1320" w:header="878" w:footer="975" w:gutter="0"/>
          <w:pgNumType w:fmt="decimal"/>
          <w:cols w:space="720" w:num="1"/>
        </w:sectPr>
      </w:pPr>
    </w:p>
    <w:p>
      <w:pPr>
        <w:pStyle w:val="2"/>
        <w:spacing w:before="9"/>
        <w:rPr>
          <w:rFonts w:hint="eastAsia" w:ascii="宋体" w:hAnsi="宋体" w:eastAsia="宋体" w:cs="宋体"/>
          <w:color w:val="auto"/>
          <w:sz w:val="19"/>
          <w:highlight w:val="none"/>
        </w:rPr>
      </w:pPr>
    </w:p>
    <w:p>
      <w:pPr>
        <w:pStyle w:val="7"/>
        <w:outlineLvl w:val="1"/>
        <w:rPr>
          <w:rFonts w:hint="eastAsia" w:ascii="宋体" w:hAnsi="宋体" w:eastAsia="宋体" w:cs="宋体"/>
          <w:color w:val="auto"/>
          <w:highlight w:val="none"/>
        </w:rPr>
      </w:pPr>
      <w:bookmarkStart w:id="277" w:name="_bookmark55"/>
      <w:bookmarkEnd w:id="277"/>
      <w:bookmarkStart w:id="278" w:name="_Toc928"/>
      <w:r>
        <w:rPr>
          <w:rFonts w:hint="eastAsia" w:ascii="宋体" w:hAnsi="宋体" w:eastAsia="宋体" w:cs="宋体"/>
          <w:color w:val="auto"/>
          <w:highlight w:val="none"/>
        </w:rPr>
        <w:t>一、投标函和开标一览表</w:t>
      </w:r>
      <w:bookmarkEnd w:id="278"/>
    </w:p>
    <w:p>
      <w:pPr>
        <w:pStyle w:val="2"/>
        <w:spacing w:before="5"/>
        <w:rPr>
          <w:rFonts w:hint="eastAsia" w:ascii="宋体" w:hAnsi="宋体" w:eastAsia="宋体" w:cs="宋体"/>
          <w:b/>
          <w:color w:val="auto"/>
          <w:sz w:val="28"/>
          <w:highlight w:val="none"/>
        </w:rPr>
      </w:pPr>
    </w:p>
    <w:p>
      <w:pPr>
        <w:pStyle w:val="8"/>
        <w:ind w:left="0" w:right="157" w:firstLine="0"/>
        <w:jc w:val="center"/>
        <w:rPr>
          <w:rFonts w:hint="eastAsia" w:ascii="宋体" w:hAnsi="宋体" w:eastAsia="宋体" w:cs="宋体"/>
          <w:color w:val="auto"/>
          <w:highlight w:val="none"/>
        </w:rPr>
      </w:pPr>
      <w:r>
        <w:rPr>
          <w:rFonts w:hint="eastAsia" w:ascii="宋体" w:hAnsi="宋体" w:eastAsia="宋体" w:cs="宋体"/>
          <w:color w:val="auto"/>
          <w:highlight w:val="none"/>
        </w:rPr>
        <w:t>（一）投标函</w:t>
      </w:r>
    </w:p>
    <w:p>
      <w:pPr>
        <w:pStyle w:val="2"/>
        <w:spacing w:before="9"/>
        <w:rPr>
          <w:rFonts w:hint="eastAsia" w:ascii="宋体" w:hAnsi="宋体" w:eastAsia="宋体" w:cs="宋体"/>
          <w:b/>
          <w:color w:val="auto"/>
          <w:sz w:val="8"/>
          <w:highlight w:val="none"/>
        </w:rPr>
      </w:pPr>
    </w:p>
    <w:p>
      <w:pPr>
        <w:pStyle w:val="2"/>
        <w:tabs>
          <w:tab w:val="left" w:pos="2467"/>
        </w:tabs>
        <w:spacing w:before="74"/>
        <w:ind w:left="476"/>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w:t>
      </w:r>
      <w:r>
        <w:rPr>
          <w:rFonts w:hint="eastAsia" w:ascii="宋体" w:hAnsi="宋体" w:eastAsia="宋体" w:cs="宋体"/>
          <w:color w:val="auto"/>
          <w:spacing w:val="-7"/>
          <w:highlight w:val="none"/>
        </w:rPr>
        <w:t>招标人名称</w:t>
      </w:r>
      <w:r>
        <w:rPr>
          <w:rFonts w:hint="eastAsia" w:ascii="宋体" w:hAnsi="宋体" w:eastAsia="宋体" w:cs="宋体"/>
          <w:color w:val="auto"/>
          <w:spacing w:val="-216"/>
          <w:highlight w:val="none"/>
        </w:rPr>
        <w:t>）</w:t>
      </w:r>
      <w:r>
        <w:rPr>
          <w:rFonts w:hint="eastAsia" w:ascii="宋体" w:hAnsi="宋体" w:eastAsia="宋体" w:cs="宋体"/>
          <w:color w:val="auto"/>
          <w:highlight w:val="none"/>
        </w:rPr>
        <w:t>：</w:t>
      </w:r>
    </w:p>
    <w:p>
      <w:pPr>
        <w:pStyle w:val="2"/>
        <w:rPr>
          <w:rFonts w:hint="eastAsia" w:ascii="宋体" w:hAnsi="宋体" w:eastAsia="宋体" w:cs="宋体"/>
          <w:color w:val="auto"/>
          <w:sz w:val="26"/>
          <w:highlight w:val="none"/>
        </w:rPr>
      </w:pPr>
    </w:p>
    <w:p>
      <w:pPr>
        <w:pStyle w:val="2"/>
        <w:spacing w:before="11"/>
        <w:rPr>
          <w:rFonts w:hint="eastAsia" w:ascii="宋体" w:hAnsi="宋体" w:eastAsia="宋体" w:cs="宋体"/>
          <w:color w:val="auto"/>
          <w:sz w:val="22"/>
          <w:highlight w:val="none"/>
        </w:rPr>
      </w:pPr>
    </w:p>
    <w:p>
      <w:pPr>
        <w:pStyle w:val="29"/>
        <w:numPr>
          <w:ilvl w:val="0"/>
          <w:numId w:val="45"/>
        </w:numPr>
        <w:tabs>
          <w:tab w:val="left" w:pos="1319"/>
          <w:tab w:val="left" w:pos="3899"/>
          <w:tab w:val="left" w:pos="4799"/>
          <w:tab w:val="left" w:pos="5080"/>
          <w:tab w:val="left" w:pos="6280"/>
        </w:tabs>
        <w:spacing w:before="0" w:after="0" w:line="364" w:lineRule="auto"/>
        <w:ind w:left="477" w:right="633" w:firstLine="48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我方已仔细研究了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rPr>
        <w:t>（项目名称）采购招标项目招标文件的</w:t>
      </w:r>
      <w:r>
        <w:rPr>
          <w:rFonts w:hint="eastAsia" w:ascii="宋体" w:hAnsi="宋体" w:eastAsia="宋体" w:cs="宋体"/>
          <w:color w:val="auto"/>
          <w:spacing w:val="-14"/>
          <w:sz w:val="24"/>
          <w:highlight w:val="none"/>
        </w:rPr>
        <w:t>全</w:t>
      </w:r>
      <w:r>
        <w:rPr>
          <w:rFonts w:hint="eastAsia" w:ascii="宋体" w:hAnsi="宋体" w:eastAsia="宋体" w:cs="宋体"/>
          <w:color w:val="auto"/>
          <w:sz w:val="24"/>
          <w:highlight w:val="none"/>
        </w:rPr>
        <w:t>部内容</w:t>
      </w:r>
      <w:r>
        <w:rPr>
          <w:rFonts w:hint="eastAsia" w:ascii="宋体" w:hAnsi="宋体" w:eastAsia="宋体" w:cs="宋体"/>
          <w:color w:val="auto"/>
          <w:spacing w:val="-20"/>
          <w:sz w:val="24"/>
          <w:highlight w:val="none"/>
        </w:rPr>
        <w:t>，</w:t>
      </w:r>
      <w:r>
        <w:rPr>
          <w:rFonts w:hint="eastAsia" w:ascii="宋体" w:hAnsi="宋体" w:eastAsia="宋体" w:cs="宋体"/>
          <w:color w:val="auto"/>
          <w:sz w:val="24"/>
          <w:highlight w:val="none"/>
        </w:rPr>
        <w:t>愿意以人民</w:t>
      </w:r>
      <w:r>
        <w:rPr>
          <w:rFonts w:hint="eastAsia" w:ascii="宋体" w:hAnsi="宋体" w:eastAsia="宋体" w:cs="宋体"/>
          <w:color w:val="auto"/>
          <w:spacing w:val="-20"/>
          <w:sz w:val="24"/>
          <w:highlight w:val="none"/>
        </w:rPr>
        <w:t>币</w:t>
      </w:r>
      <w:r>
        <w:rPr>
          <w:rFonts w:hint="eastAsia" w:ascii="宋体" w:hAnsi="宋体" w:eastAsia="宋体" w:cs="宋体"/>
          <w:color w:val="auto"/>
          <w:sz w:val="24"/>
          <w:highlight w:val="none"/>
        </w:rPr>
        <w:t>（大写</w:t>
      </w:r>
      <w:r>
        <w:rPr>
          <w:rFonts w:hint="eastAsia" w:ascii="宋体" w:hAnsi="宋体" w:eastAsia="宋体" w:cs="宋体"/>
          <w:color w:val="auto"/>
          <w:spacing w:val="-20"/>
          <w:sz w:val="24"/>
          <w:highlight w:val="none"/>
        </w:rPr>
        <w:t>）</w:t>
      </w:r>
      <w:r>
        <w:rPr>
          <w:rFonts w:hint="eastAsia" w:ascii="宋体" w:hAnsi="宋体" w:eastAsia="宋体" w:cs="宋体"/>
          <w:color w:val="auto"/>
          <w:spacing w:val="-20"/>
          <w:sz w:val="24"/>
          <w:highlight w:val="none"/>
          <w:u w:val="single"/>
        </w:rPr>
        <w:t xml:space="preserve"> </w:t>
      </w:r>
      <w:r>
        <w:rPr>
          <w:rFonts w:hint="eastAsia" w:ascii="宋体" w:hAnsi="宋体" w:eastAsia="宋体" w:cs="宋体"/>
          <w:color w:val="auto"/>
          <w:spacing w:val="-20"/>
          <w:sz w:val="24"/>
          <w:highlight w:val="none"/>
          <w:u w:val="single"/>
        </w:rPr>
        <w:tab/>
      </w:r>
      <w:r>
        <w:rPr>
          <w:rFonts w:hint="eastAsia" w:ascii="宋体" w:hAnsi="宋体" w:eastAsia="宋体" w:cs="宋体"/>
          <w:color w:val="auto"/>
          <w:spacing w:val="-20"/>
          <w:sz w:val="24"/>
          <w:highlight w:val="none"/>
          <w:u w:val="single"/>
        </w:rPr>
        <w:tab/>
      </w:r>
      <w:r>
        <w:rPr>
          <w:rFonts w:hint="eastAsia" w:ascii="宋体" w:hAnsi="宋体" w:eastAsia="宋体" w:cs="宋体"/>
          <w:color w:val="auto"/>
          <w:spacing w:val="-20"/>
          <w:sz w:val="24"/>
          <w:highlight w:val="none"/>
          <w:u w:val="single"/>
        </w:rPr>
        <w:tab/>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pacing w:val="-20"/>
          <w:sz w:val="24"/>
          <w:highlight w:val="none"/>
        </w:rPr>
        <w:t>）</w:t>
      </w:r>
      <w:r>
        <w:rPr>
          <w:rFonts w:hint="eastAsia" w:ascii="宋体" w:hAnsi="宋体" w:eastAsia="宋体" w:cs="宋体"/>
          <w:color w:val="auto"/>
          <w:sz w:val="24"/>
          <w:highlight w:val="none"/>
        </w:rPr>
        <w:t>的投标总报</w:t>
      </w:r>
      <w:r>
        <w:rPr>
          <w:rFonts w:hint="eastAsia" w:ascii="宋体" w:hAnsi="宋体" w:eastAsia="宋体" w:cs="宋体"/>
          <w:color w:val="auto"/>
          <w:spacing w:val="-20"/>
          <w:sz w:val="24"/>
          <w:highlight w:val="none"/>
        </w:rPr>
        <w:t>价</w:t>
      </w:r>
      <w:r>
        <w:rPr>
          <w:rFonts w:hint="eastAsia" w:ascii="宋体" w:hAnsi="宋体" w:eastAsia="宋体" w:cs="宋体"/>
          <w:color w:val="auto"/>
          <w:sz w:val="24"/>
          <w:highlight w:val="none"/>
        </w:rPr>
        <w:t>（此报价</w:t>
      </w:r>
      <w:r>
        <w:rPr>
          <w:rFonts w:hint="eastAsia" w:ascii="宋体" w:hAnsi="宋体" w:eastAsia="宋体" w:cs="宋体"/>
          <w:color w:val="auto"/>
          <w:spacing w:val="-13"/>
          <w:sz w:val="24"/>
          <w:highlight w:val="none"/>
        </w:rPr>
        <w:t>中</w:t>
      </w:r>
      <w:r>
        <w:rPr>
          <w:rFonts w:hint="eastAsia" w:ascii="宋体" w:hAnsi="宋体" w:eastAsia="宋体" w:cs="宋体"/>
          <w:color w:val="auto"/>
          <w:sz w:val="24"/>
          <w:highlight w:val="none"/>
        </w:rPr>
        <w:t>包含税费及运费</w:t>
      </w:r>
      <w:r>
        <w:rPr>
          <w:rFonts w:hint="eastAsia" w:ascii="宋体" w:hAnsi="宋体" w:eastAsia="宋体" w:cs="宋体"/>
          <w:color w:val="auto"/>
          <w:spacing w:val="-29"/>
          <w:sz w:val="24"/>
          <w:highlight w:val="none"/>
        </w:rPr>
        <w:t>）</w:t>
      </w:r>
      <w:r>
        <w:rPr>
          <w:rFonts w:hint="eastAsia" w:ascii="宋体" w:hAnsi="宋体" w:eastAsia="宋体" w:cs="宋体"/>
          <w:color w:val="auto"/>
          <w:sz w:val="24"/>
          <w:highlight w:val="none"/>
        </w:rPr>
        <w:t>提供</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rPr>
        <w:t>（设备名称及技术服务和质保期服务</w:t>
      </w:r>
      <w:r>
        <w:rPr>
          <w:rFonts w:hint="eastAsia" w:ascii="宋体" w:hAnsi="宋体" w:eastAsia="宋体" w:cs="宋体"/>
          <w:color w:val="auto"/>
          <w:spacing w:val="-28"/>
          <w:sz w:val="24"/>
          <w:highlight w:val="none"/>
        </w:rPr>
        <w:t>），</w:t>
      </w:r>
      <w:r>
        <w:rPr>
          <w:rFonts w:hint="eastAsia" w:ascii="宋体" w:hAnsi="宋体" w:eastAsia="宋体" w:cs="宋体"/>
          <w:color w:val="auto"/>
          <w:sz w:val="24"/>
          <w:highlight w:val="none"/>
        </w:rPr>
        <w:t>并按合</w:t>
      </w:r>
      <w:r>
        <w:rPr>
          <w:rFonts w:hint="eastAsia" w:ascii="宋体" w:hAnsi="宋体" w:eastAsia="宋体" w:cs="宋体"/>
          <w:color w:val="auto"/>
          <w:spacing w:val="-16"/>
          <w:sz w:val="24"/>
          <w:highlight w:val="none"/>
        </w:rPr>
        <w:t>同</w:t>
      </w:r>
      <w:r>
        <w:rPr>
          <w:rFonts w:hint="eastAsia" w:ascii="宋体" w:hAnsi="宋体" w:eastAsia="宋体" w:cs="宋体"/>
          <w:color w:val="auto"/>
          <w:sz w:val="24"/>
          <w:highlight w:val="none"/>
        </w:rPr>
        <w:t>约定履行义务。</w:t>
      </w:r>
    </w:p>
    <w:p>
      <w:pPr>
        <w:pStyle w:val="2"/>
        <w:tabs>
          <w:tab w:val="left" w:pos="5397"/>
        </w:tabs>
        <w:spacing w:line="305" w:lineRule="exact"/>
        <w:ind w:left="957"/>
        <w:rPr>
          <w:rFonts w:hint="eastAsia" w:ascii="宋体" w:hAnsi="宋体" w:eastAsia="宋体" w:cs="宋体"/>
          <w:color w:val="auto"/>
          <w:highlight w:val="none"/>
        </w:rPr>
      </w:pPr>
      <w:r>
        <w:rPr>
          <w:rFonts w:hint="eastAsia" w:ascii="宋体" w:hAnsi="宋体" w:eastAsia="宋体" w:cs="宋体"/>
          <w:color w:val="auto"/>
          <w:highlight w:val="none"/>
        </w:rPr>
        <w:t>我方承诺的交货及完工期为：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w:t>
      </w:r>
    </w:p>
    <w:p>
      <w:pPr>
        <w:pStyle w:val="29"/>
        <w:numPr>
          <w:ilvl w:val="0"/>
          <w:numId w:val="45"/>
        </w:numPr>
        <w:tabs>
          <w:tab w:val="left" w:pos="1318"/>
        </w:tabs>
        <w:spacing w:before="161" w:after="0" w:line="240" w:lineRule="auto"/>
        <w:ind w:left="1317" w:right="0" w:hanging="361"/>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我方的投标文件包括下列内容：</w:t>
      </w:r>
    </w:p>
    <w:p>
      <w:pPr>
        <w:pStyle w:val="29"/>
        <w:numPr>
          <w:ilvl w:val="0"/>
          <w:numId w:val="46"/>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p>
      <w:pPr>
        <w:pStyle w:val="29"/>
        <w:numPr>
          <w:ilvl w:val="0"/>
          <w:numId w:val="46"/>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法定代表人（单位负责人）身份证明或授权委托书；</w:t>
      </w:r>
    </w:p>
    <w:p>
      <w:pPr>
        <w:pStyle w:val="29"/>
        <w:numPr>
          <w:ilvl w:val="0"/>
          <w:numId w:val="46"/>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联合体协议书（如有）；</w:t>
      </w:r>
    </w:p>
    <w:p>
      <w:pPr>
        <w:pStyle w:val="29"/>
        <w:numPr>
          <w:ilvl w:val="0"/>
          <w:numId w:val="46"/>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投标保证金（如有）；</w:t>
      </w:r>
    </w:p>
    <w:p>
      <w:pPr>
        <w:pStyle w:val="29"/>
        <w:numPr>
          <w:ilvl w:val="0"/>
          <w:numId w:val="46"/>
        </w:numPr>
        <w:tabs>
          <w:tab w:val="left" w:pos="1559"/>
        </w:tabs>
        <w:spacing w:before="160"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商务和技术偏差表；</w:t>
      </w:r>
    </w:p>
    <w:p>
      <w:pPr>
        <w:pStyle w:val="29"/>
        <w:numPr>
          <w:ilvl w:val="0"/>
          <w:numId w:val="46"/>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分项报价表；</w:t>
      </w:r>
    </w:p>
    <w:p>
      <w:pPr>
        <w:pStyle w:val="29"/>
        <w:numPr>
          <w:ilvl w:val="0"/>
          <w:numId w:val="46"/>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资格审查资料；</w:t>
      </w:r>
    </w:p>
    <w:p>
      <w:pPr>
        <w:pStyle w:val="29"/>
        <w:numPr>
          <w:ilvl w:val="0"/>
          <w:numId w:val="46"/>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投标设备技术性能指标的详细描述；</w:t>
      </w:r>
    </w:p>
    <w:p>
      <w:pPr>
        <w:pStyle w:val="29"/>
        <w:numPr>
          <w:ilvl w:val="0"/>
          <w:numId w:val="46"/>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技术支持资料；</w:t>
      </w:r>
    </w:p>
    <w:p>
      <w:pPr>
        <w:pStyle w:val="29"/>
        <w:numPr>
          <w:ilvl w:val="0"/>
          <w:numId w:val="46"/>
        </w:numPr>
        <w:tabs>
          <w:tab w:val="left" w:pos="1679"/>
        </w:tabs>
        <w:spacing w:before="161" w:after="0" w:line="240" w:lineRule="auto"/>
        <w:ind w:left="1678" w:right="0" w:hanging="72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技术服务和质保期服务计划；</w:t>
      </w:r>
    </w:p>
    <w:p>
      <w:pPr>
        <w:pStyle w:val="2"/>
        <w:spacing w:before="160"/>
        <w:ind w:left="957"/>
        <w:rPr>
          <w:rFonts w:hint="eastAsia" w:ascii="宋体" w:hAnsi="宋体" w:eastAsia="宋体" w:cs="宋体"/>
          <w:color w:val="auto"/>
          <w:highlight w:val="none"/>
        </w:rPr>
      </w:pPr>
      <w:r>
        <w:rPr>
          <w:rFonts w:hint="eastAsia" w:ascii="宋体" w:hAnsi="宋体" w:eastAsia="宋体" w:cs="宋体"/>
          <w:color w:val="auto"/>
          <w:highlight w:val="none"/>
        </w:rPr>
        <w:t>……</w:t>
      </w:r>
    </w:p>
    <w:p>
      <w:pPr>
        <w:pStyle w:val="2"/>
        <w:spacing w:before="158"/>
        <w:ind w:left="957"/>
        <w:rPr>
          <w:rFonts w:hint="eastAsia" w:ascii="宋体" w:hAnsi="宋体" w:eastAsia="宋体" w:cs="宋体"/>
          <w:color w:val="auto"/>
          <w:highlight w:val="none"/>
        </w:rPr>
      </w:pPr>
      <w:r>
        <w:rPr>
          <w:rFonts w:hint="eastAsia" w:ascii="宋体" w:hAnsi="宋体" w:eastAsia="宋体" w:cs="宋体"/>
          <w:color w:val="auto"/>
          <w:highlight w:val="none"/>
        </w:rPr>
        <w:t>投标文件的上述组成部分如存在内容不一致的，以投标函为准。</w:t>
      </w:r>
    </w:p>
    <w:p>
      <w:pPr>
        <w:pStyle w:val="29"/>
        <w:numPr>
          <w:ilvl w:val="0"/>
          <w:numId w:val="45"/>
        </w:numPr>
        <w:tabs>
          <w:tab w:val="left" w:pos="1319"/>
        </w:tabs>
        <w:spacing w:before="161" w:after="0" w:line="240" w:lineRule="auto"/>
        <w:ind w:left="1318" w:right="0" w:hanging="362"/>
        <w:jc w:val="left"/>
        <w:rPr>
          <w:rFonts w:hint="eastAsia" w:ascii="宋体" w:hAnsi="宋体" w:eastAsia="宋体" w:cs="宋体"/>
          <w:color w:val="auto"/>
          <w:sz w:val="24"/>
          <w:highlight w:val="none"/>
        </w:rPr>
      </w:pPr>
      <w:r>
        <w:rPr>
          <w:rFonts w:hint="eastAsia" w:ascii="宋体" w:hAnsi="宋体" w:eastAsia="宋体" w:cs="宋体"/>
          <w:color w:val="auto"/>
          <w:spacing w:val="-6"/>
          <w:sz w:val="24"/>
          <w:highlight w:val="none"/>
        </w:rPr>
        <w:t>我方承诺除商务和技术偏差表列出的偏差外，我方响应招标文件的全部要求。</w:t>
      </w:r>
    </w:p>
    <w:p>
      <w:pPr>
        <w:pStyle w:val="29"/>
        <w:numPr>
          <w:ilvl w:val="0"/>
          <w:numId w:val="45"/>
        </w:numPr>
        <w:tabs>
          <w:tab w:val="left" w:pos="1319"/>
        </w:tabs>
        <w:spacing w:before="158" w:after="0" w:line="240" w:lineRule="auto"/>
        <w:ind w:left="1318" w:right="0" w:hanging="36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我方承诺在招标文件规定的投标有效期内不撤销投标文件。</w:t>
      </w:r>
    </w:p>
    <w:p>
      <w:pPr>
        <w:pStyle w:val="29"/>
        <w:numPr>
          <w:ilvl w:val="0"/>
          <w:numId w:val="45"/>
        </w:numPr>
        <w:tabs>
          <w:tab w:val="left" w:pos="1319"/>
        </w:tabs>
        <w:spacing w:before="160" w:after="0" w:line="240" w:lineRule="auto"/>
        <w:ind w:left="1318" w:right="0" w:hanging="36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如我方中标，我方承诺：</w:t>
      </w:r>
    </w:p>
    <w:p>
      <w:pPr>
        <w:pStyle w:val="29"/>
        <w:numPr>
          <w:ilvl w:val="0"/>
          <w:numId w:val="47"/>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在收到中标通知书后，在中标通知书规定的期限内与你方签订合同；</w:t>
      </w:r>
    </w:p>
    <w:p>
      <w:pPr>
        <w:spacing w:after="0" w:line="240" w:lineRule="auto"/>
        <w:jc w:val="left"/>
        <w:rPr>
          <w:rFonts w:hint="eastAsia" w:ascii="宋体" w:hAnsi="宋体" w:eastAsia="宋体" w:cs="宋体"/>
          <w:color w:val="auto"/>
          <w:sz w:val="24"/>
          <w:highlight w:val="none"/>
        </w:rPr>
        <w:sectPr>
          <w:pgSz w:w="12240" w:h="15840"/>
          <w:pgMar w:top="1360" w:right="1160" w:bottom="1160" w:left="1320" w:header="878" w:footer="975" w:gutter="0"/>
          <w:pgNumType w:fmt="decimal"/>
          <w:cols w:space="720" w:num="1"/>
        </w:sectPr>
      </w:pPr>
    </w:p>
    <w:p>
      <w:pPr>
        <w:pStyle w:val="29"/>
        <w:numPr>
          <w:ilvl w:val="0"/>
          <w:numId w:val="47"/>
        </w:numPr>
        <w:tabs>
          <w:tab w:val="left" w:pos="1559"/>
        </w:tabs>
        <w:spacing w:before="65"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在签订合同时不向你方提出附加条件；</w:t>
      </w:r>
    </w:p>
    <w:p>
      <w:pPr>
        <w:pStyle w:val="29"/>
        <w:numPr>
          <w:ilvl w:val="0"/>
          <w:numId w:val="47"/>
        </w:numPr>
        <w:tabs>
          <w:tab w:val="left" w:pos="1559"/>
        </w:tabs>
        <w:spacing w:before="161"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按照招标文件要求提交履约保证金；</w:t>
      </w:r>
    </w:p>
    <w:p>
      <w:pPr>
        <w:pStyle w:val="29"/>
        <w:numPr>
          <w:ilvl w:val="0"/>
          <w:numId w:val="47"/>
        </w:numPr>
        <w:tabs>
          <w:tab w:val="left" w:pos="1559"/>
        </w:tabs>
        <w:spacing w:before="158" w:after="0" w:line="240" w:lineRule="auto"/>
        <w:ind w:left="1558" w:right="0" w:hanging="60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在合同约定的期限内完成合同规定的全部义务。</w:t>
      </w:r>
    </w:p>
    <w:p>
      <w:pPr>
        <w:pStyle w:val="29"/>
        <w:numPr>
          <w:ilvl w:val="0"/>
          <w:numId w:val="45"/>
        </w:numPr>
        <w:tabs>
          <w:tab w:val="left" w:pos="1319"/>
        </w:tabs>
        <w:spacing w:before="161" w:after="0" w:line="362" w:lineRule="auto"/>
        <w:ind w:left="477" w:right="633" w:firstLine="480"/>
        <w:jc w:val="left"/>
        <w:rPr>
          <w:rFonts w:hint="eastAsia" w:ascii="宋体" w:hAnsi="宋体" w:eastAsia="宋体" w:cs="宋体"/>
          <w:color w:val="auto"/>
          <w:sz w:val="24"/>
          <w:highlight w:val="none"/>
        </w:rPr>
      </w:pPr>
      <w:r>
        <w:rPr>
          <w:rFonts w:hint="eastAsia" w:ascii="宋体" w:hAnsi="宋体" w:eastAsia="宋体" w:cs="宋体"/>
          <w:color w:val="auto"/>
          <w:spacing w:val="-7"/>
          <w:sz w:val="24"/>
          <w:highlight w:val="none"/>
        </w:rPr>
        <w:t>我方在此声明，所递交的投标文件及有关资料内容完整、真实和准确，且</w:t>
      </w:r>
      <w:r>
        <w:rPr>
          <w:rFonts w:hint="eastAsia" w:ascii="宋体" w:hAnsi="宋体" w:eastAsia="宋体" w:cs="宋体"/>
          <w:color w:val="auto"/>
          <w:spacing w:val="-8"/>
          <w:sz w:val="24"/>
          <w:highlight w:val="none"/>
        </w:rPr>
        <w:t xml:space="preserve">不存在第二章 “投标人须知”第 </w:t>
      </w:r>
      <w:r>
        <w:rPr>
          <w:rFonts w:hint="eastAsia" w:ascii="宋体" w:hAnsi="宋体" w:eastAsia="宋体" w:cs="宋体"/>
          <w:color w:val="auto"/>
          <w:sz w:val="24"/>
          <w:highlight w:val="none"/>
        </w:rPr>
        <w:t>1.4.3</w:t>
      </w:r>
      <w:r>
        <w:rPr>
          <w:rFonts w:hint="eastAsia" w:ascii="宋体" w:hAnsi="宋体" w:eastAsia="宋体" w:cs="宋体"/>
          <w:color w:val="auto"/>
          <w:spacing w:val="-8"/>
          <w:sz w:val="24"/>
          <w:highlight w:val="none"/>
        </w:rPr>
        <w:t xml:space="preserve"> 项规定的任何一种情形。</w:t>
      </w:r>
    </w:p>
    <w:p>
      <w:pPr>
        <w:pStyle w:val="29"/>
        <w:numPr>
          <w:ilvl w:val="0"/>
          <w:numId w:val="45"/>
        </w:numPr>
        <w:tabs>
          <w:tab w:val="left" w:pos="1319"/>
          <w:tab w:val="left" w:pos="4437"/>
        </w:tabs>
        <w:spacing w:before="4" w:after="0" w:line="240" w:lineRule="auto"/>
        <w:ind w:left="1318" w:right="0" w:hanging="36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其它补充说明：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rPr>
        <w:t>。</w:t>
      </w:r>
    </w:p>
    <w:p>
      <w:pPr>
        <w:pStyle w:val="2"/>
        <w:rPr>
          <w:rFonts w:hint="eastAsia" w:ascii="宋体" w:hAnsi="宋体" w:eastAsia="宋体" w:cs="宋体"/>
          <w:color w:val="auto"/>
          <w:sz w:val="26"/>
          <w:highlight w:val="none"/>
        </w:rPr>
      </w:pPr>
    </w:p>
    <w:p>
      <w:pPr>
        <w:pStyle w:val="2"/>
        <w:rPr>
          <w:rFonts w:hint="eastAsia" w:ascii="宋体" w:hAnsi="宋体" w:eastAsia="宋体" w:cs="宋体"/>
          <w:color w:val="auto"/>
          <w:sz w:val="26"/>
          <w:highlight w:val="none"/>
        </w:rPr>
      </w:pPr>
    </w:p>
    <w:p>
      <w:pPr>
        <w:pStyle w:val="2"/>
        <w:spacing w:before="5"/>
        <w:rPr>
          <w:rFonts w:hint="eastAsia" w:ascii="宋体" w:hAnsi="宋体" w:eastAsia="宋体" w:cs="宋体"/>
          <w:color w:val="auto"/>
          <w:sz w:val="33"/>
          <w:highlight w:val="none"/>
        </w:rPr>
      </w:pPr>
    </w:p>
    <w:p>
      <w:pPr>
        <w:pStyle w:val="2"/>
        <w:tabs>
          <w:tab w:val="left" w:pos="3767"/>
          <w:tab w:val="left" w:pos="6573"/>
          <w:tab w:val="left" w:pos="6998"/>
        </w:tabs>
        <w:spacing w:before="1" w:line="362" w:lineRule="auto"/>
        <w:ind w:left="477" w:right="1744"/>
        <w:jc w:val="both"/>
        <w:rPr>
          <w:rFonts w:hint="eastAsia" w:ascii="宋体" w:hAnsi="宋体" w:eastAsia="宋体" w:cs="宋体"/>
          <w:color w:val="auto"/>
          <w:spacing w:val="-17"/>
          <w:highlight w:val="none"/>
        </w:rPr>
      </w:pPr>
      <w:r>
        <w:rPr>
          <w:rFonts w:hint="eastAsia" w:ascii="宋体" w:hAnsi="宋体" w:eastAsia="宋体" w:cs="宋体"/>
          <w:color w:val="auto"/>
          <w:highlight w:val="none"/>
        </w:rPr>
        <w:t>投 标</w:t>
      </w:r>
      <w:r>
        <w:rPr>
          <w:rFonts w:hint="eastAsia" w:ascii="宋体" w:hAnsi="宋体" w:eastAsia="宋体" w:cs="宋体"/>
          <w:color w:val="auto"/>
          <w:spacing w:val="-6"/>
          <w:highlight w:val="none"/>
        </w:rPr>
        <w:t xml:space="preserve"> </w:t>
      </w:r>
      <w:r>
        <w:rPr>
          <w:rFonts w:hint="eastAsia" w:ascii="宋体" w:hAnsi="宋体" w:eastAsia="宋体" w:cs="宋体"/>
          <w:color w:val="auto"/>
          <w:highlight w:val="none"/>
        </w:rPr>
        <w:t>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r>
        <w:rPr>
          <w:rFonts w:hint="eastAsia" w:ascii="宋体" w:hAnsi="宋体" w:eastAsia="宋体" w:cs="宋体"/>
          <w:color w:val="auto"/>
          <w:spacing w:val="-17"/>
          <w:highlight w:val="none"/>
        </w:rPr>
        <w:t xml:space="preserve">） </w:t>
      </w:r>
    </w:p>
    <w:p>
      <w:pPr>
        <w:pStyle w:val="2"/>
        <w:tabs>
          <w:tab w:val="left" w:pos="3767"/>
          <w:tab w:val="left" w:pos="6573"/>
          <w:tab w:val="left" w:pos="6998"/>
        </w:tabs>
        <w:spacing w:before="1" w:line="362" w:lineRule="auto"/>
        <w:ind w:left="477" w:right="1744"/>
        <w:jc w:val="both"/>
        <w:rPr>
          <w:rFonts w:hint="eastAsia" w:ascii="宋体" w:hAnsi="宋体" w:eastAsia="宋体" w:cs="宋体"/>
          <w:color w:val="auto"/>
          <w:highlight w:val="none"/>
        </w:rPr>
      </w:pPr>
      <w:r>
        <w:rPr>
          <w:rFonts w:hint="eastAsia" w:ascii="宋体" w:hAnsi="宋体" w:eastAsia="宋体" w:cs="宋体"/>
          <w:color w:val="auto"/>
          <w:highlight w:val="none"/>
        </w:rPr>
        <w:t>法定代表人（单位负责人）或其委托代理人：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 xml:space="preserve">（签字） </w:t>
      </w:r>
    </w:p>
    <w:p>
      <w:pPr>
        <w:pStyle w:val="2"/>
        <w:tabs>
          <w:tab w:val="left" w:pos="3767"/>
          <w:tab w:val="left" w:pos="6573"/>
          <w:tab w:val="left" w:pos="6998"/>
        </w:tabs>
        <w:spacing w:before="1" w:line="362" w:lineRule="auto"/>
        <w:ind w:left="477" w:right="1744"/>
        <w:jc w:val="both"/>
        <w:rPr>
          <w:rFonts w:hint="eastAsia" w:ascii="宋体" w:hAnsi="宋体" w:eastAsia="宋体" w:cs="宋体"/>
          <w:color w:val="auto"/>
          <w:highlight w:val="none"/>
        </w:rPr>
      </w:pPr>
      <w:r>
        <w:rPr>
          <w:rFonts w:hint="eastAsia" w:ascii="宋体" w:hAnsi="宋体" w:eastAsia="宋体" w:cs="宋体"/>
          <w:color w:val="auto"/>
          <w:highlight w:val="none"/>
        </w:rPr>
        <w:t xml:space="preserve">地 </w:t>
      </w:r>
      <w:r>
        <w:rPr>
          <w:rFonts w:hint="eastAsia" w:ascii="宋体" w:hAnsi="宋体" w:eastAsia="宋体" w:cs="宋体"/>
          <w:color w:val="auto"/>
          <w:spacing w:val="119"/>
          <w:highlight w:val="none"/>
        </w:rPr>
        <w:t xml:space="preserve"> </w:t>
      </w:r>
      <w:r>
        <w:rPr>
          <w:rFonts w:hint="eastAsia" w:ascii="宋体" w:hAnsi="宋体" w:eastAsia="宋体" w:cs="宋体"/>
          <w:color w:val="auto"/>
          <w:highlight w:val="none"/>
        </w:rPr>
        <w:t>址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p>
    <w:p>
      <w:pPr>
        <w:pStyle w:val="2"/>
        <w:tabs>
          <w:tab w:val="left" w:pos="3767"/>
        </w:tabs>
        <w:spacing w:before="6" w:line="364" w:lineRule="auto"/>
        <w:ind w:left="477" w:right="5962"/>
        <w:jc w:val="both"/>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网  </w:t>
      </w:r>
      <w:r>
        <w:rPr>
          <w:rFonts w:hint="eastAsia" w:ascii="宋体" w:hAnsi="宋体" w:eastAsia="宋体" w:cs="宋体"/>
          <w:color w:val="auto"/>
          <w:spacing w:val="119"/>
          <w:highlight w:val="none"/>
        </w:rPr>
        <w:t xml:space="preserve"> </w:t>
      </w:r>
      <w:r>
        <w:rPr>
          <w:rFonts w:hint="eastAsia" w:ascii="宋体" w:hAnsi="宋体" w:eastAsia="宋体" w:cs="宋体"/>
          <w:color w:val="auto"/>
          <w:highlight w:val="none"/>
        </w:rPr>
        <w:t>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 xml:space="preserve"> </w:t>
      </w:r>
    </w:p>
    <w:p>
      <w:pPr>
        <w:pStyle w:val="2"/>
        <w:tabs>
          <w:tab w:val="left" w:pos="3767"/>
        </w:tabs>
        <w:spacing w:before="6" w:line="364" w:lineRule="auto"/>
        <w:ind w:left="477" w:right="5962"/>
        <w:jc w:val="both"/>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电  </w:t>
      </w:r>
      <w:r>
        <w:rPr>
          <w:rFonts w:hint="eastAsia" w:ascii="宋体" w:hAnsi="宋体" w:eastAsia="宋体" w:cs="宋体"/>
          <w:color w:val="auto"/>
          <w:spacing w:val="119"/>
          <w:highlight w:val="none"/>
        </w:rPr>
        <w:t xml:space="preserve"> </w:t>
      </w:r>
      <w:r>
        <w:rPr>
          <w:rFonts w:hint="eastAsia" w:ascii="宋体" w:hAnsi="宋体" w:eastAsia="宋体" w:cs="宋体"/>
          <w:color w:val="auto"/>
          <w:highlight w:val="none"/>
        </w:rPr>
        <w:t>话：</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 xml:space="preserve"> </w:t>
      </w:r>
    </w:p>
    <w:p>
      <w:pPr>
        <w:pStyle w:val="2"/>
        <w:tabs>
          <w:tab w:val="left" w:pos="3767"/>
        </w:tabs>
        <w:spacing w:before="6" w:line="364" w:lineRule="auto"/>
        <w:ind w:left="477" w:right="5962"/>
        <w:jc w:val="both"/>
        <w:rPr>
          <w:rFonts w:hint="eastAsia" w:ascii="宋体" w:hAnsi="宋体" w:eastAsia="宋体" w:cs="宋体"/>
          <w:color w:val="auto"/>
          <w:spacing w:val="15"/>
          <w:highlight w:val="none"/>
          <w:u w:val="single"/>
        </w:rPr>
      </w:pPr>
      <w:r>
        <w:rPr>
          <w:rFonts w:hint="eastAsia" w:ascii="宋体" w:hAnsi="宋体" w:eastAsia="宋体" w:cs="宋体"/>
          <w:color w:val="auto"/>
          <w:highlight w:val="none"/>
        </w:rPr>
        <w:t xml:space="preserve">传  </w:t>
      </w:r>
      <w:r>
        <w:rPr>
          <w:rFonts w:hint="eastAsia" w:ascii="宋体" w:hAnsi="宋体" w:eastAsia="宋体" w:cs="宋体"/>
          <w:color w:val="auto"/>
          <w:spacing w:val="119"/>
          <w:highlight w:val="none"/>
        </w:rPr>
        <w:t xml:space="preserve"> </w:t>
      </w:r>
      <w:r>
        <w:rPr>
          <w:rFonts w:hint="eastAsia" w:ascii="宋体" w:hAnsi="宋体" w:eastAsia="宋体" w:cs="宋体"/>
          <w:color w:val="auto"/>
          <w:highlight w:val="none"/>
        </w:rPr>
        <w:t>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spacing w:val="-1"/>
          <w:highlight w:val="none"/>
          <w:u w:val="single"/>
        </w:rPr>
        <w:t xml:space="preserve">               </w:t>
      </w:r>
      <w:r>
        <w:rPr>
          <w:rFonts w:hint="eastAsia" w:ascii="宋体" w:hAnsi="宋体" w:eastAsia="宋体" w:cs="宋体"/>
          <w:color w:val="auto"/>
          <w:spacing w:val="15"/>
          <w:highlight w:val="none"/>
          <w:u w:val="single"/>
        </w:rPr>
        <w:t xml:space="preserve"> </w:t>
      </w:r>
    </w:p>
    <w:p>
      <w:pPr>
        <w:pStyle w:val="2"/>
        <w:tabs>
          <w:tab w:val="left" w:pos="3767"/>
        </w:tabs>
        <w:spacing w:before="6" w:line="364" w:lineRule="auto"/>
        <w:ind w:left="477" w:right="5962"/>
        <w:jc w:val="both"/>
        <w:rPr>
          <w:rFonts w:hint="eastAsia" w:ascii="宋体" w:hAnsi="宋体" w:eastAsia="宋体" w:cs="宋体"/>
          <w:color w:val="auto"/>
          <w:highlight w:val="none"/>
        </w:rPr>
      </w:pPr>
      <w:r>
        <w:rPr>
          <w:rFonts w:hint="eastAsia" w:ascii="宋体" w:hAnsi="宋体" w:eastAsia="宋体" w:cs="宋体"/>
          <w:color w:val="auto"/>
          <w:spacing w:val="-1"/>
          <w:highlight w:val="none"/>
        </w:rPr>
        <w:t>邮</w:t>
      </w:r>
      <w:r>
        <w:rPr>
          <w:rFonts w:hint="eastAsia" w:ascii="宋体" w:hAnsi="宋体" w:eastAsia="宋体" w:cs="宋体"/>
          <w:color w:val="auto"/>
          <w:highlight w:val="none"/>
        </w:rPr>
        <w:t>政编码：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w w:val="18"/>
          <w:highlight w:val="none"/>
          <w:u w:val="single"/>
        </w:rPr>
        <w:t xml:space="preserve"> </w:t>
      </w:r>
    </w:p>
    <w:p>
      <w:pPr>
        <w:pStyle w:val="2"/>
        <w:tabs>
          <w:tab w:val="left" w:pos="3767"/>
        </w:tabs>
        <w:spacing w:before="6" w:line="364" w:lineRule="auto"/>
        <w:ind w:left="477" w:right="5962"/>
        <w:jc w:val="both"/>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highlight w:val="none"/>
        </w:rPr>
        <w:tab/>
      </w:r>
    </w:p>
    <w:p>
      <w:pPr>
        <w:pStyle w:val="29"/>
        <w:numPr>
          <w:ilvl w:val="0"/>
          <w:numId w:val="0"/>
        </w:numPr>
        <w:tabs>
          <w:tab w:val="left" w:pos="1319"/>
        </w:tabs>
        <w:spacing w:before="161" w:after="0" w:line="362" w:lineRule="auto"/>
        <w:ind w:left="957" w:leftChars="0" w:right="633" w:rightChars="0"/>
        <w:jc w:val="left"/>
        <w:rPr>
          <w:rFonts w:hint="eastAsia" w:ascii="宋体" w:hAnsi="宋体" w:eastAsia="宋体" w:cs="宋体"/>
          <w:color w:val="auto"/>
          <w:spacing w:val="-7"/>
          <w:sz w:val="24"/>
          <w:highlight w:val="none"/>
        </w:rPr>
      </w:pPr>
      <w:r>
        <w:rPr>
          <w:rFonts w:hint="eastAsia" w:ascii="宋体" w:hAnsi="宋体" w:eastAsia="宋体" w:cs="宋体"/>
          <w:color w:val="auto"/>
          <w:spacing w:val="-7"/>
          <w:sz w:val="24"/>
          <w:highlight w:val="none"/>
        </w:rPr>
        <w:t xml:space="preserve">年 </w:t>
      </w:r>
      <w:r>
        <w:rPr>
          <w:rFonts w:hint="eastAsia" w:ascii="宋体" w:hAnsi="宋体" w:eastAsia="宋体" w:cs="宋体"/>
          <w:color w:val="auto"/>
          <w:spacing w:val="-7"/>
          <w:sz w:val="24"/>
          <w:highlight w:val="none"/>
        </w:rPr>
        <w:tab/>
      </w:r>
      <w:r>
        <w:rPr>
          <w:rFonts w:hint="eastAsia" w:ascii="宋体" w:hAnsi="宋体" w:eastAsia="宋体" w:cs="宋体"/>
          <w:color w:val="auto"/>
          <w:spacing w:val="-7"/>
          <w:sz w:val="24"/>
          <w:highlight w:val="none"/>
        </w:rPr>
        <w:t xml:space="preserve">月 </w:t>
      </w:r>
      <w:r>
        <w:rPr>
          <w:rFonts w:hint="eastAsia" w:ascii="宋体" w:hAnsi="宋体" w:eastAsia="宋体" w:cs="宋体"/>
          <w:color w:val="auto"/>
          <w:spacing w:val="-7"/>
          <w:sz w:val="24"/>
          <w:highlight w:val="none"/>
        </w:rPr>
        <w:tab/>
      </w:r>
      <w:r>
        <w:rPr>
          <w:rFonts w:hint="eastAsia" w:ascii="宋体" w:hAnsi="宋体" w:eastAsia="宋体" w:cs="宋体"/>
          <w:color w:val="auto"/>
          <w:spacing w:val="-7"/>
          <w:sz w:val="24"/>
          <w:highlight w:val="none"/>
        </w:rPr>
        <w:t>日</w:t>
      </w:r>
    </w:p>
    <w:p>
      <w:pPr>
        <w:rPr>
          <w:rFonts w:hint="eastAsia" w:ascii="宋体" w:hAnsi="宋体" w:eastAsia="宋体" w:cs="宋体"/>
          <w:color w:val="auto"/>
          <w:spacing w:val="-7"/>
          <w:sz w:val="24"/>
          <w:highlight w:val="none"/>
        </w:rPr>
      </w:pPr>
      <w:r>
        <w:rPr>
          <w:rFonts w:hint="eastAsia" w:ascii="宋体" w:hAnsi="宋体" w:eastAsia="宋体" w:cs="宋体"/>
          <w:color w:val="auto"/>
          <w:spacing w:val="-7"/>
          <w:sz w:val="24"/>
          <w:highlight w:val="none"/>
        </w:rPr>
        <w:br w:type="page"/>
      </w:r>
    </w:p>
    <w:p>
      <w:pPr>
        <w:pStyle w:val="8"/>
        <w:spacing w:before="62"/>
        <w:ind w:left="0" w:right="155" w:firstLine="0"/>
        <w:jc w:val="center"/>
        <w:rPr>
          <w:rFonts w:hint="eastAsia" w:ascii="宋体" w:hAnsi="宋体" w:eastAsia="宋体" w:cs="宋体"/>
          <w:color w:val="auto"/>
          <w:highlight w:val="none"/>
        </w:rPr>
      </w:pPr>
      <w:r>
        <w:rPr>
          <w:rFonts w:hint="eastAsia" w:ascii="宋体" w:hAnsi="宋体" w:eastAsia="宋体" w:cs="宋体"/>
          <w:color w:val="auto"/>
          <w:highlight w:val="none"/>
        </w:rPr>
        <w:t>（二）开标一览表</w:t>
      </w:r>
    </w:p>
    <w:p>
      <w:pPr>
        <w:pStyle w:val="2"/>
        <w:tabs>
          <w:tab w:val="left" w:pos="5576"/>
        </w:tabs>
        <w:spacing w:before="185" w:line="242" w:lineRule="auto"/>
        <w:ind w:left="477" w:right="4181"/>
        <w:rPr>
          <w:rFonts w:hint="eastAsia" w:ascii="宋体" w:hAnsi="宋体" w:eastAsia="宋体" w:cs="宋体"/>
          <w:color w:val="auto"/>
          <w:spacing w:val="30"/>
          <w:highlight w:val="none"/>
          <w:u w:val="single"/>
        </w:rPr>
      </w:pPr>
      <w:r>
        <w:rPr>
          <w:rFonts w:hint="eastAsia" w:ascii="宋体" w:hAnsi="宋体" w:eastAsia="宋体" w:cs="宋体"/>
          <w:color w:val="auto"/>
          <w:spacing w:val="-1"/>
          <w:highlight w:val="none"/>
        </w:rPr>
        <w:t>项</w:t>
      </w:r>
      <w:r>
        <w:rPr>
          <w:rFonts w:hint="eastAsia" w:ascii="宋体" w:hAnsi="宋体" w:eastAsia="宋体" w:cs="宋体"/>
          <w:color w:val="auto"/>
          <w:highlight w:val="none"/>
        </w:rPr>
        <w:t>目名称：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spacing w:val="-1"/>
          <w:highlight w:val="none"/>
          <w:u w:val="single"/>
        </w:rPr>
        <w:t xml:space="preserve">                              </w:t>
      </w:r>
      <w:r>
        <w:rPr>
          <w:rFonts w:hint="eastAsia" w:ascii="宋体" w:hAnsi="宋体" w:eastAsia="宋体" w:cs="宋体"/>
          <w:color w:val="auto"/>
          <w:spacing w:val="30"/>
          <w:highlight w:val="none"/>
          <w:u w:val="single"/>
        </w:rPr>
        <w:t xml:space="preserve"> </w:t>
      </w:r>
    </w:p>
    <w:p>
      <w:pPr>
        <w:pStyle w:val="2"/>
        <w:tabs>
          <w:tab w:val="left" w:pos="5576"/>
        </w:tabs>
        <w:spacing w:before="185" w:line="242" w:lineRule="auto"/>
        <w:ind w:left="477" w:right="4181"/>
        <w:rPr>
          <w:rFonts w:hint="eastAsia" w:ascii="宋体" w:hAnsi="宋体" w:eastAsia="宋体" w:cs="宋体"/>
          <w:color w:val="auto"/>
          <w:highlight w:val="none"/>
          <w:u w:val="single"/>
        </w:rPr>
      </w:pPr>
      <w:r>
        <w:rPr>
          <w:rFonts w:hint="eastAsia" w:ascii="宋体" w:hAnsi="宋体" w:eastAsia="宋体" w:cs="宋体"/>
          <w:color w:val="auto"/>
          <w:spacing w:val="-1"/>
          <w:highlight w:val="none"/>
        </w:rPr>
        <w:t>项</w:t>
      </w:r>
      <w:r>
        <w:rPr>
          <w:rFonts w:hint="eastAsia" w:ascii="宋体" w:hAnsi="宋体" w:eastAsia="宋体" w:cs="宋体"/>
          <w:color w:val="auto"/>
          <w:highlight w:val="none"/>
        </w:rPr>
        <w:t>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p>
    <w:p>
      <w:pPr>
        <w:rPr>
          <w:rFonts w:hint="eastAsia" w:ascii="宋体" w:hAnsi="宋体" w:eastAsia="宋体" w:cs="宋体"/>
          <w:color w:val="auto"/>
          <w:highlight w:val="none"/>
        </w:rPr>
      </w:pPr>
    </w:p>
    <w:tbl>
      <w:tblPr>
        <w:tblStyle w:val="20"/>
        <w:tblW w:w="0" w:type="auto"/>
        <w:tblInd w:w="4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4"/>
        <w:gridCol w:w="1824"/>
        <w:gridCol w:w="450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744" w:type="dxa"/>
          </w:tcPr>
          <w:p>
            <w:pPr>
              <w:pStyle w:val="28"/>
              <w:spacing w:before="87"/>
              <w:ind w:left="181" w:right="3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6333" w:type="dxa"/>
            <w:gridSpan w:val="2"/>
          </w:tcPr>
          <w:p>
            <w:pPr>
              <w:pStyle w:val="28"/>
              <w:spacing w:before="87"/>
              <w:ind w:left="2975" w:right="2825"/>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内容</w:t>
            </w:r>
          </w:p>
        </w:tc>
        <w:tc>
          <w:tcPr>
            <w:tcW w:w="1276" w:type="dxa"/>
          </w:tcPr>
          <w:p>
            <w:pPr>
              <w:pStyle w:val="28"/>
              <w:spacing w:before="87"/>
              <w:ind w:left="46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744" w:type="dxa"/>
          </w:tcPr>
          <w:p>
            <w:pPr>
              <w:pStyle w:val="28"/>
              <w:spacing w:before="88"/>
              <w:ind w:left="151"/>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824" w:type="dxa"/>
          </w:tcPr>
          <w:p>
            <w:pPr>
              <w:pStyle w:val="28"/>
              <w:spacing w:before="88"/>
              <w:ind w:left="242" w:right="91"/>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w:t>
            </w:r>
          </w:p>
        </w:tc>
        <w:tc>
          <w:tcPr>
            <w:tcW w:w="4509" w:type="dxa"/>
          </w:tcPr>
          <w:p>
            <w:pPr>
              <w:pStyle w:val="28"/>
              <w:rPr>
                <w:rFonts w:hint="eastAsia" w:ascii="宋体" w:hAnsi="宋体" w:eastAsia="宋体" w:cs="宋体"/>
                <w:color w:val="auto"/>
                <w:sz w:val="22"/>
                <w:highlight w:val="none"/>
              </w:rPr>
            </w:pPr>
          </w:p>
        </w:tc>
        <w:tc>
          <w:tcPr>
            <w:tcW w:w="1276" w:type="dxa"/>
          </w:tcPr>
          <w:p>
            <w:pPr>
              <w:pStyle w:val="28"/>
              <w:rPr>
                <w:rFonts w:hint="eastAsia" w:ascii="宋体" w:hAnsi="宋体" w:eastAsia="宋体" w:cs="宋体"/>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44" w:type="dxa"/>
          </w:tcPr>
          <w:p>
            <w:pPr>
              <w:pStyle w:val="28"/>
              <w:spacing w:before="158"/>
              <w:ind w:left="151"/>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824" w:type="dxa"/>
          </w:tcPr>
          <w:p>
            <w:pPr>
              <w:pStyle w:val="28"/>
              <w:spacing w:before="158"/>
              <w:ind w:left="242" w:right="91"/>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投标总报价</w:t>
            </w:r>
          </w:p>
        </w:tc>
        <w:tc>
          <w:tcPr>
            <w:tcW w:w="4509" w:type="dxa"/>
          </w:tcPr>
          <w:p>
            <w:pPr>
              <w:pStyle w:val="28"/>
              <w:spacing w:before="2"/>
              <w:ind w:left="106"/>
              <w:rPr>
                <w:rFonts w:hint="eastAsia" w:ascii="宋体" w:hAnsi="宋体" w:eastAsia="宋体" w:cs="宋体"/>
                <w:color w:val="auto"/>
                <w:sz w:val="24"/>
                <w:highlight w:val="none"/>
              </w:rPr>
            </w:pPr>
            <w:r>
              <w:rPr>
                <w:rFonts w:hint="eastAsia" w:ascii="宋体" w:hAnsi="宋体" w:eastAsia="宋体" w:cs="宋体"/>
                <w:color w:val="auto"/>
                <w:sz w:val="24"/>
                <w:highlight w:val="none"/>
              </w:rPr>
              <w:t>大写：</w:t>
            </w:r>
          </w:p>
          <w:p>
            <w:pPr>
              <w:pStyle w:val="28"/>
              <w:spacing w:before="4" w:line="289" w:lineRule="exact"/>
              <w:ind w:left="106"/>
              <w:rPr>
                <w:rFonts w:hint="eastAsia" w:ascii="宋体" w:hAnsi="宋体" w:eastAsia="宋体" w:cs="宋体"/>
                <w:color w:val="auto"/>
                <w:sz w:val="24"/>
                <w:highlight w:val="none"/>
              </w:rPr>
            </w:pPr>
            <w:r>
              <w:rPr>
                <w:rFonts w:hint="eastAsia" w:ascii="宋体" w:hAnsi="宋体" w:eastAsia="宋体" w:cs="宋体"/>
                <w:color w:val="auto"/>
                <w:sz w:val="24"/>
                <w:highlight w:val="none"/>
              </w:rPr>
              <w:t>小写：</w:t>
            </w:r>
          </w:p>
        </w:tc>
        <w:tc>
          <w:tcPr>
            <w:tcW w:w="1276" w:type="dxa"/>
          </w:tcPr>
          <w:p>
            <w:pPr>
              <w:pStyle w:val="28"/>
              <w:rPr>
                <w:rFonts w:hint="eastAsia" w:ascii="宋体" w:hAnsi="宋体" w:eastAsia="宋体" w:cs="宋体"/>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744" w:type="dxa"/>
          </w:tcPr>
          <w:p>
            <w:pPr>
              <w:pStyle w:val="28"/>
              <w:spacing w:before="86"/>
              <w:ind w:left="151"/>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824" w:type="dxa"/>
          </w:tcPr>
          <w:p>
            <w:pPr>
              <w:pStyle w:val="28"/>
              <w:spacing w:before="86"/>
              <w:ind w:left="242" w:right="91"/>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服务</w:t>
            </w:r>
            <w:r>
              <w:rPr>
                <w:rFonts w:hint="eastAsia" w:ascii="宋体" w:hAnsi="宋体" w:eastAsia="宋体" w:cs="宋体"/>
                <w:color w:val="auto"/>
                <w:sz w:val="24"/>
                <w:highlight w:val="none"/>
              </w:rPr>
              <w:t>期</w:t>
            </w:r>
          </w:p>
        </w:tc>
        <w:tc>
          <w:tcPr>
            <w:tcW w:w="4509" w:type="dxa"/>
          </w:tcPr>
          <w:p>
            <w:pPr>
              <w:pStyle w:val="28"/>
              <w:rPr>
                <w:rFonts w:hint="eastAsia" w:ascii="宋体" w:hAnsi="宋体" w:eastAsia="宋体" w:cs="宋体"/>
                <w:color w:val="auto"/>
                <w:sz w:val="22"/>
                <w:highlight w:val="none"/>
              </w:rPr>
            </w:pPr>
          </w:p>
        </w:tc>
        <w:tc>
          <w:tcPr>
            <w:tcW w:w="1276" w:type="dxa"/>
          </w:tcPr>
          <w:p>
            <w:pPr>
              <w:pStyle w:val="28"/>
              <w:rPr>
                <w:rFonts w:hint="eastAsia" w:ascii="宋体" w:hAnsi="宋体" w:eastAsia="宋体" w:cs="宋体"/>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44" w:type="dxa"/>
          </w:tcPr>
          <w:p>
            <w:pPr>
              <w:pStyle w:val="28"/>
              <w:spacing w:before="94"/>
              <w:ind w:left="151"/>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824" w:type="dxa"/>
          </w:tcPr>
          <w:p>
            <w:pPr>
              <w:pStyle w:val="28"/>
              <w:spacing w:before="94"/>
              <w:ind w:left="242" w:right="91"/>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付款方式</w:t>
            </w:r>
          </w:p>
        </w:tc>
        <w:tc>
          <w:tcPr>
            <w:tcW w:w="4509" w:type="dxa"/>
          </w:tcPr>
          <w:p>
            <w:pPr>
              <w:pStyle w:val="28"/>
              <w:rPr>
                <w:rFonts w:hint="eastAsia" w:ascii="宋体" w:hAnsi="宋体" w:eastAsia="宋体" w:cs="宋体"/>
                <w:color w:val="auto"/>
                <w:sz w:val="22"/>
                <w:highlight w:val="none"/>
              </w:rPr>
            </w:pPr>
          </w:p>
        </w:tc>
        <w:tc>
          <w:tcPr>
            <w:tcW w:w="1276" w:type="dxa"/>
          </w:tcPr>
          <w:p>
            <w:pPr>
              <w:pStyle w:val="28"/>
              <w:rPr>
                <w:rFonts w:hint="eastAsia" w:ascii="宋体" w:hAnsi="宋体" w:eastAsia="宋体" w:cs="宋体"/>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44" w:type="dxa"/>
          </w:tcPr>
          <w:p>
            <w:pPr>
              <w:pStyle w:val="28"/>
              <w:spacing w:before="94"/>
              <w:ind w:left="151"/>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1824" w:type="dxa"/>
          </w:tcPr>
          <w:p>
            <w:pPr>
              <w:pStyle w:val="28"/>
              <w:spacing w:before="94"/>
              <w:ind w:left="242" w:right="91"/>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备注</w:t>
            </w:r>
          </w:p>
        </w:tc>
        <w:tc>
          <w:tcPr>
            <w:tcW w:w="4509" w:type="dxa"/>
          </w:tcPr>
          <w:p>
            <w:pPr>
              <w:pStyle w:val="28"/>
              <w:rPr>
                <w:rFonts w:hint="eastAsia" w:ascii="宋体" w:hAnsi="宋体" w:eastAsia="宋体" w:cs="宋体"/>
                <w:color w:val="auto"/>
                <w:sz w:val="22"/>
                <w:highlight w:val="none"/>
              </w:rPr>
            </w:pPr>
          </w:p>
        </w:tc>
        <w:tc>
          <w:tcPr>
            <w:tcW w:w="1276" w:type="dxa"/>
          </w:tcPr>
          <w:p>
            <w:pPr>
              <w:pStyle w:val="28"/>
              <w:rPr>
                <w:rFonts w:hint="eastAsia" w:ascii="宋体" w:hAnsi="宋体" w:eastAsia="宋体" w:cs="宋体"/>
                <w:color w:val="auto"/>
                <w:sz w:val="22"/>
                <w:highlight w:val="none"/>
              </w:rPr>
            </w:pPr>
          </w:p>
        </w:tc>
      </w:tr>
    </w:tbl>
    <w:p>
      <w:pPr>
        <w:pStyle w:val="2"/>
        <w:spacing w:before="8"/>
        <w:rPr>
          <w:rFonts w:hint="eastAsia" w:ascii="宋体" w:hAnsi="宋体" w:eastAsia="宋体" w:cs="宋体"/>
          <w:color w:val="auto"/>
          <w:sz w:val="31"/>
          <w:highlight w:val="none"/>
        </w:rPr>
      </w:pPr>
    </w:p>
    <w:p>
      <w:pPr>
        <w:pStyle w:val="2"/>
        <w:spacing w:line="362" w:lineRule="auto"/>
        <w:ind w:left="477" w:right="491"/>
        <w:rPr>
          <w:rFonts w:hint="eastAsia" w:ascii="宋体" w:hAnsi="宋体" w:eastAsia="宋体" w:cs="宋体"/>
          <w:color w:val="auto"/>
          <w:highlight w:val="none"/>
        </w:rPr>
      </w:pPr>
      <w:r>
        <w:rPr>
          <w:rFonts w:hint="eastAsia" w:ascii="宋体" w:hAnsi="宋体" w:eastAsia="宋体" w:cs="宋体"/>
          <w:color w:val="auto"/>
          <w:highlight w:val="none"/>
        </w:rPr>
        <w:t>注：1、报价一经涂改，应在涂改处加盖单位公章或者由法定代表人或其委托代理人签字或盖章，否则其投标作无效标处理。</w:t>
      </w:r>
    </w:p>
    <w:p>
      <w:pPr>
        <w:pStyle w:val="2"/>
        <w:spacing w:line="362" w:lineRule="auto"/>
        <w:ind w:left="477" w:right="491"/>
        <w:rPr>
          <w:rFonts w:hint="eastAsia" w:ascii="宋体" w:hAnsi="宋体" w:eastAsia="宋体" w:cs="宋体"/>
          <w:color w:val="auto"/>
          <w:highlight w:val="none"/>
        </w:rPr>
      </w:pPr>
      <w:r>
        <w:rPr>
          <w:rFonts w:hint="eastAsia" w:ascii="宋体" w:hAnsi="宋体" w:eastAsia="宋体" w:cs="宋体"/>
          <w:color w:val="auto"/>
          <w:highlight w:val="none"/>
        </w:rPr>
        <w:t>2、报价包括项目实施所需的货物费、包装运输费、装卸费、安装调试费、管理费、利润、税费及其他一切费用。</w:t>
      </w:r>
    </w:p>
    <w:p>
      <w:pPr>
        <w:pStyle w:val="2"/>
        <w:spacing w:line="362" w:lineRule="auto"/>
        <w:ind w:left="477" w:right="491"/>
        <w:rPr>
          <w:rFonts w:hint="eastAsia" w:ascii="宋体" w:hAnsi="宋体" w:eastAsia="宋体" w:cs="宋体"/>
          <w:color w:val="auto"/>
          <w:highlight w:val="none"/>
        </w:rPr>
      </w:pPr>
      <w:r>
        <w:rPr>
          <w:rFonts w:hint="eastAsia" w:ascii="宋体" w:hAnsi="宋体" w:eastAsia="宋体" w:cs="宋体"/>
          <w:color w:val="auto"/>
          <w:highlight w:val="none"/>
        </w:rPr>
        <w:t>3、此开标一览表须另行制作一份，并与电子版文件一并单独密封包装于同一包  装内，投标时随投标文件一并递交。</w:t>
      </w:r>
    </w:p>
    <w:p>
      <w:pPr>
        <w:pStyle w:val="2"/>
        <w:spacing w:before="8"/>
        <w:rPr>
          <w:rFonts w:hint="eastAsia" w:ascii="宋体" w:hAnsi="宋体" w:eastAsia="宋体" w:cs="宋体"/>
          <w:b/>
          <w:color w:val="auto"/>
          <w:sz w:val="32"/>
          <w:highlight w:val="none"/>
        </w:rPr>
      </w:pPr>
    </w:p>
    <w:p>
      <w:pPr>
        <w:pStyle w:val="2"/>
        <w:ind w:left="1044"/>
        <w:rPr>
          <w:rFonts w:hint="eastAsia" w:ascii="宋体" w:hAnsi="宋体" w:eastAsia="宋体" w:cs="宋体"/>
          <w:color w:val="auto"/>
          <w:highlight w:val="none"/>
        </w:rPr>
      </w:pPr>
      <w:r>
        <w:rPr>
          <w:rFonts w:hint="eastAsia" w:ascii="宋体" w:hAnsi="宋体" w:eastAsia="宋体" w:cs="宋体"/>
          <w:color w:val="auto"/>
          <w:highlight w:val="none"/>
        </w:rPr>
        <w:t>投标人名称（盖单位章）：</w:t>
      </w:r>
    </w:p>
    <w:p>
      <w:pPr>
        <w:pStyle w:val="29"/>
        <w:numPr>
          <w:ilvl w:val="0"/>
          <w:numId w:val="0"/>
        </w:numPr>
        <w:tabs>
          <w:tab w:val="left" w:pos="1319"/>
        </w:tabs>
        <w:spacing w:before="161" w:after="0" w:line="362" w:lineRule="auto"/>
        <w:ind w:left="957" w:leftChars="0" w:right="633" w:rightChars="0"/>
        <w:jc w:val="left"/>
        <w:rPr>
          <w:rFonts w:hint="eastAsia" w:ascii="宋体" w:hAnsi="宋体" w:eastAsia="宋体" w:cs="宋体"/>
          <w:color w:val="auto"/>
          <w:spacing w:val="-18"/>
          <w:highlight w:val="none"/>
        </w:rPr>
      </w:pPr>
      <w:r>
        <w:rPr>
          <w:rFonts w:hint="eastAsia" w:ascii="宋体" w:hAnsi="宋体" w:eastAsia="宋体" w:cs="宋体"/>
          <w:color w:val="auto"/>
          <w:highlight w:val="none"/>
        </w:rPr>
        <w:t>法定代表人或其委托代理人签字</w:t>
      </w:r>
      <w:r>
        <w:rPr>
          <w:rFonts w:hint="eastAsia" w:ascii="宋体" w:hAnsi="宋体" w:eastAsia="宋体" w:cs="宋体"/>
          <w:color w:val="auto"/>
          <w:spacing w:val="-18"/>
          <w:highlight w:val="none"/>
        </w:rPr>
        <w:t xml:space="preserve">： </w:t>
      </w:r>
    </w:p>
    <w:p>
      <w:pPr>
        <w:pStyle w:val="29"/>
        <w:numPr>
          <w:ilvl w:val="0"/>
          <w:numId w:val="0"/>
        </w:numPr>
        <w:tabs>
          <w:tab w:val="left" w:pos="1319"/>
        </w:tabs>
        <w:spacing w:before="161" w:after="0" w:line="362" w:lineRule="auto"/>
        <w:ind w:left="957" w:leftChars="0" w:right="633" w:rightChars="0"/>
        <w:jc w:val="left"/>
        <w:rPr>
          <w:rFonts w:hint="eastAsia"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pPr>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br w:type="page"/>
      </w:r>
    </w:p>
    <w:p>
      <w:pPr>
        <w:pStyle w:val="7"/>
        <w:outlineLvl w:val="1"/>
        <w:rPr>
          <w:rFonts w:hint="eastAsia" w:ascii="宋体" w:hAnsi="宋体" w:eastAsia="宋体" w:cs="宋体"/>
          <w:color w:val="auto"/>
          <w:highlight w:val="none"/>
        </w:rPr>
      </w:pPr>
      <w:bookmarkStart w:id="279" w:name="_Toc6010"/>
      <w:r>
        <w:rPr>
          <w:rFonts w:hint="eastAsia" w:ascii="宋体" w:hAnsi="宋体" w:eastAsia="宋体" w:cs="宋体"/>
          <w:color w:val="auto"/>
          <w:highlight w:val="none"/>
        </w:rPr>
        <w:t>二、法定代表人身份证明</w:t>
      </w:r>
      <w:bookmarkEnd w:id="279"/>
    </w:p>
    <w:p>
      <w:pPr>
        <w:pStyle w:val="2"/>
        <w:rPr>
          <w:rFonts w:hint="eastAsia" w:ascii="宋体" w:hAnsi="宋体" w:eastAsia="宋体" w:cs="宋体"/>
          <w:b/>
          <w:color w:val="auto"/>
          <w:sz w:val="32"/>
          <w:highlight w:val="none"/>
        </w:rPr>
      </w:pPr>
    </w:p>
    <w:p>
      <w:pPr>
        <w:pStyle w:val="2"/>
        <w:rPr>
          <w:rFonts w:hint="eastAsia" w:ascii="宋体" w:hAnsi="宋体" w:eastAsia="宋体" w:cs="宋体"/>
          <w:b/>
          <w:color w:val="auto"/>
          <w:sz w:val="32"/>
          <w:highlight w:val="none"/>
        </w:rPr>
      </w:pPr>
    </w:p>
    <w:p>
      <w:pPr>
        <w:pStyle w:val="2"/>
        <w:spacing w:before="10"/>
        <w:rPr>
          <w:rFonts w:hint="eastAsia" w:ascii="宋体" w:hAnsi="宋体" w:eastAsia="宋体" w:cs="宋体"/>
          <w:b/>
          <w:color w:val="auto"/>
          <w:sz w:val="37"/>
          <w:highlight w:val="none"/>
        </w:rPr>
      </w:pPr>
    </w:p>
    <w:p>
      <w:pPr>
        <w:pStyle w:val="2"/>
        <w:tabs>
          <w:tab w:val="left" w:pos="5922"/>
        </w:tabs>
        <w:ind w:left="477"/>
        <w:rPr>
          <w:rFonts w:hint="eastAsia" w:ascii="宋体" w:hAnsi="宋体" w:eastAsia="宋体" w:cs="宋体"/>
          <w:color w:val="auto"/>
          <w:highlight w:val="none"/>
        </w:rPr>
      </w:pPr>
      <w:r>
        <w:rPr>
          <w:rFonts w:hint="eastAsia" w:ascii="宋体" w:hAnsi="宋体" w:eastAsia="宋体" w:cs="宋体"/>
          <w:color w:val="auto"/>
          <w:spacing w:val="-1"/>
          <w:highlight w:val="none"/>
        </w:rPr>
        <w:t>投</w:t>
      </w:r>
      <w:r>
        <w:rPr>
          <w:rFonts w:hint="eastAsia" w:ascii="宋体" w:hAnsi="宋体" w:eastAsia="宋体" w:cs="宋体"/>
          <w:color w:val="auto"/>
          <w:highlight w:val="none"/>
        </w:rPr>
        <w:t>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p>
    <w:p>
      <w:pPr>
        <w:pStyle w:val="2"/>
        <w:spacing w:before="5"/>
        <w:rPr>
          <w:rFonts w:hint="eastAsia" w:ascii="宋体" w:hAnsi="宋体" w:eastAsia="宋体" w:cs="宋体"/>
          <w:color w:val="auto"/>
          <w:highlight w:val="none"/>
        </w:rPr>
      </w:pPr>
    </w:p>
    <w:p>
      <w:pPr>
        <w:pStyle w:val="2"/>
        <w:tabs>
          <w:tab w:val="left" w:pos="2889"/>
          <w:tab w:val="left" w:pos="4588"/>
          <w:tab w:val="left" w:pos="6712"/>
          <w:tab w:val="left" w:pos="8811"/>
        </w:tabs>
        <w:spacing w:before="74"/>
        <w:ind w:left="477"/>
        <w:rPr>
          <w:rFonts w:hint="eastAsia" w:ascii="宋体" w:hAnsi="宋体" w:eastAsia="宋体" w:cs="宋体"/>
          <w:color w:val="auto"/>
          <w:highlight w:val="none"/>
        </w:rPr>
      </w:pPr>
      <w:r>
        <w:rPr>
          <w:rFonts w:hint="eastAsia" w:ascii="宋体" w:hAnsi="宋体" w:eastAsia="宋体" w:cs="宋体"/>
          <w:color w:val="auto"/>
          <w:highlight w:val="none"/>
        </w:rPr>
        <w:t>姓名：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性别：</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年龄：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spacing w:val="-1"/>
          <w:highlight w:val="none"/>
        </w:rPr>
        <w:t>职</w:t>
      </w:r>
      <w:r>
        <w:rPr>
          <w:rFonts w:hint="eastAsia" w:ascii="宋体" w:hAnsi="宋体" w:eastAsia="宋体" w:cs="宋体"/>
          <w:color w:val="auto"/>
          <w:highlight w:val="none"/>
        </w:rPr>
        <w:t>务：</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p>
    <w:p>
      <w:pPr>
        <w:pStyle w:val="2"/>
        <w:spacing w:before="5"/>
        <w:rPr>
          <w:rFonts w:hint="eastAsia" w:ascii="宋体" w:hAnsi="宋体" w:eastAsia="宋体" w:cs="宋体"/>
          <w:color w:val="auto"/>
          <w:highlight w:val="none"/>
        </w:rPr>
      </w:pPr>
    </w:p>
    <w:p>
      <w:pPr>
        <w:pStyle w:val="2"/>
        <w:tabs>
          <w:tab w:val="left" w:pos="3309"/>
        </w:tabs>
        <w:spacing w:before="74" w:line="523" w:lineRule="auto"/>
        <w:ind w:left="996" w:right="3088" w:hanging="519"/>
        <w:rPr>
          <w:rFonts w:hint="eastAsia" w:ascii="宋体" w:hAnsi="宋体" w:eastAsia="宋体" w:cs="宋体"/>
          <w:color w:val="auto"/>
          <w:highlight w:val="none"/>
        </w:rPr>
      </w:pP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（投标人名称）的法定代表人</w:t>
      </w:r>
      <w:r>
        <w:rPr>
          <w:rFonts w:hint="eastAsia" w:ascii="宋体" w:hAnsi="宋体" w:eastAsia="宋体" w:cs="宋体"/>
          <w:color w:val="auto"/>
          <w:spacing w:val="-17"/>
          <w:highlight w:val="none"/>
        </w:rPr>
        <w:t>。</w:t>
      </w:r>
      <w:r>
        <w:rPr>
          <w:rFonts w:hint="eastAsia" w:ascii="宋体" w:hAnsi="宋体" w:eastAsia="宋体" w:cs="宋体"/>
          <w:color w:val="auto"/>
          <w:highlight w:val="none"/>
        </w:rPr>
        <w:t>特此证明。</w:t>
      </w:r>
    </w:p>
    <w:p>
      <w:pPr>
        <w:pStyle w:val="2"/>
        <w:spacing w:before="11"/>
        <w:rPr>
          <w:rFonts w:hint="eastAsia" w:ascii="宋体" w:hAnsi="宋体" w:eastAsia="宋体" w:cs="宋体"/>
          <w:color w:val="auto"/>
          <w:sz w:val="20"/>
          <w:highlight w:val="none"/>
        </w:rPr>
      </w:pPr>
    </w:p>
    <w:p>
      <w:pPr>
        <w:pStyle w:val="2"/>
        <w:ind w:left="575"/>
        <w:rPr>
          <w:rFonts w:hint="eastAsia" w:ascii="宋体" w:hAnsi="宋体" w:eastAsia="宋体" w:cs="宋体"/>
          <w:color w:val="auto"/>
          <w:highlight w:val="none"/>
        </w:rPr>
      </w:pPr>
      <w:r>
        <w:rPr>
          <w:rFonts w:hint="eastAsia" w:ascii="宋体" w:hAnsi="宋体" w:eastAsia="宋体" w:cs="宋体"/>
          <w:color w:val="auto"/>
          <w:highlight w:val="none"/>
        </w:rPr>
        <w:t>附：法定代表人身份证复印件（正、反面）。</w:t>
      </w:r>
    </w:p>
    <w:p>
      <w:pPr>
        <w:pStyle w:val="2"/>
        <w:rPr>
          <w:rFonts w:hint="eastAsia" w:ascii="宋体" w:hAnsi="宋体" w:eastAsia="宋体" w:cs="宋体"/>
          <w:color w:val="auto"/>
          <w:highlight w:val="none"/>
        </w:rPr>
      </w:pPr>
    </w:p>
    <w:p>
      <w:pPr>
        <w:pStyle w:val="2"/>
        <w:spacing w:before="11"/>
        <w:rPr>
          <w:rFonts w:hint="eastAsia" w:ascii="宋体" w:hAnsi="宋体" w:eastAsia="宋体" w:cs="宋体"/>
          <w:color w:val="auto"/>
          <w:highlight w:val="none"/>
        </w:rPr>
      </w:pPr>
    </w:p>
    <w:p>
      <w:pPr>
        <w:pStyle w:val="2"/>
        <w:ind w:left="575"/>
        <w:rPr>
          <w:rFonts w:hint="eastAsia" w:ascii="宋体" w:hAnsi="宋体" w:eastAsia="宋体" w:cs="宋体"/>
          <w:color w:val="auto"/>
          <w:highlight w:val="none"/>
        </w:rPr>
      </w:pPr>
      <w:r>
        <w:rPr>
          <w:rFonts w:hint="eastAsia" w:ascii="宋体" w:hAnsi="宋体" w:eastAsia="宋体" w:cs="宋体"/>
          <w:color w:val="auto"/>
          <w:highlight w:val="none"/>
        </w:rPr>
        <w:t>注：本身份证明需由投标人加盖单位公章。</w:t>
      </w: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spacing w:before="9"/>
        <w:rPr>
          <w:rFonts w:hint="eastAsia" w:ascii="宋体" w:hAnsi="宋体" w:eastAsia="宋体" w:cs="宋体"/>
          <w:color w:val="auto"/>
          <w:sz w:val="28"/>
          <w:highlight w:val="none"/>
        </w:rPr>
      </w:pPr>
    </w:p>
    <w:p>
      <w:pPr>
        <w:pStyle w:val="2"/>
        <w:ind w:left="1044"/>
        <w:rPr>
          <w:rFonts w:hint="eastAsia" w:ascii="宋体" w:hAnsi="宋体" w:eastAsia="宋体" w:cs="宋体"/>
          <w:color w:val="auto"/>
          <w:highlight w:val="none"/>
        </w:rPr>
      </w:pPr>
      <w:r>
        <w:rPr>
          <w:rFonts w:hint="eastAsia" w:ascii="宋体" w:hAnsi="宋体" w:eastAsia="宋体" w:cs="宋体"/>
          <w:color w:val="auto"/>
          <w:highlight w:val="none"/>
        </w:rPr>
        <w:t>投标人名称（盖单位章）：</w:t>
      </w:r>
    </w:p>
    <w:p>
      <w:pPr>
        <w:pStyle w:val="29"/>
        <w:numPr>
          <w:ilvl w:val="0"/>
          <w:numId w:val="0"/>
        </w:numPr>
        <w:tabs>
          <w:tab w:val="left" w:pos="1319"/>
        </w:tabs>
        <w:spacing w:before="161" w:after="0" w:line="362" w:lineRule="auto"/>
        <w:ind w:left="957" w:leftChars="0" w:right="633" w:rightChars="0"/>
        <w:jc w:val="left"/>
        <w:rPr>
          <w:rFonts w:hint="eastAsia"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pPr>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br w:type="page"/>
      </w:r>
    </w:p>
    <w:p>
      <w:pPr>
        <w:pStyle w:val="7"/>
        <w:outlineLvl w:val="1"/>
        <w:rPr>
          <w:rFonts w:hint="eastAsia" w:ascii="宋体" w:hAnsi="宋体" w:eastAsia="宋体" w:cs="宋体"/>
          <w:color w:val="auto"/>
          <w:highlight w:val="none"/>
        </w:rPr>
      </w:pPr>
      <w:bookmarkStart w:id="280" w:name="_Toc2778"/>
      <w:r>
        <w:rPr>
          <w:rFonts w:hint="eastAsia" w:ascii="宋体" w:hAnsi="宋体" w:eastAsia="宋体" w:cs="宋体"/>
          <w:color w:val="auto"/>
          <w:highlight w:val="none"/>
        </w:rPr>
        <w:t>二、授权委托书</w:t>
      </w:r>
      <w:bookmarkEnd w:id="280"/>
    </w:p>
    <w:p>
      <w:pPr>
        <w:pStyle w:val="2"/>
        <w:rPr>
          <w:rFonts w:hint="eastAsia" w:ascii="宋体" w:hAnsi="宋体" w:eastAsia="宋体" w:cs="宋体"/>
          <w:b/>
          <w:color w:val="auto"/>
          <w:sz w:val="32"/>
          <w:highlight w:val="none"/>
        </w:rPr>
      </w:pPr>
    </w:p>
    <w:p>
      <w:pPr>
        <w:pStyle w:val="2"/>
        <w:spacing w:before="9"/>
        <w:rPr>
          <w:rFonts w:hint="eastAsia" w:ascii="宋体" w:hAnsi="宋体" w:eastAsia="宋体" w:cs="宋体"/>
          <w:b/>
          <w:color w:val="auto"/>
          <w:sz w:val="32"/>
          <w:highlight w:val="none"/>
        </w:rPr>
      </w:pPr>
    </w:p>
    <w:p>
      <w:pPr>
        <w:pStyle w:val="2"/>
        <w:tabs>
          <w:tab w:val="left" w:pos="2896"/>
          <w:tab w:val="left" w:pos="6062"/>
        </w:tabs>
        <w:ind w:left="957"/>
        <w:rPr>
          <w:rFonts w:hint="eastAsia" w:ascii="宋体" w:hAnsi="宋体" w:eastAsia="宋体" w:cs="宋体"/>
          <w:color w:val="auto"/>
          <w:highlight w:val="none"/>
        </w:rPr>
      </w:pPr>
      <w:r>
        <w:rPr>
          <w:rFonts w:hint="eastAsia" w:ascii="宋体" w:hAnsi="宋体" w:eastAsia="宋体" w:cs="宋体"/>
          <w:color w:val="auto"/>
          <w:highlight w:val="none"/>
        </w:rPr>
        <w:t>本人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（姓名）系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（投标人名称</w:t>
      </w:r>
      <w:r>
        <w:rPr>
          <w:rFonts w:hint="eastAsia" w:ascii="宋体" w:hAnsi="宋体" w:eastAsia="宋体" w:cs="宋体"/>
          <w:color w:val="auto"/>
          <w:spacing w:val="-60"/>
          <w:highlight w:val="none"/>
        </w:rPr>
        <w:t>）</w:t>
      </w:r>
      <w:r>
        <w:rPr>
          <w:rFonts w:hint="eastAsia" w:ascii="宋体" w:hAnsi="宋体" w:eastAsia="宋体" w:cs="宋体"/>
          <w:color w:val="auto"/>
          <w:highlight w:val="none"/>
        </w:rPr>
        <w:t>的法定代表人</w:t>
      </w:r>
    </w:p>
    <w:p>
      <w:pPr>
        <w:pStyle w:val="2"/>
        <w:tabs>
          <w:tab w:val="left" w:pos="6062"/>
        </w:tabs>
        <w:spacing w:before="160" w:line="364" w:lineRule="auto"/>
        <w:ind w:left="477" w:right="635"/>
        <w:jc w:val="both"/>
        <w:rPr>
          <w:rFonts w:hint="eastAsia" w:ascii="宋体" w:hAnsi="宋体" w:eastAsia="宋体" w:cs="宋体"/>
          <w:color w:val="auto"/>
          <w:highlight w:val="none"/>
        </w:rPr>
      </w:pPr>
      <w:r>
        <w:rPr>
          <w:rFonts w:hint="eastAsia" w:ascii="宋体" w:hAnsi="宋体" w:eastAsia="宋体" w:cs="宋体"/>
          <w:color w:val="auto"/>
          <w:highlight w:val="none"/>
        </w:rPr>
        <w:t>（单位负责人），现委托</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（姓名</w:t>
      </w:r>
      <w:r>
        <w:rPr>
          <w:rFonts w:hint="eastAsia" w:ascii="宋体" w:hAnsi="宋体" w:eastAsia="宋体" w:cs="宋体"/>
          <w:color w:val="auto"/>
          <w:spacing w:val="-32"/>
          <w:highlight w:val="none"/>
        </w:rPr>
        <w:t>）</w:t>
      </w:r>
      <w:r>
        <w:rPr>
          <w:rFonts w:hint="eastAsia" w:ascii="宋体" w:hAnsi="宋体" w:eastAsia="宋体" w:cs="宋体"/>
          <w:color w:val="auto"/>
          <w:highlight w:val="none"/>
        </w:rPr>
        <w:t>为我方代理人</w:t>
      </w:r>
      <w:r>
        <w:rPr>
          <w:rFonts w:hint="eastAsia" w:ascii="宋体" w:hAnsi="宋体" w:eastAsia="宋体" w:cs="宋体"/>
          <w:color w:val="auto"/>
          <w:spacing w:val="-29"/>
          <w:highlight w:val="none"/>
        </w:rPr>
        <w:t>。</w:t>
      </w:r>
      <w:r>
        <w:rPr>
          <w:rFonts w:hint="eastAsia" w:ascii="宋体" w:hAnsi="宋体" w:eastAsia="宋体" w:cs="宋体"/>
          <w:color w:val="auto"/>
          <w:highlight w:val="none"/>
        </w:rPr>
        <w:t>代</w:t>
      </w:r>
      <w:r>
        <w:rPr>
          <w:rFonts w:hint="eastAsia" w:ascii="宋体" w:hAnsi="宋体" w:eastAsia="宋体" w:cs="宋体"/>
          <w:color w:val="auto"/>
          <w:spacing w:val="-16"/>
          <w:highlight w:val="none"/>
        </w:rPr>
        <w:t>理</w:t>
      </w:r>
      <w:r>
        <w:rPr>
          <w:rFonts w:hint="eastAsia" w:ascii="宋体" w:hAnsi="宋体" w:eastAsia="宋体" w:cs="宋体"/>
          <w:color w:val="auto"/>
          <w:highlight w:val="none"/>
        </w:rPr>
        <w:t>人根据授权，以我方名义签署、澄清确认、递交、撤回、修改设备采购招标项目</w:t>
      </w:r>
      <w:r>
        <w:rPr>
          <w:rFonts w:hint="eastAsia" w:ascii="宋体" w:hAnsi="宋体" w:eastAsia="宋体" w:cs="宋体"/>
          <w:color w:val="auto"/>
          <w:spacing w:val="-12"/>
          <w:highlight w:val="none"/>
        </w:rPr>
        <w:t>投</w:t>
      </w:r>
      <w:r>
        <w:rPr>
          <w:rFonts w:hint="eastAsia" w:ascii="宋体" w:hAnsi="宋体" w:eastAsia="宋体" w:cs="宋体"/>
          <w:color w:val="auto"/>
          <w:highlight w:val="none"/>
        </w:rPr>
        <w:t>标文件、签订合同和处理有关事宜，其法律后果由我方承担。</w:t>
      </w:r>
    </w:p>
    <w:p>
      <w:pPr>
        <w:pStyle w:val="2"/>
        <w:tabs>
          <w:tab w:val="left" w:pos="4043"/>
        </w:tabs>
        <w:spacing w:line="362" w:lineRule="auto"/>
        <w:ind w:left="957" w:right="5475"/>
        <w:rPr>
          <w:rFonts w:hint="eastAsia" w:ascii="宋体" w:hAnsi="宋体" w:eastAsia="宋体" w:cs="宋体"/>
          <w:color w:val="auto"/>
          <w:highlight w:val="none"/>
        </w:rPr>
      </w:pPr>
      <w:r>
        <w:rPr>
          <w:rFonts w:hint="eastAsia" w:ascii="宋体" w:hAnsi="宋体" w:eastAsia="宋体" w:cs="宋体"/>
          <w:color w:val="auto"/>
          <w:highlight w:val="none"/>
        </w:rPr>
        <w:t>委托期限：</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spacing w:val="-18"/>
          <w:highlight w:val="none"/>
        </w:rPr>
        <w:t>。</w:t>
      </w:r>
      <w:r>
        <w:rPr>
          <w:rFonts w:hint="eastAsia" w:ascii="宋体" w:hAnsi="宋体" w:eastAsia="宋体" w:cs="宋体"/>
          <w:color w:val="auto"/>
          <w:highlight w:val="none"/>
        </w:rPr>
        <w:t>代理人无转委托权。</w:t>
      </w:r>
    </w:p>
    <w:p>
      <w:pPr>
        <w:pStyle w:val="2"/>
        <w:rPr>
          <w:rFonts w:hint="eastAsia" w:ascii="宋体" w:hAnsi="宋体" w:eastAsia="宋体" w:cs="宋体"/>
          <w:color w:val="auto"/>
          <w:highlight w:val="none"/>
        </w:rPr>
      </w:pPr>
    </w:p>
    <w:p>
      <w:pPr>
        <w:pStyle w:val="2"/>
        <w:spacing w:before="165"/>
        <w:ind w:left="477"/>
        <w:rPr>
          <w:rFonts w:hint="eastAsia" w:ascii="宋体" w:hAnsi="宋体" w:eastAsia="宋体" w:cs="宋体"/>
          <w:color w:val="auto"/>
          <w:highlight w:val="none"/>
        </w:rPr>
      </w:pPr>
      <w:r>
        <w:rPr>
          <w:rFonts w:hint="eastAsia" w:ascii="宋体" w:hAnsi="宋体" w:eastAsia="宋体" w:cs="宋体"/>
          <w:color w:val="auto"/>
          <w:highlight w:val="none"/>
        </w:rPr>
        <w:t>附：法定代表人（单位负责人）身份证复印件及委托代理人身份证复印件</w:t>
      </w:r>
    </w:p>
    <w:p>
      <w:pPr>
        <w:pStyle w:val="2"/>
        <w:rPr>
          <w:rFonts w:hint="eastAsia" w:ascii="宋体" w:hAnsi="宋体" w:eastAsia="宋体" w:cs="宋体"/>
          <w:color w:val="auto"/>
          <w:highlight w:val="none"/>
        </w:rPr>
      </w:pPr>
    </w:p>
    <w:p>
      <w:pPr>
        <w:pStyle w:val="2"/>
        <w:spacing w:before="9"/>
        <w:rPr>
          <w:rFonts w:hint="eastAsia" w:ascii="宋体" w:hAnsi="宋体" w:eastAsia="宋体" w:cs="宋体"/>
          <w:color w:val="auto"/>
          <w:highlight w:val="none"/>
        </w:rPr>
      </w:pPr>
    </w:p>
    <w:p>
      <w:pPr>
        <w:pStyle w:val="2"/>
        <w:spacing w:line="364" w:lineRule="auto"/>
        <w:ind w:left="477" w:right="640"/>
        <w:rPr>
          <w:rFonts w:hint="eastAsia" w:ascii="宋体" w:hAnsi="宋体" w:eastAsia="宋体" w:cs="宋体"/>
          <w:color w:val="auto"/>
          <w:highlight w:val="none"/>
        </w:rPr>
      </w:pPr>
      <w:r>
        <w:rPr>
          <w:rFonts w:hint="eastAsia" w:ascii="宋体" w:hAnsi="宋体" w:eastAsia="宋体" w:cs="宋体"/>
          <w:color w:val="auto"/>
          <w:highlight w:val="none"/>
        </w:rPr>
        <w:t>注：本授权委托书需由投标人加盖单位公章并由其法定代表人（单位负责人）和委托代理人签字。</w:t>
      </w: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spacing w:before="12"/>
        <w:rPr>
          <w:rFonts w:hint="eastAsia" w:ascii="宋体" w:hAnsi="宋体" w:eastAsia="宋体" w:cs="宋体"/>
          <w:color w:val="auto"/>
          <w:highlight w:val="none"/>
        </w:rPr>
      </w:pPr>
    </w:p>
    <w:p>
      <w:pPr>
        <w:pStyle w:val="2"/>
        <w:tabs>
          <w:tab w:val="left" w:pos="4557"/>
        </w:tabs>
        <w:ind w:left="477"/>
        <w:rPr>
          <w:rFonts w:hint="eastAsia" w:ascii="宋体" w:hAnsi="宋体" w:eastAsia="宋体" w:cs="宋体"/>
          <w:color w:val="auto"/>
          <w:highlight w:val="none"/>
        </w:rPr>
      </w:pPr>
      <w:r>
        <w:rPr>
          <w:rFonts w:hint="eastAsia" w:ascii="宋体" w:hAnsi="宋体" w:eastAsia="宋体" w:cs="宋体"/>
          <w:color w:val="auto"/>
          <w:highlight w:val="none"/>
        </w:rPr>
        <w:t>投 标</w:t>
      </w:r>
      <w:r>
        <w:rPr>
          <w:rFonts w:hint="eastAsia" w:ascii="宋体" w:hAnsi="宋体" w:eastAsia="宋体" w:cs="宋体"/>
          <w:color w:val="auto"/>
          <w:spacing w:val="-1"/>
          <w:highlight w:val="none"/>
        </w:rPr>
        <w:t xml:space="preserve"> </w:t>
      </w:r>
      <w:r>
        <w:rPr>
          <w:rFonts w:hint="eastAsia" w:ascii="宋体" w:hAnsi="宋体" w:eastAsia="宋体" w:cs="宋体"/>
          <w:color w:val="auto"/>
          <w:highlight w:val="none"/>
        </w:rPr>
        <w:t>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（单位公章）</w:t>
      </w:r>
    </w:p>
    <w:p>
      <w:pPr>
        <w:pStyle w:val="2"/>
        <w:rPr>
          <w:rFonts w:hint="eastAsia" w:ascii="宋体" w:hAnsi="宋体" w:eastAsia="宋体" w:cs="宋体"/>
          <w:color w:val="auto"/>
          <w:sz w:val="26"/>
          <w:highlight w:val="none"/>
        </w:rPr>
      </w:pPr>
    </w:p>
    <w:p>
      <w:pPr>
        <w:pStyle w:val="2"/>
        <w:spacing w:before="11"/>
        <w:rPr>
          <w:rFonts w:hint="eastAsia" w:ascii="宋体" w:hAnsi="宋体" w:eastAsia="宋体" w:cs="宋体"/>
          <w:color w:val="auto"/>
          <w:sz w:val="22"/>
          <w:highlight w:val="none"/>
        </w:rPr>
      </w:pPr>
    </w:p>
    <w:p>
      <w:pPr>
        <w:pStyle w:val="2"/>
        <w:tabs>
          <w:tab w:val="left" w:pos="4677"/>
          <w:tab w:val="left" w:pos="4736"/>
        </w:tabs>
        <w:spacing w:line="362" w:lineRule="auto"/>
        <w:ind w:left="477" w:right="4120"/>
        <w:rPr>
          <w:rFonts w:hint="eastAsia" w:ascii="宋体" w:hAnsi="宋体" w:eastAsia="宋体" w:cs="宋体"/>
          <w:color w:val="auto"/>
          <w:highlight w:val="none"/>
        </w:rPr>
      </w:pPr>
      <w:r>
        <w:rPr>
          <w:rFonts w:hint="eastAsia" w:ascii="宋体" w:hAnsi="宋体" w:eastAsia="宋体" w:cs="宋体"/>
          <w:color w:val="auto"/>
          <w:highlight w:val="none"/>
        </w:rPr>
        <w:t>法定代表人（单位负责人）：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r>
        <w:rPr>
          <w:rFonts w:hint="eastAsia" w:ascii="宋体" w:hAnsi="宋体" w:eastAsia="宋体" w:cs="宋体"/>
          <w:color w:val="auto"/>
          <w:spacing w:val="-17"/>
          <w:highlight w:val="none"/>
        </w:rPr>
        <w:t xml:space="preserve">） </w:t>
      </w:r>
      <w:r>
        <w:rPr>
          <w:rFonts w:hint="eastAsia" w:ascii="宋体" w:hAnsi="宋体" w:eastAsia="宋体" w:cs="宋体"/>
          <w:color w:val="auto"/>
          <w:spacing w:val="-1"/>
          <w:highlight w:val="none"/>
        </w:rPr>
        <w:t>身</w:t>
      </w:r>
      <w:r>
        <w:rPr>
          <w:rFonts w:hint="eastAsia" w:ascii="宋体" w:hAnsi="宋体" w:eastAsia="宋体" w:cs="宋体"/>
          <w:color w:val="auto"/>
          <w:highlight w:val="none"/>
        </w:rPr>
        <w:t>份证号码：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p>
    <w:p>
      <w:pPr>
        <w:pStyle w:val="2"/>
        <w:rPr>
          <w:rFonts w:hint="eastAsia" w:ascii="宋体" w:hAnsi="宋体" w:eastAsia="宋体" w:cs="宋体"/>
          <w:color w:val="auto"/>
          <w:sz w:val="20"/>
          <w:highlight w:val="none"/>
        </w:rPr>
      </w:pPr>
    </w:p>
    <w:p>
      <w:pPr>
        <w:pStyle w:val="2"/>
        <w:spacing w:before="11"/>
        <w:rPr>
          <w:rFonts w:hint="eastAsia" w:ascii="宋体" w:hAnsi="宋体" w:eastAsia="宋体" w:cs="宋体"/>
          <w:color w:val="auto"/>
          <w:sz w:val="20"/>
          <w:highlight w:val="none"/>
        </w:rPr>
      </w:pPr>
    </w:p>
    <w:p>
      <w:pPr>
        <w:pStyle w:val="2"/>
        <w:tabs>
          <w:tab w:val="left" w:pos="4677"/>
          <w:tab w:val="left" w:pos="4736"/>
        </w:tabs>
        <w:spacing w:line="364" w:lineRule="auto"/>
        <w:ind w:left="477" w:right="4120"/>
        <w:rPr>
          <w:rFonts w:hint="eastAsia" w:ascii="宋体" w:hAnsi="宋体" w:eastAsia="宋体" w:cs="宋体"/>
          <w:color w:val="auto"/>
          <w:highlight w:val="none"/>
        </w:rPr>
      </w:pPr>
      <w:r>
        <w:rPr>
          <w:rFonts w:hint="eastAsia" w:ascii="宋体" w:hAnsi="宋体" w:eastAsia="宋体" w:cs="宋体"/>
          <w:color w:val="auto"/>
          <w:highlight w:val="none"/>
        </w:rPr>
        <w:t>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r>
        <w:rPr>
          <w:rFonts w:hint="eastAsia" w:ascii="宋体" w:hAnsi="宋体" w:eastAsia="宋体" w:cs="宋体"/>
          <w:color w:val="auto"/>
          <w:spacing w:val="-17"/>
          <w:highlight w:val="none"/>
        </w:rPr>
        <w:t xml:space="preserve">） </w:t>
      </w:r>
      <w:r>
        <w:rPr>
          <w:rFonts w:hint="eastAsia" w:ascii="宋体" w:hAnsi="宋体" w:eastAsia="宋体" w:cs="宋体"/>
          <w:color w:val="auto"/>
          <w:spacing w:val="-1"/>
          <w:highlight w:val="none"/>
        </w:rPr>
        <w:t>身</w:t>
      </w:r>
      <w:r>
        <w:rPr>
          <w:rFonts w:hint="eastAsia" w:ascii="宋体" w:hAnsi="宋体" w:eastAsia="宋体" w:cs="宋体"/>
          <w:color w:val="auto"/>
          <w:highlight w:val="none"/>
        </w:rPr>
        <w:t>份证号码：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p>
    <w:p>
      <w:pPr>
        <w:pStyle w:val="2"/>
        <w:rPr>
          <w:rFonts w:hint="eastAsia" w:ascii="宋体" w:hAnsi="宋体" w:eastAsia="宋体" w:cs="宋体"/>
          <w:color w:val="auto"/>
          <w:sz w:val="20"/>
          <w:highlight w:val="none"/>
        </w:rPr>
      </w:pPr>
    </w:p>
    <w:p>
      <w:pPr>
        <w:pStyle w:val="2"/>
        <w:spacing w:before="6"/>
        <w:rPr>
          <w:rFonts w:hint="eastAsia" w:ascii="宋体" w:hAnsi="宋体" w:eastAsia="宋体" w:cs="宋体"/>
          <w:color w:val="auto"/>
          <w:sz w:val="20"/>
          <w:highlight w:val="none"/>
        </w:rPr>
      </w:pPr>
    </w:p>
    <w:p>
      <w:pPr>
        <w:pStyle w:val="2"/>
        <w:tabs>
          <w:tab w:val="left" w:pos="2997"/>
          <w:tab w:val="left" w:pos="3717"/>
          <w:tab w:val="left" w:pos="4437"/>
        </w:tabs>
        <w:spacing w:before="1"/>
        <w:ind w:left="1917"/>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pPr>
        <w:spacing w:after="0"/>
        <w:rPr>
          <w:rFonts w:hint="eastAsia" w:ascii="宋体" w:hAnsi="宋体" w:eastAsia="宋体" w:cs="宋体"/>
          <w:color w:val="auto"/>
          <w:highlight w:val="none"/>
        </w:rPr>
        <w:sectPr>
          <w:pgSz w:w="12240" w:h="15840"/>
          <w:pgMar w:top="1360" w:right="1160" w:bottom="1160" w:left="1320" w:header="878" w:footer="975" w:gutter="0"/>
          <w:pgNumType w:fmt="decimal"/>
          <w:cols w:space="720" w:num="1"/>
        </w:sectPr>
      </w:pPr>
    </w:p>
    <w:p>
      <w:pPr>
        <w:pStyle w:val="2"/>
        <w:spacing w:before="6"/>
        <w:rPr>
          <w:rFonts w:hint="eastAsia" w:ascii="宋体" w:hAnsi="宋体" w:eastAsia="宋体" w:cs="宋体"/>
          <w:color w:val="auto"/>
          <w:sz w:val="17"/>
          <w:highlight w:val="none"/>
        </w:rPr>
      </w:pPr>
    </w:p>
    <w:p>
      <w:pPr>
        <w:pStyle w:val="7"/>
        <w:spacing w:before="83"/>
        <w:ind w:right="154"/>
        <w:outlineLvl w:val="1"/>
        <w:rPr>
          <w:rFonts w:hint="eastAsia" w:ascii="宋体" w:hAnsi="宋体" w:eastAsia="宋体" w:cs="宋体"/>
          <w:color w:val="auto"/>
          <w:highlight w:val="none"/>
        </w:rPr>
      </w:pPr>
      <w:bookmarkStart w:id="281" w:name="_bookmark58"/>
      <w:bookmarkEnd w:id="281"/>
      <w:bookmarkStart w:id="282" w:name="_Toc26852"/>
      <w:r>
        <w:rPr>
          <w:rFonts w:hint="eastAsia" w:ascii="宋体" w:hAnsi="宋体" w:eastAsia="宋体" w:cs="宋体"/>
          <w:color w:val="auto"/>
          <w:highlight w:val="none"/>
        </w:rPr>
        <w:t>三、联合体协议书(如有)</w:t>
      </w:r>
      <w:bookmarkEnd w:id="282"/>
    </w:p>
    <w:p>
      <w:pPr>
        <w:pStyle w:val="2"/>
        <w:rPr>
          <w:rFonts w:hint="eastAsia" w:ascii="宋体" w:hAnsi="宋体" w:eastAsia="宋体" w:cs="宋体"/>
          <w:b/>
          <w:color w:val="auto"/>
          <w:sz w:val="20"/>
          <w:highlight w:val="none"/>
        </w:rPr>
      </w:pPr>
    </w:p>
    <w:p>
      <w:pPr>
        <w:pStyle w:val="2"/>
        <w:rPr>
          <w:rFonts w:hint="eastAsia" w:ascii="宋体" w:hAnsi="宋体" w:eastAsia="宋体" w:cs="宋体"/>
          <w:b/>
          <w:color w:val="auto"/>
          <w:sz w:val="20"/>
          <w:highlight w:val="none"/>
        </w:rPr>
      </w:pPr>
    </w:p>
    <w:p>
      <w:pPr>
        <w:pStyle w:val="2"/>
        <w:spacing w:before="5"/>
        <w:rPr>
          <w:rFonts w:hint="eastAsia" w:ascii="宋体" w:hAnsi="宋体" w:eastAsia="宋体" w:cs="宋体"/>
          <w:b/>
          <w:color w:val="auto"/>
          <w:highlight w:val="none"/>
        </w:rPr>
      </w:pPr>
    </w:p>
    <w:p>
      <w:pPr>
        <w:pStyle w:val="2"/>
        <w:tabs>
          <w:tab w:val="left" w:pos="3028"/>
          <w:tab w:val="left" w:pos="7281"/>
        </w:tabs>
        <w:spacing w:before="74" w:line="364" w:lineRule="auto"/>
        <w:ind w:left="477" w:right="623" w:firstLine="479"/>
        <w:jc w:val="both"/>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（所有成员单位名称）自愿组成</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（联合体名称</w:t>
      </w:r>
      <w:r>
        <w:rPr>
          <w:rFonts w:hint="eastAsia" w:ascii="宋体" w:hAnsi="宋体" w:eastAsia="宋体" w:cs="宋体"/>
          <w:color w:val="auto"/>
          <w:spacing w:val="-80"/>
          <w:highlight w:val="none"/>
        </w:rPr>
        <w:t>）</w:t>
      </w:r>
      <w:r>
        <w:rPr>
          <w:rFonts w:hint="eastAsia" w:ascii="宋体" w:hAnsi="宋体" w:eastAsia="宋体" w:cs="宋体"/>
          <w:color w:val="auto"/>
          <w:highlight w:val="none"/>
        </w:rPr>
        <w:t>联合体，共同参加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spacing w:val="-12"/>
          <w:highlight w:val="none"/>
          <w:u w:val="single"/>
        </w:rPr>
        <w:t>（</w:t>
      </w:r>
      <w:r>
        <w:rPr>
          <w:rFonts w:hint="eastAsia" w:ascii="宋体" w:hAnsi="宋体" w:eastAsia="宋体" w:cs="宋体"/>
          <w:color w:val="auto"/>
          <w:spacing w:val="-12"/>
          <w:highlight w:val="none"/>
        </w:rPr>
        <w:t>项目名称</w:t>
      </w:r>
      <w:r>
        <w:rPr>
          <w:rFonts w:hint="eastAsia" w:ascii="宋体" w:hAnsi="宋体" w:eastAsia="宋体" w:cs="宋体"/>
          <w:color w:val="auto"/>
          <w:spacing w:val="-44"/>
          <w:highlight w:val="none"/>
        </w:rPr>
        <w:t>）</w:t>
      </w:r>
      <w:r>
        <w:rPr>
          <w:rFonts w:hint="eastAsia" w:ascii="宋体" w:hAnsi="宋体" w:eastAsia="宋体" w:cs="宋体"/>
          <w:color w:val="auto"/>
          <w:spacing w:val="-12"/>
          <w:highlight w:val="none"/>
        </w:rPr>
        <w:t>设备采购招标项目投标</w:t>
      </w:r>
      <w:r>
        <w:rPr>
          <w:rFonts w:hint="eastAsia" w:ascii="宋体" w:hAnsi="宋体" w:eastAsia="宋体" w:cs="宋体"/>
          <w:color w:val="auto"/>
          <w:spacing w:val="-44"/>
          <w:highlight w:val="none"/>
        </w:rPr>
        <w:t>。</w:t>
      </w:r>
      <w:r>
        <w:rPr>
          <w:rFonts w:hint="eastAsia" w:ascii="宋体" w:hAnsi="宋体" w:eastAsia="宋体" w:cs="宋体"/>
          <w:color w:val="auto"/>
          <w:spacing w:val="-12"/>
          <w:highlight w:val="none"/>
        </w:rPr>
        <w:t>现就联合体投标事宜</w:t>
      </w:r>
      <w:r>
        <w:rPr>
          <w:rFonts w:hint="eastAsia" w:ascii="宋体" w:hAnsi="宋体" w:eastAsia="宋体" w:cs="宋体"/>
          <w:color w:val="auto"/>
          <w:spacing w:val="-15"/>
          <w:highlight w:val="none"/>
        </w:rPr>
        <w:t>订</w:t>
      </w:r>
      <w:r>
        <w:rPr>
          <w:rFonts w:hint="eastAsia" w:ascii="宋体" w:hAnsi="宋体" w:eastAsia="宋体" w:cs="宋体"/>
          <w:color w:val="auto"/>
          <w:spacing w:val="-12"/>
          <w:highlight w:val="none"/>
        </w:rPr>
        <w:t>立如下协议</w:t>
      </w:r>
      <w:r>
        <w:rPr>
          <w:rFonts w:hint="eastAsia" w:ascii="宋体" w:hAnsi="宋体" w:eastAsia="宋体" w:cs="宋体"/>
          <w:color w:val="auto"/>
          <w:highlight w:val="none"/>
        </w:rPr>
        <w:t>。</w:t>
      </w:r>
    </w:p>
    <w:p>
      <w:pPr>
        <w:pStyle w:val="29"/>
        <w:numPr>
          <w:ilvl w:val="0"/>
          <w:numId w:val="48"/>
        </w:numPr>
        <w:tabs>
          <w:tab w:val="left" w:pos="1317"/>
          <w:tab w:val="left" w:pos="3028"/>
          <w:tab w:val="left" w:pos="7281"/>
        </w:tabs>
        <w:spacing w:before="0" w:after="0" w:line="364" w:lineRule="auto"/>
        <w:ind w:left="477" w:right="635" w:firstLine="48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rPr>
        <w:t>（某成员单位名称）为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rPr>
        <w:t>（联合体名称</w:t>
      </w:r>
      <w:r>
        <w:rPr>
          <w:rFonts w:hint="eastAsia" w:ascii="宋体" w:hAnsi="宋体" w:eastAsia="宋体" w:cs="宋体"/>
          <w:color w:val="auto"/>
          <w:spacing w:val="-80"/>
          <w:sz w:val="24"/>
          <w:highlight w:val="none"/>
        </w:rPr>
        <w:t>）</w:t>
      </w:r>
      <w:r>
        <w:rPr>
          <w:rFonts w:hint="eastAsia" w:ascii="宋体" w:hAnsi="宋体" w:eastAsia="宋体" w:cs="宋体"/>
          <w:color w:val="auto"/>
          <w:spacing w:val="-16"/>
          <w:sz w:val="24"/>
          <w:highlight w:val="none"/>
        </w:rPr>
        <w:t>牵</w:t>
      </w:r>
      <w:r>
        <w:rPr>
          <w:rFonts w:hint="eastAsia" w:ascii="宋体" w:hAnsi="宋体" w:eastAsia="宋体" w:cs="宋体"/>
          <w:color w:val="auto"/>
          <w:sz w:val="24"/>
          <w:highlight w:val="none"/>
        </w:rPr>
        <w:t>头人。</w:t>
      </w:r>
    </w:p>
    <w:p>
      <w:pPr>
        <w:pStyle w:val="29"/>
        <w:numPr>
          <w:ilvl w:val="0"/>
          <w:numId w:val="48"/>
        </w:numPr>
        <w:tabs>
          <w:tab w:val="left" w:pos="1318"/>
        </w:tabs>
        <w:spacing w:before="0" w:after="0" w:line="364" w:lineRule="auto"/>
        <w:ind w:left="477" w:right="635" w:firstLine="480"/>
        <w:jc w:val="both"/>
        <w:rPr>
          <w:rFonts w:hint="eastAsia" w:ascii="宋体" w:hAnsi="宋体" w:eastAsia="宋体" w:cs="宋体"/>
          <w:color w:val="auto"/>
          <w:sz w:val="24"/>
          <w:highlight w:val="none"/>
        </w:rPr>
      </w:pPr>
      <w:r>
        <w:rPr>
          <w:rFonts w:hint="eastAsia" w:ascii="宋体" w:hAnsi="宋体" w:eastAsia="宋体" w:cs="宋体"/>
          <w:color w:val="auto"/>
          <w:spacing w:val="-6"/>
          <w:sz w:val="24"/>
          <w:highlight w:val="none"/>
        </w:rPr>
        <w:t>联合体各成员授权牵头人代表联合体参加投标活动，签署文件，提交和接收</w:t>
      </w:r>
      <w:r>
        <w:rPr>
          <w:rFonts w:hint="eastAsia" w:ascii="宋体" w:hAnsi="宋体" w:eastAsia="宋体" w:cs="宋体"/>
          <w:color w:val="auto"/>
          <w:spacing w:val="-1"/>
          <w:sz w:val="24"/>
          <w:highlight w:val="none"/>
        </w:rPr>
        <w:t>相关的资料、信息及指示，进行合同谈判活动，负责合同实施阶段的组织和协调工</w:t>
      </w:r>
      <w:r>
        <w:rPr>
          <w:rFonts w:hint="eastAsia" w:ascii="宋体" w:hAnsi="宋体" w:eastAsia="宋体" w:cs="宋体"/>
          <w:color w:val="auto"/>
          <w:sz w:val="24"/>
          <w:highlight w:val="none"/>
        </w:rPr>
        <w:t>作，以及处理与本招标项目有关的一切事宜。</w:t>
      </w:r>
    </w:p>
    <w:p>
      <w:pPr>
        <w:pStyle w:val="29"/>
        <w:numPr>
          <w:ilvl w:val="0"/>
          <w:numId w:val="48"/>
        </w:numPr>
        <w:tabs>
          <w:tab w:val="left" w:pos="1318"/>
        </w:tabs>
        <w:spacing w:before="0" w:after="0" w:line="364" w:lineRule="auto"/>
        <w:ind w:left="477" w:right="635" w:firstLine="480"/>
        <w:jc w:val="both"/>
        <w:rPr>
          <w:rFonts w:hint="eastAsia" w:ascii="宋体" w:hAnsi="宋体" w:eastAsia="宋体" w:cs="宋体"/>
          <w:color w:val="auto"/>
          <w:sz w:val="24"/>
          <w:highlight w:val="none"/>
        </w:rPr>
      </w:pPr>
      <w:r>
        <w:rPr>
          <w:rFonts w:hint="eastAsia" w:ascii="宋体" w:hAnsi="宋体" w:eastAsia="宋体" w:cs="宋体"/>
          <w:color w:val="auto"/>
          <w:spacing w:val="-6"/>
          <w:sz w:val="24"/>
          <w:highlight w:val="none"/>
        </w:rPr>
        <w:t>联合体牵头人在本项目中签署的一切文件和处理的一切事宜，联合体各成员</w:t>
      </w:r>
      <w:r>
        <w:rPr>
          <w:rFonts w:hint="eastAsia" w:ascii="宋体" w:hAnsi="宋体" w:eastAsia="宋体" w:cs="宋体"/>
          <w:color w:val="auto"/>
          <w:spacing w:val="-1"/>
          <w:sz w:val="24"/>
          <w:highlight w:val="none"/>
        </w:rPr>
        <w:t>均予以承认。联合体各成员将严格按照招标文件、投标文件和合同的要求全面履行</w:t>
      </w:r>
      <w:r>
        <w:rPr>
          <w:rFonts w:hint="eastAsia" w:ascii="宋体" w:hAnsi="宋体" w:eastAsia="宋体" w:cs="宋体"/>
          <w:color w:val="auto"/>
          <w:sz w:val="24"/>
          <w:highlight w:val="none"/>
        </w:rPr>
        <w:t>义务，并向招标人承担连带责任。</w:t>
      </w:r>
    </w:p>
    <w:p>
      <w:pPr>
        <w:pStyle w:val="29"/>
        <w:numPr>
          <w:ilvl w:val="0"/>
          <w:numId w:val="48"/>
        </w:numPr>
        <w:tabs>
          <w:tab w:val="left" w:pos="1337"/>
          <w:tab w:val="left" w:pos="7847"/>
        </w:tabs>
        <w:spacing w:before="0" w:after="0" w:line="305" w:lineRule="exact"/>
        <w:ind w:left="1336" w:right="0" w:hanging="380"/>
        <w:jc w:val="both"/>
        <w:rPr>
          <w:rFonts w:hint="eastAsia" w:ascii="宋体" w:hAnsi="宋体" w:eastAsia="宋体" w:cs="宋体"/>
          <w:color w:val="auto"/>
          <w:sz w:val="24"/>
          <w:highlight w:val="none"/>
        </w:rPr>
      </w:pPr>
      <w:r>
        <w:rPr>
          <w:rFonts w:hint="eastAsia" w:ascii="宋体" w:hAnsi="宋体" w:eastAsia="宋体" w:cs="宋体"/>
          <w:color w:val="auto"/>
          <w:spacing w:val="-8"/>
          <w:sz w:val="24"/>
          <w:highlight w:val="none"/>
        </w:rPr>
        <w:t>联</w:t>
      </w:r>
      <w:r>
        <w:rPr>
          <w:rFonts w:hint="eastAsia" w:ascii="宋体" w:hAnsi="宋体" w:eastAsia="宋体" w:cs="宋体"/>
          <w:color w:val="auto"/>
          <w:spacing w:val="-5"/>
          <w:sz w:val="24"/>
          <w:highlight w:val="none"/>
        </w:rPr>
        <w:t>合</w:t>
      </w:r>
      <w:r>
        <w:rPr>
          <w:rFonts w:hint="eastAsia" w:ascii="宋体" w:hAnsi="宋体" w:eastAsia="宋体" w:cs="宋体"/>
          <w:color w:val="auto"/>
          <w:spacing w:val="-8"/>
          <w:sz w:val="24"/>
          <w:highlight w:val="none"/>
        </w:rPr>
        <w:t>体</w:t>
      </w:r>
      <w:r>
        <w:rPr>
          <w:rFonts w:hint="eastAsia" w:ascii="宋体" w:hAnsi="宋体" w:eastAsia="宋体" w:cs="宋体"/>
          <w:color w:val="auto"/>
          <w:spacing w:val="-5"/>
          <w:sz w:val="24"/>
          <w:highlight w:val="none"/>
        </w:rPr>
        <w:t>各</w:t>
      </w:r>
      <w:r>
        <w:rPr>
          <w:rFonts w:hint="eastAsia" w:ascii="宋体" w:hAnsi="宋体" w:eastAsia="宋体" w:cs="宋体"/>
          <w:color w:val="auto"/>
          <w:spacing w:val="-8"/>
          <w:sz w:val="24"/>
          <w:highlight w:val="none"/>
        </w:rPr>
        <w:t>成</w:t>
      </w:r>
      <w:r>
        <w:rPr>
          <w:rFonts w:hint="eastAsia" w:ascii="宋体" w:hAnsi="宋体" w:eastAsia="宋体" w:cs="宋体"/>
          <w:color w:val="auto"/>
          <w:spacing w:val="-5"/>
          <w:sz w:val="24"/>
          <w:highlight w:val="none"/>
        </w:rPr>
        <w:t>员</w:t>
      </w:r>
      <w:r>
        <w:rPr>
          <w:rFonts w:hint="eastAsia" w:ascii="宋体" w:hAnsi="宋体" w:eastAsia="宋体" w:cs="宋体"/>
          <w:color w:val="auto"/>
          <w:spacing w:val="-8"/>
          <w:sz w:val="24"/>
          <w:highlight w:val="none"/>
        </w:rPr>
        <w:t>单</w:t>
      </w:r>
      <w:r>
        <w:rPr>
          <w:rFonts w:hint="eastAsia" w:ascii="宋体" w:hAnsi="宋体" w:eastAsia="宋体" w:cs="宋体"/>
          <w:color w:val="auto"/>
          <w:spacing w:val="-5"/>
          <w:sz w:val="24"/>
          <w:highlight w:val="none"/>
        </w:rPr>
        <w:t>位</w:t>
      </w:r>
      <w:r>
        <w:rPr>
          <w:rFonts w:hint="eastAsia" w:ascii="宋体" w:hAnsi="宋体" w:eastAsia="宋体" w:cs="宋体"/>
          <w:color w:val="auto"/>
          <w:spacing w:val="-8"/>
          <w:sz w:val="24"/>
          <w:highlight w:val="none"/>
        </w:rPr>
        <w:t>内</w:t>
      </w:r>
      <w:r>
        <w:rPr>
          <w:rFonts w:hint="eastAsia" w:ascii="宋体" w:hAnsi="宋体" w:eastAsia="宋体" w:cs="宋体"/>
          <w:color w:val="auto"/>
          <w:spacing w:val="-5"/>
          <w:sz w:val="24"/>
          <w:highlight w:val="none"/>
        </w:rPr>
        <w:t>部</w:t>
      </w:r>
      <w:r>
        <w:rPr>
          <w:rFonts w:hint="eastAsia" w:ascii="宋体" w:hAnsi="宋体" w:eastAsia="宋体" w:cs="宋体"/>
          <w:color w:val="auto"/>
          <w:spacing w:val="-8"/>
          <w:sz w:val="24"/>
          <w:highlight w:val="none"/>
        </w:rPr>
        <w:t>的</w:t>
      </w:r>
      <w:r>
        <w:rPr>
          <w:rFonts w:hint="eastAsia" w:ascii="宋体" w:hAnsi="宋体" w:eastAsia="宋体" w:cs="宋体"/>
          <w:color w:val="auto"/>
          <w:spacing w:val="-5"/>
          <w:sz w:val="24"/>
          <w:highlight w:val="none"/>
        </w:rPr>
        <w:t>职</w:t>
      </w:r>
      <w:r>
        <w:rPr>
          <w:rFonts w:hint="eastAsia" w:ascii="宋体" w:hAnsi="宋体" w:eastAsia="宋体" w:cs="宋体"/>
          <w:color w:val="auto"/>
          <w:spacing w:val="-8"/>
          <w:sz w:val="24"/>
          <w:highlight w:val="none"/>
        </w:rPr>
        <w:t>责</w:t>
      </w:r>
      <w:r>
        <w:rPr>
          <w:rFonts w:hint="eastAsia" w:ascii="宋体" w:hAnsi="宋体" w:eastAsia="宋体" w:cs="宋体"/>
          <w:color w:val="auto"/>
          <w:spacing w:val="-5"/>
          <w:sz w:val="24"/>
          <w:highlight w:val="none"/>
        </w:rPr>
        <w:t>分</w:t>
      </w:r>
      <w:r>
        <w:rPr>
          <w:rFonts w:hint="eastAsia" w:ascii="宋体" w:hAnsi="宋体" w:eastAsia="宋体" w:cs="宋体"/>
          <w:color w:val="auto"/>
          <w:spacing w:val="-8"/>
          <w:sz w:val="24"/>
          <w:highlight w:val="none"/>
        </w:rPr>
        <w:t>工</w:t>
      </w:r>
      <w:r>
        <w:rPr>
          <w:rFonts w:hint="eastAsia" w:ascii="宋体" w:hAnsi="宋体" w:eastAsia="宋体" w:cs="宋体"/>
          <w:color w:val="auto"/>
          <w:spacing w:val="-5"/>
          <w:sz w:val="24"/>
          <w:highlight w:val="none"/>
        </w:rPr>
        <w:t>如</w:t>
      </w:r>
      <w:r>
        <w:rPr>
          <w:rFonts w:hint="eastAsia" w:ascii="宋体" w:hAnsi="宋体" w:eastAsia="宋体" w:cs="宋体"/>
          <w:color w:val="auto"/>
          <w:spacing w:val="-8"/>
          <w:sz w:val="24"/>
          <w:highlight w:val="none"/>
        </w:rPr>
        <w:t>下</w:t>
      </w:r>
      <w:r>
        <w:rPr>
          <w:rFonts w:hint="eastAsia" w:ascii="宋体" w:hAnsi="宋体" w:eastAsia="宋体" w:cs="宋体"/>
          <w:color w:val="auto"/>
          <w:spacing w:val="-6"/>
          <w:sz w:val="24"/>
          <w:highlight w:val="none"/>
        </w:rPr>
        <w:t>：</w:t>
      </w:r>
      <w:r>
        <w:rPr>
          <w:rFonts w:hint="eastAsia" w:ascii="宋体" w:hAnsi="宋体" w:eastAsia="宋体" w:cs="宋体"/>
          <w:color w:val="auto"/>
          <w:spacing w:val="-6"/>
          <w:sz w:val="24"/>
          <w:highlight w:val="none"/>
          <w:u w:val="single"/>
        </w:rPr>
        <w:t xml:space="preserve"> </w:t>
      </w:r>
      <w:r>
        <w:rPr>
          <w:rFonts w:hint="eastAsia" w:ascii="宋体" w:hAnsi="宋体" w:eastAsia="宋体" w:cs="宋体"/>
          <w:color w:val="auto"/>
          <w:spacing w:val="-6"/>
          <w:sz w:val="24"/>
          <w:highlight w:val="none"/>
          <w:u w:val="single"/>
        </w:rPr>
        <w:tab/>
      </w:r>
      <w:r>
        <w:rPr>
          <w:rFonts w:hint="eastAsia" w:ascii="宋体" w:hAnsi="宋体" w:eastAsia="宋体" w:cs="宋体"/>
          <w:color w:val="auto"/>
          <w:sz w:val="24"/>
          <w:highlight w:val="none"/>
        </w:rPr>
        <w:t>。</w:t>
      </w:r>
    </w:p>
    <w:p>
      <w:pPr>
        <w:pStyle w:val="29"/>
        <w:numPr>
          <w:ilvl w:val="0"/>
          <w:numId w:val="48"/>
        </w:numPr>
        <w:tabs>
          <w:tab w:val="left" w:pos="1318"/>
        </w:tabs>
        <w:spacing w:before="158" w:after="0" w:line="364" w:lineRule="auto"/>
        <w:ind w:left="477" w:right="635" w:firstLine="480"/>
        <w:jc w:val="both"/>
        <w:rPr>
          <w:rFonts w:hint="eastAsia" w:ascii="宋体" w:hAnsi="宋体" w:eastAsia="宋体" w:cs="宋体"/>
          <w:color w:val="auto"/>
          <w:sz w:val="24"/>
          <w:highlight w:val="none"/>
        </w:rPr>
      </w:pPr>
      <w:r>
        <w:rPr>
          <w:rFonts w:hint="eastAsia" w:ascii="宋体" w:hAnsi="宋体" w:eastAsia="宋体" w:cs="宋体"/>
          <w:color w:val="auto"/>
          <w:spacing w:val="-4"/>
          <w:sz w:val="24"/>
          <w:highlight w:val="none"/>
        </w:rPr>
        <w:t>本协议书自所有成员单位法定代表人</w:t>
      </w:r>
      <w:r>
        <w:rPr>
          <w:rFonts w:hint="eastAsia" w:ascii="宋体" w:hAnsi="宋体" w:eastAsia="宋体" w:cs="宋体"/>
          <w:color w:val="auto"/>
          <w:sz w:val="24"/>
          <w:highlight w:val="none"/>
        </w:rPr>
        <w:t>（单位负责人</w:t>
      </w:r>
      <w:r>
        <w:rPr>
          <w:rFonts w:hint="eastAsia" w:ascii="宋体" w:hAnsi="宋体" w:eastAsia="宋体" w:cs="宋体"/>
          <w:color w:val="auto"/>
          <w:spacing w:val="-58"/>
          <w:sz w:val="24"/>
          <w:highlight w:val="none"/>
        </w:rPr>
        <w:t>）</w:t>
      </w:r>
      <w:r>
        <w:rPr>
          <w:rFonts w:hint="eastAsia" w:ascii="宋体" w:hAnsi="宋体" w:eastAsia="宋体" w:cs="宋体"/>
          <w:color w:val="auto"/>
          <w:spacing w:val="-2"/>
          <w:sz w:val="24"/>
          <w:highlight w:val="none"/>
        </w:rPr>
        <w:t>或其委托代理人签字或</w:t>
      </w:r>
      <w:r>
        <w:rPr>
          <w:rFonts w:hint="eastAsia" w:ascii="宋体" w:hAnsi="宋体" w:eastAsia="宋体" w:cs="宋体"/>
          <w:color w:val="auto"/>
          <w:sz w:val="24"/>
          <w:highlight w:val="none"/>
        </w:rPr>
        <w:t>盖单位章之日起生效，合同履行完毕后自动失效。</w:t>
      </w:r>
    </w:p>
    <w:p>
      <w:pPr>
        <w:pStyle w:val="29"/>
        <w:numPr>
          <w:ilvl w:val="0"/>
          <w:numId w:val="48"/>
        </w:numPr>
        <w:tabs>
          <w:tab w:val="left" w:pos="1419"/>
        </w:tabs>
        <w:spacing w:before="0" w:after="0" w:line="306" w:lineRule="exact"/>
        <w:ind w:left="1418" w:right="0" w:hanging="462"/>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本协议书一式</w:t>
      </w:r>
      <w:r>
        <w:rPr>
          <w:rFonts w:hint="eastAsia" w:ascii="宋体" w:hAnsi="宋体" w:eastAsia="宋体" w:cs="宋体"/>
          <w:color w:val="auto"/>
          <w:spacing w:val="3"/>
          <w:sz w:val="24"/>
          <w:highlight w:val="none"/>
        </w:rPr>
        <w:t xml:space="preserve"> 份，联合体成员和招标人各执一份。</w:t>
      </w:r>
    </w:p>
    <w:p>
      <w:pPr>
        <w:pStyle w:val="2"/>
        <w:rPr>
          <w:rFonts w:hint="eastAsia" w:ascii="宋体" w:hAnsi="宋体" w:eastAsia="宋体" w:cs="宋体"/>
          <w:color w:val="auto"/>
          <w:sz w:val="26"/>
          <w:highlight w:val="none"/>
        </w:rPr>
      </w:pPr>
    </w:p>
    <w:p>
      <w:pPr>
        <w:pStyle w:val="2"/>
        <w:spacing w:before="11"/>
        <w:rPr>
          <w:rFonts w:hint="eastAsia" w:ascii="宋体" w:hAnsi="宋体" w:eastAsia="宋体" w:cs="宋体"/>
          <w:color w:val="auto"/>
          <w:sz w:val="22"/>
          <w:highlight w:val="none"/>
        </w:rPr>
      </w:pPr>
    </w:p>
    <w:p>
      <w:pPr>
        <w:pStyle w:val="2"/>
        <w:spacing w:line="364" w:lineRule="auto"/>
        <w:ind w:left="477" w:right="702" w:firstLine="417"/>
        <w:rPr>
          <w:rFonts w:hint="eastAsia" w:ascii="宋体" w:hAnsi="宋体" w:eastAsia="宋体" w:cs="宋体"/>
          <w:color w:val="auto"/>
          <w:highlight w:val="none"/>
        </w:rPr>
      </w:pPr>
      <w:r>
        <w:rPr>
          <w:rFonts w:hint="eastAsia" w:ascii="宋体" w:hAnsi="宋体" w:eastAsia="宋体" w:cs="宋体"/>
          <w:color w:val="auto"/>
          <w:highlight w:val="none"/>
        </w:rPr>
        <w:t>注：本协议书由法定代表人（单位负责人）签字的，应附法定代表人（单位负责人）身份证明；由委托代理人签字的，应附授权委托书。</w:t>
      </w: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tabs>
          <w:tab w:val="left" w:pos="7718"/>
          <w:tab w:val="left" w:pos="8131"/>
        </w:tabs>
        <w:spacing w:before="162" w:line="487" w:lineRule="auto"/>
        <w:ind w:left="2462" w:right="599"/>
        <w:jc w:val="both"/>
        <w:rPr>
          <w:rFonts w:hint="eastAsia" w:ascii="宋体" w:hAnsi="宋体" w:eastAsia="宋体" w:cs="宋体"/>
          <w:color w:val="auto"/>
          <w:highlight w:val="none"/>
        </w:rPr>
      </w:pPr>
      <w:r>
        <w:rPr>
          <w:rFonts w:hint="eastAsia" w:ascii="宋体" w:hAnsi="宋体" w:eastAsia="宋体" w:cs="宋体"/>
          <w:color w:val="auto"/>
          <w:highlight w:val="none"/>
        </w:rPr>
        <w:t>联合体牵头人名称：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r>
        <w:rPr>
          <w:rFonts w:hint="eastAsia" w:ascii="宋体" w:hAnsi="宋体" w:eastAsia="宋体" w:cs="宋体"/>
          <w:color w:val="auto"/>
          <w:spacing w:val="-17"/>
          <w:highlight w:val="none"/>
        </w:rPr>
        <w:t xml:space="preserve">） </w:t>
      </w:r>
      <w:r>
        <w:rPr>
          <w:rFonts w:hint="eastAsia" w:ascii="宋体" w:hAnsi="宋体" w:eastAsia="宋体" w:cs="宋体"/>
          <w:color w:val="auto"/>
          <w:highlight w:val="none"/>
        </w:rPr>
        <w:t>法定代表人（单位负责人）或其委托代理人：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 联合体成员名称：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r>
        <w:rPr>
          <w:rFonts w:hint="eastAsia" w:ascii="宋体" w:hAnsi="宋体" w:eastAsia="宋体" w:cs="宋体"/>
          <w:color w:val="auto"/>
          <w:spacing w:val="-17"/>
          <w:highlight w:val="none"/>
        </w:rPr>
        <w:t xml:space="preserve">） </w:t>
      </w:r>
      <w:r>
        <w:rPr>
          <w:rFonts w:hint="eastAsia" w:ascii="宋体" w:hAnsi="宋体" w:eastAsia="宋体" w:cs="宋体"/>
          <w:color w:val="auto"/>
          <w:highlight w:val="none"/>
        </w:rPr>
        <w:t>法定代表人（单位负责人）或其委托代理人：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p>
    <w:p>
      <w:pPr>
        <w:spacing w:after="0" w:line="487" w:lineRule="auto"/>
        <w:jc w:val="both"/>
        <w:rPr>
          <w:rFonts w:hint="eastAsia" w:ascii="宋体" w:hAnsi="宋体" w:eastAsia="宋体" w:cs="宋体"/>
          <w:color w:val="auto"/>
          <w:highlight w:val="none"/>
        </w:rPr>
        <w:sectPr>
          <w:pgSz w:w="12240" w:h="15840"/>
          <w:pgMar w:top="1360" w:right="1160" w:bottom="1160" w:left="1320" w:header="878" w:footer="975" w:gutter="0"/>
          <w:pgNumType w:fmt="decimal"/>
          <w:cols w:space="720" w:num="1"/>
        </w:sectPr>
      </w:pPr>
    </w:p>
    <w:p>
      <w:pPr>
        <w:pStyle w:val="2"/>
        <w:spacing w:before="9"/>
        <w:rPr>
          <w:rFonts w:hint="eastAsia" w:ascii="宋体" w:hAnsi="宋体" w:eastAsia="宋体" w:cs="宋体"/>
          <w:color w:val="auto"/>
          <w:sz w:val="23"/>
          <w:highlight w:val="none"/>
        </w:rPr>
      </w:pPr>
    </w:p>
    <w:p>
      <w:pPr>
        <w:pStyle w:val="2"/>
        <w:tabs>
          <w:tab w:val="left" w:pos="7718"/>
          <w:tab w:val="left" w:pos="8131"/>
        </w:tabs>
        <w:spacing w:before="74" w:line="484" w:lineRule="auto"/>
        <w:ind w:left="2462" w:right="599"/>
        <w:rPr>
          <w:rFonts w:hint="eastAsia" w:ascii="宋体" w:hAnsi="宋体" w:eastAsia="宋体" w:cs="宋体"/>
          <w:color w:val="auto"/>
          <w:spacing w:val="-17"/>
          <w:highlight w:val="none"/>
        </w:rPr>
      </w:pPr>
      <w:bookmarkStart w:id="283" w:name="四、投标保证金"/>
      <w:bookmarkEnd w:id="283"/>
      <w:r>
        <w:rPr>
          <w:rFonts w:hint="eastAsia" w:ascii="宋体" w:hAnsi="宋体" w:eastAsia="宋体" w:cs="宋体"/>
          <w:color w:val="auto"/>
          <w:highlight w:val="none"/>
        </w:rPr>
        <w:t>联合体成员名称：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（盖单位章</w:t>
      </w:r>
      <w:r>
        <w:rPr>
          <w:rFonts w:hint="eastAsia" w:ascii="宋体" w:hAnsi="宋体" w:eastAsia="宋体" w:cs="宋体"/>
          <w:color w:val="auto"/>
          <w:spacing w:val="-17"/>
          <w:highlight w:val="none"/>
        </w:rPr>
        <w:t>）</w:t>
      </w:r>
    </w:p>
    <w:p>
      <w:pPr>
        <w:pStyle w:val="2"/>
        <w:tabs>
          <w:tab w:val="left" w:pos="7718"/>
          <w:tab w:val="left" w:pos="8131"/>
        </w:tabs>
        <w:spacing w:before="74" w:line="484" w:lineRule="auto"/>
        <w:ind w:left="2462" w:right="599"/>
        <w:rPr>
          <w:rFonts w:hint="eastAsia" w:ascii="宋体" w:hAnsi="宋体" w:eastAsia="宋体" w:cs="宋体"/>
          <w:color w:val="auto"/>
          <w:highlight w:val="none"/>
        </w:rPr>
      </w:pPr>
      <w:r>
        <w:rPr>
          <w:rFonts w:hint="eastAsia" w:ascii="宋体" w:hAnsi="宋体" w:eastAsia="宋体" w:cs="宋体"/>
          <w:color w:val="auto"/>
          <w:spacing w:val="-17"/>
          <w:highlight w:val="none"/>
        </w:rPr>
        <w:t xml:space="preserve"> </w:t>
      </w:r>
      <w:r>
        <w:rPr>
          <w:rFonts w:hint="eastAsia" w:ascii="宋体" w:hAnsi="宋体" w:eastAsia="宋体" w:cs="宋体"/>
          <w:color w:val="auto"/>
          <w:highlight w:val="none"/>
        </w:rPr>
        <w:t>法定代表人（单位负责人）或其委托代理人：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p>
    <w:p>
      <w:pPr>
        <w:spacing w:before="0" w:line="314" w:lineRule="exact"/>
        <w:ind w:left="2975" w:right="0" w:firstLine="0"/>
        <w:jc w:val="left"/>
        <w:rPr>
          <w:rFonts w:hint="eastAsia" w:ascii="宋体" w:hAnsi="宋体" w:eastAsia="宋体" w:cs="宋体"/>
          <w:i/>
          <w:color w:val="auto"/>
          <w:sz w:val="25"/>
          <w:highlight w:val="none"/>
        </w:rPr>
      </w:pPr>
      <w:r>
        <w:rPr>
          <w:rFonts w:hint="eastAsia" w:ascii="宋体" w:hAnsi="宋体" w:eastAsia="宋体" w:cs="宋体"/>
          <w:i/>
          <w:color w:val="auto"/>
          <w:w w:val="110"/>
          <w:sz w:val="25"/>
          <w:highlight w:val="none"/>
        </w:rPr>
        <w:t>……</w:t>
      </w:r>
    </w:p>
    <w:p>
      <w:pPr>
        <w:pStyle w:val="2"/>
        <w:spacing w:before="1"/>
        <w:rPr>
          <w:rFonts w:hint="eastAsia" w:ascii="宋体" w:hAnsi="宋体" w:eastAsia="宋体" w:cs="宋体"/>
          <w:i/>
          <w:color w:val="auto"/>
          <w:sz w:val="19"/>
          <w:highlight w:val="none"/>
        </w:rPr>
      </w:pPr>
    </w:p>
    <w:p>
      <w:pPr>
        <w:pStyle w:val="2"/>
        <w:tabs>
          <w:tab w:val="left" w:pos="5015"/>
          <w:tab w:val="left" w:pos="5961"/>
          <w:tab w:val="left" w:pos="6904"/>
        </w:tabs>
        <w:spacing w:before="67"/>
        <w:ind w:left="4276"/>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spacing w:val="-8"/>
          <w:highlight w:val="none"/>
        </w:rPr>
        <w:t>月</w:t>
      </w:r>
      <w:r>
        <w:rPr>
          <w:rFonts w:hint="eastAsia" w:ascii="宋体" w:hAnsi="宋体" w:eastAsia="宋体" w:cs="宋体"/>
          <w:color w:val="auto"/>
          <w:spacing w:val="-8"/>
          <w:highlight w:val="none"/>
          <w:u w:val="single"/>
        </w:rPr>
        <w:t xml:space="preserve"> </w:t>
      </w:r>
      <w:r>
        <w:rPr>
          <w:rFonts w:hint="eastAsia" w:ascii="宋体" w:hAnsi="宋体" w:eastAsia="宋体" w:cs="宋体"/>
          <w:color w:val="auto"/>
          <w:spacing w:val="-8"/>
          <w:highlight w:val="none"/>
          <w:u w:val="single"/>
        </w:rPr>
        <w:tab/>
      </w:r>
      <w:r>
        <w:rPr>
          <w:rFonts w:hint="eastAsia" w:ascii="宋体" w:hAnsi="宋体" w:eastAsia="宋体" w:cs="宋体"/>
          <w:color w:val="auto"/>
          <w:highlight w:val="none"/>
        </w:rPr>
        <w:t>日</w:t>
      </w:r>
    </w:p>
    <w:p>
      <w:pPr>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br w:type="page"/>
      </w:r>
    </w:p>
    <w:p>
      <w:pPr>
        <w:pStyle w:val="7"/>
        <w:outlineLvl w:val="1"/>
        <w:rPr>
          <w:rFonts w:hint="eastAsia" w:ascii="宋体" w:hAnsi="宋体" w:eastAsia="宋体" w:cs="宋体"/>
          <w:color w:val="auto"/>
          <w:highlight w:val="none"/>
        </w:rPr>
      </w:pPr>
      <w:bookmarkStart w:id="284" w:name="_Toc6006"/>
      <w:r>
        <w:rPr>
          <w:rFonts w:hint="eastAsia" w:ascii="宋体" w:hAnsi="宋体" w:eastAsia="宋体" w:cs="宋体"/>
          <w:color w:val="auto"/>
          <w:highlight w:val="none"/>
        </w:rPr>
        <w:t>四、投标保证金</w:t>
      </w:r>
      <w:bookmarkEnd w:id="284"/>
    </w:p>
    <w:p>
      <w:pPr>
        <w:pStyle w:val="2"/>
        <w:rPr>
          <w:rFonts w:hint="eastAsia" w:ascii="宋体" w:hAnsi="宋体" w:eastAsia="宋体" w:cs="宋体"/>
          <w:b/>
          <w:color w:val="auto"/>
          <w:sz w:val="32"/>
          <w:highlight w:val="none"/>
        </w:rPr>
      </w:pPr>
    </w:p>
    <w:p>
      <w:pPr>
        <w:pStyle w:val="2"/>
        <w:spacing w:before="9"/>
        <w:rPr>
          <w:rFonts w:hint="eastAsia" w:ascii="宋体" w:hAnsi="宋体" w:eastAsia="宋体" w:cs="宋体"/>
          <w:b/>
          <w:color w:val="auto"/>
          <w:sz w:val="32"/>
          <w:highlight w:val="none"/>
        </w:rPr>
      </w:pPr>
    </w:p>
    <w:p>
      <w:pPr>
        <w:pStyle w:val="2"/>
        <w:spacing w:line="364" w:lineRule="auto"/>
        <w:ind w:left="477" w:right="702" w:firstLine="417"/>
        <w:rPr>
          <w:rFonts w:hint="eastAsia" w:ascii="宋体" w:hAnsi="宋体" w:eastAsia="宋体" w:cs="宋体"/>
          <w:color w:val="auto"/>
          <w:highlight w:val="none"/>
        </w:rPr>
      </w:pPr>
      <w:r>
        <w:rPr>
          <w:rFonts w:hint="eastAsia" w:ascii="宋体" w:hAnsi="宋体" w:eastAsia="宋体" w:cs="宋体"/>
          <w:color w:val="auto"/>
          <w:highlight w:val="none"/>
        </w:rPr>
        <w:t>若采用现金或支票，投标人应在此提供汇款凭复印件。如采用银行保函，格式如下。</w:t>
      </w:r>
    </w:p>
    <w:p>
      <w:pPr>
        <w:pStyle w:val="2"/>
        <w:rPr>
          <w:rFonts w:hint="eastAsia" w:ascii="宋体" w:hAnsi="宋体" w:eastAsia="宋体" w:cs="宋体"/>
          <w:color w:val="auto"/>
          <w:sz w:val="20"/>
          <w:highlight w:val="none"/>
        </w:rPr>
      </w:pPr>
    </w:p>
    <w:p>
      <w:pPr>
        <w:pStyle w:val="2"/>
        <w:spacing w:line="364" w:lineRule="auto"/>
        <w:ind w:left="477" w:right="702" w:firstLine="417"/>
        <w:rPr>
          <w:rFonts w:hint="eastAsia" w:ascii="宋体" w:hAnsi="宋体" w:eastAsia="宋体" w:cs="宋体"/>
          <w:color w:val="auto"/>
          <w:highlight w:val="none"/>
        </w:rPr>
      </w:pPr>
    </w:p>
    <w:p>
      <w:pPr>
        <w:pStyle w:val="2"/>
        <w:spacing w:line="364" w:lineRule="auto"/>
        <w:ind w:right="702"/>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（招标人名称）：</w:t>
      </w:r>
    </w:p>
    <w:p>
      <w:pPr>
        <w:pStyle w:val="2"/>
        <w:spacing w:line="364" w:lineRule="auto"/>
        <w:ind w:left="477" w:right="702" w:firstLine="417"/>
        <w:rPr>
          <w:rFonts w:hint="eastAsia" w:ascii="宋体" w:hAnsi="宋体" w:eastAsia="宋体" w:cs="宋体"/>
          <w:color w:val="auto"/>
          <w:highlight w:val="none"/>
        </w:rPr>
      </w:pPr>
    </w:p>
    <w:p>
      <w:pPr>
        <w:pStyle w:val="2"/>
        <w:spacing w:line="364" w:lineRule="auto"/>
        <w:ind w:left="477" w:right="702" w:firstLine="417"/>
        <w:rPr>
          <w:rFonts w:hint="eastAsia" w:ascii="宋体" w:hAnsi="宋体" w:eastAsia="宋体" w:cs="宋体"/>
          <w:color w:val="auto"/>
          <w:highlight w:val="none"/>
        </w:rPr>
      </w:pPr>
    </w:p>
    <w:p>
      <w:pPr>
        <w:pStyle w:val="2"/>
        <w:spacing w:line="364" w:lineRule="auto"/>
        <w:ind w:left="477" w:right="702" w:firstLine="417"/>
        <w:rPr>
          <w:rFonts w:hint="eastAsia" w:ascii="宋体" w:hAnsi="宋体" w:eastAsia="宋体" w:cs="宋体"/>
          <w:color w:val="auto"/>
          <w:highlight w:val="none"/>
        </w:rPr>
      </w:pPr>
      <w:r>
        <w:rPr>
          <w:rFonts w:hint="eastAsia" w:ascii="宋体" w:hAnsi="宋体" w:eastAsia="宋体" w:cs="宋体"/>
          <w:color w:val="auto"/>
          <w:highlight w:val="none"/>
        </w:rPr>
        <w:t>鉴于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none"/>
        </w:rPr>
        <w:t>（投标人名称）（以下称“投标人”）</w:t>
      </w:r>
      <w:r>
        <w:rPr>
          <w:rFonts w:hint="eastAsia" w:ascii="宋体" w:hAnsi="宋体" w:eastAsia="宋体" w:cs="宋体"/>
          <w:color w:val="auto"/>
          <w:highlight w:val="none"/>
        </w:rPr>
        <w:t>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日参加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（项目名称）设备采购招标的投标，</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担保人名称，以下简称“我方”）无条件地、不可撤销地保证：若投标人在投标有效期内撤销投标文件，中标后无正当理由不与招标人订立合同，在签订合同时向招标人提出附加条件，不按照招标文件要求提交履约保证金，或者发生招标文件明确规定可以不予退还投标保证金的其他情形，我方承担保证责任。收到你方书面通知后，我方在 7 日内向你方无条件支付人民币（大写）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w:t>
      </w:r>
    </w:p>
    <w:p>
      <w:pPr>
        <w:pStyle w:val="2"/>
        <w:spacing w:line="364" w:lineRule="auto"/>
        <w:ind w:left="477" w:right="702" w:firstLine="417"/>
        <w:rPr>
          <w:rFonts w:hint="eastAsia" w:ascii="宋体" w:hAnsi="宋体" w:eastAsia="宋体" w:cs="宋体"/>
          <w:color w:val="auto"/>
          <w:highlight w:val="none"/>
        </w:rPr>
      </w:pPr>
      <w:r>
        <w:rPr>
          <w:rFonts w:hint="eastAsia" w:ascii="宋体" w:hAnsi="宋体" w:eastAsia="宋体" w:cs="宋体"/>
          <w:color w:val="auto"/>
          <w:highlight w:val="none"/>
        </w:rPr>
        <w:t>本保函在投标有效期内保持有效。要求我方承担保证责任的通知应在投标有效期内送达我方。</w:t>
      </w:r>
    </w:p>
    <w:p>
      <w:pPr>
        <w:pStyle w:val="2"/>
        <w:spacing w:line="364" w:lineRule="auto"/>
        <w:ind w:left="477" w:right="702" w:firstLine="417"/>
        <w:rPr>
          <w:rFonts w:hint="eastAsia" w:ascii="宋体" w:hAnsi="宋体" w:eastAsia="宋体" w:cs="宋体"/>
          <w:color w:val="auto"/>
          <w:highlight w:val="none"/>
        </w:rPr>
      </w:pPr>
    </w:p>
    <w:p>
      <w:pPr>
        <w:pStyle w:val="2"/>
        <w:spacing w:line="364" w:lineRule="auto"/>
        <w:ind w:left="477" w:right="702" w:firstLine="417"/>
        <w:rPr>
          <w:rFonts w:hint="eastAsia" w:ascii="宋体" w:hAnsi="宋体" w:eastAsia="宋体" w:cs="宋体"/>
          <w:color w:val="auto"/>
          <w:highlight w:val="none"/>
        </w:rPr>
      </w:pPr>
      <w:r>
        <w:rPr>
          <w:rFonts w:hint="eastAsia" w:ascii="宋体" w:hAnsi="宋体" w:eastAsia="宋体" w:cs="宋体"/>
          <w:color w:val="auto"/>
          <w:highlight w:val="none"/>
        </w:rPr>
        <w:t>担保人名称：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p>
    <w:p>
      <w:pPr>
        <w:pStyle w:val="2"/>
        <w:spacing w:line="364" w:lineRule="auto"/>
        <w:ind w:left="477" w:right="702" w:firstLine="417"/>
        <w:rPr>
          <w:rFonts w:hint="eastAsia" w:ascii="宋体" w:hAnsi="宋体" w:eastAsia="宋体" w:cs="宋体"/>
          <w:color w:val="auto"/>
          <w:highlight w:val="none"/>
        </w:rPr>
      </w:pPr>
    </w:p>
    <w:p>
      <w:pPr>
        <w:pStyle w:val="2"/>
        <w:spacing w:line="364" w:lineRule="auto"/>
        <w:ind w:left="477" w:right="702" w:firstLine="417"/>
        <w:rPr>
          <w:rFonts w:hint="eastAsia" w:ascii="宋体" w:hAnsi="宋体" w:eastAsia="宋体" w:cs="宋体"/>
          <w:color w:val="auto"/>
          <w:highlight w:val="none"/>
        </w:rPr>
      </w:pPr>
      <w:r>
        <w:rPr>
          <w:rFonts w:hint="eastAsia" w:ascii="宋体" w:hAnsi="宋体" w:eastAsia="宋体" w:cs="宋体"/>
          <w:color w:val="auto"/>
          <w:highlight w:val="none"/>
        </w:rPr>
        <w:t>法定代表人（单位负责人）或委托代理人：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 xml:space="preserve">（签字） </w:t>
      </w:r>
    </w:p>
    <w:p>
      <w:pPr>
        <w:pStyle w:val="2"/>
        <w:spacing w:line="364" w:lineRule="auto"/>
        <w:ind w:left="477" w:right="702" w:firstLine="417"/>
        <w:rPr>
          <w:rFonts w:hint="eastAsia" w:ascii="宋体" w:hAnsi="宋体" w:eastAsia="宋体" w:cs="宋体"/>
          <w:color w:val="auto"/>
          <w:highlight w:val="none"/>
        </w:rPr>
      </w:pPr>
      <w:r>
        <w:rPr>
          <w:rFonts w:hint="eastAsia" w:ascii="宋体" w:hAnsi="宋体" w:eastAsia="宋体" w:cs="宋体"/>
          <w:color w:val="auto"/>
          <w:highlight w:val="none"/>
        </w:rPr>
        <w:t>地</w:t>
      </w:r>
      <w:r>
        <w:rPr>
          <w:rFonts w:hint="eastAsia" w:ascii="宋体" w:hAnsi="宋体" w:eastAsia="宋体" w:cs="宋体"/>
          <w:color w:val="auto"/>
          <w:highlight w:val="none"/>
        </w:rPr>
        <w:tab/>
      </w:r>
      <w:r>
        <w:rPr>
          <w:rFonts w:hint="eastAsia" w:ascii="宋体" w:hAnsi="宋体" w:eastAsia="宋体" w:cs="宋体"/>
          <w:color w:val="auto"/>
          <w:highlight w:val="none"/>
        </w:rPr>
        <w:t xml:space="preserve">址： </w:t>
      </w:r>
      <w:r>
        <w:rPr>
          <w:rFonts w:hint="eastAsia" w:ascii="宋体" w:hAnsi="宋体" w:eastAsia="宋体" w:cs="宋体"/>
          <w:color w:val="auto"/>
          <w:highlight w:val="none"/>
        </w:rPr>
        <w:tab/>
      </w:r>
    </w:p>
    <w:p>
      <w:pPr>
        <w:pStyle w:val="2"/>
        <w:spacing w:line="364" w:lineRule="auto"/>
        <w:ind w:left="477" w:right="702" w:firstLine="417"/>
        <w:rPr>
          <w:rFonts w:hint="eastAsia" w:ascii="宋体" w:hAnsi="宋体" w:eastAsia="宋体" w:cs="宋体"/>
          <w:color w:val="auto"/>
          <w:highlight w:val="none"/>
        </w:rPr>
      </w:pPr>
      <w:r>
        <w:rPr>
          <w:rFonts w:hint="eastAsia" w:ascii="宋体" w:hAnsi="宋体" w:eastAsia="宋体" w:cs="宋体"/>
          <w:color w:val="auto"/>
          <w:highlight w:val="none"/>
        </w:rPr>
        <w:t xml:space="preserve">邮政编码： </w:t>
      </w:r>
      <w:r>
        <w:rPr>
          <w:rFonts w:hint="eastAsia" w:ascii="宋体" w:hAnsi="宋体" w:eastAsia="宋体" w:cs="宋体"/>
          <w:color w:val="auto"/>
          <w:highlight w:val="none"/>
        </w:rPr>
        <w:tab/>
      </w:r>
      <w:r>
        <w:rPr>
          <w:rFonts w:hint="eastAsia" w:ascii="宋体" w:hAnsi="宋体" w:eastAsia="宋体" w:cs="宋体"/>
          <w:color w:val="auto"/>
          <w:highlight w:val="none"/>
        </w:rPr>
        <w:t xml:space="preserve"> </w:t>
      </w:r>
    </w:p>
    <w:p>
      <w:pPr>
        <w:pStyle w:val="2"/>
        <w:spacing w:line="364" w:lineRule="auto"/>
        <w:ind w:left="477" w:right="702" w:firstLine="417"/>
        <w:rPr>
          <w:rFonts w:hint="eastAsia" w:ascii="宋体" w:hAnsi="宋体" w:eastAsia="宋体" w:cs="宋体"/>
          <w:color w:val="auto"/>
          <w:highlight w:val="none"/>
        </w:rPr>
      </w:pPr>
      <w:r>
        <w:rPr>
          <w:rFonts w:hint="eastAsia" w:ascii="宋体" w:hAnsi="宋体" w:eastAsia="宋体" w:cs="宋体"/>
          <w:color w:val="auto"/>
          <w:highlight w:val="none"/>
        </w:rPr>
        <w:t>电</w:t>
      </w:r>
      <w:r>
        <w:rPr>
          <w:rFonts w:hint="eastAsia" w:ascii="宋体" w:hAnsi="宋体" w:eastAsia="宋体" w:cs="宋体"/>
          <w:color w:val="auto"/>
          <w:highlight w:val="none"/>
        </w:rPr>
        <w:tab/>
      </w:r>
      <w:r>
        <w:rPr>
          <w:rFonts w:hint="eastAsia" w:ascii="宋体" w:hAnsi="宋体" w:eastAsia="宋体" w:cs="宋体"/>
          <w:color w:val="auto"/>
          <w:highlight w:val="none"/>
        </w:rPr>
        <w:t xml:space="preserve">话： </w:t>
      </w:r>
      <w:r>
        <w:rPr>
          <w:rFonts w:hint="eastAsia" w:ascii="宋体" w:hAnsi="宋体" w:eastAsia="宋体" w:cs="宋体"/>
          <w:color w:val="auto"/>
          <w:highlight w:val="none"/>
        </w:rPr>
        <w:tab/>
      </w:r>
    </w:p>
    <w:p>
      <w:pPr>
        <w:pStyle w:val="2"/>
        <w:spacing w:line="364" w:lineRule="auto"/>
        <w:ind w:left="477" w:right="702" w:firstLine="417"/>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highlight w:val="none"/>
        </w:rPr>
        <w:tab/>
      </w:r>
      <w:r>
        <w:rPr>
          <w:rFonts w:hint="eastAsia" w:ascii="宋体" w:hAnsi="宋体" w:eastAsia="宋体" w:cs="宋体"/>
          <w:color w:val="auto"/>
          <w:highlight w:val="none"/>
        </w:rPr>
        <w:t xml:space="preserve">年 </w:t>
      </w:r>
      <w:r>
        <w:rPr>
          <w:rFonts w:hint="eastAsia" w:ascii="宋体" w:hAnsi="宋体" w:eastAsia="宋体" w:cs="宋体"/>
          <w:color w:val="auto"/>
          <w:highlight w:val="none"/>
        </w:rPr>
        <w:tab/>
      </w:r>
      <w:r>
        <w:rPr>
          <w:rFonts w:hint="eastAsia" w:ascii="宋体" w:hAnsi="宋体" w:eastAsia="宋体" w:cs="宋体"/>
          <w:color w:val="auto"/>
          <w:highlight w:val="none"/>
        </w:rPr>
        <w:t xml:space="preserve">月 </w:t>
      </w:r>
      <w:r>
        <w:rPr>
          <w:rFonts w:hint="eastAsia" w:ascii="宋体" w:hAnsi="宋体" w:eastAsia="宋体" w:cs="宋体"/>
          <w:color w:val="auto"/>
          <w:highlight w:val="none"/>
        </w:rPr>
        <w:tab/>
      </w:r>
      <w:r>
        <w:rPr>
          <w:rFonts w:hint="eastAsia" w:ascii="宋体" w:hAnsi="宋体" w:eastAsia="宋体" w:cs="宋体"/>
          <w:color w:val="auto"/>
          <w:highlight w:val="none"/>
        </w:rPr>
        <w:t>日</w:t>
      </w:r>
    </w:p>
    <w:p>
      <w:pPr>
        <w:pStyle w:val="3"/>
        <w:rPr>
          <w:rFonts w:hint="eastAsia" w:ascii="宋体" w:hAnsi="宋体" w:eastAsia="宋体" w:cs="宋体"/>
          <w:color w:val="auto"/>
          <w:highlight w:val="none"/>
        </w:rPr>
      </w:pPr>
    </w:p>
    <w:p>
      <w:pPr>
        <w:pStyle w:val="7"/>
        <w:outlineLvl w:val="1"/>
        <w:rPr>
          <w:rFonts w:hint="eastAsia" w:ascii="宋体" w:hAnsi="宋体" w:eastAsia="宋体" w:cs="宋体"/>
          <w:color w:val="auto"/>
          <w:highlight w:val="none"/>
        </w:rPr>
      </w:pPr>
      <w:bookmarkStart w:id="285" w:name="_Toc7712"/>
      <w:r>
        <w:rPr>
          <w:rFonts w:hint="eastAsia" w:ascii="宋体" w:hAnsi="宋体" w:eastAsia="宋体" w:cs="宋体"/>
          <w:color w:val="auto"/>
          <w:highlight w:val="none"/>
        </w:rPr>
        <w:t>五、商务和技术偏差表</w:t>
      </w:r>
      <w:bookmarkEnd w:id="285"/>
    </w:p>
    <w:tbl>
      <w:tblPr>
        <w:tblStyle w:val="20"/>
        <w:tblpPr w:leftFromText="180" w:rightFromText="180" w:vertAnchor="text" w:horzAnchor="page" w:tblpX="1518" w:tblpY="57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6"/>
        <w:gridCol w:w="2693"/>
        <w:gridCol w:w="2979"/>
        <w:gridCol w:w="2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4" w:hRule="atLeast"/>
        </w:trPr>
        <w:tc>
          <w:tcPr>
            <w:tcW w:w="926" w:type="dxa"/>
          </w:tcPr>
          <w:p>
            <w:pPr>
              <w:pStyle w:val="28"/>
              <w:spacing w:before="86"/>
              <w:ind w:left="199" w:right="189"/>
              <w:jc w:val="center"/>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序号</w:t>
            </w:r>
          </w:p>
        </w:tc>
        <w:tc>
          <w:tcPr>
            <w:tcW w:w="2693" w:type="dxa"/>
          </w:tcPr>
          <w:p>
            <w:pPr>
              <w:pStyle w:val="28"/>
              <w:spacing w:before="86"/>
              <w:ind w:left="294"/>
              <w:rPr>
                <w:rFonts w:hint="eastAsia" w:ascii="宋体" w:hAnsi="宋体" w:eastAsia="宋体" w:cs="宋体"/>
                <w:b/>
                <w:color w:val="auto"/>
                <w:sz w:val="21"/>
                <w:highlight w:val="none"/>
              </w:rPr>
            </w:pPr>
            <w:r>
              <w:rPr>
                <w:rFonts w:hint="eastAsia" w:ascii="宋体" w:hAnsi="宋体" w:eastAsia="宋体" w:cs="宋体"/>
                <w:b/>
                <w:color w:val="auto"/>
                <w:sz w:val="21"/>
                <w:highlight w:val="none"/>
              </w:rPr>
              <w:t>招标文件章节及条款号</w:t>
            </w:r>
          </w:p>
        </w:tc>
        <w:tc>
          <w:tcPr>
            <w:tcW w:w="2979" w:type="dxa"/>
          </w:tcPr>
          <w:p>
            <w:pPr>
              <w:pStyle w:val="28"/>
              <w:spacing w:before="86"/>
              <w:ind w:left="438"/>
              <w:rPr>
                <w:rFonts w:hint="eastAsia" w:ascii="宋体" w:hAnsi="宋体" w:eastAsia="宋体" w:cs="宋体"/>
                <w:b/>
                <w:color w:val="auto"/>
                <w:sz w:val="21"/>
                <w:highlight w:val="none"/>
              </w:rPr>
            </w:pPr>
            <w:r>
              <w:rPr>
                <w:rFonts w:hint="eastAsia" w:ascii="宋体" w:hAnsi="宋体" w:eastAsia="宋体" w:cs="宋体"/>
                <w:b/>
                <w:color w:val="auto"/>
                <w:sz w:val="21"/>
                <w:highlight w:val="none"/>
              </w:rPr>
              <w:t>投标文件章节及条款号</w:t>
            </w:r>
          </w:p>
        </w:tc>
        <w:tc>
          <w:tcPr>
            <w:tcW w:w="2134" w:type="dxa"/>
          </w:tcPr>
          <w:p>
            <w:pPr>
              <w:pStyle w:val="28"/>
              <w:spacing w:before="86"/>
              <w:ind w:left="646"/>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偏差说明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926" w:type="dxa"/>
          </w:tcPr>
          <w:p>
            <w:pPr>
              <w:pStyle w:val="28"/>
              <w:spacing w:before="88"/>
              <w:ind w:left="7"/>
              <w:jc w:val="center"/>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1</w:t>
            </w:r>
          </w:p>
        </w:tc>
        <w:tc>
          <w:tcPr>
            <w:tcW w:w="2693" w:type="dxa"/>
          </w:tcPr>
          <w:p>
            <w:pPr>
              <w:pStyle w:val="28"/>
              <w:rPr>
                <w:rFonts w:hint="eastAsia" w:ascii="宋体" w:hAnsi="宋体" w:eastAsia="宋体" w:cs="宋体"/>
                <w:color w:val="auto"/>
                <w:sz w:val="20"/>
                <w:highlight w:val="none"/>
              </w:rPr>
            </w:pPr>
          </w:p>
        </w:tc>
        <w:tc>
          <w:tcPr>
            <w:tcW w:w="2979" w:type="dxa"/>
          </w:tcPr>
          <w:p>
            <w:pPr>
              <w:pStyle w:val="28"/>
              <w:rPr>
                <w:rFonts w:hint="eastAsia" w:ascii="宋体" w:hAnsi="宋体" w:eastAsia="宋体" w:cs="宋体"/>
                <w:color w:val="auto"/>
                <w:sz w:val="20"/>
                <w:highlight w:val="none"/>
              </w:rPr>
            </w:pPr>
          </w:p>
        </w:tc>
        <w:tc>
          <w:tcPr>
            <w:tcW w:w="2134"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926" w:type="dxa"/>
          </w:tcPr>
          <w:p>
            <w:pPr>
              <w:pStyle w:val="28"/>
              <w:spacing w:before="86"/>
              <w:ind w:left="7"/>
              <w:jc w:val="center"/>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2</w:t>
            </w:r>
          </w:p>
        </w:tc>
        <w:tc>
          <w:tcPr>
            <w:tcW w:w="2693" w:type="dxa"/>
          </w:tcPr>
          <w:p>
            <w:pPr>
              <w:pStyle w:val="28"/>
              <w:rPr>
                <w:rFonts w:hint="eastAsia" w:ascii="宋体" w:hAnsi="宋体" w:eastAsia="宋体" w:cs="宋体"/>
                <w:color w:val="auto"/>
                <w:sz w:val="20"/>
                <w:highlight w:val="none"/>
              </w:rPr>
            </w:pPr>
          </w:p>
        </w:tc>
        <w:tc>
          <w:tcPr>
            <w:tcW w:w="2979" w:type="dxa"/>
          </w:tcPr>
          <w:p>
            <w:pPr>
              <w:pStyle w:val="28"/>
              <w:rPr>
                <w:rFonts w:hint="eastAsia" w:ascii="宋体" w:hAnsi="宋体" w:eastAsia="宋体" w:cs="宋体"/>
                <w:color w:val="auto"/>
                <w:sz w:val="20"/>
                <w:highlight w:val="none"/>
              </w:rPr>
            </w:pPr>
          </w:p>
        </w:tc>
        <w:tc>
          <w:tcPr>
            <w:tcW w:w="2134"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3" w:hRule="atLeast"/>
        </w:trPr>
        <w:tc>
          <w:tcPr>
            <w:tcW w:w="926" w:type="dxa"/>
          </w:tcPr>
          <w:p>
            <w:pPr>
              <w:pStyle w:val="28"/>
              <w:spacing w:before="85"/>
              <w:ind w:left="7"/>
              <w:jc w:val="center"/>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3</w:t>
            </w:r>
          </w:p>
        </w:tc>
        <w:tc>
          <w:tcPr>
            <w:tcW w:w="2693" w:type="dxa"/>
          </w:tcPr>
          <w:p>
            <w:pPr>
              <w:pStyle w:val="28"/>
              <w:rPr>
                <w:rFonts w:hint="eastAsia" w:ascii="宋体" w:hAnsi="宋体" w:eastAsia="宋体" w:cs="宋体"/>
                <w:color w:val="auto"/>
                <w:sz w:val="20"/>
                <w:highlight w:val="none"/>
              </w:rPr>
            </w:pPr>
          </w:p>
        </w:tc>
        <w:tc>
          <w:tcPr>
            <w:tcW w:w="2979" w:type="dxa"/>
          </w:tcPr>
          <w:p>
            <w:pPr>
              <w:pStyle w:val="28"/>
              <w:rPr>
                <w:rFonts w:hint="eastAsia" w:ascii="宋体" w:hAnsi="宋体" w:eastAsia="宋体" w:cs="宋体"/>
                <w:color w:val="auto"/>
                <w:sz w:val="20"/>
                <w:highlight w:val="none"/>
              </w:rPr>
            </w:pPr>
          </w:p>
        </w:tc>
        <w:tc>
          <w:tcPr>
            <w:tcW w:w="2134"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926" w:type="dxa"/>
          </w:tcPr>
          <w:p>
            <w:pPr>
              <w:pStyle w:val="28"/>
              <w:spacing w:before="85"/>
              <w:ind w:left="7"/>
              <w:jc w:val="center"/>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4</w:t>
            </w:r>
          </w:p>
        </w:tc>
        <w:tc>
          <w:tcPr>
            <w:tcW w:w="2693" w:type="dxa"/>
          </w:tcPr>
          <w:p>
            <w:pPr>
              <w:pStyle w:val="28"/>
              <w:rPr>
                <w:rFonts w:hint="eastAsia" w:ascii="宋体" w:hAnsi="宋体" w:eastAsia="宋体" w:cs="宋体"/>
                <w:color w:val="auto"/>
                <w:sz w:val="20"/>
                <w:highlight w:val="none"/>
              </w:rPr>
            </w:pPr>
          </w:p>
        </w:tc>
        <w:tc>
          <w:tcPr>
            <w:tcW w:w="2979" w:type="dxa"/>
          </w:tcPr>
          <w:p>
            <w:pPr>
              <w:pStyle w:val="28"/>
              <w:rPr>
                <w:rFonts w:hint="eastAsia" w:ascii="宋体" w:hAnsi="宋体" w:eastAsia="宋体" w:cs="宋体"/>
                <w:color w:val="auto"/>
                <w:sz w:val="20"/>
                <w:highlight w:val="none"/>
              </w:rPr>
            </w:pPr>
          </w:p>
        </w:tc>
        <w:tc>
          <w:tcPr>
            <w:tcW w:w="2134"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926" w:type="dxa"/>
          </w:tcPr>
          <w:p>
            <w:pPr>
              <w:pStyle w:val="28"/>
              <w:spacing w:before="87"/>
              <w:ind w:left="7"/>
              <w:jc w:val="center"/>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5</w:t>
            </w:r>
          </w:p>
        </w:tc>
        <w:tc>
          <w:tcPr>
            <w:tcW w:w="2693" w:type="dxa"/>
          </w:tcPr>
          <w:p>
            <w:pPr>
              <w:pStyle w:val="28"/>
              <w:rPr>
                <w:rFonts w:hint="eastAsia" w:ascii="宋体" w:hAnsi="宋体" w:eastAsia="宋体" w:cs="宋体"/>
                <w:color w:val="auto"/>
                <w:sz w:val="20"/>
                <w:highlight w:val="none"/>
              </w:rPr>
            </w:pPr>
          </w:p>
        </w:tc>
        <w:tc>
          <w:tcPr>
            <w:tcW w:w="2979" w:type="dxa"/>
          </w:tcPr>
          <w:p>
            <w:pPr>
              <w:pStyle w:val="28"/>
              <w:rPr>
                <w:rFonts w:hint="eastAsia" w:ascii="宋体" w:hAnsi="宋体" w:eastAsia="宋体" w:cs="宋体"/>
                <w:color w:val="auto"/>
                <w:sz w:val="20"/>
                <w:highlight w:val="none"/>
              </w:rPr>
            </w:pPr>
          </w:p>
        </w:tc>
        <w:tc>
          <w:tcPr>
            <w:tcW w:w="2134"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926" w:type="dxa"/>
          </w:tcPr>
          <w:p>
            <w:pPr>
              <w:pStyle w:val="28"/>
              <w:spacing w:before="86"/>
              <w:ind w:left="199" w:right="193"/>
              <w:jc w:val="center"/>
              <w:rPr>
                <w:rFonts w:hint="eastAsia" w:ascii="宋体" w:hAnsi="宋体" w:eastAsia="宋体" w:cs="宋体"/>
                <w:color w:val="auto"/>
                <w:sz w:val="21"/>
                <w:highlight w:val="none"/>
              </w:rPr>
            </w:pPr>
            <w:r>
              <w:rPr>
                <w:rFonts w:hint="eastAsia" w:ascii="宋体" w:hAnsi="宋体" w:eastAsia="宋体" w:cs="宋体"/>
                <w:color w:val="auto"/>
                <w:w w:val="115"/>
                <w:sz w:val="21"/>
                <w:highlight w:val="none"/>
              </w:rPr>
              <w:t>……</w:t>
            </w:r>
          </w:p>
        </w:tc>
        <w:tc>
          <w:tcPr>
            <w:tcW w:w="2693" w:type="dxa"/>
          </w:tcPr>
          <w:p>
            <w:pPr>
              <w:pStyle w:val="28"/>
              <w:rPr>
                <w:rFonts w:hint="eastAsia" w:ascii="宋体" w:hAnsi="宋体" w:eastAsia="宋体" w:cs="宋体"/>
                <w:color w:val="auto"/>
                <w:sz w:val="20"/>
                <w:highlight w:val="none"/>
              </w:rPr>
            </w:pPr>
          </w:p>
        </w:tc>
        <w:tc>
          <w:tcPr>
            <w:tcW w:w="2979" w:type="dxa"/>
          </w:tcPr>
          <w:p>
            <w:pPr>
              <w:pStyle w:val="28"/>
              <w:rPr>
                <w:rFonts w:hint="eastAsia" w:ascii="宋体" w:hAnsi="宋体" w:eastAsia="宋体" w:cs="宋体"/>
                <w:color w:val="auto"/>
                <w:sz w:val="20"/>
                <w:highlight w:val="none"/>
              </w:rPr>
            </w:pPr>
          </w:p>
        </w:tc>
        <w:tc>
          <w:tcPr>
            <w:tcW w:w="2134" w:type="dxa"/>
          </w:tcPr>
          <w:p>
            <w:pPr>
              <w:pStyle w:val="28"/>
              <w:rPr>
                <w:rFonts w:hint="eastAsia" w:ascii="宋体" w:hAnsi="宋体" w:eastAsia="宋体" w:cs="宋体"/>
                <w:color w:val="auto"/>
                <w:sz w:val="20"/>
                <w:highlight w:val="none"/>
              </w:rPr>
            </w:pPr>
          </w:p>
        </w:tc>
      </w:tr>
    </w:tbl>
    <w:p>
      <w:pPr>
        <w:pStyle w:val="2"/>
        <w:spacing w:before="3"/>
        <w:rPr>
          <w:rFonts w:hint="eastAsia" w:ascii="宋体" w:hAnsi="宋体" w:eastAsia="宋体" w:cs="宋体"/>
          <w:b/>
          <w:color w:val="auto"/>
          <w:sz w:val="28"/>
          <w:highlight w:val="none"/>
        </w:rPr>
      </w:pPr>
    </w:p>
    <w:p>
      <w:pPr>
        <w:pStyle w:val="2"/>
        <w:spacing w:before="6"/>
        <w:rPr>
          <w:rFonts w:hint="eastAsia" w:ascii="宋体" w:hAnsi="宋体" w:eastAsia="宋体" w:cs="宋体"/>
          <w:b/>
          <w:color w:val="auto"/>
          <w:sz w:val="9"/>
          <w:highlight w:val="none"/>
        </w:rPr>
      </w:pPr>
    </w:p>
    <w:p>
      <w:pPr>
        <w:spacing w:before="71"/>
        <w:ind w:left="876" w:right="0" w:firstLine="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投标人保证：除商务和技术偏差表列出的偏差外，投标人响应招标文件的全部要求。</w:t>
      </w:r>
    </w:p>
    <w:p>
      <w:pPr>
        <w:pStyle w:val="2"/>
        <w:rPr>
          <w:rFonts w:hint="eastAsia" w:ascii="宋体" w:hAnsi="宋体" w:eastAsia="宋体" w:cs="宋体"/>
          <w:color w:val="auto"/>
          <w:sz w:val="20"/>
          <w:highlight w:val="none"/>
        </w:rPr>
      </w:pPr>
    </w:p>
    <w:p>
      <w:pPr>
        <w:pStyle w:val="2"/>
        <w:rPr>
          <w:rFonts w:hint="eastAsia" w:ascii="宋体" w:hAnsi="宋体" w:eastAsia="宋体" w:cs="宋体"/>
          <w:color w:val="auto"/>
          <w:sz w:val="20"/>
          <w:highlight w:val="none"/>
        </w:rPr>
      </w:pPr>
    </w:p>
    <w:p>
      <w:pPr>
        <w:pStyle w:val="2"/>
        <w:rPr>
          <w:rFonts w:hint="eastAsia" w:ascii="宋体" w:hAnsi="宋体" w:eastAsia="宋体" w:cs="宋体"/>
          <w:color w:val="auto"/>
          <w:sz w:val="20"/>
          <w:highlight w:val="none"/>
        </w:rPr>
      </w:pPr>
    </w:p>
    <w:p>
      <w:pPr>
        <w:pStyle w:val="2"/>
        <w:spacing w:before="11"/>
        <w:rPr>
          <w:rFonts w:hint="eastAsia" w:ascii="宋体" w:hAnsi="宋体" w:eastAsia="宋体" w:cs="宋体"/>
          <w:color w:val="auto"/>
          <w:sz w:val="29"/>
          <w:highlight w:val="none"/>
        </w:rPr>
      </w:pPr>
    </w:p>
    <w:p>
      <w:pPr>
        <w:pStyle w:val="2"/>
        <w:tabs>
          <w:tab w:val="left" w:pos="7451"/>
          <w:tab w:val="left" w:pos="7936"/>
        </w:tabs>
        <w:spacing w:line="484" w:lineRule="auto"/>
        <w:ind w:left="3736" w:right="861"/>
        <w:rPr>
          <w:rFonts w:hint="eastAsia" w:ascii="宋体" w:hAnsi="宋体" w:eastAsia="宋体" w:cs="宋体"/>
          <w:color w:val="auto"/>
          <w:spacing w:val="-12"/>
          <w:highlight w:val="none"/>
        </w:rPr>
      </w:pPr>
      <w:r>
        <w:rPr>
          <w:rFonts w:hint="eastAsia" w:ascii="宋体" w:hAnsi="宋体" w:eastAsia="宋体" w:cs="宋体"/>
          <w:color w:val="auto"/>
          <w:highlight w:val="none"/>
        </w:rPr>
        <w:t>投 标</w:t>
      </w:r>
      <w:r>
        <w:rPr>
          <w:rFonts w:hint="eastAsia" w:ascii="宋体" w:hAnsi="宋体" w:eastAsia="宋体" w:cs="宋体"/>
          <w:color w:val="auto"/>
          <w:spacing w:val="-5"/>
          <w:highlight w:val="none"/>
        </w:rPr>
        <w:t xml:space="preserve"> </w:t>
      </w:r>
      <w:r>
        <w:rPr>
          <w:rFonts w:hint="eastAsia" w:ascii="宋体" w:hAnsi="宋体" w:eastAsia="宋体" w:cs="宋体"/>
          <w:color w:val="auto"/>
          <w:highlight w:val="none"/>
        </w:rPr>
        <w:t>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r>
        <w:rPr>
          <w:rFonts w:hint="eastAsia" w:ascii="宋体" w:hAnsi="宋体" w:eastAsia="宋体" w:cs="宋体"/>
          <w:color w:val="auto"/>
          <w:spacing w:val="-12"/>
          <w:highlight w:val="none"/>
        </w:rPr>
        <w:t xml:space="preserve">） </w:t>
      </w:r>
    </w:p>
    <w:p>
      <w:pPr>
        <w:pStyle w:val="2"/>
        <w:tabs>
          <w:tab w:val="left" w:pos="7451"/>
          <w:tab w:val="left" w:pos="7936"/>
        </w:tabs>
        <w:spacing w:line="484" w:lineRule="auto"/>
        <w:ind w:left="3736" w:right="861"/>
        <w:jc w:val="right"/>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r>
        <w:rPr>
          <w:rFonts w:hint="eastAsia" w:ascii="宋体" w:hAnsi="宋体" w:eastAsia="宋体" w:cs="宋体"/>
          <w:color w:val="auto"/>
          <w:spacing w:val="-17"/>
          <w:highlight w:val="none"/>
        </w:rPr>
        <w:t>）</w:t>
      </w:r>
    </w:p>
    <w:p>
      <w:pPr>
        <w:pStyle w:val="4"/>
        <w:jc w:val="right"/>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pStyle w:val="7"/>
        <w:outlineLvl w:val="1"/>
        <w:rPr>
          <w:rFonts w:hint="eastAsia" w:ascii="宋体" w:hAnsi="宋体" w:eastAsia="宋体" w:cs="宋体"/>
          <w:color w:val="auto"/>
          <w:highlight w:val="none"/>
        </w:rPr>
      </w:pPr>
      <w:r>
        <w:rPr>
          <w:rFonts w:hint="eastAsia" w:ascii="宋体" w:hAnsi="宋体" w:eastAsia="宋体" w:cs="宋体"/>
          <w:color w:val="auto"/>
          <w:highlight w:val="none"/>
          <w:lang w:val="zh-CN" w:eastAsia="zh-CN"/>
        </w:rPr>
        <w:br w:type="page"/>
      </w:r>
      <w:bookmarkStart w:id="286" w:name="_Toc19891"/>
      <w:r>
        <w:rPr>
          <w:rFonts w:hint="eastAsia" w:ascii="宋体" w:hAnsi="宋体" w:eastAsia="宋体" w:cs="宋体"/>
          <w:color w:val="auto"/>
          <w:highlight w:val="none"/>
        </w:rPr>
        <w:t>六、投标报价表</w:t>
      </w:r>
      <w:bookmarkEnd w:id="286"/>
    </w:p>
    <w:p>
      <w:pPr>
        <w:pStyle w:val="2"/>
        <w:rPr>
          <w:rFonts w:hint="eastAsia" w:ascii="宋体" w:hAnsi="宋体" w:eastAsia="宋体" w:cs="宋体"/>
          <w:b/>
          <w:color w:val="auto"/>
          <w:sz w:val="20"/>
          <w:highlight w:val="none"/>
        </w:rPr>
      </w:pPr>
    </w:p>
    <w:p>
      <w:pPr>
        <w:pStyle w:val="2"/>
        <w:rPr>
          <w:rFonts w:hint="eastAsia" w:ascii="宋体" w:hAnsi="宋体" w:eastAsia="宋体" w:cs="宋体"/>
          <w:b/>
          <w:color w:val="auto"/>
          <w:sz w:val="20"/>
          <w:highlight w:val="none"/>
        </w:rPr>
      </w:pPr>
    </w:p>
    <w:p>
      <w:pPr>
        <w:pStyle w:val="29"/>
        <w:numPr>
          <w:ilvl w:val="0"/>
          <w:numId w:val="49"/>
        </w:numPr>
        <w:tabs>
          <w:tab w:val="left" w:pos="1378"/>
        </w:tabs>
        <w:spacing w:before="199" w:after="0" w:line="240" w:lineRule="auto"/>
        <w:ind w:left="1377" w:right="0" w:hanging="361"/>
        <w:jc w:val="left"/>
        <w:outlineLvl w:val="4"/>
        <w:rPr>
          <w:rFonts w:hint="eastAsia" w:ascii="宋体" w:hAnsi="宋体" w:eastAsia="宋体" w:cs="宋体"/>
          <w:color w:val="auto"/>
          <w:sz w:val="24"/>
          <w:highlight w:val="none"/>
        </w:rPr>
      </w:pPr>
      <w:r>
        <w:rPr>
          <w:rFonts w:hint="eastAsia" w:ascii="宋体" w:hAnsi="宋体" w:eastAsia="宋体" w:cs="宋体"/>
          <w:color w:val="auto"/>
          <w:sz w:val="24"/>
          <w:highlight w:val="none"/>
        </w:rPr>
        <w:t>分项报价表说明</w:t>
      </w:r>
    </w:p>
    <w:p>
      <w:pPr>
        <w:pStyle w:val="2"/>
        <w:spacing w:before="40"/>
        <w:ind w:left="1137"/>
        <w:rPr>
          <w:rFonts w:hint="eastAsia" w:ascii="宋体" w:hAnsi="宋体" w:eastAsia="宋体" w:cs="宋体"/>
          <w:color w:val="auto"/>
          <w:highlight w:val="none"/>
        </w:rPr>
      </w:pPr>
      <w:r>
        <w:rPr>
          <w:rFonts w:hint="eastAsia" w:ascii="宋体" w:hAnsi="宋体" w:eastAsia="宋体" w:cs="宋体"/>
          <w:color w:val="auto"/>
          <w:highlight w:val="none"/>
        </w:rPr>
        <w:t>（内容和格式自拟）</w:t>
      </w:r>
    </w:p>
    <w:p>
      <w:pPr>
        <w:pStyle w:val="2"/>
        <w:rPr>
          <w:rFonts w:hint="eastAsia" w:ascii="宋体" w:hAnsi="宋体" w:eastAsia="宋体" w:cs="宋体"/>
          <w:color w:val="auto"/>
          <w:sz w:val="20"/>
          <w:highlight w:val="none"/>
        </w:rPr>
      </w:pPr>
    </w:p>
    <w:p>
      <w:pPr>
        <w:pStyle w:val="2"/>
        <w:rPr>
          <w:rFonts w:hint="eastAsia" w:ascii="宋体" w:hAnsi="宋体" w:eastAsia="宋体" w:cs="宋体"/>
          <w:color w:val="auto"/>
          <w:sz w:val="20"/>
          <w:highlight w:val="none"/>
        </w:rPr>
      </w:pPr>
    </w:p>
    <w:p>
      <w:pPr>
        <w:pStyle w:val="2"/>
        <w:rPr>
          <w:rFonts w:hint="eastAsia" w:ascii="宋体" w:hAnsi="宋体" w:eastAsia="宋体" w:cs="宋体"/>
          <w:color w:val="auto"/>
          <w:sz w:val="20"/>
          <w:highlight w:val="none"/>
        </w:rPr>
      </w:pPr>
    </w:p>
    <w:p>
      <w:pPr>
        <w:pStyle w:val="2"/>
        <w:spacing w:before="1"/>
        <w:rPr>
          <w:rFonts w:hint="eastAsia" w:ascii="宋体" w:hAnsi="宋体" w:eastAsia="宋体" w:cs="宋体"/>
          <w:color w:val="auto"/>
          <w:sz w:val="19"/>
          <w:highlight w:val="none"/>
        </w:rPr>
      </w:pPr>
    </w:p>
    <w:p>
      <w:pPr>
        <w:spacing w:after="0"/>
        <w:rPr>
          <w:rFonts w:hint="eastAsia" w:ascii="宋体" w:hAnsi="宋体" w:eastAsia="宋体" w:cs="宋体"/>
          <w:color w:val="auto"/>
          <w:sz w:val="19"/>
          <w:highlight w:val="none"/>
        </w:rPr>
        <w:sectPr>
          <w:pgSz w:w="12240" w:h="15840"/>
          <w:pgMar w:top="1360" w:right="1160" w:bottom="1160" w:left="1320" w:header="878" w:footer="975" w:gutter="0"/>
          <w:pgNumType w:fmt="decimal"/>
          <w:cols w:space="720" w:num="1"/>
        </w:sectPr>
      </w:pPr>
    </w:p>
    <w:p>
      <w:pPr>
        <w:pStyle w:val="29"/>
        <w:numPr>
          <w:ilvl w:val="0"/>
          <w:numId w:val="49"/>
        </w:numPr>
        <w:tabs>
          <w:tab w:val="left" w:pos="1497"/>
          <w:tab w:val="left" w:pos="1498"/>
        </w:tabs>
        <w:spacing w:before="67" w:after="0" w:line="240" w:lineRule="auto"/>
        <w:ind w:left="1497" w:right="0" w:hanging="481"/>
        <w:jc w:val="left"/>
        <w:outlineLvl w:val="4"/>
        <w:rPr>
          <w:rFonts w:hint="eastAsia" w:ascii="宋体" w:hAnsi="宋体" w:eastAsia="宋体" w:cs="宋体"/>
          <w:color w:val="auto"/>
          <w:sz w:val="24"/>
          <w:highlight w:val="none"/>
        </w:rPr>
      </w:pPr>
      <w:r>
        <w:rPr>
          <w:rFonts w:hint="eastAsia" w:ascii="宋体" w:hAnsi="宋体" w:eastAsia="宋体" w:cs="宋体"/>
          <w:color w:val="auto"/>
          <w:spacing w:val="-4"/>
          <w:sz w:val="24"/>
          <w:highlight w:val="none"/>
        </w:rPr>
        <w:t>分项报价表</w:t>
      </w:r>
    </w:p>
    <w:p>
      <w:pPr>
        <w:pStyle w:val="2"/>
        <w:spacing w:before="2"/>
        <w:outlineLvl w:val="9"/>
        <w:rPr>
          <w:rFonts w:hint="eastAsia" w:ascii="宋体" w:hAnsi="宋体" w:eastAsia="宋体" w:cs="宋体"/>
          <w:color w:val="auto"/>
          <w:sz w:val="30"/>
          <w:highlight w:val="none"/>
        </w:rPr>
      </w:pPr>
      <w:r>
        <w:rPr>
          <w:rFonts w:hint="eastAsia" w:ascii="宋体" w:hAnsi="宋体" w:eastAsia="宋体" w:cs="宋体"/>
          <w:color w:val="auto"/>
          <w:highlight w:val="none"/>
        </w:rPr>
        <w:br w:type="column"/>
      </w:r>
    </w:p>
    <w:p>
      <w:pPr>
        <w:ind w:left="802"/>
        <w:outlineLvl w:val="9"/>
        <w:rPr>
          <w:rFonts w:hint="eastAsia" w:ascii="宋体" w:hAnsi="宋体" w:eastAsia="宋体" w:cs="宋体"/>
          <w:color w:val="auto"/>
          <w:highlight w:val="none"/>
        </w:rPr>
      </w:pPr>
      <w:r>
        <w:rPr>
          <w:rFonts w:hint="eastAsia" w:ascii="宋体" w:hAnsi="宋体" w:eastAsia="宋体" w:cs="宋体"/>
          <w:color w:val="auto"/>
          <w:highlight w:val="none"/>
        </w:rPr>
        <w:t>投标设备分项报价表</w:t>
      </w:r>
    </w:p>
    <w:p>
      <w:pPr>
        <w:pStyle w:val="2"/>
        <w:outlineLvl w:val="9"/>
        <w:rPr>
          <w:rFonts w:hint="eastAsia" w:ascii="宋体" w:hAnsi="宋体" w:eastAsia="宋体" w:cs="宋体"/>
          <w:color w:val="auto"/>
          <w:highlight w:val="none"/>
        </w:rPr>
      </w:pPr>
      <w:r>
        <w:rPr>
          <w:rFonts w:hint="eastAsia" w:ascii="宋体" w:hAnsi="宋体" w:eastAsia="宋体" w:cs="宋体"/>
          <w:color w:val="auto"/>
          <w:highlight w:val="none"/>
        </w:rPr>
        <w:br w:type="column"/>
      </w:r>
    </w:p>
    <w:p>
      <w:pPr>
        <w:pStyle w:val="2"/>
        <w:outlineLvl w:val="9"/>
        <w:rPr>
          <w:rFonts w:hint="eastAsia" w:ascii="宋体" w:hAnsi="宋体" w:eastAsia="宋体" w:cs="宋体"/>
          <w:color w:val="auto"/>
          <w:highlight w:val="none"/>
        </w:rPr>
      </w:pPr>
    </w:p>
    <w:p>
      <w:pPr>
        <w:pStyle w:val="2"/>
        <w:spacing w:before="169"/>
        <w:ind w:left="1017"/>
        <w:outlineLvl w:val="9"/>
        <w:rPr>
          <w:rFonts w:hint="eastAsia" w:ascii="宋体" w:hAnsi="宋体" w:eastAsia="宋体" w:cs="宋体"/>
          <w:color w:val="auto"/>
          <w:highlight w:val="none"/>
        </w:rPr>
      </w:pPr>
      <w:r>
        <w:rPr>
          <w:rFonts w:hint="eastAsia" w:ascii="宋体" w:hAnsi="宋体" w:eastAsia="宋体" w:cs="宋体"/>
          <w:color w:val="auto"/>
          <w:highlight w:val="none"/>
        </w:rPr>
        <w:t>单位：人民币元</w:t>
      </w:r>
    </w:p>
    <w:p>
      <w:pPr>
        <w:spacing w:after="0"/>
        <w:outlineLvl w:val="9"/>
        <w:rPr>
          <w:rFonts w:hint="eastAsia" w:ascii="宋体" w:hAnsi="宋体" w:eastAsia="宋体" w:cs="宋体"/>
          <w:color w:val="auto"/>
          <w:highlight w:val="none"/>
        </w:rPr>
        <w:sectPr>
          <w:type w:val="continuous"/>
          <w:pgSz w:w="12240" w:h="15840"/>
          <w:pgMar w:top="1440" w:right="1160" w:bottom="280" w:left="1320" w:header="720" w:footer="720" w:gutter="0"/>
          <w:pgNumType w:fmt="decimal"/>
          <w:cols w:equalWidth="0" w:num="3">
            <w:col w:w="2698" w:space="40"/>
            <w:col w:w="3365" w:space="324"/>
            <w:col w:w="3333"/>
          </w:cols>
        </w:sectPr>
      </w:pPr>
    </w:p>
    <w:p>
      <w:pPr>
        <w:pStyle w:val="2"/>
        <w:spacing w:before="9"/>
        <w:outlineLvl w:val="9"/>
        <w:rPr>
          <w:rFonts w:hint="eastAsia" w:ascii="宋体" w:hAnsi="宋体" w:eastAsia="宋体" w:cs="宋体"/>
          <w:color w:val="auto"/>
          <w:sz w:val="4"/>
          <w:highlight w:val="none"/>
        </w:rPr>
      </w:pPr>
    </w:p>
    <w:tbl>
      <w:tblPr>
        <w:tblStyle w:val="20"/>
        <w:tblW w:w="0" w:type="auto"/>
        <w:tblInd w:w="4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474"/>
        <w:gridCol w:w="994"/>
        <w:gridCol w:w="1133"/>
        <w:gridCol w:w="1419"/>
        <w:gridCol w:w="1699"/>
        <w:gridCol w:w="1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09" w:type="dxa"/>
          </w:tcPr>
          <w:p>
            <w:pPr>
              <w:pStyle w:val="28"/>
              <w:spacing w:before="65"/>
              <w:ind w:left="144"/>
              <w:outlineLvl w:val="9"/>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序号</w:t>
            </w:r>
          </w:p>
        </w:tc>
        <w:tc>
          <w:tcPr>
            <w:tcW w:w="1474" w:type="dxa"/>
          </w:tcPr>
          <w:p>
            <w:pPr>
              <w:pStyle w:val="28"/>
              <w:spacing w:before="65"/>
              <w:ind w:left="295" w:right="285"/>
              <w:jc w:val="center"/>
              <w:outlineLvl w:val="9"/>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分项名称</w:t>
            </w:r>
          </w:p>
        </w:tc>
        <w:tc>
          <w:tcPr>
            <w:tcW w:w="994" w:type="dxa"/>
          </w:tcPr>
          <w:p>
            <w:pPr>
              <w:pStyle w:val="28"/>
              <w:spacing w:before="65"/>
              <w:ind w:left="286"/>
              <w:outlineLvl w:val="9"/>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单位</w:t>
            </w:r>
          </w:p>
        </w:tc>
        <w:tc>
          <w:tcPr>
            <w:tcW w:w="1133" w:type="dxa"/>
          </w:tcPr>
          <w:p>
            <w:pPr>
              <w:pStyle w:val="28"/>
              <w:spacing w:before="65"/>
              <w:ind w:left="356"/>
              <w:outlineLvl w:val="9"/>
              <w:rPr>
                <w:rFonts w:hint="eastAsia" w:ascii="宋体" w:hAnsi="宋体" w:eastAsia="宋体" w:cs="宋体"/>
                <w:b/>
                <w:color w:val="auto"/>
                <w:sz w:val="21"/>
                <w:highlight w:val="none"/>
              </w:rPr>
            </w:pPr>
            <w:r>
              <w:rPr>
                <w:rFonts w:hint="eastAsia" w:ascii="宋体" w:hAnsi="宋体" w:eastAsia="宋体" w:cs="宋体"/>
                <w:b/>
                <w:color w:val="auto"/>
                <w:sz w:val="21"/>
                <w:highlight w:val="none"/>
              </w:rPr>
              <w:t>数量</w:t>
            </w:r>
          </w:p>
        </w:tc>
        <w:tc>
          <w:tcPr>
            <w:tcW w:w="1419" w:type="dxa"/>
          </w:tcPr>
          <w:p>
            <w:pPr>
              <w:pStyle w:val="28"/>
              <w:spacing w:before="65"/>
              <w:ind w:left="183"/>
              <w:outlineLvl w:val="9"/>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单价（元）</w:t>
            </w:r>
          </w:p>
        </w:tc>
        <w:tc>
          <w:tcPr>
            <w:tcW w:w="1699" w:type="dxa"/>
          </w:tcPr>
          <w:p>
            <w:pPr>
              <w:pStyle w:val="28"/>
              <w:spacing w:before="65"/>
              <w:ind w:left="324"/>
              <w:outlineLvl w:val="9"/>
              <w:rPr>
                <w:rFonts w:hint="eastAsia" w:ascii="宋体" w:hAnsi="宋体" w:eastAsia="宋体" w:cs="宋体"/>
                <w:b/>
                <w:color w:val="auto"/>
                <w:sz w:val="21"/>
                <w:highlight w:val="none"/>
              </w:rPr>
            </w:pPr>
            <w:r>
              <w:rPr>
                <w:rFonts w:hint="eastAsia" w:ascii="宋体" w:hAnsi="宋体" w:eastAsia="宋体" w:cs="宋体"/>
                <w:b/>
                <w:color w:val="auto"/>
                <w:sz w:val="21"/>
                <w:highlight w:val="none"/>
              </w:rPr>
              <w:t>总价（元）</w:t>
            </w:r>
          </w:p>
        </w:tc>
        <w:tc>
          <w:tcPr>
            <w:tcW w:w="1219" w:type="dxa"/>
          </w:tcPr>
          <w:p>
            <w:pPr>
              <w:pStyle w:val="28"/>
              <w:spacing w:before="65"/>
              <w:ind w:left="398"/>
              <w:outlineLvl w:val="9"/>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709" w:type="dxa"/>
          </w:tcPr>
          <w:p>
            <w:pPr>
              <w:pStyle w:val="28"/>
              <w:spacing w:before="65"/>
              <w:ind w:left="11"/>
              <w:jc w:val="center"/>
              <w:outlineLvl w:val="9"/>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1</w:t>
            </w:r>
          </w:p>
        </w:tc>
        <w:tc>
          <w:tcPr>
            <w:tcW w:w="1474" w:type="dxa"/>
          </w:tcPr>
          <w:p>
            <w:pPr>
              <w:pStyle w:val="28"/>
              <w:outlineLvl w:val="9"/>
              <w:rPr>
                <w:rFonts w:hint="eastAsia" w:ascii="宋体" w:hAnsi="宋体" w:eastAsia="宋体" w:cs="宋体"/>
                <w:color w:val="auto"/>
                <w:sz w:val="20"/>
                <w:highlight w:val="none"/>
              </w:rPr>
            </w:pPr>
          </w:p>
        </w:tc>
        <w:tc>
          <w:tcPr>
            <w:tcW w:w="994" w:type="dxa"/>
          </w:tcPr>
          <w:p>
            <w:pPr>
              <w:pStyle w:val="28"/>
              <w:outlineLvl w:val="9"/>
              <w:rPr>
                <w:rFonts w:hint="eastAsia" w:ascii="宋体" w:hAnsi="宋体" w:eastAsia="宋体" w:cs="宋体"/>
                <w:color w:val="auto"/>
                <w:sz w:val="20"/>
                <w:highlight w:val="none"/>
              </w:rPr>
            </w:pPr>
          </w:p>
        </w:tc>
        <w:tc>
          <w:tcPr>
            <w:tcW w:w="1133" w:type="dxa"/>
          </w:tcPr>
          <w:p>
            <w:pPr>
              <w:pStyle w:val="28"/>
              <w:outlineLvl w:val="9"/>
              <w:rPr>
                <w:rFonts w:hint="eastAsia" w:ascii="宋体" w:hAnsi="宋体" w:eastAsia="宋体" w:cs="宋体"/>
                <w:color w:val="auto"/>
                <w:sz w:val="20"/>
                <w:highlight w:val="none"/>
              </w:rPr>
            </w:pPr>
          </w:p>
        </w:tc>
        <w:tc>
          <w:tcPr>
            <w:tcW w:w="1419" w:type="dxa"/>
          </w:tcPr>
          <w:p>
            <w:pPr>
              <w:pStyle w:val="28"/>
              <w:outlineLvl w:val="9"/>
              <w:rPr>
                <w:rFonts w:hint="eastAsia" w:ascii="宋体" w:hAnsi="宋体" w:eastAsia="宋体" w:cs="宋体"/>
                <w:color w:val="auto"/>
                <w:sz w:val="20"/>
                <w:highlight w:val="none"/>
              </w:rPr>
            </w:pPr>
          </w:p>
        </w:tc>
        <w:tc>
          <w:tcPr>
            <w:tcW w:w="1699" w:type="dxa"/>
          </w:tcPr>
          <w:p>
            <w:pPr>
              <w:pStyle w:val="28"/>
              <w:outlineLvl w:val="9"/>
              <w:rPr>
                <w:rFonts w:hint="eastAsia" w:ascii="宋体" w:hAnsi="宋体" w:eastAsia="宋体" w:cs="宋体"/>
                <w:color w:val="auto"/>
                <w:sz w:val="20"/>
                <w:highlight w:val="none"/>
              </w:rPr>
            </w:pPr>
          </w:p>
        </w:tc>
        <w:tc>
          <w:tcPr>
            <w:tcW w:w="121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09" w:type="dxa"/>
          </w:tcPr>
          <w:p>
            <w:pPr>
              <w:pStyle w:val="28"/>
              <w:spacing w:before="67"/>
              <w:ind w:left="11"/>
              <w:jc w:val="center"/>
              <w:outlineLvl w:val="9"/>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2</w:t>
            </w:r>
          </w:p>
        </w:tc>
        <w:tc>
          <w:tcPr>
            <w:tcW w:w="1474" w:type="dxa"/>
          </w:tcPr>
          <w:p>
            <w:pPr>
              <w:pStyle w:val="28"/>
              <w:outlineLvl w:val="9"/>
              <w:rPr>
                <w:rFonts w:hint="eastAsia" w:ascii="宋体" w:hAnsi="宋体" w:eastAsia="宋体" w:cs="宋体"/>
                <w:color w:val="auto"/>
                <w:sz w:val="20"/>
                <w:highlight w:val="none"/>
              </w:rPr>
            </w:pPr>
          </w:p>
        </w:tc>
        <w:tc>
          <w:tcPr>
            <w:tcW w:w="994" w:type="dxa"/>
          </w:tcPr>
          <w:p>
            <w:pPr>
              <w:pStyle w:val="28"/>
              <w:outlineLvl w:val="9"/>
              <w:rPr>
                <w:rFonts w:hint="eastAsia" w:ascii="宋体" w:hAnsi="宋体" w:eastAsia="宋体" w:cs="宋体"/>
                <w:color w:val="auto"/>
                <w:sz w:val="20"/>
                <w:highlight w:val="none"/>
              </w:rPr>
            </w:pPr>
          </w:p>
        </w:tc>
        <w:tc>
          <w:tcPr>
            <w:tcW w:w="1133" w:type="dxa"/>
          </w:tcPr>
          <w:p>
            <w:pPr>
              <w:pStyle w:val="28"/>
              <w:outlineLvl w:val="9"/>
              <w:rPr>
                <w:rFonts w:hint="eastAsia" w:ascii="宋体" w:hAnsi="宋体" w:eastAsia="宋体" w:cs="宋体"/>
                <w:color w:val="auto"/>
                <w:sz w:val="20"/>
                <w:highlight w:val="none"/>
              </w:rPr>
            </w:pPr>
          </w:p>
        </w:tc>
        <w:tc>
          <w:tcPr>
            <w:tcW w:w="1419" w:type="dxa"/>
          </w:tcPr>
          <w:p>
            <w:pPr>
              <w:pStyle w:val="28"/>
              <w:outlineLvl w:val="9"/>
              <w:rPr>
                <w:rFonts w:hint="eastAsia" w:ascii="宋体" w:hAnsi="宋体" w:eastAsia="宋体" w:cs="宋体"/>
                <w:color w:val="auto"/>
                <w:sz w:val="20"/>
                <w:highlight w:val="none"/>
              </w:rPr>
            </w:pPr>
          </w:p>
        </w:tc>
        <w:tc>
          <w:tcPr>
            <w:tcW w:w="1699" w:type="dxa"/>
          </w:tcPr>
          <w:p>
            <w:pPr>
              <w:pStyle w:val="28"/>
              <w:outlineLvl w:val="9"/>
              <w:rPr>
                <w:rFonts w:hint="eastAsia" w:ascii="宋体" w:hAnsi="宋体" w:eastAsia="宋体" w:cs="宋体"/>
                <w:color w:val="auto"/>
                <w:sz w:val="20"/>
                <w:highlight w:val="none"/>
              </w:rPr>
            </w:pPr>
          </w:p>
        </w:tc>
        <w:tc>
          <w:tcPr>
            <w:tcW w:w="121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09" w:type="dxa"/>
          </w:tcPr>
          <w:p>
            <w:pPr>
              <w:pStyle w:val="28"/>
              <w:spacing w:before="67"/>
              <w:ind w:left="11"/>
              <w:jc w:val="center"/>
              <w:outlineLvl w:val="9"/>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3</w:t>
            </w:r>
          </w:p>
        </w:tc>
        <w:tc>
          <w:tcPr>
            <w:tcW w:w="1474" w:type="dxa"/>
          </w:tcPr>
          <w:p>
            <w:pPr>
              <w:pStyle w:val="28"/>
              <w:outlineLvl w:val="9"/>
              <w:rPr>
                <w:rFonts w:hint="eastAsia" w:ascii="宋体" w:hAnsi="宋体" w:eastAsia="宋体" w:cs="宋体"/>
                <w:color w:val="auto"/>
                <w:sz w:val="20"/>
                <w:highlight w:val="none"/>
              </w:rPr>
            </w:pPr>
          </w:p>
        </w:tc>
        <w:tc>
          <w:tcPr>
            <w:tcW w:w="994" w:type="dxa"/>
          </w:tcPr>
          <w:p>
            <w:pPr>
              <w:pStyle w:val="28"/>
              <w:outlineLvl w:val="9"/>
              <w:rPr>
                <w:rFonts w:hint="eastAsia" w:ascii="宋体" w:hAnsi="宋体" w:eastAsia="宋体" w:cs="宋体"/>
                <w:color w:val="auto"/>
                <w:sz w:val="20"/>
                <w:highlight w:val="none"/>
              </w:rPr>
            </w:pPr>
          </w:p>
        </w:tc>
        <w:tc>
          <w:tcPr>
            <w:tcW w:w="1133" w:type="dxa"/>
          </w:tcPr>
          <w:p>
            <w:pPr>
              <w:pStyle w:val="28"/>
              <w:outlineLvl w:val="9"/>
              <w:rPr>
                <w:rFonts w:hint="eastAsia" w:ascii="宋体" w:hAnsi="宋体" w:eastAsia="宋体" w:cs="宋体"/>
                <w:color w:val="auto"/>
                <w:sz w:val="20"/>
                <w:highlight w:val="none"/>
              </w:rPr>
            </w:pPr>
          </w:p>
        </w:tc>
        <w:tc>
          <w:tcPr>
            <w:tcW w:w="1419" w:type="dxa"/>
          </w:tcPr>
          <w:p>
            <w:pPr>
              <w:pStyle w:val="28"/>
              <w:outlineLvl w:val="9"/>
              <w:rPr>
                <w:rFonts w:hint="eastAsia" w:ascii="宋体" w:hAnsi="宋体" w:eastAsia="宋体" w:cs="宋体"/>
                <w:color w:val="auto"/>
                <w:sz w:val="20"/>
                <w:highlight w:val="none"/>
              </w:rPr>
            </w:pPr>
          </w:p>
        </w:tc>
        <w:tc>
          <w:tcPr>
            <w:tcW w:w="1699" w:type="dxa"/>
          </w:tcPr>
          <w:p>
            <w:pPr>
              <w:pStyle w:val="28"/>
              <w:outlineLvl w:val="9"/>
              <w:rPr>
                <w:rFonts w:hint="eastAsia" w:ascii="宋体" w:hAnsi="宋体" w:eastAsia="宋体" w:cs="宋体"/>
                <w:color w:val="auto"/>
                <w:sz w:val="20"/>
                <w:highlight w:val="none"/>
              </w:rPr>
            </w:pPr>
          </w:p>
        </w:tc>
        <w:tc>
          <w:tcPr>
            <w:tcW w:w="121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09" w:type="dxa"/>
          </w:tcPr>
          <w:p>
            <w:pPr>
              <w:pStyle w:val="28"/>
              <w:spacing w:before="67"/>
              <w:ind w:left="11"/>
              <w:jc w:val="center"/>
              <w:outlineLvl w:val="9"/>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4</w:t>
            </w:r>
          </w:p>
        </w:tc>
        <w:tc>
          <w:tcPr>
            <w:tcW w:w="1474" w:type="dxa"/>
          </w:tcPr>
          <w:p>
            <w:pPr>
              <w:pStyle w:val="28"/>
              <w:outlineLvl w:val="9"/>
              <w:rPr>
                <w:rFonts w:hint="eastAsia" w:ascii="宋体" w:hAnsi="宋体" w:eastAsia="宋体" w:cs="宋体"/>
                <w:color w:val="auto"/>
                <w:sz w:val="20"/>
                <w:highlight w:val="none"/>
              </w:rPr>
            </w:pPr>
          </w:p>
        </w:tc>
        <w:tc>
          <w:tcPr>
            <w:tcW w:w="994" w:type="dxa"/>
          </w:tcPr>
          <w:p>
            <w:pPr>
              <w:pStyle w:val="28"/>
              <w:outlineLvl w:val="9"/>
              <w:rPr>
                <w:rFonts w:hint="eastAsia" w:ascii="宋体" w:hAnsi="宋体" w:eastAsia="宋体" w:cs="宋体"/>
                <w:color w:val="auto"/>
                <w:sz w:val="20"/>
                <w:highlight w:val="none"/>
              </w:rPr>
            </w:pPr>
          </w:p>
        </w:tc>
        <w:tc>
          <w:tcPr>
            <w:tcW w:w="1133" w:type="dxa"/>
          </w:tcPr>
          <w:p>
            <w:pPr>
              <w:pStyle w:val="28"/>
              <w:outlineLvl w:val="9"/>
              <w:rPr>
                <w:rFonts w:hint="eastAsia" w:ascii="宋体" w:hAnsi="宋体" w:eastAsia="宋体" w:cs="宋体"/>
                <w:color w:val="auto"/>
                <w:sz w:val="20"/>
                <w:highlight w:val="none"/>
              </w:rPr>
            </w:pPr>
          </w:p>
        </w:tc>
        <w:tc>
          <w:tcPr>
            <w:tcW w:w="1419" w:type="dxa"/>
          </w:tcPr>
          <w:p>
            <w:pPr>
              <w:pStyle w:val="28"/>
              <w:outlineLvl w:val="9"/>
              <w:rPr>
                <w:rFonts w:hint="eastAsia" w:ascii="宋体" w:hAnsi="宋体" w:eastAsia="宋体" w:cs="宋体"/>
                <w:color w:val="auto"/>
                <w:sz w:val="20"/>
                <w:highlight w:val="none"/>
              </w:rPr>
            </w:pPr>
          </w:p>
        </w:tc>
        <w:tc>
          <w:tcPr>
            <w:tcW w:w="1699" w:type="dxa"/>
          </w:tcPr>
          <w:p>
            <w:pPr>
              <w:pStyle w:val="28"/>
              <w:outlineLvl w:val="9"/>
              <w:rPr>
                <w:rFonts w:hint="eastAsia" w:ascii="宋体" w:hAnsi="宋体" w:eastAsia="宋体" w:cs="宋体"/>
                <w:color w:val="auto"/>
                <w:sz w:val="20"/>
                <w:highlight w:val="none"/>
              </w:rPr>
            </w:pPr>
          </w:p>
        </w:tc>
        <w:tc>
          <w:tcPr>
            <w:tcW w:w="121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09" w:type="dxa"/>
          </w:tcPr>
          <w:p>
            <w:pPr>
              <w:pStyle w:val="28"/>
              <w:spacing w:before="65"/>
              <w:ind w:left="11"/>
              <w:jc w:val="center"/>
              <w:outlineLvl w:val="9"/>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5</w:t>
            </w:r>
          </w:p>
        </w:tc>
        <w:tc>
          <w:tcPr>
            <w:tcW w:w="1474" w:type="dxa"/>
          </w:tcPr>
          <w:p>
            <w:pPr>
              <w:pStyle w:val="28"/>
              <w:outlineLvl w:val="9"/>
              <w:rPr>
                <w:rFonts w:hint="eastAsia" w:ascii="宋体" w:hAnsi="宋体" w:eastAsia="宋体" w:cs="宋体"/>
                <w:color w:val="auto"/>
                <w:sz w:val="20"/>
                <w:highlight w:val="none"/>
              </w:rPr>
            </w:pPr>
          </w:p>
        </w:tc>
        <w:tc>
          <w:tcPr>
            <w:tcW w:w="994" w:type="dxa"/>
          </w:tcPr>
          <w:p>
            <w:pPr>
              <w:pStyle w:val="28"/>
              <w:outlineLvl w:val="9"/>
              <w:rPr>
                <w:rFonts w:hint="eastAsia" w:ascii="宋体" w:hAnsi="宋体" w:eastAsia="宋体" w:cs="宋体"/>
                <w:color w:val="auto"/>
                <w:sz w:val="20"/>
                <w:highlight w:val="none"/>
              </w:rPr>
            </w:pPr>
          </w:p>
        </w:tc>
        <w:tc>
          <w:tcPr>
            <w:tcW w:w="1133" w:type="dxa"/>
          </w:tcPr>
          <w:p>
            <w:pPr>
              <w:pStyle w:val="28"/>
              <w:outlineLvl w:val="9"/>
              <w:rPr>
                <w:rFonts w:hint="eastAsia" w:ascii="宋体" w:hAnsi="宋体" w:eastAsia="宋体" w:cs="宋体"/>
                <w:color w:val="auto"/>
                <w:sz w:val="20"/>
                <w:highlight w:val="none"/>
              </w:rPr>
            </w:pPr>
          </w:p>
        </w:tc>
        <w:tc>
          <w:tcPr>
            <w:tcW w:w="1419" w:type="dxa"/>
          </w:tcPr>
          <w:p>
            <w:pPr>
              <w:pStyle w:val="28"/>
              <w:outlineLvl w:val="9"/>
              <w:rPr>
                <w:rFonts w:hint="eastAsia" w:ascii="宋体" w:hAnsi="宋体" w:eastAsia="宋体" w:cs="宋体"/>
                <w:color w:val="auto"/>
                <w:sz w:val="20"/>
                <w:highlight w:val="none"/>
              </w:rPr>
            </w:pPr>
          </w:p>
        </w:tc>
        <w:tc>
          <w:tcPr>
            <w:tcW w:w="1699" w:type="dxa"/>
          </w:tcPr>
          <w:p>
            <w:pPr>
              <w:pStyle w:val="28"/>
              <w:outlineLvl w:val="9"/>
              <w:rPr>
                <w:rFonts w:hint="eastAsia" w:ascii="宋体" w:hAnsi="宋体" w:eastAsia="宋体" w:cs="宋体"/>
                <w:color w:val="auto"/>
                <w:sz w:val="20"/>
                <w:highlight w:val="none"/>
              </w:rPr>
            </w:pPr>
          </w:p>
        </w:tc>
        <w:tc>
          <w:tcPr>
            <w:tcW w:w="121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09" w:type="dxa"/>
          </w:tcPr>
          <w:p>
            <w:pPr>
              <w:pStyle w:val="28"/>
              <w:spacing w:before="55"/>
              <w:ind w:left="102"/>
              <w:outlineLvl w:val="9"/>
              <w:rPr>
                <w:rFonts w:hint="eastAsia" w:ascii="宋体" w:hAnsi="宋体" w:eastAsia="宋体" w:cs="宋体"/>
                <w:i/>
                <w:color w:val="auto"/>
                <w:sz w:val="22"/>
                <w:highlight w:val="none"/>
              </w:rPr>
            </w:pPr>
            <w:r>
              <w:rPr>
                <w:rFonts w:hint="eastAsia" w:ascii="宋体" w:hAnsi="宋体" w:eastAsia="宋体" w:cs="宋体"/>
                <w:i/>
                <w:color w:val="auto"/>
                <w:w w:val="110"/>
                <w:sz w:val="22"/>
                <w:highlight w:val="none"/>
              </w:rPr>
              <w:t>……</w:t>
            </w:r>
          </w:p>
        </w:tc>
        <w:tc>
          <w:tcPr>
            <w:tcW w:w="1474" w:type="dxa"/>
          </w:tcPr>
          <w:p>
            <w:pPr>
              <w:pStyle w:val="28"/>
              <w:spacing w:before="55"/>
              <w:ind w:left="295" w:right="232"/>
              <w:jc w:val="center"/>
              <w:outlineLvl w:val="9"/>
              <w:rPr>
                <w:rFonts w:hint="eastAsia" w:ascii="宋体" w:hAnsi="宋体" w:eastAsia="宋体" w:cs="宋体"/>
                <w:i/>
                <w:color w:val="auto"/>
                <w:sz w:val="22"/>
                <w:highlight w:val="none"/>
              </w:rPr>
            </w:pPr>
            <w:r>
              <w:rPr>
                <w:rFonts w:hint="eastAsia" w:ascii="宋体" w:hAnsi="宋体" w:eastAsia="宋体" w:cs="宋体"/>
                <w:i/>
                <w:color w:val="auto"/>
                <w:w w:val="110"/>
                <w:sz w:val="22"/>
                <w:highlight w:val="none"/>
              </w:rPr>
              <w:t>……</w:t>
            </w:r>
          </w:p>
        </w:tc>
        <w:tc>
          <w:tcPr>
            <w:tcW w:w="994" w:type="dxa"/>
          </w:tcPr>
          <w:p>
            <w:pPr>
              <w:pStyle w:val="28"/>
              <w:outlineLvl w:val="9"/>
              <w:rPr>
                <w:rFonts w:hint="eastAsia" w:ascii="宋体" w:hAnsi="宋体" w:eastAsia="宋体" w:cs="宋体"/>
                <w:color w:val="auto"/>
                <w:sz w:val="20"/>
                <w:highlight w:val="none"/>
              </w:rPr>
            </w:pPr>
          </w:p>
        </w:tc>
        <w:tc>
          <w:tcPr>
            <w:tcW w:w="1133" w:type="dxa"/>
          </w:tcPr>
          <w:p>
            <w:pPr>
              <w:pStyle w:val="28"/>
              <w:outlineLvl w:val="9"/>
              <w:rPr>
                <w:rFonts w:hint="eastAsia" w:ascii="宋体" w:hAnsi="宋体" w:eastAsia="宋体" w:cs="宋体"/>
                <w:color w:val="auto"/>
                <w:sz w:val="20"/>
                <w:highlight w:val="none"/>
              </w:rPr>
            </w:pPr>
          </w:p>
        </w:tc>
        <w:tc>
          <w:tcPr>
            <w:tcW w:w="1419" w:type="dxa"/>
          </w:tcPr>
          <w:p>
            <w:pPr>
              <w:pStyle w:val="28"/>
              <w:outlineLvl w:val="9"/>
              <w:rPr>
                <w:rFonts w:hint="eastAsia" w:ascii="宋体" w:hAnsi="宋体" w:eastAsia="宋体" w:cs="宋体"/>
                <w:color w:val="auto"/>
                <w:sz w:val="20"/>
                <w:highlight w:val="none"/>
              </w:rPr>
            </w:pPr>
          </w:p>
        </w:tc>
        <w:tc>
          <w:tcPr>
            <w:tcW w:w="1699" w:type="dxa"/>
          </w:tcPr>
          <w:p>
            <w:pPr>
              <w:pStyle w:val="28"/>
              <w:outlineLvl w:val="9"/>
              <w:rPr>
                <w:rFonts w:hint="eastAsia" w:ascii="宋体" w:hAnsi="宋体" w:eastAsia="宋体" w:cs="宋体"/>
                <w:color w:val="auto"/>
                <w:sz w:val="20"/>
                <w:highlight w:val="none"/>
              </w:rPr>
            </w:pPr>
          </w:p>
        </w:tc>
        <w:tc>
          <w:tcPr>
            <w:tcW w:w="121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729" w:type="dxa"/>
            <w:gridSpan w:val="5"/>
          </w:tcPr>
          <w:p>
            <w:pPr>
              <w:pStyle w:val="28"/>
              <w:spacing w:before="65"/>
              <w:ind w:left="2422" w:right="2412"/>
              <w:jc w:val="center"/>
              <w:outlineLvl w:val="9"/>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合计报价</w:t>
            </w:r>
          </w:p>
        </w:tc>
        <w:tc>
          <w:tcPr>
            <w:tcW w:w="1699" w:type="dxa"/>
          </w:tcPr>
          <w:p>
            <w:pPr>
              <w:pStyle w:val="28"/>
              <w:outlineLvl w:val="9"/>
              <w:rPr>
                <w:rFonts w:hint="eastAsia" w:ascii="宋体" w:hAnsi="宋体" w:eastAsia="宋体" w:cs="宋体"/>
                <w:color w:val="auto"/>
                <w:sz w:val="20"/>
                <w:highlight w:val="none"/>
              </w:rPr>
            </w:pPr>
          </w:p>
        </w:tc>
        <w:tc>
          <w:tcPr>
            <w:tcW w:w="1219" w:type="dxa"/>
          </w:tcPr>
          <w:p>
            <w:pPr>
              <w:pStyle w:val="28"/>
              <w:outlineLvl w:val="9"/>
              <w:rPr>
                <w:rFonts w:hint="eastAsia" w:ascii="宋体" w:hAnsi="宋体" w:eastAsia="宋体" w:cs="宋体"/>
                <w:color w:val="auto"/>
                <w:sz w:val="20"/>
                <w:highlight w:val="none"/>
              </w:rPr>
            </w:pPr>
          </w:p>
        </w:tc>
      </w:tr>
    </w:tbl>
    <w:p>
      <w:pPr>
        <w:pStyle w:val="2"/>
        <w:spacing w:before="5"/>
        <w:outlineLvl w:val="9"/>
        <w:rPr>
          <w:rFonts w:hint="eastAsia" w:ascii="宋体" w:hAnsi="宋体" w:eastAsia="宋体" w:cs="宋体"/>
          <w:color w:val="auto"/>
          <w:sz w:val="6"/>
          <w:highlight w:val="none"/>
        </w:rPr>
      </w:pPr>
    </w:p>
    <w:p>
      <w:pPr>
        <w:spacing w:before="71"/>
        <w:ind w:left="477" w:right="0" w:firstLine="0"/>
        <w:jc w:val="left"/>
        <w:outlineLvl w:val="9"/>
        <w:rPr>
          <w:rFonts w:hint="eastAsia" w:ascii="宋体" w:hAnsi="宋体" w:eastAsia="宋体" w:cs="宋体"/>
          <w:color w:val="auto"/>
          <w:sz w:val="20"/>
          <w:highlight w:val="none"/>
        </w:rPr>
      </w:pPr>
      <w:r>
        <w:rPr>
          <w:rFonts w:hint="eastAsia" w:ascii="宋体" w:hAnsi="宋体" w:eastAsia="宋体" w:cs="宋体"/>
          <w:color w:val="auto"/>
          <w:sz w:val="20"/>
          <w:highlight w:val="none"/>
        </w:rPr>
        <w:t>注：此“合计报价”须与“投标函”和“开标一览表”中所报的投标总报价一致。</w:t>
      </w:r>
    </w:p>
    <w:p>
      <w:pPr>
        <w:pStyle w:val="2"/>
        <w:outlineLvl w:val="9"/>
        <w:rPr>
          <w:rFonts w:hint="eastAsia" w:ascii="宋体" w:hAnsi="宋体" w:eastAsia="宋体" w:cs="宋体"/>
          <w:color w:val="auto"/>
          <w:sz w:val="20"/>
          <w:highlight w:val="none"/>
        </w:rPr>
      </w:pPr>
    </w:p>
    <w:p>
      <w:pPr>
        <w:pStyle w:val="2"/>
        <w:outlineLvl w:val="9"/>
        <w:rPr>
          <w:rFonts w:hint="eastAsia" w:ascii="宋体" w:hAnsi="宋体" w:eastAsia="宋体" w:cs="宋体"/>
          <w:color w:val="auto"/>
          <w:sz w:val="26"/>
          <w:highlight w:val="none"/>
        </w:rPr>
      </w:pPr>
    </w:p>
    <w:p>
      <w:pPr>
        <w:pStyle w:val="2"/>
        <w:tabs>
          <w:tab w:val="left" w:pos="7451"/>
          <w:tab w:val="left" w:pos="7936"/>
        </w:tabs>
        <w:spacing w:line="484" w:lineRule="auto"/>
        <w:ind w:left="3736" w:right="861"/>
        <w:outlineLvl w:val="9"/>
        <w:rPr>
          <w:rFonts w:hint="eastAsia" w:ascii="宋体" w:hAnsi="宋体" w:eastAsia="宋体" w:cs="宋体"/>
          <w:color w:val="auto"/>
          <w:highlight w:val="none"/>
        </w:rPr>
      </w:pPr>
      <w:r>
        <w:rPr>
          <w:rFonts w:hint="eastAsia" w:ascii="宋体" w:hAnsi="宋体" w:eastAsia="宋体" w:cs="宋体"/>
          <w:color w:val="auto"/>
          <w:highlight w:val="none"/>
        </w:rPr>
        <w:t>投 标</w:t>
      </w:r>
      <w:r>
        <w:rPr>
          <w:rFonts w:hint="eastAsia" w:ascii="宋体" w:hAnsi="宋体" w:eastAsia="宋体" w:cs="宋体"/>
          <w:color w:val="auto"/>
          <w:spacing w:val="-5"/>
          <w:highlight w:val="none"/>
        </w:rPr>
        <w:t xml:space="preserve"> </w:t>
      </w:r>
      <w:r>
        <w:rPr>
          <w:rFonts w:hint="eastAsia" w:ascii="宋体" w:hAnsi="宋体" w:eastAsia="宋体" w:cs="宋体"/>
          <w:color w:val="auto"/>
          <w:highlight w:val="none"/>
        </w:rPr>
        <w:t>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r>
        <w:rPr>
          <w:rFonts w:hint="eastAsia" w:ascii="宋体" w:hAnsi="宋体" w:eastAsia="宋体" w:cs="宋体"/>
          <w:color w:val="auto"/>
          <w:spacing w:val="-12"/>
          <w:highlight w:val="none"/>
        </w:rPr>
        <w:t xml:space="preserve">） </w:t>
      </w:r>
      <w:r>
        <w:rPr>
          <w:rFonts w:hint="eastAsia" w:ascii="宋体" w:hAnsi="宋体" w:eastAsia="宋体" w:cs="宋体"/>
          <w:color w:val="auto"/>
          <w:highlight w:val="none"/>
        </w:rPr>
        <w:t>法定代表人或其委托代理人：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r>
        <w:rPr>
          <w:rFonts w:hint="eastAsia" w:ascii="宋体" w:hAnsi="宋体" w:eastAsia="宋体" w:cs="宋体"/>
          <w:color w:val="auto"/>
          <w:spacing w:val="-17"/>
          <w:highlight w:val="none"/>
        </w:rPr>
        <w:t>）</w:t>
      </w:r>
    </w:p>
    <w:p>
      <w:pPr>
        <w:pStyle w:val="2"/>
        <w:tabs>
          <w:tab w:val="left" w:pos="7202"/>
          <w:tab w:val="left" w:pos="8042"/>
          <w:tab w:val="left" w:pos="8882"/>
        </w:tabs>
        <w:spacing w:before="8"/>
        <w:ind w:left="6362"/>
        <w:outlineLvl w:val="9"/>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pPr>
        <w:spacing w:after="0"/>
        <w:outlineLvl w:val="9"/>
        <w:rPr>
          <w:rFonts w:hint="eastAsia" w:ascii="宋体" w:hAnsi="宋体" w:eastAsia="宋体" w:cs="宋体"/>
          <w:color w:val="auto"/>
          <w:highlight w:val="none"/>
        </w:rPr>
        <w:sectPr>
          <w:type w:val="continuous"/>
          <w:pgSz w:w="12240" w:h="15840"/>
          <w:pgMar w:top="1440" w:right="1160" w:bottom="280" w:left="1320" w:header="720" w:footer="720" w:gutter="0"/>
          <w:pgNumType w:fmt="decimal"/>
          <w:cols w:space="720" w:num="1"/>
        </w:sectPr>
      </w:pPr>
    </w:p>
    <w:p>
      <w:pPr>
        <w:pStyle w:val="2"/>
        <w:spacing w:before="9"/>
        <w:outlineLvl w:val="9"/>
        <w:rPr>
          <w:rFonts w:hint="eastAsia" w:ascii="宋体" w:hAnsi="宋体" w:eastAsia="宋体" w:cs="宋体"/>
          <w:color w:val="auto"/>
          <w:sz w:val="11"/>
          <w:highlight w:val="none"/>
        </w:rPr>
      </w:pPr>
    </w:p>
    <w:p>
      <w:pPr>
        <w:pStyle w:val="29"/>
        <w:numPr>
          <w:ilvl w:val="0"/>
          <w:numId w:val="49"/>
        </w:numPr>
        <w:tabs>
          <w:tab w:val="left" w:pos="1378"/>
        </w:tabs>
        <w:spacing w:before="67" w:after="0" w:line="240" w:lineRule="auto"/>
        <w:ind w:left="1377" w:right="0" w:hanging="361"/>
        <w:jc w:val="left"/>
        <w:outlineLvl w:val="9"/>
        <w:rPr>
          <w:rFonts w:hint="eastAsia" w:ascii="宋体" w:hAnsi="宋体" w:eastAsia="宋体" w:cs="宋体"/>
          <w:color w:val="auto"/>
          <w:sz w:val="24"/>
          <w:highlight w:val="none"/>
        </w:rPr>
      </w:pPr>
      <w:bookmarkStart w:id="287" w:name="七、资格审查资料"/>
      <w:bookmarkEnd w:id="287"/>
      <w:bookmarkStart w:id="288" w:name="七、资格审查资料"/>
      <w:bookmarkEnd w:id="288"/>
      <w:r>
        <w:rPr>
          <w:rFonts w:hint="eastAsia" w:ascii="宋体" w:hAnsi="宋体" w:eastAsia="宋体" w:cs="宋体"/>
          <w:color w:val="auto"/>
          <w:sz w:val="24"/>
          <w:highlight w:val="none"/>
        </w:rPr>
        <w:t>随机供货的备品备件价格表</w:t>
      </w:r>
    </w:p>
    <w:p>
      <w:pPr>
        <w:spacing w:before="4"/>
        <w:ind w:left="3432" w:firstLine="0"/>
        <w:outlineLvl w:val="9"/>
        <w:rPr>
          <w:rFonts w:hint="eastAsia" w:ascii="宋体" w:hAnsi="宋体" w:eastAsia="宋体" w:cs="宋体"/>
          <w:color w:val="auto"/>
          <w:highlight w:val="none"/>
        </w:rPr>
      </w:pPr>
      <w:r>
        <w:rPr>
          <w:rFonts w:hint="eastAsia" w:ascii="宋体" w:hAnsi="宋体" w:eastAsia="宋体" w:cs="宋体"/>
          <w:color w:val="auto"/>
          <w:highlight w:val="none"/>
        </w:rPr>
        <w:t>随机供货的备品备件价格表</w:t>
      </w:r>
    </w:p>
    <w:p>
      <w:pPr>
        <w:pStyle w:val="2"/>
        <w:spacing w:before="4"/>
        <w:outlineLvl w:val="9"/>
        <w:rPr>
          <w:rFonts w:hint="eastAsia" w:ascii="宋体" w:hAnsi="宋体" w:eastAsia="宋体" w:cs="宋体"/>
          <w:b/>
          <w:color w:val="auto"/>
          <w:sz w:val="12"/>
          <w:highlight w:val="none"/>
        </w:rPr>
      </w:pPr>
    </w:p>
    <w:tbl>
      <w:tblPr>
        <w:tblStyle w:val="20"/>
        <w:tblW w:w="0" w:type="auto"/>
        <w:tblInd w:w="3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873"/>
        <w:gridCol w:w="1440"/>
        <w:gridCol w:w="720"/>
        <w:gridCol w:w="720"/>
        <w:gridCol w:w="900"/>
        <w:gridCol w:w="1260"/>
        <w:gridCol w:w="900"/>
        <w:gridCol w:w="14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tcPr>
          <w:p>
            <w:pPr>
              <w:pStyle w:val="28"/>
              <w:spacing w:before="2" w:line="250" w:lineRule="exact"/>
              <w:ind w:left="127"/>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序号</w:t>
            </w:r>
          </w:p>
        </w:tc>
        <w:tc>
          <w:tcPr>
            <w:tcW w:w="873" w:type="dxa"/>
          </w:tcPr>
          <w:p>
            <w:pPr>
              <w:pStyle w:val="28"/>
              <w:spacing w:before="2" w:line="250" w:lineRule="exact"/>
              <w:ind w:left="232"/>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名称</w:t>
            </w:r>
          </w:p>
        </w:tc>
        <w:tc>
          <w:tcPr>
            <w:tcW w:w="1440" w:type="dxa"/>
          </w:tcPr>
          <w:p>
            <w:pPr>
              <w:pStyle w:val="28"/>
              <w:spacing w:before="2" w:line="250" w:lineRule="exact"/>
              <w:ind w:left="194"/>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规格和型号</w:t>
            </w:r>
          </w:p>
        </w:tc>
        <w:tc>
          <w:tcPr>
            <w:tcW w:w="720" w:type="dxa"/>
          </w:tcPr>
          <w:p>
            <w:pPr>
              <w:pStyle w:val="28"/>
              <w:spacing w:before="2" w:line="250" w:lineRule="exact"/>
              <w:ind w:left="149"/>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单位</w:t>
            </w:r>
          </w:p>
        </w:tc>
        <w:tc>
          <w:tcPr>
            <w:tcW w:w="720" w:type="dxa"/>
          </w:tcPr>
          <w:p>
            <w:pPr>
              <w:pStyle w:val="28"/>
              <w:spacing w:before="2" w:line="250" w:lineRule="exact"/>
              <w:ind w:left="149"/>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数量</w:t>
            </w:r>
          </w:p>
        </w:tc>
        <w:tc>
          <w:tcPr>
            <w:tcW w:w="900" w:type="dxa"/>
          </w:tcPr>
          <w:p>
            <w:pPr>
              <w:pStyle w:val="28"/>
              <w:spacing w:before="2" w:line="250" w:lineRule="exact"/>
              <w:ind w:left="240"/>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产地</w:t>
            </w:r>
          </w:p>
        </w:tc>
        <w:tc>
          <w:tcPr>
            <w:tcW w:w="1260" w:type="dxa"/>
          </w:tcPr>
          <w:p>
            <w:pPr>
              <w:pStyle w:val="28"/>
              <w:spacing w:before="2" w:line="250" w:lineRule="exact"/>
              <w:ind w:left="290"/>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生产厂家</w:t>
            </w:r>
          </w:p>
        </w:tc>
        <w:tc>
          <w:tcPr>
            <w:tcW w:w="900" w:type="dxa"/>
          </w:tcPr>
          <w:p>
            <w:pPr>
              <w:pStyle w:val="28"/>
              <w:spacing w:before="2" w:line="250" w:lineRule="exact"/>
              <w:ind w:left="240"/>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价格</w:t>
            </w:r>
          </w:p>
        </w:tc>
        <w:tc>
          <w:tcPr>
            <w:tcW w:w="1409" w:type="dxa"/>
          </w:tcPr>
          <w:p>
            <w:pPr>
              <w:pStyle w:val="28"/>
              <w:spacing w:before="2" w:line="250" w:lineRule="exact"/>
              <w:ind w:left="473" w:right="465"/>
              <w:jc w:val="center"/>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tcPr>
          <w:p>
            <w:pPr>
              <w:pStyle w:val="28"/>
              <w:outlineLvl w:val="9"/>
              <w:rPr>
                <w:rFonts w:hint="eastAsia" w:ascii="宋体" w:hAnsi="宋体" w:eastAsia="宋体" w:cs="宋体"/>
                <w:color w:val="auto"/>
                <w:sz w:val="20"/>
                <w:highlight w:val="none"/>
              </w:rPr>
            </w:pPr>
          </w:p>
        </w:tc>
        <w:tc>
          <w:tcPr>
            <w:tcW w:w="873" w:type="dxa"/>
          </w:tcPr>
          <w:p>
            <w:pPr>
              <w:pStyle w:val="28"/>
              <w:outlineLvl w:val="9"/>
              <w:rPr>
                <w:rFonts w:hint="eastAsia" w:ascii="宋体" w:hAnsi="宋体" w:eastAsia="宋体" w:cs="宋体"/>
                <w:color w:val="auto"/>
                <w:sz w:val="20"/>
                <w:highlight w:val="none"/>
              </w:rPr>
            </w:pPr>
          </w:p>
        </w:tc>
        <w:tc>
          <w:tcPr>
            <w:tcW w:w="144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26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40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tcPr>
          <w:p>
            <w:pPr>
              <w:pStyle w:val="28"/>
              <w:outlineLvl w:val="9"/>
              <w:rPr>
                <w:rFonts w:hint="eastAsia" w:ascii="宋体" w:hAnsi="宋体" w:eastAsia="宋体" w:cs="宋体"/>
                <w:color w:val="auto"/>
                <w:sz w:val="20"/>
                <w:highlight w:val="none"/>
              </w:rPr>
            </w:pPr>
          </w:p>
        </w:tc>
        <w:tc>
          <w:tcPr>
            <w:tcW w:w="873" w:type="dxa"/>
          </w:tcPr>
          <w:p>
            <w:pPr>
              <w:pStyle w:val="28"/>
              <w:outlineLvl w:val="9"/>
              <w:rPr>
                <w:rFonts w:hint="eastAsia" w:ascii="宋体" w:hAnsi="宋体" w:eastAsia="宋体" w:cs="宋体"/>
                <w:color w:val="auto"/>
                <w:sz w:val="20"/>
                <w:highlight w:val="none"/>
              </w:rPr>
            </w:pPr>
          </w:p>
        </w:tc>
        <w:tc>
          <w:tcPr>
            <w:tcW w:w="144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26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40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tcPr>
          <w:p>
            <w:pPr>
              <w:pStyle w:val="28"/>
              <w:outlineLvl w:val="9"/>
              <w:rPr>
                <w:rFonts w:hint="eastAsia" w:ascii="宋体" w:hAnsi="宋体" w:eastAsia="宋体" w:cs="宋体"/>
                <w:color w:val="auto"/>
                <w:sz w:val="20"/>
                <w:highlight w:val="none"/>
              </w:rPr>
            </w:pPr>
          </w:p>
        </w:tc>
        <w:tc>
          <w:tcPr>
            <w:tcW w:w="873" w:type="dxa"/>
          </w:tcPr>
          <w:p>
            <w:pPr>
              <w:pStyle w:val="28"/>
              <w:outlineLvl w:val="9"/>
              <w:rPr>
                <w:rFonts w:hint="eastAsia" w:ascii="宋体" w:hAnsi="宋体" w:eastAsia="宋体" w:cs="宋体"/>
                <w:color w:val="auto"/>
                <w:sz w:val="20"/>
                <w:highlight w:val="none"/>
              </w:rPr>
            </w:pPr>
          </w:p>
        </w:tc>
        <w:tc>
          <w:tcPr>
            <w:tcW w:w="144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26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40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tcPr>
          <w:p>
            <w:pPr>
              <w:pStyle w:val="28"/>
              <w:outlineLvl w:val="9"/>
              <w:rPr>
                <w:rFonts w:hint="eastAsia" w:ascii="宋体" w:hAnsi="宋体" w:eastAsia="宋体" w:cs="宋体"/>
                <w:color w:val="auto"/>
                <w:sz w:val="20"/>
                <w:highlight w:val="none"/>
              </w:rPr>
            </w:pPr>
          </w:p>
        </w:tc>
        <w:tc>
          <w:tcPr>
            <w:tcW w:w="873" w:type="dxa"/>
          </w:tcPr>
          <w:p>
            <w:pPr>
              <w:pStyle w:val="28"/>
              <w:outlineLvl w:val="9"/>
              <w:rPr>
                <w:rFonts w:hint="eastAsia" w:ascii="宋体" w:hAnsi="宋体" w:eastAsia="宋体" w:cs="宋体"/>
                <w:color w:val="auto"/>
                <w:sz w:val="20"/>
                <w:highlight w:val="none"/>
              </w:rPr>
            </w:pPr>
          </w:p>
        </w:tc>
        <w:tc>
          <w:tcPr>
            <w:tcW w:w="144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26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40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tcPr>
          <w:p>
            <w:pPr>
              <w:pStyle w:val="28"/>
              <w:outlineLvl w:val="9"/>
              <w:rPr>
                <w:rFonts w:hint="eastAsia" w:ascii="宋体" w:hAnsi="宋体" w:eastAsia="宋体" w:cs="宋体"/>
                <w:color w:val="auto"/>
                <w:sz w:val="20"/>
                <w:highlight w:val="none"/>
              </w:rPr>
            </w:pPr>
          </w:p>
        </w:tc>
        <w:tc>
          <w:tcPr>
            <w:tcW w:w="873" w:type="dxa"/>
          </w:tcPr>
          <w:p>
            <w:pPr>
              <w:pStyle w:val="28"/>
              <w:spacing w:before="1" w:line="251" w:lineRule="exact"/>
              <w:ind w:left="107"/>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合计</w:t>
            </w:r>
          </w:p>
        </w:tc>
        <w:tc>
          <w:tcPr>
            <w:tcW w:w="144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26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409" w:type="dxa"/>
          </w:tcPr>
          <w:p>
            <w:pPr>
              <w:pStyle w:val="28"/>
              <w:outlineLvl w:val="9"/>
              <w:rPr>
                <w:rFonts w:hint="eastAsia" w:ascii="宋体" w:hAnsi="宋体" w:eastAsia="宋体" w:cs="宋体"/>
                <w:color w:val="auto"/>
                <w:sz w:val="20"/>
                <w:highlight w:val="none"/>
              </w:rPr>
            </w:pPr>
          </w:p>
        </w:tc>
      </w:tr>
    </w:tbl>
    <w:p>
      <w:pPr>
        <w:spacing w:before="10"/>
        <w:ind w:left="477" w:right="0" w:firstLine="0"/>
        <w:jc w:val="left"/>
        <w:outlineLvl w:val="9"/>
        <w:rPr>
          <w:rFonts w:hint="eastAsia" w:ascii="宋体" w:hAnsi="宋体" w:eastAsia="宋体" w:cs="宋体"/>
          <w:color w:val="auto"/>
          <w:sz w:val="20"/>
          <w:highlight w:val="none"/>
        </w:rPr>
      </w:pPr>
      <w:r>
        <w:rPr>
          <w:rFonts w:hint="eastAsia" w:ascii="宋体" w:hAnsi="宋体" w:eastAsia="宋体" w:cs="宋体"/>
          <w:color w:val="auto"/>
          <w:sz w:val="20"/>
          <w:highlight w:val="none"/>
        </w:rPr>
        <w:t>注：投标设备中所包含的备品备件应逐一填报，本表中价格已包含在投标总报价之内。</w:t>
      </w:r>
    </w:p>
    <w:p>
      <w:pPr>
        <w:pStyle w:val="2"/>
        <w:spacing w:before="10"/>
        <w:outlineLvl w:val="9"/>
        <w:rPr>
          <w:rFonts w:hint="eastAsia" w:ascii="宋体" w:hAnsi="宋体" w:eastAsia="宋体" w:cs="宋体"/>
          <w:color w:val="auto"/>
          <w:sz w:val="20"/>
          <w:highlight w:val="none"/>
        </w:rPr>
      </w:pPr>
    </w:p>
    <w:p>
      <w:pPr>
        <w:pStyle w:val="2"/>
        <w:tabs>
          <w:tab w:val="left" w:pos="7451"/>
          <w:tab w:val="left" w:pos="7936"/>
        </w:tabs>
        <w:spacing w:line="484" w:lineRule="auto"/>
        <w:ind w:left="3736" w:right="861"/>
        <w:outlineLvl w:val="9"/>
        <w:rPr>
          <w:rFonts w:hint="eastAsia" w:ascii="宋体" w:hAnsi="宋体" w:eastAsia="宋体" w:cs="宋体"/>
          <w:color w:val="auto"/>
          <w:spacing w:val="-12"/>
          <w:highlight w:val="none"/>
        </w:rPr>
      </w:pPr>
      <w:r>
        <w:rPr>
          <w:rFonts w:hint="eastAsia" w:ascii="宋体" w:hAnsi="宋体" w:eastAsia="宋体" w:cs="宋体"/>
          <w:color w:val="auto"/>
          <w:highlight w:val="none"/>
        </w:rPr>
        <w:t>投 标</w:t>
      </w:r>
      <w:r>
        <w:rPr>
          <w:rFonts w:hint="eastAsia" w:ascii="宋体" w:hAnsi="宋体" w:eastAsia="宋体" w:cs="宋体"/>
          <w:color w:val="auto"/>
          <w:spacing w:val="-5"/>
          <w:highlight w:val="none"/>
        </w:rPr>
        <w:t xml:space="preserve"> </w:t>
      </w:r>
      <w:r>
        <w:rPr>
          <w:rFonts w:hint="eastAsia" w:ascii="宋体" w:hAnsi="宋体" w:eastAsia="宋体" w:cs="宋体"/>
          <w:color w:val="auto"/>
          <w:highlight w:val="none"/>
        </w:rPr>
        <w:t>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r>
        <w:rPr>
          <w:rFonts w:hint="eastAsia" w:ascii="宋体" w:hAnsi="宋体" w:eastAsia="宋体" w:cs="宋体"/>
          <w:color w:val="auto"/>
          <w:spacing w:val="-12"/>
          <w:highlight w:val="none"/>
        </w:rPr>
        <w:t xml:space="preserve">） </w:t>
      </w:r>
    </w:p>
    <w:p>
      <w:pPr>
        <w:pStyle w:val="2"/>
        <w:tabs>
          <w:tab w:val="left" w:pos="7451"/>
          <w:tab w:val="left" w:pos="7936"/>
        </w:tabs>
        <w:spacing w:line="484" w:lineRule="auto"/>
        <w:ind w:left="3736" w:right="861"/>
        <w:outlineLvl w:val="9"/>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r>
        <w:rPr>
          <w:rFonts w:hint="eastAsia" w:ascii="宋体" w:hAnsi="宋体" w:eastAsia="宋体" w:cs="宋体"/>
          <w:color w:val="auto"/>
          <w:spacing w:val="-17"/>
          <w:highlight w:val="none"/>
        </w:rPr>
        <w:t>）</w:t>
      </w:r>
    </w:p>
    <w:p>
      <w:pPr>
        <w:tabs>
          <w:tab w:val="left" w:pos="7523"/>
          <w:tab w:val="left" w:pos="8222"/>
          <w:tab w:val="left" w:pos="8923"/>
        </w:tabs>
        <w:spacing w:before="6"/>
        <w:ind w:left="6823" w:right="0" w:firstLine="0"/>
        <w:jc w:val="left"/>
        <w:outlineLvl w:val="9"/>
        <w:rPr>
          <w:rFonts w:hint="eastAsia" w:ascii="宋体" w:hAnsi="宋体" w:eastAsia="宋体" w:cs="宋体"/>
          <w:color w:val="auto"/>
          <w:sz w:val="20"/>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pPr>
        <w:pStyle w:val="2"/>
        <w:outlineLvl w:val="9"/>
        <w:rPr>
          <w:rFonts w:hint="eastAsia" w:ascii="宋体" w:hAnsi="宋体" w:eastAsia="宋体" w:cs="宋体"/>
          <w:color w:val="auto"/>
          <w:sz w:val="22"/>
          <w:highlight w:val="none"/>
        </w:rPr>
      </w:pPr>
    </w:p>
    <w:p>
      <w:pPr>
        <w:pStyle w:val="29"/>
        <w:numPr>
          <w:ilvl w:val="0"/>
          <w:numId w:val="49"/>
        </w:numPr>
        <w:tabs>
          <w:tab w:val="left" w:pos="1378"/>
        </w:tabs>
        <w:spacing w:before="190" w:after="0" w:line="240" w:lineRule="auto"/>
        <w:ind w:left="1377" w:right="0" w:hanging="361"/>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随机供货的专用工具价格表</w:t>
      </w:r>
    </w:p>
    <w:p>
      <w:pPr>
        <w:spacing w:before="4"/>
        <w:ind w:left="3432" w:firstLine="0"/>
        <w:outlineLvl w:val="1"/>
        <w:rPr>
          <w:rFonts w:hint="eastAsia" w:ascii="宋体" w:hAnsi="宋体" w:eastAsia="宋体" w:cs="宋体"/>
          <w:color w:val="auto"/>
          <w:highlight w:val="none"/>
        </w:rPr>
      </w:pPr>
      <w:bookmarkStart w:id="289" w:name="_Toc17458"/>
      <w:r>
        <w:rPr>
          <w:rFonts w:hint="eastAsia" w:ascii="宋体" w:hAnsi="宋体" w:eastAsia="宋体" w:cs="宋体"/>
          <w:color w:val="auto"/>
          <w:highlight w:val="none"/>
        </w:rPr>
        <w:t>随机供货的专用工具价格表</w:t>
      </w:r>
      <w:bookmarkEnd w:id="289"/>
    </w:p>
    <w:p>
      <w:pPr>
        <w:pStyle w:val="2"/>
        <w:spacing w:before="3"/>
        <w:outlineLvl w:val="9"/>
        <w:rPr>
          <w:rFonts w:hint="eastAsia" w:ascii="宋体" w:hAnsi="宋体" w:eastAsia="宋体" w:cs="宋体"/>
          <w:b/>
          <w:color w:val="auto"/>
          <w:sz w:val="12"/>
          <w:highlight w:val="none"/>
        </w:rPr>
      </w:pPr>
    </w:p>
    <w:tbl>
      <w:tblPr>
        <w:tblStyle w:val="20"/>
        <w:tblW w:w="0" w:type="auto"/>
        <w:tblInd w:w="3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873"/>
        <w:gridCol w:w="1440"/>
        <w:gridCol w:w="720"/>
        <w:gridCol w:w="720"/>
        <w:gridCol w:w="900"/>
        <w:gridCol w:w="1260"/>
        <w:gridCol w:w="900"/>
        <w:gridCol w:w="14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tcPr>
          <w:p>
            <w:pPr>
              <w:pStyle w:val="28"/>
              <w:spacing w:line="253" w:lineRule="exact"/>
              <w:ind w:left="127"/>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序号</w:t>
            </w:r>
          </w:p>
        </w:tc>
        <w:tc>
          <w:tcPr>
            <w:tcW w:w="873" w:type="dxa"/>
          </w:tcPr>
          <w:p>
            <w:pPr>
              <w:pStyle w:val="28"/>
              <w:spacing w:line="253" w:lineRule="exact"/>
              <w:ind w:left="232"/>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名称</w:t>
            </w:r>
          </w:p>
        </w:tc>
        <w:tc>
          <w:tcPr>
            <w:tcW w:w="1440" w:type="dxa"/>
          </w:tcPr>
          <w:p>
            <w:pPr>
              <w:pStyle w:val="28"/>
              <w:spacing w:line="253" w:lineRule="exact"/>
              <w:ind w:left="194"/>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规格和型号</w:t>
            </w:r>
          </w:p>
        </w:tc>
        <w:tc>
          <w:tcPr>
            <w:tcW w:w="720" w:type="dxa"/>
          </w:tcPr>
          <w:p>
            <w:pPr>
              <w:pStyle w:val="28"/>
              <w:spacing w:line="253" w:lineRule="exact"/>
              <w:ind w:left="149"/>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单位</w:t>
            </w:r>
          </w:p>
        </w:tc>
        <w:tc>
          <w:tcPr>
            <w:tcW w:w="720" w:type="dxa"/>
          </w:tcPr>
          <w:p>
            <w:pPr>
              <w:pStyle w:val="28"/>
              <w:spacing w:line="253" w:lineRule="exact"/>
              <w:ind w:left="149"/>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数量</w:t>
            </w:r>
          </w:p>
        </w:tc>
        <w:tc>
          <w:tcPr>
            <w:tcW w:w="900" w:type="dxa"/>
          </w:tcPr>
          <w:p>
            <w:pPr>
              <w:pStyle w:val="28"/>
              <w:spacing w:line="253" w:lineRule="exact"/>
              <w:ind w:left="240"/>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产地</w:t>
            </w:r>
          </w:p>
        </w:tc>
        <w:tc>
          <w:tcPr>
            <w:tcW w:w="1260" w:type="dxa"/>
          </w:tcPr>
          <w:p>
            <w:pPr>
              <w:pStyle w:val="28"/>
              <w:spacing w:line="253" w:lineRule="exact"/>
              <w:ind w:left="290"/>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生产厂家</w:t>
            </w:r>
          </w:p>
        </w:tc>
        <w:tc>
          <w:tcPr>
            <w:tcW w:w="900" w:type="dxa"/>
          </w:tcPr>
          <w:p>
            <w:pPr>
              <w:pStyle w:val="28"/>
              <w:spacing w:line="253" w:lineRule="exact"/>
              <w:ind w:left="240"/>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价格</w:t>
            </w:r>
          </w:p>
        </w:tc>
        <w:tc>
          <w:tcPr>
            <w:tcW w:w="1409" w:type="dxa"/>
          </w:tcPr>
          <w:p>
            <w:pPr>
              <w:pStyle w:val="28"/>
              <w:spacing w:line="253" w:lineRule="exact"/>
              <w:ind w:left="473" w:right="465"/>
              <w:jc w:val="center"/>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tcPr>
          <w:p>
            <w:pPr>
              <w:pStyle w:val="28"/>
              <w:outlineLvl w:val="9"/>
              <w:rPr>
                <w:rFonts w:hint="eastAsia" w:ascii="宋体" w:hAnsi="宋体" w:eastAsia="宋体" w:cs="宋体"/>
                <w:color w:val="auto"/>
                <w:sz w:val="20"/>
                <w:highlight w:val="none"/>
              </w:rPr>
            </w:pPr>
          </w:p>
        </w:tc>
        <w:tc>
          <w:tcPr>
            <w:tcW w:w="873" w:type="dxa"/>
          </w:tcPr>
          <w:p>
            <w:pPr>
              <w:pStyle w:val="28"/>
              <w:outlineLvl w:val="9"/>
              <w:rPr>
                <w:rFonts w:hint="eastAsia" w:ascii="宋体" w:hAnsi="宋体" w:eastAsia="宋体" w:cs="宋体"/>
                <w:color w:val="auto"/>
                <w:sz w:val="20"/>
                <w:highlight w:val="none"/>
              </w:rPr>
            </w:pPr>
          </w:p>
        </w:tc>
        <w:tc>
          <w:tcPr>
            <w:tcW w:w="144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26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40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tcPr>
          <w:p>
            <w:pPr>
              <w:pStyle w:val="28"/>
              <w:outlineLvl w:val="9"/>
              <w:rPr>
                <w:rFonts w:hint="eastAsia" w:ascii="宋体" w:hAnsi="宋体" w:eastAsia="宋体" w:cs="宋体"/>
                <w:color w:val="auto"/>
                <w:sz w:val="20"/>
                <w:highlight w:val="none"/>
              </w:rPr>
            </w:pPr>
          </w:p>
        </w:tc>
        <w:tc>
          <w:tcPr>
            <w:tcW w:w="873" w:type="dxa"/>
          </w:tcPr>
          <w:p>
            <w:pPr>
              <w:pStyle w:val="28"/>
              <w:outlineLvl w:val="9"/>
              <w:rPr>
                <w:rFonts w:hint="eastAsia" w:ascii="宋体" w:hAnsi="宋体" w:eastAsia="宋体" w:cs="宋体"/>
                <w:color w:val="auto"/>
                <w:sz w:val="20"/>
                <w:highlight w:val="none"/>
              </w:rPr>
            </w:pPr>
          </w:p>
        </w:tc>
        <w:tc>
          <w:tcPr>
            <w:tcW w:w="144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26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40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tcPr>
          <w:p>
            <w:pPr>
              <w:pStyle w:val="28"/>
              <w:outlineLvl w:val="9"/>
              <w:rPr>
                <w:rFonts w:hint="eastAsia" w:ascii="宋体" w:hAnsi="宋体" w:eastAsia="宋体" w:cs="宋体"/>
                <w:color w:val="auto"/>
                <w:sz w:val="20"/>
                <w:highlight w:val="none"/>
              </w:rPr>
            </w:pPr>
          </w:p>
        </w:tc>
        <w:tc>
          <w:tcPr>
            <w:tcW w:w="873" w:type="dxa"/>
          </w:tcPr>
          <w:p>
            <w:pPr>
              <w:pStyle w:val="28"/>
              <w:outlineLvl w:val="9"/>
              <w:rPr>
                <w:rFonts w:hint="eastAsia" w:ascii="宋体" w:hAnsi="宋体" w:eastAsia="宋体" w:cs="宋体"/>
                <w:color w:val="auto"/>
                <w:sz w:val="20"/>
                <w:highlight w:val="none"/>
              </w:rPr>
            </w:pPr>
          </w:p>
        </w:tc>
        <w:tc>
          <w:tcPr>
            <w:tcW w:w="144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26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40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tcPr>
          <w:p>
            <w:pPr>
              <w:pStyle w:val="28"/>
              <w:outlineLvl w:val="9"/>
              <w:rPr>
                <w:rFonts w:hint="eastAsia" w:ascii="宋体" w:hAnsi="宋体" w:eastAsia="宋体" w:cs="宋体"/>
                <w:color w:val="auto"/>
                <w:sz w:val="20"/>
                <w:highlight w:val="none"/>
              </w:rPr>
            </w:pPr>
          </w:p>
        </w:tc>
        <w:tc>
          <w:tcPr>
            <w:tcW w:w="873" w:type="dxa"/>
          </w:tcPr>
          <w:p>
            <w:pPr>
              <w:pStyle w:val="28"/>
              <w:outlineLvl w:val="9"/>
              <w:rPr>
                <w:rFonts w:hint="eastAsia" w:ascii="宋体" w:hAnsi="宋体" w:eastAsia="宋体" w:cs="宋体"/>
                <w:color w:val="auto"/>
                <w:sz w:val="20"/>
                <w:highlight w:val="none"/>
              </w:rPr>
            </w:pPr>
          </w:p>
        </w:tc>
        <w:tc>
          <w:tcPr>
            <w:tcW w:w="144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26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409" w:type="dxa"/>
          </w:tcPr>
          <w:p>
            <w:pPr>
              <w:pStyle w:val="28"/>
              <w:outlineLvl w:val="9"/>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tcPr>
          <w:p>
            <w:pPr>
              <w:pStyle w:val="28"/>
              <w:outlineLvl w:val="9"/>
              <w:rPr>
                <w:rFonts w:hint="eastAsia" w:ascii="宋体" w:hAnsi="宋体" w:eastAsia="宋体" w:cs="宋体"/>
                <w:color w:val="auto"/>
                <w:sz w:val="20"/>
                <w:highlight w:val="none"/>
              </w:rPr>
            </w:pPr>
          </w:p>
        </w:tc>
        <w:tc>
          <w:tcPr>
            <w:tcW w:w="873" w:type="dxa"/>
          </w:tcPr>
          <w:p>
            <w:pPr>
              <w:pStyle w:val="28"/>
              <w:spacing w:before="1" w:line="251" w:lineRule="exact"/>
              <w:ind w:left="107"/>
              <w:outlineLvl w:val="9"/>
              <w:rPr>
                <w:rFonts w:hint="eastAsia" w:ascii="宋体" w:hAnsi="宋体" w:eastAsia="宋体" w:cs="宋体"/>
                <w:color w:val="auto"/>
                <w:sz w:val="21"/>
                <w:highlight w:val="none"/>
              </w:rPr>
            </w:pPr>
            <w:r>
              <w:rPr>
                <w:rFonts w:hint="eastAsia" w:ascii="宋体" w:hAnsi="宋体" w:eastAsia="宋体" w:cs="宋体"/>
                <w:color w:val="auto"/>
                <w:sz w:val="21"/>
                <w:highlight w:val="none"/>
              </w:rPr>
              <w:t>合计</w:t>
            </w:r>
          </w:p>
        </w:tc>
        <w:tc>
          <w:tcPr>
            <w:tcW w:w="144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72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260" w:type="dxa"/>
          </w:tcPr>
          <w:p>
            <w:pPr>
              <w:pStyle w:val="28"/>
              <w:outlineLvl w:val="9"/>
              <w:rPr>
                <w:rFonts w:hint="eastAsia" w:ascii="宋体" w:hAnsi="宋体" w:eastAsia="宋体" w:cs="宋体"/>
                <w:color w:val="auto"/>
                <w:sz w:val="20"/>
                <w:highlight w:val="none"/>
              </w:rPr>
            </w:pPr>
          </w:p>
        </w:tc>
        <w:tc>
          <w:tcPr>
            <w:tcW w:w="900" w:type="dxa"/>
          </w:tcPr>
          <w:p>
            <w:pPr>
              <w:pStyle w:val="28"/>
              <w:outlineLvl w:val="9"/>
              <w:rPr>
                <w:rFonts w:hint="eastAsia" w:ascii="宋体" w:hAnsi="宋体" w:eastAsia="宋体" w:cs="宋体"/>
                <w:color w:val="auto"/>
                <w:sz w:val="20"/>
                <w:highlight w:val="none"/>
              </w:rPr>
            </w:pPr>
          </w:p>
        </w:tc>
        <w:tc>
          <w:tcPr>
            <w:tcW w:w="1409" w:type="dxa"/>
          </w:tcPr>
          <w:p>
            <w:pPr>
              <w:pStyle w:val="28"/>
              <w:outlineLvl w:val="9"/>
              <w:rPr>
                <w:rFonts w:hint="eastAsia" w:ascii="宋体" w:hAnsi="宋体" w:eastAsia="宋体" w:cs="宋体"/>
                <w:color w:val="auto"/>
                <w:sz w:val="20"/>
                <w:highlight w:val="none"/>
              </w:rPr>
            </w:pPr>
          </w:p>
        </w:tc>
      </w:tr>
    </w:tbl>
    <w:p>
      <w:pPr>
        <w:spacing w:before="7"/>
        <w:ind w:left="477" w:right="0" w:firstLine="0"/>
        <w:jc w:val="left"/>
        <w:outlineLvl w:val="9"/>
        <w:rPr>
          <w:rFonts w:hint="eastAsia" w:ascii="宋体" w:hAnsi="宋体" w:eastAsia="宋体" w:cs="宋体"/>
          <w:color w:val="auto"/>
          <w:sz w:val="20"/>
          <w:highlight w:val="none"/>
        </w:rPr>
      </w:pPr>
      <w:r>
        <w:rPr>
          <w:rFonts w:hint="eastAsia" w:ascii="宋体" w:hAnsi="宋体" w:eastAsia="宋体" w:cs="宋体"/>
          <w:color w:val="auto"/>
          <w:sz w:val="20"/>
          <w:highlight w:val="none"/>
        </w:rPr>
        <w:t>注：投标设备中所包含的专用工具应逐一填报，本表中价格已包含在投标总报价之内。</w:t>
      </w:r>
    </w:p>
    <w:p>
      <w:pPr>
        <w:pStyle w:val="2"/>
        <w:spacing w:before="2"/>
        <w:outlineLvl w:val="9"/>
        <w:rPr>
          <w:rFonts w:hint="eastAsia" w:ascii="宋体" w:hAnsi="宋体" w:eastAsia="宋体" w:cs="宋体"/>
          <w:color w:val="auto"/>
          <w:sz w:val="21"/>
          <w:highlight w:val="none"/>
        </w:rPr>
      </w:pPr>
    </w:p>
    <w:p>
      <w:pPr>
        <w:pStyle w:val="2"/>
        <w:tabs>
          <w:tab w:val="left" w:pos="7451"/>
          <w:tab w:val="left" w:pos="7936"/>
        </w:tabs>
        <w:spacing w:line="484" w:lineRule="auto"/>
        <w:ind w:left="3736" w:right="861"/>
        <w:jc w:val="right"/>
        <w:outlineLvl w:val="9"/>
        <w:rPr>
          <w:rFonts w:hint="eastAsia" w:ascii="宋体" w:hAnsi="宋体" w:eastAsia="宋体" w:cs="宋体"/>
          <w:color w:val="auto"/>
          <w:spacing w:val="-12"/>
          <w:highlight w:val="none"/>
        </w:rPr>
      </w:pPr>
      <w:r>
        <w:rPr>
          <w:rFonts w:hint="eastAsia" w:ascii="宋体" w:hAnsi="宋体" w:eastAsia="宋体" w:cs="宋体"/>
          <w:color w:val="auto"/>
          <w:highlight w:val="none"/>
        </w:rPr>
        <w:t>投 标</w:t>
      </w:r>
      <w:r>
        <w:rPr>
          <w:rFonts w:hint="eastAsia" w:ascii="宋体" w:hAnsi="宋体" w:eastAsia="宋体" w:cs="宋体"/>
          <w:color w:val="auto"/>
          <w:spacing w:val="-5"/>
          <w:highlight w:val="none"/>
        </w:rPr>
        <w:t xml:space="preserve"> </w:t>
      </w:r>
      <w:r>
        <w:rPr>
          <w:rFonts w:hint="eastAsia" w:ascii="宋体" w:hAnsi="宋体" w:eastAsia="宋体" w:cs="宋体"/>
          <w:color w:val="auto"/>
          <w:highlight w:val="none"/>
        </w:rPr>
        <w:t>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r>
        <w:rPr>
          <w:rFonts w:hint="eastAsia" w:ascii="宋体" w:hAnsi="宋体" w:eastAsia="宋体" w:cs="宋体"/>
          <w:color w:val="auto"/>
          <w:spacing w:val="-12"/>
          <w:highlight w:val="none"/>
        </w:rPr>
        <w:t xml:space="preserve">） </w:t>
      </w:r>
    </w:p>
    <w:p>
      <w:pPr>
        <w:pStyle w:val="2"/>
        <w:tabs>
          <w:tab w:val="left" w:pos="7451"/>
          <w:tab w:val="left" w:pos="7936"/>
        </w:tabs>
        <w:spacing w:line="484" w:lineRule="auto"/>
        <w:ind w:left="3736" w:right="861"/>
        <w:jc w:val="right"/>
        <w:outlineLvl w:val="9"/>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r>
        <w:rPr>
          <w:rFonts w:hint="eastAsia" w:ascii="宋体" w:hAnsi="宋体" w:eastAsia="宋体" w:cs="宋体"/>
          <w:color w:val="auto"/>
          <w:spacing w:val="-17"/>
          <w:highlight w:val="none"/>
        </w:rPr>
        <w:t>）</w:t>
      </w:r>
    </w:p>
    <w:p>
      <w:pPr>
        <w:jc w:val="right"/>
        <w:rPr>
          <w:rFonts w:hint="eastAsia" w:ascii="宋体" w:hAnsi="宋体" w:eastAsia="宋体" w:cs="宋体"/>
          <w:color w:val="auto"/>
          <w:highlight w:val="none"/>
          <w:lang w:val="zh-CN" w:eastAsia="zh-CN"/>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r>
        <w:rPr>
          <w:rFonts w:hint="eastAsia" w:ascii="宋体" w:hAnsi="宋体" w:eastAsia="宋体" w:cs="宋体"/>
          <w:color w:val="auto"/>
          <w:highlight w:val="none"/>
          <w:lang w:val="zh-CN" w:eastAsia="zh-CN"/>
        </w:rPr>
        <w:br w:type="page"/>
      </w:r>
    </w:p>
    <w:p>
      <w:pPr>
        <w:pStyle w:val="7"/>
        <w:outlineLvl w:val="1"/>
        <w:rPr>
          <w:rFonts w:hint="eastAsia" w:ascii="宋体" w:hAnsi="宋体" w:eastAsia="宋体" w:cs="宋体"/>
          <w:color w:val="auto"/>
          <w:highlight w:val="none"/>
        </w:rPr>
      </w:pPr>
      <w:bookmarkStart w:id="290" w:name="_Toc8514"/>
      <w:r>
        <w:rPr>
          <w:rFonts w:hint="eastAsia" w:ascii="宋体" w:hAnsi="宋体" w:eastAsia="宋体" w:cs="宋体"/>
          <w:color w:val="auto"/>
          <w:highlight w:val="none"/>
        </w:rPr>
        <w:t>七、资格审查资料</w:t>
      </w:r>
      <w:bookmarkEnd w:id="290"/>
    </w:p>
    <w:p>
      <w:pPr>
        <w:pStyle w:val="2"/>
        <w:spacing w:before="8"/>
        <w:rPr>
          <w:rFonts w:hint="eastAsia" w:ascii="宋体" w:hAnsi="宋体" w:eastAsia="宋体" w:cs="宋体"/>
          <w:b/>
          <w:color w:val="auto"/>
          <w:sz w:val="23"/>
          <w:highlight w:val="none"/>
        </w:rPr>
      </w:pPr>
    </w:p>
    <w:p>
      <w:pPr>
        <w:pStyle w:val="30"/>
        <w:outlineLvl w:val="4"/>
        <w:rPr>
          <w:rFonts w:hint="eastAsia" w:ascii="宋体" w:hAnsi="宋体" w:eastAsia="宋体" w:cs="宋体"/>
          <w:color w:val="auto"/>
          <w:highlight w:val="none"/>
        </w:rPr>
      </w:pPr>
      <w:bookmarkStart w:id="291" w:name="（一）基本情况表"/>
      <w:bookmarkEnd w:id="291"/>
      <w:bookmarkStart w:id="292" w:name="_Toc29475"/>
      <w:bookmarkStart w:id="293" w:name="_Toc31792"/>
      <w:r>
        <w:rPr>
          <w:rFonts w:hint="eastAsia" w:ascii="宋体" w:hAnsi="宋体" w:eastAsia="宋体" w:cs="宋体"/>
          <w:color w:val="auto"/>
          <w:highlight w:val="none"/>
        </w:rPr>
        <w:t>（一）营业执照</w:t>
      </w:r>
      <w:bookmarkEnd w:id="292"/>
      <w:bookmarkEnd w:id="293"/>
    </w:p>
    <w:p>
      <w:pPr>
        <w:pStyle w:val="2"/>
        <w:spacing w:before="40"/>
        <w:rPr>
          <w:rFonts w:hint="eastAsia" w:ascii="宋体" w:hAnsi="宋体" w:eastAsia="宋体" w:cs="宋体"/>
          <w:color w:val="auto"/>
          <w:highlight w:val="none"/>
        </w:rPr>
      </w:pPr>
      <w:r>
        <w:rPr>
          <w:rFonts w:hint="eastAsia" w:ascii="宋体" w:hAnsi="宋体" w:eastAsia="宋体" w:cs="宋体"/>
          <w:color w:val="auto"/>
          <w:highlight w:val="none"/>
        </w:rPr>
        <w:t>说明：如供应商是企业（包括合伙企业），应提供在工商部门注册的有效“企业法人营业执照”或“营业执照”（三证或五证合一）；如供应商是事业单位，应提供有效的“事业单位法人证书”；供应商是非企业专业服务机构的，应提供执业许可证等证明文件；如供应商是个体工商户，应提供有效的“个体工商户营业执照”；如供应商是自然人，应提供有效的自然人身份证明。</w:t>
      </w:r>
    </w:p>
    <w:p>
      <w:pPr>
        <w:pStyle w:val="33"/>
        <w:jc w:val="center"/>
        <w:rPr>
          <w:rFonts w:hint="eastAsia" w:ascii="宋体" w:hAnsi="宋体" w:eastAsia="宋体" w:cs="宋体"/>
          <w:color w:val="auto"/>
          <w:highlight w:val="none"/>
        </w:rPr>
      </w:pPr>
      <w:bookmarkStart w:id="294" w:name="_Toc256000058"/>
      <w:bookmarkStart w:id="295" w:name="_Toc256000045"/>
      <w:r>
        <w:rPr>
          <w:rFonts w:hint="eastAsia" w:ascii="宋体" w:hAnsi="宋体" w:eastAsia="宋体" w:cs="宋体"/>
          <w:color w:val="auto"/>
          <w:highlight w:val="none"/>
        </w:rPr>
        <w:t>供应商基本情况表</w:t>
      </w:r>
      <w:bookmarkEnd w:id="294"/>
      <w:bookmarkEnd w:id="295"/>
    </w:p>
    <w:p>
      <w:pPr>
        <w:pStyle w:val="34"/>
        <w:tabs>
          <w:tab w:val="left" w:pos="5570"/>
        </w:tabs>
        <w:spacing w:before="123"/>
        <w:ind w:left="217"/>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rPr>
        <w:tab/>
      </w:r>
    </w:p>
    <w:p>
      <w:pPr>
        <w:pStyle w:val="34"/>
        <w:tabs>
          <w:tab w:val="left" w:pos="5570"/>
        </w:tabs>
        <w:spacing w:before="123"/>
        <w:ind w:left="217"/>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p>
      <w:pPr>
        <w:pStyle w:val="35"/>
        <w:spacing w:before="9"/>
        <w:rPr>
          <w:rFonts w:hint="eastAsia" w:ascii="宋体" w:hAnsi="宋体" w:eastAsia="宋体" w:cs="宋体"/>
          <w:color w:val="auto"/>
          <w:sz w:val="24"/>
          <w:highlight w:val="none"/>
        </w:rPr>
      </w:pPr>
    </w:p>
    <w:tbl>
      <w:tblPr>
        <w:tblStyle w:val="20"/>
        <w:tblW w:w="9119" w:type="dxa"/>
        <w:jc w:val="center"/>
        <w:tblLayout w:type="fixed"/>
        <w:tblCellMar>
          <w:top w:w="0" w:type="dxa"/>
          <w:left w:w="0" w:type="dxa"/>
          <w:bottom w:w="0" w:type="dxa"/>
          <w:right w:w="0" w:type="dxa"/>
        </w:tblCellMar>
      </w:tblPr>
      <w:tblGrid>
        <w:gridCol w:w="1986"/>
        <w:gridCol w:w="3577"/>
        <w:gridCol w:w="3556"/>
      </w:tblGrid>
      <w:tr>
        <w:tblPrEx>
          <w:tblCellMar>
            <w:top w:w="0" w:type="dxa"/>
            <w:left w:w="0" w:type="dxa"/>
            <w:bottom w:w="0" w:type="dxa"/>
            <w:right w:w="0" w:type="dxa"/>
          </w:tblCellMar>
        </w:tblPrEx>
        <w:trPr>
          <w:trHeight w:val="452" w:hRule="exact"/>
          <w:jc w:val="center"/>
        </w:trPr>
        <w:tc>
          <w:tcPr>
            <w:tcW w:w="1986" w:type="dxa"/>
            <w:tcBorders>
              <w:top w:val="single" w:color="000000" w:sz="4" w:space="0"/>
              <w:left w:val="single" w:color="000000" w:sz="4" w:space="0"/>
              <w:bottom w:val="single" w:color="000000" w:sz="4" w:space="0"/>
              <w:right w:val="single" w:color="000000" w:sz="4" w:space="0"/>
            </w:tcBorders>
            <w:noWrap w:val="0"/>
            <w:vAlign w:val="top"/>
          </w:tcPr>
          <w:p>
            <w:pPr>
              <w:pStyle w:val="28"/>
              <w:spacing w:before="84"/>
              <w:ind w:left="587"/>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供应商名称</w:t>
            </w:r>
          </w:p>
        </w:tc>
        <w:tc>
          <w:tcPr>
            <w:tcW w:w="7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35"/>
              <w:rPr>
                <w:rFonts w:hint="eastAsia" w:ascii="宋体" w:hAnsi="宋体" w:eastAsia="宋体" w:cs="宋体"/>
                <w:color w:val="auto"/>
                <w:szCs w:val="21"/>
                <w:highlight w:val="none"/>
              </w:rPr>
            </w:pPr>
          </w:p>
        </w:tc>
      </w:tr>
      <w:tr>
        <w:tblPrEx>
          <w:tblCellMar>
            <w:top w:w="0" w:type="dxa"/>
            <w:left w:w="0" w:type="dxa"/>
            <w:bottom w:w="0" w:type="dxa"/>
            <w:right w:w="0" w:type="dxa"/>
          </w:tblCellMar>
        </w:tblPrEx>
        <w:trPr>
          <w:trHeight w:val="453" w:hRule="exact"/>
          <w:jc w:val="center"/>
        </w:trPr>
        <w:tc>
          <w:tcPr>
            <w:tcW w:w="1986" w:type="dxa"/>
            <w:tcBorders>
              <w:top w:val="single" w:color="000000" w:sz="4" w:space="0"/>
              <w:left w:val="single" w:color="000000" w:sz="4" w:space="0"/>
              <w:bottom w:val="single" w:color="000000" w:sz="4" w:space="0"/>
              <w:right w:val="single" w:color="000000" w:sz="4" w:space="0"/>
            </w:tcBorders>
            <w:noWrap w:val="0"/>
            <w:vAlign w:val="top"/>
          </w:tcPr>
          <w:p>
            <w:pPr>
              <w:pStyle w:val="28"/>
              <w:spacing w:before="86"/>
              <w:ind w:left="692"/>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联系地址</w:t>
            </w:r>
          </w:p>
        </w:tc>
        <w:tc>
          <w:tcPr>
            <w:tcW w:w="7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35"/>
              <w:rPr>
                <w:rFonts w:hint="eastAsia" w:ascii="宋体" w:hAnsi="宋体" w:eastAsia="宋体" w:cs="宋体"/>
                <w:color w:val="auto"/>
                <w:szCs w:val="21"/>
                <w:highlight w:val="none"/>
              </w:rPr>
            </w:pPr>
          </w:p>
        </w:tc>
      </w:tr>
      <w:tr>
        <w:tblPrEx>
          <w:tblCellMar>
            <w:top w:w="0" w:type="dxa"/>
            <w:left w:w="0" w:type="dxa"/>
            <w:bottom w:w="0" w:type="dxa"/>
            <w:right w:w="0" w:type="dxa"/>
          </w:tblCellMar>
        </w:tblPrEx>
        <w:trPr>
          <w:trHeight w:val="421" w:hRule="exact"/>
          <w:jc w:val="center"/>
        </w:trPr>
        <w:tc>
          <w:tcPr>
            <w:tcW w:w="1986" w:type="dxa"/>
            <w:tcBorders>
              <w:top w:val="single" w:color="000000" w:sz="4" w:space="0"/>
              <w:left w:val="single" w:color="000000" w:sz="4" w:space="0"/>
              <w:bottom w:val="single" w:color="000000" w:sz="4" w:space="0"/>
              <w:right w:val="single" w:color="000000" w:sz="4" w:space="0"/>
            </w:tcBorders>
            <w:noWrap w:val="0"/>
            <w:vAlign w:val="top"/>
          </w:tcPr>
          <w:p>
            <w:pPr>
              <w:pStyle w:val="28"/>
              <w:spacing w:before="84"/>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供应商从业人员数量</w:t>
            </w:r>
          </w:p>
        </w:tc>
        <w:tc>
          <w:tcPr>
            <w:tcW w:w="7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35"/>
              <w:rPr>
                <w:rFonts w:hint="eastAsia" w:ascii="宋体" w:hAnsi="宋体" w:eastAsia="宋体" w:cs="宋体"/>
                <w:color w:val="auto"/>
                <w:szCs w:val="21"/>
                <w:highlight w:val="none"/>
              </w:rPr>
            </w:pPr>
          </w:p>
        </w:tc>
      </w:tr>
      <w:tr>
        <w:tblPrEx>
          <w:tblCellMar>
            <w:top w:w="0" w:type="dxa"/>
            <w:left w:w="0" w:type="dxa"/>
            <w:bottom w:w="0" w:type="dxa"/>
            <w:right w:w="0" w:type="dxa"/>
          </w:tblCellMar>
        </w:tblPrEx>
        <w:trPr>
          <w:trHeight w:val="452" w:hRule="exact"/>
          <w:jc w:val="center"/>
        </w:trPr>
        <w:tc>
          <w:tcPr>
            <w:tcW w:w="1986" w:type="dxa"/>
            <w:tcBorders>
              <w:top w:val="single" w:color="000000" w:sz="4" w:space="0"/>
              <w:left w:val="single" w:color="000000" w:sz="4" w:space="0"/>
              <w:bottom w:val="single" w:color="000000" w:sz="4" w:space="0"/>
              <w:right w:val="single" w:color="000000" w:sz="4" w:space="0"/>
            </w:tcBorders>
            <w:noWrap w:val="0"/>
            <w:vAlign w:val="top"/>
          </w:tcPr>
          <w:p>
            <w:pPr>
              <w:pStyle w:val="28"/>
              <w:spacing w:before="84"/>
              <w:ind w:left="587"/>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法定代表人</w:t>
            </w:r>
          </w:p>
        </w:tc>
        <w:tc>
          <w:tcPr>
            <w:tcW w:w="3577" w:type="dxa"/>
            <w:tcBorders>
              <w:top w:val="single" w:color="000000" w:sz="4" w:space="0"/>
              <w:left w:val="single" w:color="000000" w:sz="4" w:space="0"/>
              <w:bottom w:val="single" w:color="000000" w:sz="4" w:space="0"/>
              <w:right w:val="nil"/>
            </w:tcBorders>
            <w:noWrap w:val="0"/>
            <w:vAlign w:val="top"/>
          </w:tcPr>
          <w:p>
            <w:pPr>
              <w:pStyle w:val="28"/>
              <w:spacing w:before="84"/>
              <w:ind w:left="101"/>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姓名：      职务：    职称：</w:t>
            </w:r>
          </w:p>
        </w:tc>
        <w:tc>
          <w:tcPr>
            <w:tcW w:w="3556" w:type="dxa"/>
            <w:tcBorders>
              <w:top w:val="single" w:color="000000" w:sz="4" w:space="0"/>
              <w:left w:val="nil"/>
              <w:bottom w:val="single" w:color="000000" w:sz="4" w:space="0"/>
              <w:right w:val="single" w:color="000000" w:sz="4" w:space="0"/>
            </w:tcBorders>
            <w:noWrap w:val="0"/>
            <w:vAlign w:val="top"/>
          </w:tcPr>
          <w:p>
            <w:pPr>
              <w:pStyle w:val="28"/>
              <w:spacing w:before="84"/>
              <w:ind w:left="42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电话：</w:t>
            </w:r>
          </w:p>
        </w:tc>
      </w:tr>
      <w:tr>
        <w:tblPrEx>
          <w:tblCellMar>
            <w:top w:w="0" w:type="dxa"/>
            <w:left w:w="0" w:type="dxa"/>
            <w:bottom w:w="0" w:type="dxa"/>
            <w:right w:w="0" w:type="dxa"/>
          </w:tblCellMar>
        </w:tblPrEx>
        <w:trPr>
          <w:trHeight w:val="453" w:hRule="exact"/>
          <w:jc w:val="center"/>
        </w:trPr>
        <w:tc>
          <w:tcPr>
            <w:tcW w:w="1986" w:type="dxa"/>
            <w:tcBorders>
              <w:top w:val="single" w:color="000000" w:sz="4" w:space="0"/>
              <w:left w:val="single" w:color="000000" w:sz="4" w:space="0"/>
              <w:bottom w:val="single" w:color="000000" w:sz="4" w:space="0"/>
              <w:right w:val="single" w:color="000000" w:sz="4" w:space="0"/>
            </w:tcBorders>
            <w:noWrap w:val="0"/>
            <w:vAlign w:val="top"/>
          </w:tcPr>
          <w:p>
            <w:pPr>
              <w:pStyle w:val="28"/>
              <w:spacing w:before="86"/>
              <w:ind w:left="587"/>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技术负责人</w:t>
            </w:r>
          </w:p>
        </w:tc>
        <w:tc>
          <w:tcPr>
            <w:tcW w:w="3577" w:type="dxa"/>
            <w:tcBorders>
              <w:top w:val="single" w:color="000000" w:sz="4" w:space="0"/>
              <w:left w:val="single" w:color="000000" w:sz="4" w:space="0"/>
              <w:bottom w:val="single" w:color="000000" w:sz="4" w:space="0"/>
              <w:right w:val="nil"/>
            </w:tcBorders>
            <w:noWrap w:val="0"/>
            <w:vAlign w:val="top"/>
          </w:tcPr>
          <w:p>
            <w:pPr>
              <w:pStyle w:val="28"/>
              <w:spacing w:before="86"/>
              <w:ind w:left="101"/>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姓名：      职务：    职称：</w:t>
            </w:r>
          </w:p>
        </w:tc>
        <w:tc>
          <w:tcPr>
            <w:tcW w:w="3556" w:type="dxa"/>
            <w:tcBorders>
              <w:top w:val="single" w:color="000000" w:sz="4" w:space="0"/>
              <w:left w:val="nil"/>
              <w:bottom w:val="single" w:color="000000" w:sz="4" w:space="0"/>
              <w:right w:val="single" w:color="000000" w:sz="4" w:space="0"/>
            </w:tcBorders>
            <w:noWrap w:val="0"/>
            <w:vAlign w:val="top"/>
          </w:tcPr>
          <w:p>
            <w:pPr>
              <w:pStyle w:val="28"/>
              <w:spacing w:before="86"/>
              <w:ind w:left="42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电话：</w:t>
            </w:r>
          </w:p>
        </w:tc>
      </w:tr>
      <w:tr>
        <w:tblPrEx>
          <w:tblCellMar>
            <w:top w:w="0" w:type="dxa"/>
            <w:left w:w="0" w:type="dxa"/>
            <w:bottom w:w="0" w:type="dxa"/>
            <w:right w:w="0" w:type="dxa"/>
          </w:tblCellMar>
        </w:tblPrEx>
        <w:trPr>
          <w:trHeight w:val="632" w:hRule="exact"/>
          <w:jc w:val="center"/>
        </w:trPr>
        <w:tc>
          <w:tcPr>
            <w:tcW w:w="1986" w:type="dxa"/>
            <w:tcBorders>
              <w:top w:val="single" w:color="000000" w:sz="4" w:space="0"/>
              <w:left w:val="single" w:color="000000" w:sz="4" w:space="0"/>
              <w:bottom w:val="single" w:color="000000" w:sz="4" w:space="0"/>
              <w:right w:val="single" w:color="000000" w:sz="4" w:space="0"/>
            </w:tcBorders>
            <w:noWrap w:val="0"/>
            <w:vAlign w:val="top"/>
          </w:tcPr>
          <w:p>
            <w:pPr>
              <w:pStyle w:val="28"/>
              <w:spacing w:before="5"/>
              <w:rPr>
                <w:rFonts w:hint="eastAsia" w:ascii="宋体" w:hAnsi="宋体" w:eastAsia="宋体" w:cs="宋体"/>
                <w:color w:val="auto"/>
                <w:kern w:val="2"/>
                <w:sz w:val="21"/>
                <w:szCs w:val="21"/>
                <w:highlight w:val="none"/>
              </w:rPr>
            </w:pPr>
          </w:p>
          <w:p>
            <w:pPr>
              <w:pStyle w:val="28"/>
              <w:ind w:left="692"/>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联系方式</w:t>
            </w:r>
          </w:p>
        </w:tc>
        <w:tc>
          <w:tcPr>
            <w:tcW w:w="7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28"/>
              <w:tabs>
                <w:tab w:val="left" w:pos="3735"/>
              </w:tabs>
              <w:spacing w:before="9"/>
              <w:ind w:left="101"/>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联系人：</w:t>
            </w:r>
            <w:r>
              <w:rPr>
                <w:rFonts w:hint="eastAsia" w:ascii="宋体" w:hAnsi="宋体" w:eastAsia="宋体" w:cs="宋体"/>
                <w:color w:val="auto"/>
                <w:kern w:val="2"/>
                <w:sz w:val="21"/>
                <w:szCs w:val="21"/>
                <w:highlight w:val="none"/>
                <w:lang w:eastAsia="zh-CN"/>
              </w:rPr>
              <w:tab/>
            </w:r>
            <w:r>
              <w:rPr>
                <w:rFonts w:hint="eastAsia" w:ascii="宋体" w:hAnsi="宋体" w:eastAsia="宋体" w:cs="宋体"/>
                <w:color w:val="auto"/>
                <w:kern w:val="2"/>
                <w:sz w:val="21"/>
                <w:szCs w:val="21"/>
                <w:highlight w:val="none"/>
                <w:lang w:eastAsia="zh-CN"/>
              </w:rPr>
              <w:t>电</w:t>
            </w:r>
            <w:r>
              <w:rPr>
                <w:rFonts w:hint="eastAsia" w:ascii="宋体" w:hAnsi="宋体" w:eastAsia="宋体" w:cs="宋体"/>
                <w:color w:val="auto"/>
                <w:spacing w:val="103"/>
                <w:kern w:val="2"/>
                <w:sz w:val="21"/>
                <w:szCs w:val="21"/>
                <w:highlight w:val="none"/>
                <w:lang w:eastAsia="zh-CN"/>
              </w:rPr>
              <w:t xml:space="preserve"> </w:t>
            </w:r>
            <w:r>
              <w:rPr>
                <w:rFonts w:hint="eastAsia" w:ascii="宋体" w:hAnsi="宋体" w:eastAsia="宋体" w:cs="宋体"/>
                <w:color w:val="auto"/>
                <w:kern w:val="2"/>
                <w:sz w:val="21"/>
                <w:szCs w:val="21"/>
                <w:highlight w:val="none"/>
                <w:lang w:eastAsia="zh-CN"/>
              </w:rPr>
              <w:t>话：</w:t>
            </w:r>
          </w:p>
          <w:p>
            <w:pPr>
              <w:pStyle w:val="28"/>
              <w:tabs>
                <w:tab w:val="left" w:pos="3673"/>
              </w:tabs>
              <w:spacing w:before="84"/>
              <w:ind w:left="102"/>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传  真：                      邮</w:t>
            </w:r>
            <w:r>
              <w:rPr>
                <w:rFonts w:hint="eastAsia" w:ascii="宋体" w:hAnsi="宋体" w:eastAsia="宋体" w:cs="宋体"/>
                <w:color w:val="auto"/>
                <w:kern w:val="2"/>
                <w:sz w:val="21"/>
                <w:szCs w:val="21"/>
                <w:highlight w:val="none"/>
                <w:lang w:eastAsia="zh-CN"/>
              </w:rPr>
              <w:tab/>
            </w:r>
            <w:r>
              <w:rPr>
                <w:rFonts w:hint="eastAsia" w:ascii="宋体" w:hAnsi="宋体" w:eastAsia="宋体" w:cs="宋体"/>
                <w:color w:val="auto"/>
                <w:kern w:val="2"/>
                <w:sz w:val="21"/>
                <w:szCs w:val="21"/>
                <w:highlight w:val="none"/>
                <w:lang w:eastAsia="zh-CN"/>
              </w:rPr>
              <w:t>箱：</w:t>
            </w:r>
          </w:p>
        </w:tc>
      </w:tr>
      <w:tr>
        <w:tblPrEx>
          <w:tblCellMar>
            <w:top w:w="0" w:type="dxa"/>
            <w:left w:w="0" w:type="dxa"/>
            <w:bottom w:w="0" w:type="dxa"/>
            <w:right w:w="0" w:type="dxa"/>
          </w:tblCellMar>
        </w:tblPrEx>
        <w:trPr>
          <w:trHeight w:val="584" w:hRule="exact"/>
          <w:jc w:val="center"/>
        </w:trPr>
        <w:tc>
          <w:tcPr>
            <w:tcW w:w="1986" w:type="dxa"/>
            <w:tcBorders>
              <w:top w:val="single" w:color="000000" w:sz="4" w:space="0"/>
              <w:left w:val="single" w:color="000000" w:sz="4" w:space="0"/>
              <w:bottom w:val="single" w:color="000000" w:sz="4" w:space="0"/>
              <w:right w:val="single" w:color="000000" w:sz="4" w:space="0"/>
            </w:tcBorders>
            <w:noWrap w:val="0"/>
            <w:vAlign w:val="top"/>
          </w:tcPr>
          <w:p>
            <w:pPr>
              <w:pStyle w:val="28"/>
              <w:spacing w:before="84"/>
              <w:ind w:left="692"/>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基本账户</w:t>
            </w:r>
          </w:p>
        </w:tc>
        <w:tc>
          <w:tcPr>
            <w:tcW w:w="3577" w:type="dxa"/>
            <w:tcBorders>
              <w:top w:val="single" w:color="000000" w:sz="4" w:space="0"/>
              <w:left w:val="single" w:color="000000" w:sz="4" w:space="0"/>
              <w:bottom w:val="single" w:color="000000" w:sz="4" w:space="0"/>
              <w:right w:val="nil"/>
            </w:tcBorders>
            <w:noWrap w:val="0"/>
            <w:vAlign w:val="top"/>
          </w:tcPr>
          <w:p>
            <w:pPr>
              <w:pStyle w:val="28"/>
              <w:spacing w:before="84"/>
              <w:ind w:left="3046" w:leftChars="48" w:hanging="2940" w:hangingChars="14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名  称：          </w:t>
            </w:r>
          </w:p>
        </w:tc>
        <w:tc>
          <w:tcPr>
            <w:tcW w:w="3556" w:type="dxa"/>
            <w:tcBorders>
              <w:top w:val="single" w:color="000000" w:sz="4" w:space="0"/>
              <w:left w:val="nil"/>
              <w:bottom w:val="single" w:color="000000" w:sz="4" w:space="0"/>
              <w:right w:val="single" w:color="000000" w:sz="4" w:space="0"/>
            </w:tcBorders>
            <w:noWrap w:val="0"/>
            <w:vAlign w:val="top"/>
          </w:tcPr>
          <w:p>
            <w:pPr>
              <w:pStyle w:val="28"/>
              <w:spacing w:before="84"/>
              <w:ind w:left="105" w:firstLine="210" w:firstLineChars="1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账号：</w:t>
            </w:r>
          </w:p>
        </w:tc>
      </w:tr>
      <w:tr>
        <w:tblPrEx>
          <w:tblCellMar>
            <w:top w:w="0" w:type="dxa"/>
            <w:left w:w="0" w:type="dxa"/>
            <w:bottom w:w="0" w:type="dxa"/>
            <w:right w:w="0" w:type="dxa"/>
          </w:tblCellMar>
        </w:tblPrEx>
        <w:trPr>
          <w:trHeight w:val="259" w:hRule="exact"/>
          <w:jc w:val="center"/>
        </w:trPr>
        <w:tc>
          <w:tcPr>
            <w:tcW w:w="1986"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28"/>
              <w:rPr>
                <w:rFonts w:hint="eastAsia" w:ascii="宋体" w:hAnsi="宋体" w:eastAsia="宋体" w:cs="宋体"/>
                <w:color w:val="auto"/>
                <w:kern w:val="2"/>
                <w:sz w:val="21"/>
                <w:szCs w:val="21"/>
                <w:highlight w:val="none"/>
              </w:rPr>
            </w:pPr>
          </w:p>
          <w:p>
            <w:pPr>
              <w:pStyle w:val="28"/>
              <w:rPr>
                <w:rFonts w:hint="eastAsia" w:ascii="宋体" w:hAnsi="宋体" w:eastAsia="宋体" w:cs="宋体"/>
                <w:color w:val="auto"/>
                <w:kern w:val="2"/>
                <w:sz w:val="21"/>
                <w:szCs w:val="21"/>
                <w:highlight w:val="none"/>
              </w:rPr>
            </w:pPr>
          </w:p>
          <w:p>
            <w:pPr>
              <w:pStyle w:val="28"/>
              <w:rPr>
                <w:rFonts w:hint="eastAsia" w:ascii="宋体" w:hAnsi="宋体" w:eastAsia="宋体" w:cs="宋体"/>
                <w:color w:val="auto"/>
                <w:kern w:val="2"/>
                <w:sz w:val="21"/>
                <w:szCs w:val="21"/>
                <w:highlight w:val="none"/>
              </w:rPr>
            </w:pPr>
          </w:p>
          <w:p>
            <w:pPr>
              <w:pStyle w:val="28"/>
              <w:rPr>
                <w:rFonts w:hint="eastAsia" w:ascii="宋体" w:hAnsi="宋体" w:eastAsia="宋体" w:cs="宋体"/>
                <w:color w:val="auto"/>
                <w:kern w:val="2"/>
                <w:sz w:val="21"/>
                <w:szCs w:val="21"/>
                <w:highlight w:val="none"/>
              </w:rPr>
            </w:pPr>
          </w:p>
          <w:p>
            <w:pPr>
              <w:pStyle w:val="28"/>
              <w:rPr>
                <w:rFonts w:hint="eastAsia" w:ascii="宋体" w:hAnsi="宋体" w:eastAsia="宋体" w:cs="宋体"/>
                <w:color w:val="auto"/>
                <w:kern w:val="2"/>
                <w:sz w:val="21"/>
                <w:szCs w:val="21"/>
                <w:highlight w:val="none"/>
              </w:rPr>
            </w:pPr>
          </w:p>
          <w:p>
            <w:pPr>
              <w:pStyle w:val="28"/>
              <w:spacing w:before="6"/>
              <w:rPr>
                <w:rFonts w:hint="eastAsia" w:ascii="宋体" w:hAnsi="宋体" w:eastAsia="宋体" w:cs="宋体"/>
                <w:color w:val="auto"/>
                <w:kern w:val="2"/>
                <w:sz w:val="21"/>
                <w:szCs w:val="21"/>
                <w:highlight w:val="none"/>
              </w:rPr>
            </w:pPr>
          </w:p>
          <w:p>
            <w:pPr>
              <w:pStyle w:val="28"/>
              <w:ind w:left="108"/>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供应商关联情况</w:t>
            </w:r>
          </w:p>
        </w:tc>
        <w:tc>
          <w:tcPr>
            <w:tcW w:w="7133" w:type="dxa"/>
            <w:gridSpan w:val="2"/>
            <w:tcBorders>
              <w:top w:val="single" w:color="000000" w:sz="4" w:space="0"/>
              <w:left w:val="single" w:color="000000" w:sz="4" w:space="0"/>
              <w:bottom w:val="nil"/>
              <w:right w:val="single" w:color="000000" w:sz="4" w:space="0"/>
            </w:tcBorders>
            <w:noWrap w:val="0"/>
            <w:vAlign w:val="top"/>
          </w:tcPr>
          <w:p>
            <w:pPr>
              <w:pStyle w:val="28"/>
              <w:spacing w:line="242" w:lineRule="exact"/>
              <w:ind w:left="101"/>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 xml:space="preserve">1：与我公司单位负责人为同一人的其他单位名称： </w:t>
            </w:r>
          </w:p>
        </w:tc>
      </w:tr>
      <w:tr>
        <w:tblPrEx>
          <w:tblCellMar>
            <w:top w:w="0" w:type="dxa"/>
            <w:left w:w="0" w:type="dxa"/>
            <w:bottom w:w="0" w:type="dxa"/>
            <w:right w:w="0" w:type="dxa"/>
          </w:tblCellMar>
        </w:tblPrEx>
        <w:trPr>
          <w:trHeight w:val="298" w:hRule="atLeast"/>
          <w:jc w:val="center"/>
        </w:trPr>
        <w:tc>
          <w:tcPr>
            <w:tcW w:w="19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highlight w:val="none"/>
              </w:rPr>
            </w:pPr>
          </w:p>
        </w:tc>
        <w:tc>
          <w:tcPr>
            <w:tcW w:w="7133" w:type="dxa"/>
            <w:gridSpan w:val="2"/>
            <w:tcBorders>
              <w:top w:val="nil"/>
              <w:left w:val="single" w:color="000000" w:sz="4" w:space="0"/>
              <w:bottom w:val="nil"/>
              <w:right w:val="single" w:color="000000" w:sz="4" w:space="0"/>
            </w:tcBorders>
            <w:noWrap w:val="0"/>
            <w:vAlign w:val="top"/>
          </w:tcPr>
          <w:p>
            <w:pPr>
              <w:pStyle w:val="28"/>
              <w:spacing w:line="262" w:lineRule="exact"/>
              <w:ind w:left="101"/>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□无； </w:t>
            </w:r>
          </w:p>
        </w:tc>
      </w:tr>
      <w:tr>
        <w:tblPrEx>
          <w:tblCellMar>
            <w:top w:w="0" w:type="dxa"/>
            <w:left w:w="0" w:type="dxa"/>
            <w:bottom w:w="0" w:type="dxa"/>
            <w:right w:w="0" w:type="dxa"/>
          </w:tblCellMar>
        </w:tblPrEx>
        <w:trPr>
          <w:trHeight w:val="298" w:hRule="atLeast"/>
          <w:jc w:val="center"/>
        </w:trPr>
        <w:tc>
          <w:tcPr>
            <w:tcW w:w="19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highlight w:val="none"/>
                <w:lang w:eastAsia="en-US"/>
              </w:rPr>
            </w:pPr>
          </w:p>
        </w:tc>
        <w:tc>
          <w:tcPr>
            <w:tcW w:w="7133" w:type="dxa"/>
            <w:gridSpan w:val="2"/>
            <w:tcBorders>
              <w:top w:val="nil"/>
              <w:left w:val="single" w:color="000000" w:sz="4" w:space="0"/>
              <w:bottom w:val="nil"/>
              <w:right w:val="single" w:color="000000" w:sz="4" w:space="0"/>
            </w:tcBorders>
            <w:noWrap w:val="0"/>
            <w:vAlign w:val="top"/>
          </w:tcPr>
          <w:p>
            <w:pPr>
              <w:pStyle w:val="28"/>
              <w:spacing w:line="262" w:lineRule="exact"/>
              <w:ind w:left="101"/>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u w:val="single" w:color="000000"/>
              </w:rPr>
              <w:t>□</w:t>
            </w:r>
            <w:r>
              <w:rPr>
                <w:rFonts w:hint="eastAsia" w:ascii="宋体" w:hAnsi="宋体" w:eastAsia="宋体" w:cs="宋体"/>
                <w:color w:val="auto"/>
                <w:kern w:val="2"/>
                <w:sz w:val="21"/>
                <w:szCs w:val="21"/>
                <w:highlight w:val="none"/>
              </w:rPr>
              <w:t xml:space="preserve">有：                                  </w:t>
            </w:r>
            <w:r>
              <w:rPr>
                <w:rFonts w:hint="eastAsia" w:ascii="宋体" w:hAnsi="宋体" w:eastAsia="宋体" w:cs="宋体"/>
                <w:color w:val="auto"/>
                <w:spacing w:val="68"/>
                <w:kern w:val="2"/>
                <w:sz w:val="21"/>
                <w:szCs w:val="21"/>
                <w:highlight w:val="none"/>
              </w:rPr>
              <w:t xml:space="preserve"> </w:t>
            </w:r>
            <w:r>
              <w:rPr>
                <w:rFonts w:hint="eastAsia" w:ascii="宋体" w:hAnsi="宋体" w:eastAsia="宋体" w:cs="宋体"/>
                <w:color w:val="auto"/>
                <w:kern w:val="2"/>
                <w:sz w:val="21"/>
                <w:szCs w:val="21"/>
                <w:highlight w:val="none"/>
              </w:rPr>
              <w:t xml:space="preserve">。 </w:t>
            </w:r>
          </w:p>
        </w:tc>
      </w:tr>
      <w:tr>
        <w:tblPrEx>
          <w:tblCellMar>
            <w:top w:w="0" w:type="dxa"/>
            <w:left w:w="0" w:type="dxa"/>
            <w:bottom w:w="0" w:type="dxa"/>
            <w:right w:w="0" w:type="dxa"/>
          </w:tblCellMar>
        </w:tblPrEx>
        <w:trPr>
          <w:trHeight w:val="298" w:hRule="atLeast"/>
          <w:jc w:val="center"/>
        </w:trPr>
        <w:tc>
          <w:tcPr>
            <w:tcW w:w="19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highlight w:val="none"/>
                <w:lang w:eastAsia="en-US"/>
              </w:rPr>
            </w:pPr>
          </w:p>
        </w:tc>
        <w:tc>
          <w:tcPr>
            <w:tcW w:w="7133" w:type="dxa"/>
            <w:gridSpan w:val="2"/>
            <w:tcBorders>
              <w:top w:val="nil"/>
              <w:left w:val="single" w:color="000000" w:sz="4" w:space="0"/>
              <w:bottom w:val="nil"/>
              <w:right w:val="single" w:color="000000" w:sz="4" w:space="0"/>
            </w:tcBorders>
            <w:noWrap w:val="0"/>
            <w:vAlign w:val="top"/>
          </w:tcPr>
          <w:p>
            <w:pPr>
              <w:pStyle w:val="28"/>
              <w:spacing w:line="262" w:lineRule="exact"/>
              <w:ind w:left="101"/>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 xml:space="preserve">2、与我公司存在控股、管理关系的其他单位的名称： </w:t>
            </w:r>
          </w:p>
        </w:tc>
      </w:tr>
      <w:tr>
        <w:tblPrEx>
          <w:tblCellMar>
            <w:top w:w="0" w:type="dxa"/>
            <w:left w:w="0" w:type="dxa"/>
            <w:bottom w:w="0" w:type="dxa"/>
            <w:right w:w="0" w:type="dxa"/>
          </w:tblCellMar>
        </w:tblPrEx>
        <w:trPr>
          <w:trHeight w:val="298" w:hRule="atLeast"/>
          <w:jc w:val="center"/>
        </w:trPr>
        <w:tc>
          <w:tcPr>
            <w:tcW w:w="19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highlight w:val="none"/>
              </w:rPr>
            </w:pPr>
          </w:p>
        </w:tc>
        <w:tc>
          <w:tcPr>
            <w:tcW w:w="7133" w:type="dxa"/>
            <w:gridSpan w:val="2"/>
            <w:tcBorders>
              <w:top w:val="nil"/>
              <w:left w:val="single" w:color="000000" w:sz="4" w:space="0"/>
              <w:bottom w:val="nil"/>
              <w:right w:val="single" w:color="000000" w:sz="4" w:space="0"/>
            </w:tcBorders>
            <w:noWrap w:val="0"/>
            <w:vAlign w:val="top"/>
          </w:tcPr>
          <w:p>
            <w:pPr>
              <w:pStyle w:val="28"/>
              <w:spacing w:line="262" w:lineRule="exact"/>
              <w:ind w:left="101"/>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□无； </w:t>
            </w:r>
          </w:p>
        </w:tc>
      </w:tr>
      <w:tr>
        <w:tblPrEx>
          <w:tblCellMar>
            <w:top w:w="0" w:type="dxa"/>
            <w:left w:w="0" w:type="dxa"/>
            <w:bottom w:w="0" w:type="dxa"/>
            <w:right w:w="0" w:type="dxa"/>
          </w:tblCellMar>
        </w:tblPrEx>
        <w:trPr>
          <w:trHeight w:val="317" w:hRule="atLeast"/>
          <w:jc w:val="center"/>
        </w:trPr>
        <w:tc>
          <w:tcPr>
            <w:tcW w:w="19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highlight w:val="none"/>
                <w:lang w:eastAsia="en-US"/>
              </w:rPr>
            </w:pPr>
          </w:p>
        </w:tc>
        <w:tc>
          <w:tcPr>
            <w:tcW w:w="7133" w:type="dxa"/>
            <w:gridSpan w:val="2"/>
            <w:tcBorders>
              <w:top w:val="nil"/>
              <w:left w:val="single" w:color="000000" w:sz="4" w:space="0"/>
              <w:bottom w:val="nil"/>
              <w:right w:val="single" w:color="000000" w:sz="4" w:space="0"/>
            </w:tcBorders>
            <w:noWrap w:val="0"/>
            <w:vAlign w:val="top"/>
          </w:tcPr>
          <w:p>
            <w:pPr>
              <w:pStyle w:val="28"/>
              <w:spacing w:line="262" w:lineRule="exact"/>
              <w:ind w:left="101"/>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u w:val="single" w:color="000000"/>
              </w:rPr>
              <w:t>□</w:t>
            </w:r>
            <w:r>
              <w:rPr>
                <w:rFonts w:hint="eastAsia" w:ascii="宋体" w:hAnsi="宋体" w:eastAsia="宋体" w:cs="宋体"/>
                <w:color w:val="auto"/>
                <w:kern w:val="2"/>
                <w:sz w:val="21"/>
                <w:szCs w:val="21"/>
                <w:highlight w:val="none"/>
              </w:rPr>
              <w:t xml:space="preserve">有：                                   </w:t>
            </w:r>
            <w:r>
              <w:rPr>
                <w:rFonts w:hint="eastAsia" w:ascii="宋体" w:hAnsi="宋体" w:eastAsia="宋体" w:cs="宋体"/>
                <w:color w:val="auto"/>
                <w:spacing w:val="68"/>
                <w:kern w:val="2"/>
                <w:sz w:val="21"/>
                <w:szCs w:val="21"/>
                <w:highlight w:val="none"/>
              </w:rPr>
              <w:t xml:space="preserve"> </w:t>
            </w:r>
            <w:r>
              <w:rPr>
                <w:rFonts w:hint="eastAsia" w:ascii="宋体" w:hAnsi="宋体" w:eastAsia="宋体" w:cs="宋体"/>
                <w:color w:val="auto"/>
                <w:kern w:val="2"/>
                <w:sz w:val="21"/>
                <w:szCs w:val="21"/>
                <w:highlight w:val="none"/>
              </w:rPr>
              <w:t xml:space="preserve">。 </w:t>
            </w:r>
          </w:p>
        </w:tc>
      </w:tr>
      <w:tr>
        <w:tblPrEx>
          <w:tblCellMar>
            <w:top w:w="0" w:type="dxa"/>
            <w:left w:w="0" w:type="dxa"/>
            <w:bottom w:w="0" w:type="dxa"/>
            <w:right w:w="0" w:type="dxa"/>
          </w:tblCellMar>
        </w:tblPrEx>
        <w:trPr>
          <w:trHeight w:val="338" w:hRule="atLeast"/>
          <w:jc w:val="center"/>
        </w:trPr>
        <w:tc>
          <w:tcPr>
            <w:tcW w:w="19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highlight w:val="none"/>
                <w:lang w:eastAsia="en-US"/>
              </w:rPr>
            </w:pPr>
          </w:p>
        </w:tc>
        <w:tc>
          <w:tcPr>
            <w:tcW w:w="7133" w:type="dxa"/>
            <w:gridSpan w:val="2"/>
            <w:tcBorders>
              <w:top w:val="nil"/>
              <w:left w:val="single" w:color="000000" w:sz="4" w:space="0"/>
              <w:bottom w:val="nil"/>
              <w:right w:val="single" w:color="000000" w:sz="4" w:space="0"/>
            </w:tcBorders>
            <w:noWrap w:val="0"/>
            <w:vAlign w:val="top"/>
          </w:tcPr>
          <w:p>
            <w:pPr>
              <w:pStyle w:val="28"/>
              <w:spacing w:before="8"/>
              <w:ind w:left="101"/>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备注：</w:t>
            </w:r>
          </w:p>
        </w:tc>
      </w:tr>
      <w:tr>
        <w:tblPrEx>
          <w:tblCellMar>
            <w:top w:w="0" w:type="dxa"/>
            <w:left w:w="0" w:type="dxa"/>
            <w:bottom w:w="0" w:type="dxa"/>
            <w:right w:w="0" w:type="dxa"/>
          </w:tblCellMar>
        </w:tblPrEx>
        <w:trPr>
          <w:trHeight w:val="343" w:hRule="atLeast"/>
          <w:jc w:val="center"/>
        </w:trPr>
        <w:tc>
          <w:tcPr>
            <w:tcW w:w="19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highlight w:val="none"/>
                <w:lang w:eastAsia="en-US"/>
              </w:rPr>
            </w:pPr>
          </w:p>
        </w:tc>
        <w:tc>
          <w:tcPr>
            <w:tcW w:w="7133" w:type="dxa"/>
            <w:gridSpan w:val="2"/>
            <w:tcBorders>
              <w:top w:val="nil"/>
              <w:left w:val="single" w:color="000000" w:sz="4" w:space="0"/>
              <w:bottom w:val="nil"/>
              <w:right w:val="single" w:color="000000" w:sz="4" w:space="0"/>
            </w:tcBorders>
            <w:noWrap w:val="0"/>
            <w:vAlign w:val="top"/>
          </w:tcPr>
          <w:p>
            <w:pPr>
              <w:pStyle w:val="28"/>
              <w:spacing w:before="9"/>
              <w:ind w:left="101"/>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1、“单位负责人”是指单位法定代表人或者法律、行政法规规定代表</w:t>
            </w:r>
          </w:p>
        </w:tc>
      </w:tr>
      <w:tr>
        <w:tblPrEx>
          <w:tblCellMar>
            <w:top w:w="0" w:type="dxa"/>
            <w:left w:w="0" w:type="dxa"/>
            <w:bottom w:w="0" w:type="dxa"/>
            <w:right w:w="0" w:type="dxa"/>
          </w:tblCellMar>
        </w:tblPrEx>
        <w:trPr>
          <w:trHeight w:val="335" w:hRule="atLeast"/>
          <w:jc w:val="center"/>
        </w:trPr>
        <w:tc>
          <w:tcPr>
            <w:tcW w:w="19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highlight w:val="none"/>
              </w:rPr>
            </w:pPr>
          </w:p>
        </w:tc>
        <w:tc>
          <w:tcPr>
            <w:tcW w:w="7133" w:type="dxa"/>
            <w:gridSpan w:val="2"/>
            <w:tcBorders>
              <w:top w:val="nil"/>
              <w:left w:val="single" w:color="000000" w:sz="4" w:space="0"/>
              <w:bottom w:val="nil"/>
              <w:right w:val="single" w:color="000000" w:sz="4" w:space="0"/>
            </w:tcBorders>
            <w:noWrap w:val="0"/>
            <w:vAlign w:val="top"/>
          </w:tcPr>
          <w:p>
            <w:pPr>
              <w:pStyle w:val="28"/>
              <w:spacing w:before="4"/>
              <w:ind w:left="101"/>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单位行使职权的主要负责人。</w:t>
            </w:r>
          </w:p>
        </w:tc>
      </w:tr>
      <w:tr>
        <w:tblPrEx>
          <w:tblCellMar>
            <w:top w:w="0" w:type="dxa"/>
            <w:left w:w="0" w:type="dxa"/>
            <w:bottom w:w="0" w:type="dxa"/>
            <w:right w:w="0" w:type="dxa"/>
          </w:tblCellMar>
        </w:tblPrEx>
        <w:trPr>
          <w:trHeight w:val="343" w:hRule="atLeast"/>
          <w:jc w:val="center"/>
        </w:trPr>
        <w:tc>
          <w:tcPr>
            <w:tcW w:w="19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highlight w:val="none"/>
              </w:rPr>
            </w:pPr>
          </w:p>
        </w:tc>
        <w:tc>
          <w:tcPr>
            <w:tcW w:w="7133" w:type="dxa"/>
            <w:gridSpan w:val="2"/>
            <w:tcBorders>
              <w:top w:val="nil"/>
              <w:left w:val="single" w:color="000000" w:sz="4" w:space="0"/>
              <w:bottom w:val="nil"/>
              <w:right w:val="single" w:color="000000" w:sz="4" w:space="0"/>
            </w:tcBorders>
            <w:noWrap w:val="0"/>
            <w:vAlign w:val="top"/>
          </w:tcPr>
          <w:p>
            <w:pPr>
              <w:pStyle w:val="28"/>
              <w:spacing w:before="9"/>
              <w:ind w:left="102"/>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2、本条所规定的控股、管理关系仅限于直接控股、直接管理关系，不</w:t>
            </w:r>
          </w:p>
        </w:tc>
      </w:tr>
      <w:tr>
        <w:tblPrEx>
          <w:tblCellMar>
            <w:top w:w="0" w:type="dxa"/>
            <w:left w:w="0" w:type="dxa"/>
            <w:bottom w:w="0" w:type="dxa"/>
            <w:right w:w="0" w:type="dxa"/>
          </w:tblCellMar>
        </w:tblPrEx>
        <w:trPr>
          <w:trHeight w:val="365" w:hRule="atLeast"/>
          <w:jc w:val="center"/>
        </w:trPr>
        <w:tc>
          <w:tcPr>
            <w:tcW w:w="19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highlight w:val="none"/>
              </w:rPr>
            </w:pPr>
          </w:p>
        </w:tc>
        <w:tc>
          <w:tcPr>
            <w:tcW w:w="7133" w:type="dxa"/>
            <w:gridSpan w:val="2"/>
            <w:tcBorders>
              <w:top w:val="nil"/>
              <w:left w:val="single" w:color="000000" w:sz="4" w:space="0"/>
              <w:bottom w:val="single" w:color="000000" w:sz="4" w:space="0"/>
              <w:right w:val="single" w:color="000000" w:sz="4" w:space="0"/>
            </w:tcBorders>
            <w:noWrap w:val="0"/>
            <w:vAlign w:val="top"/>
          </w:tcPr>
          <w:p>
            <w:pPr>
              <w:pStyle w:val="28"/>
              <w:spacing w:before="4"/>
              <w:ind w:left="102"/>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包括间接的控股或管理关系。</w:t>
            </w:r>
          </w:p>
        </w:tc>
      </w:tr>
    </w:tbl>
    <w:p>
      <w:pPr>
        <w:pStyle w:val="36"/>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法定代表人（单位负责人）或其委托代理人（签字或电子签章）：</w:t>
      </w:r>
      <w:r>
        <w:rPr>
          <w:rFonts w:hint="eastAsia" w:ascii="宋体" w:hAnsi="宋体" w:eastAsia="宋体" w:cs="宋体"/>
          <w:color w:val="auto"/>
          <w:sz w:val="24"/>
          <w:szCs w:val="24"/>
          <w:highlight w:val="none"/>
          <w:u w:val="single"/>
        </w:rPr>
        <w:t xml:space="preserve">                  </w:t>
      </w:r>
    </w:p>
    <w:p>
      <w:pPr>
        <w:pStyle w:val="36"/>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供应商名称（签章）：</w:t>
      </w:r>
      <w:r>
        <w:rPr>
          <w:rFonts w:hint="eastAsia" w:ascii="宋体" w:hAnsi="宋体" w:eastAsia="宋体" w:cs="宋体"/>
          <w:color w:val="auto"/>
          <w:sz w:val="24"/>
          <w:szCs w:val="24"/>
          <w:highlight w:val="none"/>
          <w:u w:val="single"/>
        </w:rPr>
        <w:t xml:space="preserve">                       </w:t>
      </w:r>
    </w:p>
    <w:p>
      <w:pPr>
        <w:pStyle w:val="36"/>
        <w:spacing w:line="500" w:lineRule="exact"/>
        <w:rPr>
          <w:rFonts w:hint="eastAsia" w:ascii="宋体" w:hAnsi="宋体" w:eastAsia="宋体" w:cs="宋体"/>
          <w:color w:val="auto"/>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日</w:t>
      </w:r>
    </w:p>
    <w:p>
      <w:pPr>
        <w:pStyle w:val="30"/>
        <w:outlineLvl w:val="4"/>
        <w:rPr>
          <w:rFonts w:hint="eastAsia" w:ascii="宋体" w:hAnsi="宋体" w:eastAsia="宋体" w:cs="宋体"/>
          <w:color w:val="auto"/>
          <w:highlight w:val="none"/>
        </w:rPr>
      </w:pPr>
      <w:bookmarkStart w:id="296" w:name="_Toc6986"/>
      <w:bookmarkStart w:id="297" w:name="_Toc31735"/>
      <w:r>
        <w:rPr>
          <w:rFonts w:hint="eastAsia" w:ascii="宋体" w:hAnsi="宋体" w:eastAsia="宋体" w:cs="宋体"/>
          <w:color w:val="auto"/>
          <w:highlight w:val="none"/>
        </w:rPr>
        <w:t>（二）具有良好的商业信誉和健全的财务会计制度；</w:t>
      </w:r>
      <w:bookmarkEnd w:id="296"/>
      <w:bookmarkEnd w:id="297"/>
    </w:p>
    <w:p>
      <w:pPr>
        <w:pStyle w:val="37"/>
        <w:adjustRightInd w:val="0"/>
        <w:snapToGrid w:val="0"/>
        <w:spacing w:line="360" w:lineRule="auto"/>
        <w:ind w:firstLine="420" w:firstLineChars="200"/>
        <w:jc w:val="left"/>
        <w:rPr>
          <w:rFonts w:hint="eastAsia" w:ascii="宋体" w:hAnsi="宋体" w:eastAsia="宋体" w:cs="宋体"/>
          <w:b/>
          <w:color w:val="auto"/>
          <w:sz w:val="24"/>
          <w:szCs w:val="24"/>
          <w:highlight w:val="none"/>
        </w:rPr>
      </w:pPr>
      <w:r>
        <w:rPr>
          <w:rFonts w:hint="eastAsia" w:ascii="宋体" w:hAnsi="宋体" w:eastAsia="宋体" w:cs="宋体"/>
          <w:b w:val="0"/>
          <w:bCs/>
          <w:color w:val="auto"/>
          <w:sz w:val="21"/>
          <w:szCs w:val="21"/>
          <w:highlight w:val="none"/>
        </w:rPr>
        <w:t>供应商是法人的，法人单位成立一年以上的须提供投标截止日前上一年度经审计的财务审计报告复印件加盖公章或基本开户银行在投标截止日前三个月内开具的资信证明；法人单位成立一年以内的须提供成立当月至投标截止日前上个月的财务报表复印件加盖公章（须包括资产负债表、利润表、现金流量表等）或基本开户银行在投标截止日前三个月内开具的资信证明（原件或该原件的复印件，复印件须加盖供应商公章，银行存款证明无效）；法人单位成立三个月以内的须提供基本开户银行开具的资信证明（原件或该原件的复印件，复印件须加盖供应商公章，银行存款证明无效），或自行编写具有良好的商业信誉和健全的财务会计制度的承诺书；供应商是其他组织或自然人的，须提供银行出具的资信证明原件或自行编写具有良好的商业信誉和健全的财务会计制度的承诺书。</w:t>
      </w:r>
    </w:p>
    <w:p>
      <w:pPr>
        <w:pStyle w:val="30"/>
        <w:outlineLvl w:val="4"/>
        <w:rPr>
          <w:rFonts w:hint="eastAsia" w:ascii="宋体" w:hAnsi="宋体" w:eastAsia="宋体" w:cs="宋体"/>
          <w:color w:val="auto"/>
          <w:highlight w:val="none"/>
        </w:rPr>
      </w:pPr>
      <w:bookmarkStart w:id="298" w:name="_Toc28292"/>
      <w:bookmarkStart w:id="299" w:name="_Toc11370"/>
      <w:r>
        <w:rPr>
          <w:rFonts w:hint="eastAsia" w:ascii="宋体" w:hAnsi="宋体" w:eastAsia="宋体" w:cs="宋体"/>
          <w:color w:val="auto"/>
          <w:highlight w:val="none"/>
        </w:rPr>
        <w:t>（三）有依法缴纳税收和社会保障资金的良好记录</w:t>
      </w:r>
      <w:bookmarkEnd w:id="298"/>
      <w:bookmarkEnd w:id="299"/>
    </w:p>
    <w:p>
      <w:pPr>
        <w:pStyle w:val="37"/>
        <w:adjustRightInd w:val="0"/>
        <w:snapToGrid w:val="0"/>
        <w:spacing w:line="36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供应商依法缴纳税收的证明材料：本项目投标截止时间前6个月内（至少提供1个月）缴纳税收的凭据（完税证、缴款书、印花税票、银行代扣（代缴）转账凭证等均可）；</w:t>
      </w:r>
    </w:p>
    <w:p>
      <w:pPr>
        <w:pStyle w:val="37"/>
        <w:adjustRightInd w:val="0"/>
        <w:snapToGrid w:val="0"/>
        <w:spacing w:line="36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依法免税的供应商，须提供相应文件证明其依法免税。</w:t>
      </w:r>
    </w:p>
    <w:p>
      <w:pPr>
        <w:pStyle w:val="37"/>
        <w:adjustRightInd w:val="0"/>
        <w:snapToGrid w:val="0"/>
        <w:spacing w:line="36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供应商依法缴纳社会保障资金的证明材料：本项目投标截止时间时间前6个月内（至少提供1个月）缴纳社会保险的凭据（专用收据或社会保险交纳清单）；</w:t>
      </w:r>
    </w:p>
    <w:p>
      <w:pPr>
        <w:pStyle w:val="37"/>
        <w:adjustRightInd w:val="0"/>
        <w:snapToGrid w:val="0"/>
        <w:spacing w:line="36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供应商为其他组织或自然人的，也需要按此项规定提供缴纳税收的凭据和交纳社会保险的凭据。</w:t>
      </w:r>
    </w:p>
    <w:p>
      <w:pPr>
        <w:pStyle w:val="36"/>
        <w:adjustRightInd w:val="0"/>
        <w:snapToGrid w:val="0"/>
        <w:spacing w:line="500" w:lineRule="exac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依法不需要缴纳社会保障资金的供应商，须提供相应文件证明其依法不需要缴纳社会保障资金。</w:t>
      </w:r>
    </w:p>
    <w:p>
      <w:pPr>
        <w:pStyle w:val="36"/>
        <w:adjustRightInd w:val="0"/>
        <w:snapToGrid w:val="0"/>
        <w:spacing w:line="500" w:lineRule="exact"/>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br w:type="page"/>
      </w:r>
    </w:p>
    <w:p>
      <w:pPr>
        <w:pStyle w:val="30"/>
        <w:outlineLvl w:val="4"/>
        <w:rPr>
          <w:rFonts w:hint="eastAsia" w:ascii="宋体" w:hAnsi="宋体" w:eastAsia="宋体" w:cs="宋体"/>
          <w:color w:val="auto"/>
          <w:highlight w:val="none"/>
        </w:rPr>
      </w:pPr>
      <w:bookmarkStart w:id="300" w:name="_Toc19442"/>
      <w:bookmarkStart w:id="301" w:name="_Toc7342"/>
      <w:r>
        <w:rPr>
          <w:rFonts w:hint="eastAsia" w:ascii="宋体" w:hAnsi="宋体" w:eastAsia="宋体" w:cs="宋体"/>
          <w:color w:val="auto"/>
          <w:highlight w:val="none"/>
        </w:rPr>
        <w:t>（四）供应商须具有履行合同所必需的设备和专业技术能力，须附相关证明材料或声明：</w:t>
      </w:r>
      <w:bookmarkEnd w:id="300"/>
      <w:bookmarkEnd w:id="301"/>
    </w:p>
    <w:p>
      <w:pPr>
        <w:pStyle w:val="37"/>
        <w:autoSpaceDE w:val="0"/>
        <w:autoSpaceDN w:val="0"/>
        <w:adjustRightInd w:val="0"/>
        <w:spacing w:line="44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格式：</w:t>
      </w:r>
    </w:p>
    <w:p>
      <w:pPr>
        <w:pStyle w:val="37"/>
        <w:autoSpaceDE w:val="0"/>
        <w:autoSpaceDN w:val="0"/>
        <w:adjustRightInd w:val="0"/>
        <w:spacing w:line="440" w:lineRule="exact"/>
        <w:ind w:firstLine="120" w:firstLineChars="5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本供应商郑重声明：</w:t>
      </w:r>
    </w:p>
    <w:p>
      <w:pPr>
        <w:pStyle w:val="37"/>
        <w:autoSpaceDE w:val="0"/>
        <w:autoSpaceDN w:val="0"/>
        <w:adjustRightInd w:val="0"/>
        <w:spacing w:line="44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本公司（或单位）具备本项目履行合同所必需的设备和专业技术能力，特此承诺。 </w:t>
      </w:r>
    </w:p>
    <w:p>
      <w:pPr>
        <w:pStyle w:val="36"/>
        <w:adjustRightInd w:val="0"/>
        <w:snapToGrid w:val="0"/>
        <w:spacing w:line="500" w:lineRule="exact"/>
        <w:rPr>
          <w:rFonts w:hint="eastAsia" w:ascii="宋体" w:hAnsi="宋体" w:eastAsia="宋体" w:cs="宋体"/>
          <w:color w:val="auto"/>
          <w:sz w:val="24"/>
          <w:szCs w:val="24"/>
          <w:highlight w:val="none"/>
        </w:rPr>
      </w:pPr>
    </w:p>
    <w:p>
      <w:pPr>
        <w:pStyle w:val="36"/>
        <w:adjustRightInd w:val="0"/>
        <w:snapToGrid w:val="0"/>
        <w:spacing w:line="500" w:lineRule="exact"/>
        <w:rPr>
          <w:rFonts w:hint="eastAsia" w:ascii="宋体" w:hAnsi="宋体" w:eastAsia="宋体" w:cs="宋体"/>
          <w:color w:val="auto"/>
          <w:sz w:val="24"/>
          <w:szCs w:val="24"/>
          <w:highlight w:val="none"/>
        </w:rPr>
      </w:pPr>
    </w:p>
    <w:p>
      <w:pPr>
        <w:pStyle w:val="36"/>
        <w:adjustRightInd w:val="0"/>
        <w:snapToGrid w:val="0"/>
        <w:spacing w:line="500" w:lineRule="exact"/>
        <w:rPr>
          <w:rFonts w:hint="eastAsia" w:ascii="宋体" w:hAnsi="宋体" w:eastAsia="宋体" w:cs="宋体"/>
          <w:color w:val="auto"/>
          <w:sz w:val="24"/>
          <w:szCs w:val="24"/>
          <w:highlight w:val="none"/>
        </w:rPr>
      </w:pPr>
    </w:p>
    <w:p>
      <w:pPr>
        <w:pStyle w:val="36"/>
        <w:adjustRightInd w:val="0"/>
        <w:snapToGrid w:val="0"/>
        <w:spacing w:line="500" w:lineRule="exact"/>
        <w:rPr>
          <w:rFonts w:hint="eastAsia" w:ascii="宋体" w:hAnsi="宋体" w:eastAsia="宋体" w:cs="宋体"/>
          <w:color w:val="auto"/>
          <w:sz w:val="24"/>
          <w:szCs w:val="24"/>
          <w:highlight w:val="none"/>
        </w:rPr>
      </w:pPr>
    </w:p>
    <w:p>
      <w:pPr>
        <w:pStyle w:val="36"/>
        <w:adjustRightInd w:val="0"/>
        <w:snapToGrid w:val="0"/>
        <w:spacing w:line="500" w:lineRule="exact"/>
        <w:rPr>
          <w:rFonts w:hint="eastAsia" w:ascii="宋体" w:hAnsi="宋体" w:eastAsia="宋体" w:cs="宋体"/>
          <w:color w:val="auto"/>
          <w:sz w:val="24"/>
          <w:szCs w:val="24"/>
          <w:highlight w:val="none"/>
        </w:rPr>
      </w:pPr>
    </w:p>
    <w:p>
      <w:pPr>
        <w:pStyle w:val="36"/>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法定代表人（单位负责人）或其委托代理人（签字或电子签章）：</w:t>
      </w:r>
      <w:r>
        <w:rPr>
          <w:rFonts w:hint="eastAsia" w:ascii="宋体" w:hAnsi="宋体" w:eastAsia="宋体" w:cs="宋体"/>
          <w:color w:val="auto"/>
          <w:sz w:val="24"/>
          <w:szCs w:val="24"/>
          <w:highlight w:val="none"/>
          <w:u w:val="single"/>
        </w:rPr>
        <w:t xml:space="preserve">                  </w:t>
      </w:r>
    </w:p>
    <w:p>
      <w:pPr>
        <w:pStyle w:val="36"/>
        <w:adjustRightInd w:val="0"/>
        <w:snapToGrid w:val="0"/>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供应商名称（签章）：</w:t>
      </w:r>
      <w:r>
        <w:rPr>
          <w:rFonts w:hint="eastAsia" w:ascii="宋体" w:hAnsi="宋体" w:eastAsia="宋体" w:cs="宋体"/>
          <w:color w:val="auto"/>
          <w:sz w:val="24"/>
          <w:szCs w:val="24"/>
          <w:highlight w:val="none"/>
          <w:u w:val="single"/>
        </w:rPr>
        <w:t xml:space="preserve">                       </w:t>
      </w:r>
    </w:p>
    <w:p>
      <w:pPr>
        <w:pStyle w:val="36"/>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日</w:t>
      </w:r>
    </w:p>
    <w:p>
      <w:pPr>
        <w:pStyle w:val="36"/>
        <w:adjustRightInd w:val="0"/>
        <w:snapToGrid w:val="0"/>
        <w:spacing w:line="500" w:lineRule="exact"/>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30"/>
        <w:outlineLvl w:val="4"/>
        <w:rPr>
          <w:rFonts w:hint="eastAsia" w:ascii="宋体" w:hAnsi="宋体" w:eastAsia="宋体" w:cs="宋体"/>
          <w:color w:val="auto"/>
          <w:highlight w:val="none"/>
        </w:rPr>
      </w:pPr>
      <w:bookmarkStart w:id="302" w:name="_Toc21544"/>
      <w:bookmarkStart w:id="303" w:name="_Toc16347"/>
      <w:r>
        <w:rPr>
          <w:rFonts w:hint="eastAsia" w:ascii="宋体" w:hAnsi="宋体" w:eastAsia="宋体" w:cs="宋体"/>
          <w:color w:val="auto"/>
          <w:highlight w:val="none"/>
        </w:rPr>
        <w:t>（五）参加政府采购活动前三年内，在经营活动中没有重大违法记录的书面声明：</w:t>
      </w:r>
      <w:bookmarkEnd w:id="302"/>
      <w:bookmarkEnd w:id="303"/>
    </w:p>
    <w:p>
      <w:pPr>
        <w:pStyle w:val="37"/>
        <w:adjustRightInd w:val="0"/>
        <w:snapToGrid w:val="0"/>
        <w:spacing w:line="360" w:lineRule="auto"/>
        <w:rPr>
          <w:rFonts w:hint="eastAsia" w:ascii="宋体" w:hAnsi="宋体" w:eastAsia="宋体" w:cs="宋体"/>
          <w:color w:val="auto"/>
          <w:sz w:val="24"/>
          <w:szCs w:val="24"/>
          <w:highlight w:val="none"/>
        </w:rPr>
      </w:pPr>
    </w:p>
    <w:p>
      <w:pPr>
        <w:pStyle w:val="37"/>
        <w:adjustRightInd w:val="0"/>
        <w:snapToGrid w:val="0"/>
        <w:spacing w:line="360" w:lineRule="auto"/>
        <w:rPr>
          <w:rFonts w:hint="eastAsia" w:ascii="宋体" w:hAnsi="宋体" w:eastAsia="宋体" w:cs="宋体"/>
          <w:color w:val="auto"/>
          <w:sz w:val="24"/>
          <w:szCs w:val="24"/>
          <w:highlight w:val="none"/>
        </w:rPr>
      </w:pPr>
    </w:p>
    <w:p>
      <w:pPr>
        <w:pStyle w:val="37"/>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格式：</w:t>
      </w:r>
    </w:p>
    <w:p>
      <w:pPr>
        <w:pStyle w:val="38"/>
        <w:adjustRightInd w:val="0"/>
        <w:snapToGrid w:val="0"/>
        <w:spacing w:line="360" w:lineRule="auto"/>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无重大违法记录声明书</w:t>
      </w:r>
    </w:p>
    <w:p>
      <w:pPr>
        <w:pStyle w:val="37"/>
        <w:adjustRightInd w:val="0"/>
        <w:snapToGrid w:val="0"/>
        <w:spacing w:line="360" w:lineRule="auto"/>
        <w:rPr>
          <w:rFonts w:hint="eastAsia" w:ascii="宋体" w:hAnsi="宋体" w:eastAsia="宋体" w:cs="宋体"/>
          <w:color w:val="auto"/>
          <w:sz w:val="24"/>
          <w:szCs w:val="24"/>
          <w:highlight w:val="none"/>
        </w:rPr>
      </w:pPr>
    </w:p>
    <w:p>
      <w:pPr>
        <w:pStyle w:val="37"/>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（采购人）         </w:t>
      </w:r>
      <w:r>
        <w:rPr>
          <w:rFonts w:hint="eastAsia" w:ascii="宋体" w:hAnsi="宋体" w:eastAsia="宋体" w:cs="宋体"/>
          <w:color w:val="auto"/>
          <w:sz w:val="24"/>
          <w:szCs w:val="24"/>
          <w:highlight w:val="none"/>
        </w:rPr>
        <w:t>：</w:t>
      </w:r>
    </w:p>
    <w:p>
      <w:pPr>
        <w:pStyle w:val="37"/>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我公司参与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编号）投标，本公司郑重声明，我方参加本项目政府采购活动前三年内无重大违法记录，符合《政府采购法》规定的供应商条件。若贵方在本项目采购过程中发现我方政府采购活动前三年内有重大违法记录，我公司将无条件退出本项目的投标，并承担因此引起的一切后果。我方对此声明负全部法律责任。</w:t>
      </w:r>
    </w:p>
    <w:p>
      <w:pPr>
        <w:pStyle w:val="37"/>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特此声明  </w:t>
      </w:r>
    </w:p>
    <w:p>
      <w:pPr>
        <w:pStyle w:val="36"/>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法定代表人（单位负责人）或其委托代理人（签字或电子签章）：</w:t>
      </w:r>
      <w:r>
        <w:rPr>
          <w:rFonts w:hint="eastAsia" w:ascii="宋体" w:hAnsi="宋体" w:eastAsia="宋体" w:cs="宋体"/>
          <w:color w:val="auto"/>
          <w:sz w:val="24"/>
          <w:szCs w:val="24"/>
          <w:highlight w:val="none"/>
          <w:u w:val="single"/>
        </w:rPr>
        <w:t xml:space="preserve">                  </w:t>
      </w:r>
    </w:p>
    <w:p>
      <w:pPr>
        <w:pStyle w:val="36"/>
        <w:adjustRightInd w:val="0"/>
        <w:snapToGrid w:val="0"/>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供应商名称（签章）：</w:t>
      </w:r>
      <w:r>
        <w:rPr>
          <w:rFonts w:hint="eastAsia" w:ascii="宋体" w:hAnsi="宋体" w:eastAsia="宋体" w:cs="宋体"/>
          <w:color w:val="auto"/>
          <w:sz w:val="24"/>
          <w:szCs w:val="24"/>
          <w:highlight w:val="none"/>
          <w:u w:val="single"/>
        </w:rPr>
        <w:t xml:space="preserve">                       </w:t>
      </w:r>
    </w:p>
    <w:p>
      <w:pPr>
        <w:pStyle w:val="36"/>
        <w:spacing w:line="500" w:lineRule="exact"/>
        <w:rPr>
          <w:rFonts w:hint="eastAsia" w:ascii="宋体" w:hAnsi="宋体" w:eastAsia="宋体" w:cs="宋体"/>
          <w:color w:val="auto"/>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日</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30"/>
        <w:outlineLvl w:val="4"/>
        <w:rPr>
          <w:rFonts w:hint="eastAsia" w:ascii="宋体" w:hAnsi="宋体" w:eastAsia="宋体" w:cs="宋体"/>
          <w:color w:val="auto"/>
          <w:highlight w:val="none"/>
        </w:rPr>
      </w:pPr>
      <w:bookmarkStart w:id="304" w:name="_Toc32053"/>
      <w:bookmarkStart w:id="305" w:name="_Toc31574"/>
      <w:r>
        <w:rPr>
          <w:rFonts w:hint="eastAsia" w:ascii="宋体" w:hAnsi="宋体" w:eastAsia="宋体" w:cs="宋体"/>
          <w:color w:val="auto"/>
          <w:highlight w:val="none"/>
        </w:rPr>
        <w:t>（六）供应商未列入失信被执行人、重大税收违法案件当事人名单、政府采购严重违法失信行为记录名单</w:t>
      </w:r>
      <w:bookmarkEnd w:id="304"/>
      <w:bookmarkEnd w:id="305"/>
    </w:p>
    <w:p>
      <w:pPr>
        <w:pStyle w:val="32"/>
        <w:spacing w:line="360" w:lineRule="auto"/>
        <w:ind w:firstLine="504" w:firstLineChars="200"/>
        <w:jc w:val="left"/>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“信用中国”网站或“中国政府采购网”查询信息：</w:t>
      </w:r>
    </w:p>
    <w:p>
      <w:pPr>
        <w:pStyle w:val="32"/>
        <w:spacing w:line="360" w:lineRule="auto"/>
        <w:ind w:firstLine="504" w:firstLineChars="200"/>
        <w:jc w:val="left"/>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 xml:space="preserve">①未被列入失信被执行人； </w:t>
      </w:r>
    </w:p>
    <w:p>
      <w:pPr>
        <w:pStyle w:val="32"/>
        <w:spacing w:line="360" w:lineRule="auto"/>
        <w:ind w:firstLine="504" w:firstLineChars="200"/>
        <w:jc w:val="left"/>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 xml:space="preserve">②不是重大税收违法案件当事人名单的供应商； </w:t>
      </w:r>
    </w:p>
    <w:p>
      <w:pPr>
        <w:pStyle w:val="36"/>
        <w:adjustRightInd w:val="0"/>
        <w:snapToGrid w:val="0"/>
        <w:spacing w:line="500" w:lineRule="exact"/>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③未被列入政府采购严重违法失信行为记录名单。</w:t>
      </w:r>
    </w:p>
    <w:p>
      <w:pPr>
        <w:pStyle w:val="36"/>
        <w:adjustRightInd w:val="0"/>
        <w:snapToGrid w:val="0"/>
        <w:spacing w:line="500" w:lineRule="exact"/>
        <w:rPr>
          <w:rFonts w:hint="eastAsia" w:ascii="宋体" w:hAnsi="宋体" w:eastAsia="宋体" w:cs="宋体"/>
          <w:color w:val="auto"/>
          <w:spacing w:val="6"/>
          <w:kern w:val="0"/>
          <w:sz w:val="24"/>
          <w:szCs w:val="24"/>
          <w:highlight w:val="none"/>
        </w:rPr>
      </w:pPr>
    </w:p>
    <w:p>
      <w:pPr>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br w:type="page"/>
      </w:r>
    </w:p>
    <w:p>
      <w:pPr>
        <w:pStyle w:val="30"/>
        <w:outlineLvl w:val="4"/>
        <w:rPr>
          <w:rFonts w:hint="eastAsia" w:ascii="宋体" w:hAnsi="宋体" w:eastAsia="宋体" w:cs="宋体"/>
          <w:color w:val="auto"/>
          <w:highlight w:val="none"/>
        </w:rPr>
      </w:pPr>
      <w:bookmarkStart w:id="306" w:name="_Toc10667"/>
      <w:bookmarkStart w:id="307" w:name="_Toc215"/>
      <w:r>
        <w:rPr>
          <w:rFonts w:hint="eastAsia" w:ascii="宋体" w:hAnsi="宋体" w:eastAsia="宋体" w:cs="宋体"/>
          <w:color w:val="auto"/>
          <w:highlight w:val="none"/>
        </w:rPr>
        <w:t>（七）联合投标协议书</w:t>
      </w:r>
      <w:bookmarkEnd w:id="306"/>
      <w:bookmarkEnd w:id="307"/>
    </w:p>
    <w:p>
      <w:pPr>
        <w:pStyle w:val="32"/>
        <w:spacing w:line="360" w:lineRule="auto"/>
        <w:ind w:firstLine="482" w:firstLineChars="20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联合投标协议书</w:t>
      </w:r>
    </w:p>
    <w:p>
      <w:pPr>
        <w:pStyle w:val="39"/>
        <w:spacing w:line="360" w:lineRule="auto"/>
        <w:ind w:firstLine="3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（所有成员单位名称）自愿组成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（联合体名称）联合体，共同参加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标段投标。现就联合体投标事宜订立如下协议。</w:t>
      </w:r>
    </w:p>
    <w:p>
      <w:pPr>
        <w:pStyle w:val="39"/>
        <w:spacing w:line="360" w:lineRule="auto"/>
        <w:ind w:firstLine="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（某成员单位名称）为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（联合体名称）牵头人。</w:t>
      </w:r>
    </w:p>
    <w:p>
      <w:pPr>
        <w:pStyle w:val="39"/>
        <w:spacing w:line="360" w:lineRule="auto"/>
        <w:ind w:firstLine="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2.联合体各成员授权牵头人代表联合体参加投标活动，签署文件，提交和接收相关的资料、信息及指示，进行合同谈判活动，负责合同实施阶段的组织和协调工作，以及处理与本招标项目有关的一切事宜。</w:t>
      </w:r>
    </w:p>
    <w:p>
      <w:pPr>
        <w:pStyle w:val="39"/>
        <w:spacing w:line="360" w:lineRule="auto"/>
        <w:ind w:firstLine="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3.联合体牵头人在本项目中签署的一切文件和处理的一切事宜，联合体各成员均予以承认。联合体各成员将严格按照磋商文件、响应文件和合同的要求全面履行义务，并向招标人承担连带责任。</w:t>
      </w:r>
    </w:p>
    <w:p>
      <w:pPr>
        <w:pStyle w:val="39"/>
        <w:topLinePunct/>
        <w:spacing w:line="360" w:lineRule="auto"/>
        <w:ind w:left="147" w:leftChars="67"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4.联合体各成员单位内部的职责分工如下：</w:t>
      </w:r>
      <w:r>
        <w:rPr>
          <w:rFonts w:hint="eastAsia" w:ascii="宋体" w:hAnsi="宋体" w:eastAsia="宋体" w:cs="宋体"/>
          <w:color w:val="auto"/>
          <w:sz w:val="24"/>
          <w:szCs w:val="24"/>
          <w:highlight w:val="none"/>
          <w:u w:val="single"/>
        </w:rPr>
        <w:t>（牵头人名称）</w:t>
      </w:r>
      <w:r>
        <w:rPr>
          <w:rFonts w:hint="eastAsia" w:ascii="宋体" w:hAnsi="宋体" w:eastAsia="宋体" w:cs="宋体"/>
          <w:color w:val="auto"/>
          <w:sz w:val="24"/>
          <w:szCs w:val="24"/>
          <w:highlight w:val="none"/>
        </w:rPr>
        <w:t>承担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专业工程；</w:t>
      </w:r>
      <w:r>
        <w:rPr>
          <w:rFonts w:hint="eastAsia" w:ascii="宋体" w:hAnsi="宋体" w:eastAsia="宋体" w:cs="宋体"/>
          <w:color w:val="auto"/>
          <w:sz w:val="24"/>
          <w:szCs w:val="24"/>
          <w:highlight w:val="none"/>
          <w:u w:val="single"/>
        </w:rPr>
        <w:t>（成员一名称）</w:t>
      </w:r>
      <w:r>
        <w:rPr>
          <w:rFonts w:hint="eastAsia" w:ascii="宋体" w:hAnsi="宋体" w:eastAsia="宋体" w:cs="宋体"/>
          <w:color w:val="auto"/>
          <w:sz w:val="24"/>
          <w:szCs w:val="24"/>
          <w:highlight w:val="none"/>
        </w:rPr>
        <w:t>承担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专业工程；……。</w:t>
      </w:r>
    </w:p>
    <w:p>
      <w:pPr>
        <w:pStyle w:val="39"/>
        <w:topLinePunct/>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5.投标工作和联合体在中标后项目服务过程中的有关费用按各自承担的工作量分摊。</w:t>
      </w:r>
    </w:p>
    <w:p>
      <w:pPr>
        <w:pStyle w:val="39"/>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6.本协议书自所有成员单位法定代表人签字并加盖单位章之日起生效，合同履行完毕后自动失效。</w:t>
      </w:r>
    </w:p>
    <w:p>
      <w:pPr>
        <w:pStyle w:val="39"/>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7.本协议书一式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份，联合体成员和招标人各执一份。</w:t>
      </w:r>
    </w:p>
    <w:p>
      <w:pPr>
        <w:pStyle w:val="39"/>
        <w:topLinePunct/>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联合体牵头人名称：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pPr>
        <w:pStyle w:val="39"/>
        <w:topLinePunct/>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pPr>
        <w:pStyle w:val="39"/>
        <w:topLinePunct/>
        <w:spacing w:line="360" w:lineRule="auto"/>
        <w:ind w:firstLine="470" w:firstLineChars="196"/>
        <w:rPr>
          <w:rFonts w:hint="eastAsia" w:ascii="宋体" w:hAnsi="宋体" w:eastAsia="宋体" w:cs="宋体"/>
          <w:color w:val="auto"/>
          <w:sz w:val="24"/>
          <w:szCs w:val="24"/>
          <w:highlight w:val="none"/>
        </w:rPr>
      </w:pPr>
    </w:p>
    <w:p>
      <w:pPr>
        <w:pStyle w:val="39"/>
        <w:topLinePunct/>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联合体成员名称：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pPr>
        <w:pStyle w:val="39"/>
        <w:topLinePunct/>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pPr>
        <w:pStyle w:val="39"/>
        <w:topLinePunct/>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Style w:val="39"/>
        <w:topLinePunct/>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联合体成员名称：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pPr>
        <w:pStyle w:val="39"/>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pPr>
        <w:pStyle w:val="39"/>
        <w:spacing w:line="360" w:lineRule="auto"/>
        <w:ind w:firstLine="480" w:firstLineChars="200"/>
        <w:rPr>
          <w:rFonts w:hint="eastAsia" w:ascii="宋体" w:hAnsi="宋体" w:eastAsia="宋体" w:cs="宋体"/>
          <w:color w:val="auto"/>
          <w:sz w:val="24"/>
          <w:szCs w:val="24"/>
          <w:highlight w:val="none"/>
        </w:rPr>
      </w:pPr>
    </w:p>
    <w:p>
      <w:pPr>
        <w:pStyle w:val="36"/>
        <w:adjustRightInd w:val="0"/>
        <w:snapToGrid w:val="0"/>
        <w:spacing w:line="500" w:lineRule="exact"/>
        <w:rPr>
          <w:rFonts w:hint="eastAsia" w:ascii="宋体" w:hAnsi="宋体" w:eastAsia="宋体" w:cs="宋体"/>
          <w:color w:val="auto"/>
          <w:spacing w:val="6"/>
          <w:kern w:val="0"/>
          <w:sz w:val="24"/>
          <w:szCs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年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pStyle w:val="30"/>
        <w:outlineLvl w:val="4"/>
        <w:rPr>
          <w:rFonts w:hint="eastAsia" w:ascii="宋体" w:hAnsi="宋体" w:eastAsia="宋体" w:cs="宋体"/>
          <w:color w:val="auto"/>
          <w:highlight w:val="none"/>
        </w:rPr>
      </w:pPr>
      <w:bookmarkStart w:id="308" w:name="_Toc31877"/>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资质证书：</w:t>
      </w:r>
      <w:bookmarkEnd w:id="308"/>
    </w:p>
    <w:p>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br w:type="page"/>
      </w:r>
    </w:p>
    <w:p>
      <w:pPr>
        <w:pStyle w:val="30"/>
        <w:outlineLvl w:val="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（九）中小企业生产或销售的产品优惠明细表</w:t>
      </w:r>
    </w:p>
    <w:p>
      <w:pPr>
        <w:pStyle w:val="18"/>
        <w:shd w:val="clear" w:color="auto" w:fill="FFFFFF"/>
        <w:spacing w:line="360" w:lineRule="auto"/>
        <w:jc w:val="center"/>
        <w:rPr>
          <w:rFonts w:hint="eastAsia" w:ascii="宋体" w:hAnsi="宋体" w:eastAsia="宋体" w:cs="宋体"/>
          <w:b w:val="0"/>
          <w:bCs/>
          <w:color w:val="auto"/>
          <w:sz w:val="21"/>
          <w:szCs w:val="21"/>
          <w:highlight w:val="none"/>
          <w:shd w:val="clear" w:color="auto" w:fill="FFFFFF"/>
          <w:lang w:eastAsia="zh-CN"/>
        </w:rPr>
      </w:pPr>
      <w:r>
        <w:rPr>
          <w:rFonts w:hint="eastAsia" w:ascii="宋体" w:hAnsi="宋体" w:eastAsia="宋体" w:cs="宋体"/>
          <w:b w:val="0"/>
          <w:bCs/>
          <w:color w:val="auto"/>
          <w:sz w:val="21"/>
          <w:szCs w:val="21"/>
          <w:highlight w:val="none"/>
          <w:shd w:val="clear" w:color="auto" w:fill="FFFFFF"/>
          <w:lang w:val="en-US" w:eastAsia="zh-CN"/>
        </w:rPr>
        <w:t>1</w:t>
      </w:r>
      <w:r>
        <w:rPr>
          <w:rFonts w:hint="eastAsia" w:ascii="宋体" w:hAnsi="宋体" w:eastAsia="宋体" w:cs="宋体"/>
          <w:b w:val="0"/>
          <w:bCs/>
          <w:color w:val="auto"/>
          <w:sz w:val="21"/>
          <w:szCs w:val="21"/>
          <w:highlight w:val="none"/>
          <w:shd w:val="clear" w:color="auto" w:fill="FFFFFF"/>
        </w:rPr>
        <w:t>、中小企业声明函</w:t>
      </w:r>
      <w:r>
        <w:rPr>
          <w:rFonts w:hint="eastAsia" w:ascii="宋体" w:hAnsi="宋体" w:eastAsia="宋体" w:cs="宋体"/>
          <w:b w:val="0"/>
          <w:bCs/>
          <w:color w:val="auto"/>
          <w:sz w:val="21"/>
          <w:szCs w:val="21"/>
          <w:highlight w:val="none"/>
          <w:shd w:val="clear" w:color="auto" w:fill="FFFFFF"/>
          <w:lang w:eastAsia="zh-CN"/>
        </w:rPr>
        <w:t>（</w:t>
      </w:r>
      <w:r>
        <w:rPr>
          <w:rFonts w:hint="eastAsia" w:ascii="宋体" w:hAnsi="宋体" w:eastAsia="宋体" w:cs="宋体"/>
          <w:b w:val="0"/>
          <w:bCs/>
          <w:color w:val="auto"/>
          <w:sz w:val="21"/>
          <w:szCs w:val="21"/>
          <w:highlight w:val="none"/>
          <w:shd w:val="clear" w:color="auto" w:fill="FFFFFF"/>
          <w:lang w:val="en-US" w:eastAsia="zh-CN"/>
        </w:rPr>
        <w:t>货物</w:t>
      </w:r>
      <w:r>
        <w:rPr>
          <w:rFonts w:hint="eastAsia" w:ascii="宋体" w:hAnsi="宋体" w:eastAsia="宋体" w:cs="宋体"/>
          <w:b w:val="0"/>
          <w:bCs/>
          <w:color w:val="auto"/>
          <w:sz w:val="21"/>
          <w:szCs w:val="21"/>
          <w:highlight w:val="none"/>
          <w:shd w:val="clear" w:color="auto" w:fill="FFFFFF"/>
          <w:lang w:eastAsia="zh-CN"/>
        </w:rPr>
        <w:t>）</w:t>
      </w:r>
    </w:p>
    <w:p>
      <w:pPr>
        <w:pStyle w:val="18"/>
        <w:shd w:val="clear" w:color="auto" w:fill="FFFFFF"/>
        <w:spacing w:line="360" w:lineRule="auto"/>
        <w:ind w:firstLine="420" w:firstLineChars="200"/>
        <w:rPr>
          <w:rFonts w:hint="eastAsia" w:ascii="宋体" w:hAnsi="宋体" w:eastAsia="宋体" w:cs="宋体"/>
          <w:bCs/>
          <w:color w:val="auto"/>
          <w:sz w:val="21"/>
          <w:szCs w:val="21"/>
          <w:highlight w:val="none"/>
          <w:shd w:val="clear" w:color="auto" w:fill="FFFFFF"/>
        </w:rPr>
      </w:pPr>
      <w:r>
        <w:rPr>
          <w:rFonts w:hint="eastAsia" w:ascii="宋体" w:hAnsi="宋体" w:eastAsia="宋体" w:cs="宋体"/>
          <w:bCs/>
          <w:color w:val="auto"/>
          <w:sz w:val="21"/>
          <w:szCs w:val="21"/>
          <w:highlight w:val="none"/>
          <w:shd w:val="clear" w:color="auto" w:fill="FFFFFF"/>
        </w:rPr>
        <w:t>本公司（联合体）郑重声明，根据《政府采购促进中小企业发展管理办法》（财库﹝2020﹞46 号）的规定，本公司（联合体）参加</w:t>
      </w:r>
      <w:r>
        <w:rPr>
          <w:rFonts w:hint="eastAsia" w:ascii="宋体" w:hAnsi="宋体" w:eastAsia="宋体" w:cs="宋体"/>
          <w:bCs/>
          <w:color w:val="auto"/>
          <w:sz w:val="21"/>
          <w:szCs w:val="21"/>
          <w:highlight w:val="none"/>
          <w:u w:val="single"/>
          <w:shd w:val="clear" w:color="auto" w:fill="FFFFFF"/>
        </w:rPr>
        <w:t>（单位名称）</w:t>
      </w:r>
      <w:r>
        <w:rPr>
          <w:rFonts w:hint="eastAsia" w:ascii="宋体" w:hAnsi="宋体" w:eastAsia="宋体" w:cs="宋体"/>
          <w:bCs/>
          <w:color w:val="auto"/>
          <w:sz w:val="21"/>
          <w:szCs w:val="21"/>
          <w:highlight w:val="none"/>
          <w:shd w:val="clear" w:color="auto" w:fill="FFFFFF"/>
        </w:rPr>
        <w:t>的</w:t>
      </w:r>
      <w:r>
        <w:rPr>
          <w:rFonts w:hint="eastAsia" w:ascii="宋体" w:hAnsi="宋体" w:eastAsia="宋体" w:cs="宋体"/>
          <w:bCs/>
          <w:color w:val="auto"/>
          <w:sz w:val="21"/>
          <w:szCs w:val="21"/>
          <w:highlight w:val="none"/>
          <w:u w:val="single"/>
          <w:shd w:val="clear" w:color="auto" w:fill="FFFFFF"/>
        </w:rPr>
        <w:t>（项目名称）</w:t>
      </w:r>
      <w:r>
        <w:rPr>
          <w:rFonts w:hint="eastAsia" w:ascii="宋体" w:hAnsi="宋体" w:eastAsia="宋体" w:cs="宋体"/>
          <w:bCs/>
          <w:color w:val="auto"/>
          <w:sz w:val="21"/>
          <w:szCs w:val="21"/>
          <w:highlight w:val="none"/>
          <w:shd w:val="clear" w:color="auto" w:fill="FFFFFF"/>
        </w:rPr>
        <w:t>采购活动，提供的货物全部由符合政策要求的中小企业制造。相关企业（含联合体中的中小企业、签订分包意向协议的中小企业） 的具体情况如下：</w:t>
      </w:r>
    </w:p>
    <w:p>
      <w:pPr>
        <w:pStyle w:val="18"/>
        <w:shd w:val="clear" w:color="auto" w:fill="FFFFFF"/>
        <w:spacing w:line="360" w:lineRule="auto"/>
        <w:ind w:firstLine="420" w:firstLineChars="200"/>
        <w:rPr>
          <w:rFonts w:hint="eastAsia" w:ascii="宋体" w:hAnsi="宋体" w:eastAsia="宋体" w:cs="宋体"/>
          <w:bCs/>
          <w:color w:val="auto"/>
          <w:sz w:val="21"/>
          <w:szCs w:val="21"/>
          <w:highlight w:val="none"/>
          <w:shd w:val="clear" w:color="auto" w:fill="FFFFFF"/>
        </w:rPr>
      </w:pPr>
      <w:r>
        <w:rPr>
          <w:rFonts w:hint="eastAsia" w:ascii="宋体" w:hAnsi="宋体" w:eastAsia="宋体" w:cs="宋体"/>
          <w:bCs/>
          <w:color w:val="auto"/>
          <w:sz w:val="21"/>
          <w:szCs w:val="21"/>
          <w:highlight w:val="none"/>
          <w:shd w:val="clear" w:color="auto" w:fill="FFFFFF"/>
        </w:rPr>
        <w:t>1.</w:t>
      </w:r>
      <w:r>
        <w:rPr>
          <w:rFonts w:hint="eastAsia" w:ascii="宋体" w:hAnsi="宋体" w:eastAsia="宋体" w:cs="宋体"/>
          <w:bCs/>
          <w:color w:val="auto"/>
          <w:sz w:val="21"/>
          <w:szCs w:val="21"/>
          <w:highlight w:val="none"/>
          <w:u w:val="single"/>
          <w:shd w:val="clear" w:color="auto" w:fill="FFFFFF"/>
        </w:rPr>
        <w:t>（标的名称）</w:t>
      </w:r>
      <w:r>
        <w:rPr>
          <w:rFonts w:hint="eastAsia" w:ascii="宋体" w:hAnsi="宋体" w:eastAsia="宋体" w:cs="宋体"/>
          <w:bCs/>
          <w:color w:val="auto"/>
          <w:sz w:val="21"/>
          <w:szCs w:val="21"/>
          <w:highlight w:val="none"/>
          <w:shd w:val="clear" w:color="auto" w:fill="FFFFFF"/>
        </w:rPr>
        <w:t>，属于</w:t>
      </w:r>
      <w:r>
        <w:rPr>
          <w:rFonts w:hint="eastAsia" w:ascii="宋体" w:hAnsi="宋体" w:eastAsia="宋体" w:cs="宋体"/>
          <w:bCs/>
          <w:color w:val="auto"/>
          <w:sz w:val="21"/>
          <w:szCs w:val="21"/>
          <w:highlight w:val="none"/>
          <w:u w:val="single"/>
          <w:shd w:val="clear" w:color="auto" w:fill="FFFFFF"/>
        </w:rPr>
        <w:t>（采购文件中明确的所属行业）行业</w:t>
      </w:r>
      <w:r>
        <w:rPr>
          <w:rFonts w:hint="eastAsia" w:ascii="宋体" w:hAnsi="宋体" w:eastAsia="宋体" w:cs="宋体"/>
          <w:bCs/>
          <w:color w:val="auto"/>
          <w:sz w:val="21"/>
          <w:szCs w:val="21"/>
          <w:highlight w:val="none"/>
          <w:shd w:val="clear" w:color="auto" w:fill="FFFFFF"/>
        </w:rPr>
        <w:t>；制造商为</w:t>
      </w:r>
      <w:r>
        <w:rPr>
          <w:rFonts w:hint="eastAsia" w:ascii="宋体" w:hAnsi="宋体" w:eastAsia="宋体" w:cs="宋体"/>
          <w:bCs/>
          <w:color w:val="auto"/>
          <w:sz w:val="21"/>
          <w:szCs w:val="21"/>
          <w:highlight w:val="none"/>
          <w:u w:val="single"/>
          <w:shd w:val="clear" w:color="auto" w:fill="FFFFFF"/>
        </w:rPr>
        <w:t>（企业名称）</w:t>
      </w:r>
      <w:r>
        <w:rPr>
          <w:rFonts w:hint="eastAsia" w:ascii="宋体" w:hAnsi="宋体" w:eastAsia="宋体" w:cs="宋体"/>
          <w:bCs/>
          <w:color w:val="auto"/>
          <w:sz w:val="21"/>
          <w:szCs w:val="21"/>
          <w:highlight w:val="none"/>
          <w:shd w:val="clear" w:color="auto" w:fill="FFFFFF"/>
        </w:rPr>
        <w:t>，从业人员</w:t>
      </w:r>
      <w:r>
        <w:rPr>
          <w:rFonts w:hint="eastAsia" w:ascii="宋体" w:hAnsi="宋体" w:eastAsia="宋体" w:cs="宋体"/>
          <w:bCs/>
          <w:color w:val="auto"/>
          <w:sz w:val="21"/>
          <w:szCs w:val="21"/>
          <w:highlight w:val="none"/>
          <w:u w:val="single"/>
          <w:shd w:val="clear" w:color="auto" w:fill="FFFFFF"/>
        </w:rPr>
        <w:t xml:space="preserve">    </w:t>
      </w:r>
      <w:r>
        <w:rPr>
          <w:rFonts w:hint="eastAsia" w:ascii="宋体" w:hAnsi="宋体" w:eastAsia="宋体" w:cs="宋体"/>
          <w:bCs/>
          <w:color w:val="auto"/>
          <w:sz w:val="21"/>
          <w:szCs w:val="21"/>
          <w:highlight w:val="none"/>
          <w:shd w:val="clear" w:color="auto" w:fill="FFFFFF"/>
        </w:rPr>
        <w:t>人，营业收入为</w:t>
      </w:r>
      <w:r>
        <w:rPr>
          <w:rFonts w:hint="eastAsia" w:ascii="宋体" w:hAnsi="宋体" w:eastAsia="宋体" w:cs="宋体"/>
          <w:bCs/>
          <w:color w:val="auto"/>
          <w:sz w:val="21"/>
          <w:szCs w:val="21"/>
          <w:highlight w:val="none"/>
          <w:u w:val="single"/>
          <w:shd w:val="clear" w:color="auto" w:fill="FFFFFF"/>
        </w:rPr>
        <w:t xml:space="preserve">    </w:t>
      </w:r>
      <w:r>
        <w:rPr>
          <w:rFonts w:hint="eastAsia" w:ascii="宋体" w:hAnsi="宋体" w:eastAsia="宋体" w:cs="宋体"/>
          <w:bCs/>
          <w:color w:val="auto"/>
          <w:sz w:val="21"/>
          <w:szCs w:val="21"/>
          <w:highlight w:val="none"/>
          <w:shd w:val="clear" w:color="auto" w:fill="FFFFFF"/>
        </w:rPr>
        <w:t>万元，资产总额为</w:t>
      </w:r>
      <w:r>
        <w:rPr>
          <w:rFonts w:hint="eastAsia" w:ascii="宋体" w:hAnsi="宋体" w:eastAsia="宋体" w:cs="宋体"/>
          <w:bCs/>
          <w:color w:val="auto"/>
          <w:sz w:val="21"/>
          <w:szCs w:val="21"/>
          <w:highlight w:val="none"/>
          <w:u w:val="single"/>
          <w:shd w:val="clear" w:color="auto" w:fill="FFFFFF"/>
        </w:rPr>
        <w:t xml:space="preserve">    </w:t>
      </w:r>
      <w:r>
        <w:rPr>
          <w:rFonts w:hint="eastAsia" w:ascii="宋体" w:hAnsi="宋体" w:eastAsia="宋体" w:cs="宋体"/>
          <w:bCs/>
          <w:color w:val="auto"/>
          <w:sz w:val="21"/>
          <w:szCs w:val="21"/>
          <w:highlight w:val="none"/>
          <w:shd w:val="clear" w:color="auto" w:fill="FFFFFF"/>
        </w:rPr>
        <w:t>万元，属于</w:t>
      </w:r>
      <w:r>
        <w:rPr>
          <w:rFonts w:hint="eastAsia" w:ascii="宋体" w:hAnsi="宋体" w:eastAsia="宋体" w:cs="宋体"/>
          <w:bCs/>
          <w:color w:val="auto"/>
          <w:sz w:val="21"/>
          <w:szCs w:val="21"/>
          <w:highlight w:val="none"/>
          <w:u w:val="single"/>
          <w:shd w:val="clear" w:color="auto" w:fill="FFFFFF"/>
        </w:rPr>
        <w:t>（中型企业、小型企业、微型企业）</w:t>
      </w:r>
      <w:r>
        <w:rPr>
          <w:rFonts w:hint="eastAsia" w:ascii="宋体" w:hAnsi="宋体" w:eastAsia="宋体" w:cs="宋体"/>
          <w:bCs/>
          <w:color w:val="auto"/>
          <w:sz w:val="21"/>
          <w:szCs w:val="21"/>
          <w:highlight w:val="none"/>
          <w:shd w:val="clear" w:color="auto" w:fill="FFFFFF"/>
        </w:rPr>
        <w:t>；</w:t>
      </w:r>
    </w:p>
    <w:p>
      <w:pPr>
        <w:pStyle w:val="18"/>
        <w:shd w:val="clear" w:color="auto" w:fill="FFFFFF"/>
        <w:spacing w:line="360" w:lineRule="auto"/>
        <w:ind w:firstLine="420" w:firstLineChars="200"/>
        <w:rPr>
          <w:rFonts w:hint="eastAsia" w:ascii="宋体" w:hAnsi="宋体" w:eastAsia="宋体" w:cs="宋体"/>
          <w:bCs/>
          <w:color w:val="auto"/>
          <w:sz w:val="21"/>
          <w:szCs w:val="21"/>
          <w:highlight w:val="none"/>
          <w:shd w:val="clear" w:color="auto" w:fill="FFFFFF"/>
        </w:rPr>
      </w:pPr>
      <w:r>
        <w:rPr>
          <w:rFonts w:hint="eastAsia" w:ascii="宋体" w:hAnsi="宋体" w:eastAsia="宋体" w:cs="宋体"/>
          <w:bCs/>
          <w:color w:val="auto"/>
          <w:sz w:val="21"/>
          <w:szCs w:val="21"/>
          <w:highlight w:val="none"/>
          <w:shd w:val="clear" w:color="auto" w:fill="FFFFFF"/>
        </w:rPr>
        <w:t>2.</w:t>
      </w:r>
      <w:r>
        <w:rPr>
          <w:rFonts w:hint="eastAsia" w:ascii="宋体" w:hAnsi="宋体" w:eastAsia="宋体" w:cs="宋体"/>
          <w:bCs/>
          <w:color w:val="auto"/>
          <w:sz w:val="21"/>
          <w:szCs w:val="21"/>
          <w:highlight w:val="none"/>
          <w:u w:val="single"/>
          <w:shd w:val="clear" w:color="auto" w:fill="FFFFFF"/>
        </w:rPr>
        <w:t>（标的名称）</w:t>
      </w:r>
      <w:r>
        <w:rPr>
          <w:rFonts w:hint="eastAsia" w:ascii="宋体" w:hAnsi="宋体" w:eastAsia="宋体" w:cs="宋体"/>
          <w:bCs/>
          <w:color w:val="auto"/>
          <w:sz w:val="21"/>
          <w:szCs w:val="21"/>
          <w:highlight w:val="none"/>
          <w:shd w:val="clear" w:color="auto" w:fill="FFFFFF"/>
        </w:rPr>
        <w:t>，属于</w:t>
      </w:r>
      <w:r>
        <w:rPr>
          <w:rFonts w:hint="eastAsia" w:ascii="宋体" w:hAnsi="宋体" w:eastAsia="宋体" w:cs="宋体"/>
          <w:bCs/>
          <w:color w:val="auto"/>
          <w:sz w:val="21"/>
          <w:szCs w:val="21"/>
          <w:highlight w:val="none"/>
          <w:u w:val="single"/>
          <w:shd w:val="clear" w:color="auto" w:fill="FFFFFF"/>
        </w:rPr>
        <w:t>（采购文件中明确的所属行业）行业</w:t>
      </w:r>
      <w:r>
        <w:rPr>
          <w:rFonts w:hint="eastAsia" w:ascii="宋体" w:hAnsi="宋体" w:eastAsia="宋体" w:cs="宋体"/>
          <w:bCs/>
          <w:color w:val="auto"/>
          <w:sz w:val="21"/>
          <w:szCs w:val="21"/>
          <w:highlight w:val="none"/>
          <w:shd w:val="clear" w:color="auto" w:fill="FFFFFF"/>
        </w:rPr>
        <w:t>；制造商为</w:t>
      </w:r>
      <w:r>
        <w:rPr>
          <w:rFonts w:hint="eastAsia" w:ascii="宋体" w:hAnsi="宋体" w:eastAsia="宋体" w:cs="宋体"/>
          <w:bCs/>
          <w:color w:val="auto"/>
          <w:sz w:val="21"/>
          <w:szCs w:val="21"/>
          <w:highlight w:val="none"/>
          <w:u w:val="single"/>
          <w:shd w:val="clear" w:color="auto" w:fill="FFFFFF"/>
        </w:rPr>
        <w:t>（企业名称）</w:t>
      </w:r>
      <w:r>
        <w:rPr>
          <w:rFonts w:hint="eastAsia" w:ascii="宋体" w:hAnsi="宋体" w:eastAsia="宋体" w:cs="宋体"/>
          <w:bCs/>
          <w:color w:val="auto"/>
          <w:sz w:val="21"/>
          <w:szCs w:val="21"/>
          <w:highlight w:val="none"/>
          <w:shd w:val="clear" w:color="auto" w:fill="FFFFFF"/>
        </w:rPr>
        <w:t>，从业人员</w:t>
      </w:r>
      <w:r>
        <w:rPr>
          <w:rFonts w:hint="eastAsia" w:ascii="宋体" w:hAnsi="宋体" w:eastAsia="宋体" w:cs="宋体"/>
          <w:bCs/>
          <w:color w:val="auto"/>
          <w:sz w:val="21"/>
          <w:szCs w:val="21"/>
          <w:highlight w:val="none"/>
          <w:u w:val="single"/>
          <w:shd w:val="clear" w:color="auto" w:fill="FFFFFF"/>
        </w:rPr>
        <w:t xml:space="preserve">    </w:t>
      </w:r>
      <w:r>
        <w:rPr>
          <w:rFonts w:hint="eastAsia" w:ascii="宋体" w:hAnsi="宋体" w:eastAsia="宋体" w:cs="宋体"/>
          <w:bCs/>
          <w:color w:val="auto"/>
          <w:sz w:val="21"/>
          <w:szCs w:val="21"/>
          <w:highlight w:val="none"/>
          <w:shd w:val="clear" w:color="auto" w:fill="FFFFFF"/>
        </w:rPr>
        <w:t>人，营业收入为</w:t>
      </w:r>
      <w:r>
        <w:rPr>
          <w:rFonts w:hint="eastAsia" w:ascii="宋体" w:hAnsi="宋体" w:eastAsia="宋体" w:cs="宋体"/>
          <w:bCs/>
          <w:color w:val="auto"/>
          <w:sz w:val="21"/>
          <w:szCs w:val="21"/>
          <w:highlight w:val="none"/>
          <w:u w:val="single"/>
          <w:shd w:val="clear" w:color="auto" w:fill="FFFFFF"/>
        </w:rPr>
        <w:t xml:space="preserve">    </w:t>
      </w:r>
      <w:r>
        <w:rPr>
          <w:rFonts w:hint="eastAsia" w:ascii="宋体" w:hAnsi="宋体" w:eastAsia="宋体" w:cs="宋体"/>
          <w:bCs/>
          <w:color w:val="auto"/>
          <w:sz w:val="21"/>
          <w:szCs w:val="21"/>
          <w:highlight w:val="none"/>
          <w:shd w:val="clear" w:color="auto" w:fill="FFFFFF"/>
        </w:rPr>
        <w:t>万元，资产总额为</w:t>
      </w:r>
      <w:r>
        <w:rPr>
          <w:rFonts w:hint="eastAsia" w:ascii="宋体" w:hAnsi="宋体" w:eastAsia="宋体" w:cs="宋体"/>
          <w:bCs/>
          <w:color w:val="auto"/>
          <w:sz w:val="21"/>
          <w:szCs w:val="21"/>
          <w:highlight w:val="none"/>
          <w:u w:val="single"/>
          <w:shd w:val="clear" w:color="auto" w:fill="FFFFFF"/>
        </w:rPr>
        <w:t xml:space="preserve">    </w:t>
      </w:r>
      <w:r>
        <w:rPr>
          <w:rFonts w:hint="eastAsia" w:ascii="宋体" w:hAnsi="宋体" w:eastAsia="宋体" w:cs="宋体"/>
          <w:bCs/>
          <w:color w:val="auto"/>
          <w:sz w:val="21"/>
          <w:szCs w:val="21"/>
          <w:highlight w:val="none"/>
          <w:shd w:val="clear" w:color="auto" w:fill="FFFFFF"/>
        </w:rPr>
        <w:t>万元，属于</w:t>
      </w:r>
      <w:r>
        <w:rPr>
          <w:rFonts w:hint="eastAsia" w:ascii="宋体" w:hAnsi="宋体" w:eastAsia="宋体" w:cs="宋体"/>
          <w:bCs/>
          <w:color w:val="auto"/>
          <w:sz w:val="21"/>
          <w:szCs w:val="21"/>
          <w:highlight w:val="none"/>
          <w:u w:val="single"/>
          <w:shd w:val="clear" w:color="auto" w:fill="FFFFFF"/>
        </w:rPr>
        <w:t>（中型企业、小型企业、微型企业）</w:t>
      </w:r>
      <w:r>
        <w:rPr>
          <w:rFonts w:hint="eastAsia" w:ascii="宋体" w:hAnsi="宋体" w:eastAsia="宋体" w:cs="宋体"/>
          <w:bCs/>
          <w:color w:val="auto"/>
          <w:sz w:val="21"/>
          <w:szCs w:val="21"/>
          <w:highlight w:val="none"/>
          <w:shd w:val="clear" w:color="auto" w:fill="FFFFFF"/>
        </w:rPr>
        <w:t>；</w:t>
      </w:r>
    </w:p>
    <w:p>
      <w:pPr>
        <w:pStyle w:val="18"/>
        <w:shd w:val="clear" w:color="auto" w:fill="FFFFFF"/>
        <w:spacing w:line="360" w:lineRule="auto"/>
        <w:ind w:firstLine="420" w:firstLineChars="200"/>
        <w:rPr>
          <w:rFonts w:hint="eastAsia" w:ascii="宋体" w:hAnsi="宋体" w:eastAsia="宋体" w:cs="宋体"/>
          <w:bCs/>
          <w:color w:val="auto"/>
          <w:sz w:val="21"/>
          <w:szCs w:val="21"/>
          <w:highlight w:val="none"/>
          <w:shd w:val="clear" w:color="auto" w:fill="FFFFFF"/>
        </w:rPr>
      </w:pPr>
      <w:r>
        <w:rPr>
          <w:rFonts w:hint="eastAsia" w:ascii="宋体" w:hAnsi="宋体" w:eastAsia="宋体" w:cs="宋体"/>
          <w:bCs/>
          <w:color w:val="auto"/>
          <w:sz w:val="21"/>
          <w:szCs w:val="21"/>
          <w:highlight w:val="none"/>
          <w:shd w:val="clear" w:color="auto" w:fill="FFFFFF"/>
        </w:rPr>
        <w:t>……</w:t>
      </w:r>
    </w:p>
    <w:p>
      <w:pPr>
        <w:pStyle w:val="18"/>
        <w:shd w:val="clear" w:color="auto" w:fill="FFFFFF"/>
        <w:spacing w:line="360" w:lineRule="auto"/>
        <w:ind w:firstLine="420" w:firstLineChars="200"/>
        <w:rPr>
          <w:rFonts w:hint="eastAsia" w:ascii="宋体" w:hAnsi="宋体" w:eastAsia="宋体" w:cs="宋体"/>
          <w:bCs/>
          <w:color w:val="auto"/>
          <w:sz w:val="21"/>
          <w:szCs w:val="21"/>
          <w:highlight w:val="none"/>
          <w:shd w:val="clear" w:color="auto" w:fill="FFFFFF"/>
        </w:rPr>
      </w:pPr>
      <w:r>
        <w:rPr>
          <w:rFonts w:hint="eastAsia" w:ascii="宋体" w:hAnsi="宋体" w:eastAsia="宋体" w:cs="宋体"/>
          <w:bCs/>
          <w:color w:val="auto"/>
          <w:sz w:val="21"/>
          <w:szCs w:val="21"/>
          <w:highlight w:val="none"/>
          <w:shd w:val="clear" w:color="auto" w:fill="FFFFFF"/>
        </w:rPr>
        <w:t>以上企业，不属于大企业的分支机构，不存在控股股东为大企业的情形，也不存在与大企业的负责人为同一人的情形。</w:t>
      </w:r>
    </w:p>
    <w:p>
      <w:pPr>
        <w:pStyle w:val="18"/>
        <w:shd w:val="clear" w:color="auto" w:fill="FFFFFF"/>
        <w:spacing w:line="360" w:lineRule="auto"/>
        <w:ind w:firstLine="420" w:firstLineChars="200"/>
        <w:rPr>
          <w:rFonts w:hint="eastAsia" w:ascii="宋体" w:hAnsi="宋体" w:eastAsia="宋体" w:cs="宋体"/>
          <w:bCs/>
          <w:color w:val="auto"/>
          <w:sz w:val="21"/>
          <w:szCs w:val="21"/>
          <w:highlight w:val="none"/>
          <w:shd w:val="clear" w:color="auto" w:fill="FFFFFF"/>
        </w:rPr>
      </w:pPr>
      <w:r>
        <w:rPr>
          <w:rFonts w:hint="eastAsia" w:ascii="宋体" w:hAnsi="宋体" w:eastAsia="宋体" w:cs="宋体"/>
          <w:bCs/>
          <w:color w:val="auto"/>
          <w:sz w:val="21"/>
          <w:szCs w:val="21"/>
          <w:highlight w:val="none"/>
          <w:shd w:val="clear" w:color="auto" w:fill="FFFFFF"/>
        </w:rPr>
        <w:t>本企业对上述声明内容的真实性负责。如有虚假，将依法承担相应责任。</w:t>
      </w:r>
    </w:p>
    <w:p>
      <w:pPr>
        <w:pStyle w:val="18"/>
        <w:shd w:val="clear" w:color="auto" w:fill="FFFFFF"/>
        <w:spacing w:line="360" w:lineRule="auto"/>
        <w:ind w:firstLine="420" w:firstLineChars="200"/>
        <w:jc w:val="right"/>
        <w:rPr>
          <w:rFonts w:hint="eastAsia" w:ascii="宋体" w:hAnsi="宋体" w:eastAsia="宋体" w:cs="宋体"/>
          <w:bCs/>
          <w:color w:val="auto"/>
          <w:sz w:val="21"/>
          <w:szCs w:val="21"/>
          <w:highlight w:val="none"/>
          <w:shd w:val="clear" w:color="auto" w:fill="FFFFFF"/>
        </w:rPr>
      </w:pPr>
    </w:p>
    <w:p>
      <w:pPr>
        <w:pStyle w:val="18"/>
        <w:shd w:val="clear" w:color="auto" w:fill="FFFFFF"/>
        <w:spacing w:line="360" w:lineRule="auto"/>
        <w:ind w:right="480" w:firstLine="420" w:firstLineChars="200"/>
        <w:jc w:val="right"/>
        <w:rPr>
          <w:rFonts w:hint="eastAsia" w:ascii="宋体" w:hAnsi="宋体" w:eastAsia="宋体" w:cs="宋体"/>
          <w:bCs/>
          <w:color w:val="auto"/>
          <w:sz w:val="21"/>
          <w:szCs w:val="21"/>
          <w:highlight w:val="none"/>
          <w:shd w:val="clear" w:color="auto" w:fill="FFFFFF"/>
        </w:rPr>
      </w:pPr>
      <w:r>
        <w:rPr>
          <w:rFonts w:hint="eastAsia" w:ascii="宋体" w:hAnsi="宋体" w:eastAsia="宋体" w:cs="宋体"/>
          <w:bCs/>
          <w:color w:val="auto"/>
          <w:sz w:val="21"/>
          <w:szCs w:val="21"/>
          <w:highlight w:val="none"/>
          <w:shd w:val="clear" w:color="auto" w:fill="FFFFFF"/>
        </w:rPr>
        <w:t>企业名称（盖章）：</w:t>
      </w:r>
    </w:p>
    <w:p>
      <w:pPr>
        <w:pStyle w:val="18"/>
        <w:shd w:val="clear" w:color="auto" w:fill="FFFFFF"/>
        <w:spacing w:line="360" w:lineRule="auto"/>
        <w:ind w:right="1785" w:firstLine="5040" w:firstLineChars="2400"/>
        <w:rPr>
          <w:rFonts w:hint="eastAsia" w:ascii="宋体" w:hAnsi="宋体" w:eastAsia="宋体" w:cs="宋体"/>
          <w:bCs/>
          <w:color w:val="auto"/>
          <w:sz w:val="21"/>
          <w:szCs w:val="21"/>
          <w:highlight w:val="none"/>
          <w:shd w:val="clear" w:color="auto" w:fill="FFFFFF"/>
        </w:rPr>
      </w:pPr>
      <w:r>
        <w:rPr>
          <w:rFonts w:hint="eastAsia" w:ascii="宋体" w:hAnsi="宋体" w:eastAsia="宋体" w:cs="宋体"/>
          <w:bCs/>
          <w:color w:val="auto"/>
          <w:sz w:val="21"/>
          <w:szCs w:val="21"/>
          <w:highlight w:val="none"/>
          <w:shd w:val="clear" w:color="auto" w:fill="FFFFFF"/>
        </w:rPr>
        <w:t xml:space="preserve">日期：               </w:t>
      </w:r>
    </w:p>
    <w:p>
      <w:pPr>
        <w:pStyle w:val="18"/>
        <w:shd w:val="clear" w:color="auto" w:fill="FFFFFF"/>
        <w:spacing w:line="360" w:lineRule="auto"/>
        <w:ind w:firstLine="420" w:firstLineChars="200"/>
        <w:rPr>
          <w:rFonts w:hint="eastAsia" w:ascii="宋体" w:hAnsi="宋体" w:eastAsia="宋体" w:cs="宋体"/>
          <w:bCs/>
          <w:color w:val="auto"/>
          <w:sz w:val="21"/>
          <w:szCs w:val="21"/>
          <w:highlight w:val="none"/>
          <w:shd w:val="clear" w:color="auto" w:fill="FFFFFF"/>
        </w:rPr>
      </w:pPr>
    </w:p>
    <w:p>
      <w:pPr>
        <w:pStyle w:val="18"/>
        <w:shd w:val="clear" w:color="auto" w:fill="FFFFFF"/>
        <w:spacing w:line="360" w:lineRule="auto"/>
        <w:ind w:firstLine="420" w:firstLineChars="200"/>
        <w:rPr>
          <w:rFonts w:hint="eastAsia" w:ascii="宋体" w:hAnsi="宋体" w:eastAsia="宋体" w:cs="宋体"/>
          <w:bCs/>
          <w:color w:val="auto"/>
          <w:sz w:val="21"/>
          <w:szCs w:val="21"/>
          <w:highlight w:val="none"/>
          <w:shd w:val="clear" w:color="auto" w:fill="FFFFFF"/>
        </w:rPr>
      </w:pPr>
      <w:r>
        <w:rPr>
          <w:rFonts w:hint="eastAsia" w:ascii="宋体" w:hAnsi="宋体" w:eastAsia="宋体" w:cs="宋体"/>
          <w:bCs/>
          <w:color w:val="auto"/>
          <w:sz w:val="21"/>
          <w:szCs w:val="21"/>
          <w:highlight w:val="none"/>
          <w:shd w:val="clear" w:color="auto" w:fill="FFFFFF"/>
        </w:rPr>
        <w:t>注：从业人员、营业收入、资产总额填报上一年度数据，无上一年度数据的新成立企业可不填报。</w:t>
      </w:r>
    </w:p>
    <w:p>
      <w:pPr>
        <w:pStyle w:val="43"/>
        <w:adjustRightInd w:val="0"/>
        <w:snapToGrid w:val="0"/>
        <w:spacing w:line="360" w:lineRule="auto"/>
        <w:ind w:firstLine="525" w:firstLineChars="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说明：1、填写前请认真阅读</w:t>
      </w:r>
      <w:r>
        <w:rPr>
          <w:rFonts w:hint="eastAsia" w:ascii="宋体" w:hAnsi="宋体" w:eastAsia="宋体" w:cs="宋体"/>
          <w:color w:val="auto"/>
          <w:spacing w:val="6"/>
          <w:kern w:val="0"/>
          <w:sz w:val="21"/>
          <w:szCs w:val="21"/>
          <w:highlight w:val="none"/>
        </w:rPr>
        <w:t>《工业和信息化部、国家统计局、国家发展和改革委员会、财政部关于印发中小企业划型标准规定的通知》（工信部联企业</w:t>
      </w:r>
      <w:r>
        <w:rPr>
          <w:rFonts w:hint="eastAsia" w:ascii="宋体" w:hAnsi="宋体" w:eastAsia="宋体" w:cs="宋体"/>
          <w:color w:val="auto"/>
          <w:spacing w:val="6"/>
          <w:sz w:val="21"/>
          <w:szCs w:val="21"/>
          <w:highlight w:val="none"/>
        </w:rPr>
        <w:t>〔2011〕</w:t>
      </w:r>
      <w:r>
        <w:rPr>
          <w:rFonts w:hint="eastAsia" w:ascii="宋体" w:hAnsi="宋体" w:eastAsia="宋体" w:cs="宋体"/>
          <w:color w:val="auto"/>
          <w:spacing w:val="6"/>
          <w:kern w:val="0"/>
          <w:sz w:val="21"/>
          <w:szCs w:val="21"/>
          <w:highlight w:val="none"/>
        </w:rPr>
        <w:t>300号）和</w:t>
      </w:r>
      <w:r>
        <w:rPr>
          <w:rFonts w:hint="eastAsia" w:ascii="宋体" w:hAnsi="宋体" w:eastAsia="宋体" w:cs="宋体"/>
          <w:color w:val="auto"/>
          <w:spacing w:val="6"/>
          <w:sz w:val="21"/>
          <w:szCs w:val="21"/>
          <w:highlight w:val="none"/>
        </w:rPr>
        <w:t>财政部、工业和信息化部《关于印发&lt;政府采购促进中小企业发展管理办法&gt;的通知》（财库〔2020〕46号）</w:t>
      </w:r>
      <w:r>
        <w:rPr>
          <w:rFonts w:hint="eastAsia" w:ascii="宋体" w:hAnsi="宋体" w:eastAsia="宋体" w:cs="宋体"/>
          <w:color w:val="auto"/>
          <w:sz w:val="21"/>
          <w:szCs w:val="21"/>
          <w:highlight w:val="none"/>
        </w:rPr>
        <w:t>相关规定。</w:t>
      </w:r>
    </w:p>
    <w:p>
      <w:pPr>
        <w:pStyle w:val="43"/>
        <w:adjustRightInd w:val="0"/>
        <w:snapToGrid w:val="0"/>
        <w:spacing w:line="360" w:lineRule="auto"/>
        <w:ind w:firstLine="525" w:firstLineChars="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2、中小企业部分提供其他中小企业制造货物的应另附说明，并与后面的报价一栏表保持一致。</w:t>
      </w:r>
    </w:p>
    <w:p>
      <w:pPr>
        <w:pStyle w:val="43"/>
        <w:adjustRightInd w:val="0"/>
        <w:snapToGrid w:val="0"/>
        <w:spacing w:line="360" w:lineRule="auto"/>
        <w:ind w:firstLine="525" w:firstLineChars="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3、未按上述要求提供、填写的，评审时不予以考虑。</w:t>
      </w:r>
    </w:p>
    <w:p>
      <w:pPr>
        <w:pStyle w:val="43"/>
        <w:adjustRightInd w:val="0"/>
        <w:snapToGrid w:val="0"/>
        <w:spacing w:line="360" w:lineRule="auto"/>
        <w:ind w:firstLine="600" w:firstLineChars="250"/>
        <w:rPr>
          <w:rFonts w:hint="eastAsia" w:ascii="宋体" w:hAnsi="宋体" w:eastAsia="宋体" w:cs="宋体"/>
          <w:color w:val="auto"/>
          <w:sz w:val="24"/>
          <w:szCs w:val="24"/>
          <w:highlight w:val="none"/>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color w:val="auto"/>
          <w:sz w:val="21"/>
          <w:szCs w:val="21"/>
          <w:highlight w:val="none"/>
          <w:shd w:val="clear" w:color="auto" w:fill="FFFFFF"/>
          <w:lang w:val="en-US" w:eastAsia="zh-CN"/>
        </w:rPr>
      </w:pPr>
    </w:p>
    <w:p>
      <w:pPr>
        <w:pStyle w:val="18"/>
        <w:shd w:val="clear" w:color="auto" w:fill="FFFFFF"/>
        <w:spacing w:line="360" w:lineRule="auto"/>
        <w:jc w:val="center"/>
        <w:rPr>
          <w:rFonts w:hint="eastAsia" w:ascii="宋体" w:hAnsi="宋体" w:eastAsia="宋体" w:cs="宋体"/>
          <w:b w:val="0"/>
          <w:bCs/>
          <w:color w:val="auto"/>
          <w:sz w:val="21"/>
          <w:szCs w:val="21"/>
          <w:highlight w:val="none"/>
          <w:shd w:val="clear" w:color="auto" w:fill="FFFFFF"/>
          <w:lang w:eastAsia="zh-CN"/>
        </w:rPr>
      </w:pPr>
      <w:r>
        <w:rPr>
          <w:rFonts w:hint="eastAsia" w:ascii="宋体" w:hAnsi="宋体" w:eastAsia="宋体" w:cs="宋体"/>
          <w:b w:val="0"/>
          <w:bCs/>
          <w:color w:val="auto"/>
          <w:sz w:val="21"/>
          <w:szCs w:val="21"/>
          <w:highlight w:val="none"/>
          <w:shd w:val="clear" w:color="auto" w:fill="FFFFFF"/>
          <w:lang w:val="en-US" w:eastAsia="zh-CN"/>
        </w:rPr>
        <w:t>2</w:t>
      </w:r>
      <w:r>
        <w:rPr>
          <w:rFonts w:hint="eastAsia" w:ascii="宋体" w:hAnsi="宋体" w:eastAsia="宋体" w:cs="宋体"/>
          <w:b w:val="0"/>
          <w:bCs/>
          <w:color w:val="auto"/>
          <w:sz w:val="21"/>
          <w:szCs w:val="21"/>
          <w:highlight w:val="none"/>
          <w:shd w:val="clear" w:color="auto" w:fill="FFFFFF"/>
        </w:rPr>
        <w:t>、中小企业声明函</w:t>
      </w:r>
      <w:r>
        <w:rPr>
          <w:rFonts w:hint="eastAsia" w:ascii="宋体" w:hAnsi="宋体" w:eastAsia="宋体" w:cs="宋体"/>
          <w:b w:val="0"/>
          <w:bCs/>
          <w:color w:val="auto"/>
          <w:sz w:val="21"/>
          <w:szCs w:val="21"/>
          <w:highlight w:val="none"/>
          <w:shd w:val="clear" w:color="auto" w:fill="FFFFFF"/>
          <w:lang w:eastAsia="zh-CN"/>
        </w:rPr>
        <w:t>（</w:t>
      </w:r>
      <w:r>
        <w:rPr>
          <w:rFonts w:hint="eastAsia" w:ascii="宋体" w:hAnsi="宋体" w:eastAsia="宋体" w:cs="宋体"/>
          <w:b w:val="0"/>
          <w:bCs/>
          <w:color w:val="auto"/>
          <w:sz w:val="21"/>
          <w:szCs w:val="21"/>
          <w:highlight w:val="none"/>
          <w:shd w:val="clear" w:color="auto" w:fill="FFFFFF"/>
          <w:lang w:val="en-US" w:eastAsia="zh-CN"/>
        </w:rPr>
        <w:t>服务</w:t>
      </w:r>
      <w:r>
        <w:rPr>
          <w:rFonts w:hint="eastAsia" w:ascii="宋体" w:hAnsi="宋体" w:eastAsia="宋体" w:cs="宋体"/>
          <w:b w:val="0"/>
          <w:bCs/>
          <w:color w:val="auto"/>
          <w:sz w:val="21"/>
          <w:szCs w:val="21"/>
          <w:highlight w:val="none"/>
          <w:shd w:val="clear" w:color="auto" w:fill="FFFFFF"/>
          <w:lang w:eastAsia="zh-CN"/>
        </w:rPr>
        <w:t>）</w:t>
      </w:r>
    </w:p>
    <w:p>
      <w:pPr>
        <w:spacing w:before="145" w:beforeLines="50" w:after="145" w:afterLines="50" w:line="30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本公司（联合体）郑重声明，根据《政府采购促进中小企业发展管理办法》（财库﹝2020﹞46 号）的规定，本公司（联合体）参加（</w:t>
      </w:r>
      <w:r>
        <w:rPr>
          <w:rFonts w:hint="eastAsia" w:ascii="宋体" w:hAnsi="宋体" w:eastAsia="宋体" w:cs="宋体"/>
          <w:bCs/>
          <w:i/>
          <w:iCs/>
          <w:color w:val="auto"/>
          <w:sz w:val="21"/>
          <w:szCs w:val="21"/>
          <w:highlight w:val="none"/>
          <w:u w:val="single"/>
        </w:rPr>
        <w:t>单位名称</w:t>
      </w:r>
      <w:r>
        <w:rPr>
          <w:rFonts w:hint="eastAsia" w:ascii="宋体" w:hAnsi="宋体" w:eastAsia="宋体" w:cs="宋体"/>
          <w:bCs/>
          <w:color w:val="auto"/>
          <w:sz w:val="21"/>
          <w:szCs w:val="21"/>
          <w:highlight w:val="none"/>
        </w:rPr>
        <w:t>）的（</w:t>
      </w:r>
      <w:r>
        <w:rPr>
          <w:rFonts w:hint="eastAsia" w:ascii="宋体" w:hAnsi="宋体" w:eastAsia="宋体" w:cs="宋体"/>
          <w:bCs/>
          <w:i/>
          <w:iCs/>
          <w:color w:val="auto"/>
          <w:sz w:val="21"/>
          <w:szCs w:val="21"/>
          <w:highlight w:val="none"/>
          <w:u w:val="single"/>
        </w:rPr>
        <w:t>项目名称</w:t>
      </w:r>
      <w:r>
        <w:rPr>
          <w:rFonts w:hint="eastAsia" w:ascii="宋体" w:hAnsi="宋体" w:eastAsia="宋体" w:cs="宋体"/>
          <w:bCs/>
          <w:color w:val="auto"/>
          <w:sz w:val="21"/>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before="145" w:beforeLines="50" w:after="145" w:afterLines="50" w:line="30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 （</w:t>
      </w:r>
      <w:r>
        <w:rPr>
          <w:rFonts w:hint="eastAsia" w:ascii="宋体" w:hAnsi="宋体" w:eastAsia="宋体" w:cs="宋体"/>
          <w:bCs/>
          <w:i/>
          <w:iCs/>
          <w:color w:val="auto"/>
          <w:sz w:val="21"/>
          <w:szCs w:val="21"/>
          <w:highlight w:val="none"/>
          <w:u w:val="single"/>
        </w:rPr>
        <w:t>标的名称</w:t>
      </w:r>
      <w:r>
        <w:rPr>
          <w:rFonts w:hint="eastAsia" w:ascii="宋体" w:hAnsi="宋体" w:eastAsia="宋体" w:cs="宋体"/>
          <w:bCs/>
          <w:color w:val="auto"/>
          <w:sz w:val="21"/>
          <w:szCs w:val="21"/>
          <w:highlight w:val="none"/>
        </w:rPr>
        <w:t>） ，属于</w:t>
      </w:r>
      <w:r>
        <w:rPr>
          <w:rFonts w:hint="eastAsia" w:ascii="宋体" w:hAnsi="宋体" w:eastAsia="宋体" w:cs="宋体"/>
          <w:bCs/>
          <w:color w:val="auto"/>
          <w:sz w:val="21"/>
          <w:szCs w:val="21"/>
          <w:highlight w:val="none"/>
          <w:u w:val="single"/>
        </w:rPr>
        <w:t>（</w:t>
      </w:r>
      <w:r>
        <w:rPr>
          <w:rFonts w:hint="eastAsia" w:ascii="宋体" w:hAnsi="宋体" w:eastAsia="宋体" w:cs="宋体"/>
          <w:bCs/>
          <w:color w:val="auto"/>
          <w:sz w:val="21"/>
          <w:szCs w:val="21"/>
          <w:highlight w:val="none"/>
          <w:u w:val="single"/>
          <w:lang w:val="en-US" w:eastAsia="zh-CN"/>
        </w:rPr>
        <w:t>采购文件中所明确的行业</w:t>
      </w:r>
      <w:r>
        <w:rPr>
          <w:rFonts w:hint="eastAsia" w:ascii="宋体" w:hAnsi="宋体" w:eastAsia="宋体" w:cs="宋体"/>
          <w:bCs/>
          <w:color w:val="auto"/>
          <w:sz w:val="21"/>
          <w:szCs w:val="21"/>
          <w:highlight w:val="none"/>
          <w:u w:val="single"/>
        </w:rPr>
        <w:t>）</w:t>
      </w:r>
      <w:r>
        <w:rPr>
          <w:rFonts w:hint="eastAsia" w:ascii="宋体" w:hAnsi="宋体" w:eastAsia="宋体" w:cs="宋体"/>
          <w:bCs/>
          <w:color w:val="auto"/>
          <w:sz w:val="21"/>
          <w:szCs w:val="21"/>
          <w:highlight w:val="none"/>
        </w:rPr>
        <w:t>；承建（承接）企业为（</w:t>
      </w:r>
      <w:r>
        <w:rPr>
          <w:rFonts w:hint="eastAsia" w:ascii="宋体" w:hAnsi="宋体" w:eastAsia="宋体" w:cs="宋体"/>
          <w:bCs/>
          <w:i/>
          <w:iCs/>
          <w:color w:val="auto"/>
          <w:sz w:val="21"/>
          <w:szCs w:val="21"/>
          <w:highlight w:val="none"/>
          <w:u w:val="single"/>
        </w:rPr>
        <w:t>企业名称</w:t>
      </w:r>
      <w:r>
        <w:rPr>
          <w:rFonts w:hint="eastAsia" w:ascii="宋体" w:hAnsi="宋体" w:eastAsia="宋体" w:cs="宋体"/>
          <w:bCs/>
          <w:color w:val="auto"/>
          <w:sz w:val="21"/>
          <w:szCs w:val="21"/>
          <w:highlight w:val="none"/>
        </w:rPr>
        <w:t>），从业人员</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人，营业收入为</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万元，资产总额为</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万元，属于（</w:t>
      </w:r>
      <w:r>
        <w:rPr>
          <w:rFonts w:hint="eastAsia" w:ascii="宋体" w:hAnsi="宋体" w:eastAsia="宋体" w:cs="宋体"/>
          <w:bCs/>
          <w:i/>
          <w:iCs/>
          <w:color w:val="auto"/>
          <w:sz w:val="21"/>
          <w:szCs w:val="21"/>
          <w:highlight w:val="none"/>
          <w:u w:val="single"/>
        </w:rPr>
        <w:t>中型企业、小型企业、微型企业</w:t>
      </w:r>
      <w:r>
        <w:rPr>
          <w:rFonts w:hint="eastAsia" w:ascii="宋体" w:hAnsi="宋体" w:eastAsia="宋体" w:cs="宋体"/>
          <w:bCs/>
          <w:color w:val="auto"/>
          <w:sz w:val="21"/>
          <w:szCs w:val="21"/>
          <w:highlight w:val="none"/>
        </w:rPr>
        <w:t>）；</w:t>
      </w:r>
    </w:p>
    <w:p>
      <w:pPr>
        <w:spacing w:before="145" w:beforeLines="50" w:after="145" w:afterLines="50" w:line="30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 （</w:t>
      </w:r>
      <w:r>
        <w:rPr>
          <w:rFonts w:hint="eastAsia" w:ascii="宋体" w:hAnsi="宋体" w:eastAsia="宋体" w:cs="宋体"/>
          <w:bCs/>
          <w:i/>
          <w:iCs/>
          <w:color w:val="auto"/>
          <w:sz w:val="21"/>
          <w:szCs w:val="21"/>
          <w:highlight w:val="none"/>
          <w:u w:val="single"/>
        </w:rPr>
        <w:t>标的名称</w:t>
      </w:r>
      <w:r>
        <w:rPr>
          <w:rFonts w:hint="eastAsia" w:ascii="宋体" w:hAnsi="宋体" w:eastAsia="宋体" w:cs="宋体"/>
          <w:bCs/>
          <w:color w:val="auto"/>
          <w:sz w:val="21"/>
          <w:szCs w:val="21"/>
          <w:highlight w:val="none"/>
        </w:rPr>
        <w:t>） ，属于</w:t>
      </w:r>
      <w:r>
        <w:rPr>
          <w:rFonts w:hint="eastAsia" w:ascii="宋体" w:hAnsi="宋体" w:eastAsia="宋体" w:cs="宋体"/>
          <w:bCs/>
          <w:color w:val="auto"/>
          <w:sz w:val="21"/>
          <w:szCs w:val="21"/>
          <w:highlight w:val="none"/>
          <w:u w:val="single"/>
        </w:rPr>
        <w:t>（</w:t>
      </w:r>
      <w:r>
        <w:rPr>
          <w:rFonts w:hint="eastAsia" w:ascii="宋体" w:hAnsi="宋体" w:eastAsia="宋体" w:cs="宋体"/>
          <w:bCs/>
          <w:color w:val="auto"/>
          <w:sz w:val="21"/>
          <w:szCs w:val="21"/>
          <w:highlight w:val="none"/>
          <w:u w:val="single"/>
          <w:lang w:val="en-US" w:eastAsia="zh-CN"/>
        </w:rPr>
        <w:t>采购文件中所明确的行业</w:t>
      </w:r>
      <w:r>
        <w:rPr>
          <w:rFonts w:hint="eastAsia" w:ascii="宋体" w:hAnsi="宋体" w:eastAsia="宋体" w:cs="宋体"/>
          <w:bCs/>
          <w:color w:val="auto"/>
          <w:sz w:val="21"/>
          <w:szCs w:val="21"/>
          <w:highlight w:val="none"/>
          <w:u w:val="single"/>
        </w:rPr>
        <w:t>）</w:t>
      </w:r>
      <w:r>
        <w:rPr>
          <w:rFonts w:hint="eastAsia" w:ascii="宋体" w:hAnsi="宋体" w:eastAsia="宋体" w:cs="宋体"/>
          <w:bCs/>
          <w:color w:val="auto"/>
          <w:sz w:val="21"/>
          <w:szCs w:val="21"/>
          <w:highlight w:val="none"/>
        </w:rPr>
        <w:t>；承建（承接）企业为（</w:t>
      </w:r>
      <w:r>
        <w:rPr>
          <w:rFonts w:hint="eastAsia" w:ascii="宋体" w:hAnsi="宋体" w:eastAsia="宋体" w:cs="宋体"/>
          <w:bCs/>
          <w:i/>
          <w:iCs/>
          <w:color w:val="auto"/>
          <w:sz w:val="21"/>
          <w:szCs w:val="21"/>
          <w:highlight w:val="none"/>
          <w:u w:val="single"/>
        </w:rPr>
        <w:t>企业名称</w:t>
      </w:r>
      <w:r>
        <w:rPr>
          <w:rFonts w:hint="eastAsia" w:ascii="宋体" w:hAnsi="宋体" w:eastAsia="宋体" w:cs="宋体"/>
          <w:bCs/>
          <w:color w:val="auto"/>
          <w:sz w:val="21"/>
          <w:szCs w:val="21"/>
          <w:highlight w:val="none"/>
        </w:rPr>
        <w:t>），从业人员</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人，营业收入为</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万元，资产总额为</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万元，属于（</w:t>
      </w:r>
      <w:r>
        <w:rPr>
          <w:rFonts w:hint="eastAsia" w:ascii="宋体" w:hAnsi="宋体" w:eastAsia="宋体" w:cs="宋体"/>
          <w:bCs/>
          <w:i/>
          <w:iCs/>
          <w:color w:val="auto"/>
          <w:sz w:val="21"/>
          <w:szCs w:val="21"/>
          <w:highlight w:val="none"/>
          <w:u w:val="single"/>
        </w:rPr>
        <w:t>中型企业、小型企业、微型企业</w:t>
      </w:r>
      <w:r>
        <w:rPr>
          <w:rFonts w:hint="eastAsia" w:ascii="宋体" w:hAnsi="宋体" w:eastAsia="宋体" w:cs="宋体"/>
          <w:bCs/>
          <w:color w:val="auto"/>
          <w:sz w:val="21"/>
          <w:szCs w:val="21"/>
          <w:highlight w:val="none"/>
        </w:rPr>
        <w:t>）；</w:t>
      </w:r>
    </w:p>
    <w:p>
      <w:pPr>
        <w:spacing w:before="145" w:beforeLines="50" w:after="145" w:afterLines="50" w:line="30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p>
      <w:pPr>
        <w:spacing w:before="145" w:beforeLines="50" w:after="145" w:afterLines="50" w:line="30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以上企业，不属于大企业的分支机构，不存在控股股东为大企业的情形，也不存在与大企业的负责人为同一人的情形。</w:t>
      </w:r>
    </w:p>
    <w:p>
      <w:pPr>
        <w:spacing w:before="145" w:beforeLines="50" w:after="145" w:afterLines="50" w:line="30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本企业对上述声明内容的真实性负责。如有虚假，将依法承担相应责任。</w:t>
      </w:r>
    </w:p>
    <w:p>
      <w:pPr>
        <w:spacing w:before="145" w:beforeLines="50" w:after="145" w:afterLines="50" w:line="300" w:lineRule="auto"/>
        <w:rPr>
          <w:rFonts w:hint="eastAsia" w:ascii="宋体" w:hAnsi="宋体" w:eastAsia="宋体" w:cs="宋体"/>
          <w:bCs/>
          <w:color w:val="auto"/>
          <w:sz w:val="21"/>
          <w:szCs w:val="21"/>
          <w:highlight w:val="none"/>
        </w:rPr>
      </w:pPr>
    </w:p>
    <w:p>
      <w:pPr>
        <w:spacing w:before="145" w:beforeLines="50" w:after="145" w:afterLines="50" w:line="300" w:lineRule="auto"/>
        <w:rPr>
          <w:rFonts w:hint="eastAsia" w:ascii="宋体" w:hAnsi="宋体" w:eastAsia="宋体" w:cs="宋体"/>
          <w:bCs/>
          <w:color w:val="auto"/>
          <w:sz w:val="21"/>
          <w:szCs w:val="21"/>
          <w:highlight w:val="none"/>
        </w:rPr>
      </w:pPr>
    </w:p>
    <w:p>
      <w:pPr>
        <w:spacing w:before="145" w:beforeLines="50" w:after="145" w:afterLines="50" w:line="300" w:lineRule="auto"/>
        <w:ind w:firstLine="3780" w:firstLineChars="18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企业名称（盖章）：</w:t>
      </w:r>
    </w:p>
    <w:p>
      <w:pPr>
        <w:spacing w:before="145" w:beforeLines="50" w:after="145" w:afterLines="50" w:line="300" w:lineRule="auto"/>
        <w:ind w:firstLine="3780" w:firstLineChars="18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日期：</w:t>
      </w:r>
    </w:p>
    <w:p>
      <w:pPr>
        <w:pStyle w:val="18"/>
        <w:shd w:val="clear" w:color="auto" w:fill="auto"/>
        <w:spacing w:line="360" w:lineRule="auto"/>
        <w:ind w:right="1785" w:firstLine="5040" w:firstLineChars="2400"/>
        <w:rPr>
          <w:rFonts w:hint="eastAsia" w:ascii="宋体" w:hAnsi="宋体" w:eastAsia="宋体" w:cs="宋体"/>
          <w:bCs/>
          <w:color w:val="auto"/>
          <w:sz w:val="21"/>
          <w:szCs w:val="21"/>
          <w:highlight w:val="none"/>
          <w:shd w:val="clear" w:color="auto" w:fill="FFFFFF"/>
        </w:rPr>
      </w:pPr>
      <w:r>
        <w:rPr>
          <w:rFonts w:hint="eastAsia" w:ascii="宋体" w:hAnsi="宋体" w:eastAsia="宋体" w:cs="宋体"/>
          <w:bCs/>
          <w:color w:val="auto"/>
          <w:sz w:val="21"/>
          <w:szCs w:val="21"/>
          <w:highlight w:val="none"/>
          <w:shd w:val="clear" w:color="auto" w:fill="FFFFFF"/>
        </w:rPr>
        <w:t xml:space="preserve">            </w:t>
      </w:r>
    </w:p>
    <w:p>
      <w:pPr>
        <w:pStyle w:val="18"/>
        <w:shd w:val="clear" w:color="auto" w:fill="auto"/>
        <w:spacing w:line="360" w:lineRule="auto"/>
        <w:ind w:firstLine="420" w:firstLineChars="200"/>
        <w:rPr>
          <w:rFonts w:hint="eastAsia" w:ascii="宋体" w:hAnsi="宋体" w:eastAsia="宋体" w:cs="宋体"/>
          <w:bCs/>
          <w:color w:val="auto"/>
          <w:sz w:val="21"/>
          <w:szCs w:val="21"/>
          <w:highlight w:val="none"/>
          <w:shd w:val="clear" w:color="auto" w:fill="FFFFFF"/>
        </w:rPr>
      </w:pPr>
    </w:p>
    <w:p>
      <w:pPr>
        <w:pStyle w:val="18"/>
        <w:shd w:val="clear" w:color="auto" w:fill="auto"/>
        <w:spacing w:line="360" w:lineRule="auto"/>
        <w:ind w:firstLine="420" w:firstLineChars="200"/>
        <w:rPr>
          <w:rFonts w:hint="eastAsia" w:ascii="宋体" w:hAnsi="宋体" w:eastAsia="宋体" w:cs="宋体"/>
          <w:bCs/>
          <w:color w:val="auto"/>
          <w:sz w:val="21"/>
          <w:szCs w:val="21"/>
          <w:highlight w:val="none"/>
          <w:shd w:val="clear" w:color="auto" w:fill="FFFFFF"/>
        </w:rPr>
      </w:pPr>
      <w:r>
        <w:rPr>
          <w:rFonts w:hint="eastAsia" w:ascii="宋体" w:hAnsi="宋体" w:eastAsia="宋体" w:cs="宋体"/>
          <w:bCs/>
          <w:color w:val="auto"/>
          <w:sz w:val="21"/>
          <w:szCs w:val="21"/>
          <w:highlight w:val="none"/>
          <w:shd w:val="clear" w:color="auto" w:fill="FFFFFF"/>
        </w:rPr>
        <w:t>注：从业人员、营业收入、资产总额填报上一年度数据，无上一年度数据的新成立企业可不填报。</w:t>
      </w:r>
    </w:p>
    <w:p>
      <w:pPr>
        <w:pStyle w:val="43"/>
        <w:shd w:val="clear" w:color="auto" w:fill="auto"/>
        <w:adjustRightInd w:val="0"/>
        <w:snapToGrid w:val="0"/>
        <w:spacing w:line="360" w:lineRule="auto"/>
        <w:ind w:firstLine="525" w:firstLineChars="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说明：1、填写前请认真阅读</w:t>
      </w:r>
      <w:r>
        <w:rPr>
          <w:rFonts w:hint="eastAsia" w:ascii="宋体" w:hAnsi="宋体" w:eastAsia="宋体" w:cs="宋体"/>
          <w:color w:val="auto"/>
          <w:spacing w:val="6"/>
          <w:kern w:val="0"/>
          <w:sz w:val="21"/>
          <w:szCs w:val="21"/>
          <w:highlight w:val="none"/>
        </w:rPr>
        <w:t>《工业和信息化部、国家统计局、国家发展和改革委员会、财政部关于印发中小企业划型标准规定的通知》（工信部联企业</w:t>
      </w:r>
      <w:r>
        <w:rPr>
          <w:rFonts w:hint="eastAsia" w:ascii="宋体" w:hAnsi="宋体" w:eastAsia="宋体" w:cs="宋体"/>
          <w:color w:val="auto"/>
          <w:spacing w:val="6"/>
          <w:sz w:val="21"/>
          <w:szCs w:val="21"/>
          <w:highlight w:val="none"/>
        </w:rPr>
        <w:t>〔2011〕</w:t>
      </w:r>
      <w:r>
        <w:rPr>
          <w:rFonts w:hint="eastAsia" w:ascii="宋体" w:hAnsi="宋体" w:eastAsia="宋体" w:cs="宋体"/>
          <w:color w:val="auto"/>
          <w:spacing w:val="6"/>
          <w:kern w:val="0"/>
          <w:sz w:val="21"/>
          <w:szCs w:val="21"/>
          <w:highlight w:val="none"/>
        </w:rPr>
        <w:t>300号）和</w:t>
      </w:r>
      <w:r>
        <w:rPr>
          <w:rFonts w:hint="eastAsia" w:ascii="宋体" w:hAnsi="宋体" w:eastAsia="宋体" w:cs="宋体"/>
          <w:color w:val="auto"/>
          <w:spacing w:val="6"/>
          <w:sz w:val="21"/>
          <w:szCs w:val="21"/>
          <w:highlight w:val="none"/>
        </w:rPr>
        <w:t>财政部、工业和信息化部《关于印发&lt;政府采购促进中小企业发展管理办法&gt;的通知》（财库〔2020〕46号）</w:t>
      </w:r>
      <w:r>
        <w:rPr>
          <w:rFonts w:hint="eastAsia" w:ascii="宋体" w:hAnsi="宋体" w:eastAsia="宋体" w:cs="宋体"/>
          <w:color w:val="auto"/>
          <w:sz w:val="21"/>
          <w:szCs w:val="21"/>
          <w:highlight w:val="none"/>
        </w:rPr>
        <w:t>相关规定。</w:t>
      </w:r>
    </w:p>
    <w:p>
      <w:pPr>
        <w:pStyle w:val="43"/>
        <w:shd w:val="clear" w:color="auto" w:fill="auto"/>
        <w:adjustRightInd w:val="0"/>
        <w:snapToGrid w:val="0"/>
        <w:spacing w:line="360" w:lineRule="auto"/>
        <w:ind w:firstLine="525" w:firstLineChars="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2、中小企业部分提供其他中小企业制造货物的应另附说明，并与后面的报价一栏表保持一致。</w:t>
      </w:r>
    </w:p>
    <w:p>
      <w:pPr>
        <w:pStyle w:val="43"/>
        <w:shd w:val="clear" w:color="auto" w:fill="auto"/>
        <w:adjustRightInd w:val="0"/>
        <w:snapToGrid w:val="0"/>
        <w:spacing w:line="360" w:lineRule="auto"/>
        <w:ind w:firstLine="525" w:firstLineChars="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3、未按上述要求提供、填写的，评审时不予以考虑。</w:t>
      </w:r>
    </w:p>
    <w:p>
      <w:pPr>
        <w:pStyle w:val="43"/>
        <w:adjustRightInd w:val="0"/>
        <w:snapToGrid w:val="0"/>
        <w:spacing w:line="360" w:lineRule="auto"/>
        <w:ind w:firstLine="600" w:firstLineChars="250"/>
        <w:rPr>
          <w:rFonts w:hint="eastAsia" w:ascii="宋体" w:hAnsi="宋体" w:eastAsia="宋体" w:cs="宋体"/>
          <w:color w:val="auto"/>
          <w:sz w:val="24"/>
          <w:szCs w:val="24"/>
          <w:highlight w:val="none"/>
        </w:rPr>
      </w:pPr>
    </w:p>
    <w:p>
      <w:pPr>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12"/>
        <w:rPr>
          <w:rFonts w:hint="eastAsia" w:ascii="宋体" w:hAnsi="宋体" w:eastAsia="宋体" w:cs="宋体"/>
          <w:color w:val="auto"/>
          <w:highlight w:val="none"/>
          <w:lang w:val="zh-CN" w:eastAsia="zh-CN"/>
        </w:rPr>
      </w:pPr>
    </w:p>
    <w:p>
      <w:pPr>
        <w:pStyle w:val="43"/>
        <w:spacing w:line="440" w:lineRule="exact"/>
        <w:ind w:firstLine="42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、残疾人福利性单位声明函</w:t>
      </w:r>
    </w:p>
    <w:p>
      <w:pPr>
        <w:pStyle w:val="44"/>
        <w:spacing w:line="588" w:lineRule="exact"/>
        <w:rPr>
          <w:rFonts w:hint="eastAsia" w:ascii="宋体" w:hAnsi="宋体" w:eastAsia="宋体" w:cs="宋体"/>
          <w:color w:val="auto"/>
          <w:highlight w:val="none"/>
        </w:rPr>
      </w:pPr>
    </w:p>
    <w:p>
      <w:pPr>
        <w:pStyle w:val="44"/>
        <w:widowControl/>
        <w:adjustRightInd w:val="0"/>
        <w:snapToGrid w:val="0"/>
        <w:spacing w:before="156" w:beforeLines="50"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44"/>
        <w:widowControl/>
        <w:adjustRightInd w:val="0"/>
        <w:snapToGrid w:val="0"/>
        <w:spacing w:before="156" w:beforeLines="50"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本单位对上述声明的真实性负责。如有虚假，将依法承担相应责任。</w:t>
      </w:r>
    </w:p>
    <w:p>
      <w:pPr>
        <w:pStyle w:val="44"/>
        <w:spacing w:line="588" w:lineRule="exact"/>
        <w:ind w:firstLine="420" w:firstLineChars="200"/>
        <w:rPr>
          <w:rFonts w:hint="eastAsia" w:ascii="宋体" w:hAnsi="宋体" w:eastAsia="宋体" w:cs="宋体"/>
          <w:color w:val="auto"/>
          <w:highlight w:val="none"/>
        </w:rPr>
      </w:pPr>
    </w:p>
    <w:p>
      <w:pPr>
        <w:pStyle w:val="44"/>
        <w:widowControl/>
        <w:adjustRightInd w:val="0"/>
        <w:snapToGrid w:val="0"/>
        <w:spacing w:line="360" w:lineRule="auto"/>
        <w:rPr>
          <w:rFonts w:hint="eastAsia" w:ascii="宋体" w:hAnsi="宋体" w:eastAsia="宋体" w:cs="宋体"/>
          <w:color w:val="auto"/>
          <w:highlight w:val="none"/>
        </w:rPr>
      </w:pPr>
    </w:p>
    <w:p>
      <w:pPr>
        <w:pStyle w:val="44"/>
        <w:widowControl/>
        <w:adjustRightInd w:val="0"/>
        <w:snapToGrid w:val="0"/>
        <w:spacing w:line="360" w:lineRule="auto"/>
        <w:ind w:firstLine="1155" w:firstLineChars="550"/>
        <w:rPr>
          <w:rFonts w:hint="eastAsia" w:ascii="宋体" w:hAnsi="宋体" w:eastAsia="宋体" w:cs="宋体"/>
          <w:color w:val="auto"/>
          <w:highlight w:val="none"/>
        </w:rPr>
      </w:pPr>
      <w:r>
        <w:rPr>
          <w:rFonts w:hint="eastAsia" w:ascii="宋体" w:hAnsi="宋体" w:eastAsia="宋体" w:cs="宋体"/>
          <w:color w:val="auto"/>
          <w:highlight w:val="none"/>
        </w:rPr>
        <w:t xml:space="preserve">供应商名称（盖单位章）： </w:t>
      </w:r>
    </w:p>
    <w:p>
      <w:pPr>
        <w:pStyle w:val="44"/>
        <w:spacing w:line="360" w:lineRule="auto"/>
        <w:ind w:right="504" w:firstLine="3045" w:firstLineChars="1450"/>
        <w:rPr>
          <w:rFonts w:hint="eastAsia" w:ascii="宋体" w:hAnsi="宋体" w:eastAsia="宋体" w:cs="宋体"/>
          <w:color w:val="auto"/>
          <w:highlight w:val="none"/>
        </w:rPr>
      </w:pPr>
      <w:r>
        <w:rPr>
          <w:rFonts w:hint="eastAsia" w:ascii="宋体" w:hAnsi="宋体" w:eastAsia="宋体" w:cs="宋体"/>
          <w:color w:val="auto"/>
          <w:highlight w:val="none"/>
        </w:rPr>
        <w:t>日期：        年    月   日</w:t>
      </w:r>
    </w:p>
    <w:p>
      <w:pPr>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br w:type="page"/>
      </w:r>
    </w:p>
    <w:p>
      <w:pPr>
        <w:pStyle w:val="43"/>
        <w:spacing w:line="440" w:lineRule="exact"/>
        <w:ind w:firstLine="42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、监狱企业证明材料</w:t>
      </w:r>
    </w:p>
    <w:p>
      <w:pPr>
        <w:pStyle w:val="43"/>
        <w:spacing w:line="440" w:lineRule="exact"/>
        <w:ind w:firstLine="420"/>
        <w:rPr>
          <w:rFonts w:hint="eastAsia" w:ascii="宋体" w:hAnsi="宋体" w:eastAsia="宋体" w:cs="宋体"/>
          <w:color w:val="auto"/>
          <w:highlight w:val="none"/>
        </w:rPr>
      </w:pPr>
    </w:p>
    <w:p>
      <w:pPr>
        <w:pStyle w:val="43"/>
        <w:spacing w:line="44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1.如属于监狱企业，需提供由省级以上监狱管理局、戒毒管理局（含新疆生产建设兵团）出具的属于监狱企业的证明文件；</w:t>
      </w:r>
    </w:p>
    <w:p>
      <w:pPr>
        <w:pStyle w:val="43"/>
        <w:spacing w:line="44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2.证明材料加盖供应商公章。</w:t>
      </w:r>
    </w:p>
    <w:p>
      <w:pPr>
        <w:pStyle w:val="30"/>
        <w:outlineLvl w:val="9"/>
        <w:rPr>
          <w:rFonts w:hint="eastAsia" w:ascii="宋体" w:hAnsi="宋体" w:eastAsia="宋体" w:cs="宋体"/>
          <w:color w:val="auto"/>
          <w:highlight w:val="none"/>
        </w:rPr>
        <w:sectPr>
          <w:pgSz w:w="11906" w:h="16838"/>
          <w:pgMar w:top="1440" w:right="1797" w:bottom="1440" w:left="1797" w:header="851" w:footer="992" w:gutter="0"/>
          <w:pgNumType w:fmt="decimal"/>
          <w:cols w:space="720" w:num="1"/>
          <w:titlePg/>
          <w:docGrid w:type="lines" w:linePitch="312" w:charSpace="0"/>
        </w:sectPr>
      </w:pPr>
    </w:p>
    <w:p>
      <w:pPr>
        <w:pStyle w:val="33"/>
        <w:outlineLvl w:val="4"/>
        <w:rPr>
          <w:rFonts w:hint="eastAsia" w:ascii="宋体" w:hAnsi="宋体" w:eastAsia="宋体" w:cs="宋体"/>
          <w:color w:val="auto"/>
          <w:highlight w:val="none"/>
        </w:rPr>
      </w:pPr>
      <w:r>
        <w:rPr>
          <w:rFonts w:hint="eastAsia" w:ascii="宋体" w:hAnsi="宋体" w:eastAsia="宋体" w:cs="宋体"/>
          <w:color w:val="auto"/>
          <w:highlight w:val="none"/>
          <w:lang w:val="zh-CN" w:eastAsia="zh-CN"/>
        </w:rPr>
        <w:br w:type="page"/>
      </w:r>
      <w:bookmarkStart w:id="309" w:name="_Toc10368"/>
      <w:bookmarkStart w:id="310" w:name="_Toc28611"/>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十</w:t>
      </w:r>
      <w:r>
        <w:rPr>
          <w:rFonts w:hint="eastAsia" w:ascii="宋体" w:hAnsi="宋体" w:eastAsia="宋体" w:cs="宋体"/>
          <w:color w:val="auto"/>
          <w:highlight w:val="none"/>
        </w:rPr>
        <w:t>）、节能、环保产品明细表（如有）</w:t>
      </w:r>
      <w:bookmarkEnd w:id="309"/>
      <w:bookmarkEnd w:id="310"/>
    </w:p>
    <w:p>
      <w:pPr>
        <w:pStyle w:val="43"/>
        <w:spacing w:line="440" w:lineRule="exact"/>
        <w:ind w:firstLine="420"/>
        <w:rPr>
          <w:rFonts w:hint="eastAsia" w:ascii="宋体" w:hAnsi="宋体" w:eastAsia="宋体" w:cs="宋体"/>
          <w:color w:val="auto"/>
          <w:highlight w:val="none"/>
        </w:rPr>
      </w:pPr>
    </w:p>
    <w:p>
      <w:pPr>
        <w:pStyle w:val="43"/>
        <w:spacing w:line="440" w:lineRule="exact"/>
        <w:ind w:firstLine="420"/>
        <w:rPr>
          <w:rFonts w:hint="eastAsia" w:ascii="宋体" w:hAnsi="宋体" w:eastAsia="宋体" w:cs="宋体"/>
          <w:color w:val="auto"/>
          <w:highlight w:val="none"/>
        </w:rPr>
      </w:pPr>
    </w:p>
    <w:p>
      <w:pPr>
        <w:pStyle w:val="43"/>
        <w:spacing w:line="440" w:lineRule="exact"/>
        <w:ind w:firstLine="420"/>
        <w:rPr>
          <w:rFonts w:hint="eastAsia" w:ascii="宋体" w:hAnsi="宋体" w:eastAsia="宋体" w:cs="宋体"/>
          <w:color w:val="auto"/>
          <w:highlight w:val="none"/>
        </w:rPr>
        <w:sectPr>
          <w:pgSz w:w="11906" w:h="16838"/>
          <w:pgMar w:top="1440" w:right="1797" w:bottom="1440" w:left="1797" w:header="851" w:footer="992" w:gutter="0"/>
          <w:pgNumType w:fmt="decimal"/>
          <w:cols w:space="720" w:num="1"/>
          <w:titlePg/>
          <w:docGrid w:type="lines" w:linePitch="312" w:charSpace="0"/>
        </w:sectPr>
      </w:pPr>
      <w:r>
        <w:rPr>
          <w:rFonts w:hint="eastAsia" w:ascii="宋体" w:hAnsi="宋体" w:eastAsia="宋体" w:cs="宋体"/>
          <w:color w:val="auto"/>
          <w:highlight w:val="none"/>
        </w:rPr>
        <w:t>格式自拟</w:t>
      </w:r>
    </w:p>
    <w:p>
      <w:pPr>
        <w:pStyle w:val="7"/>
        <w:ind w:right="155"/>
        <w:outlineLvl w:val="1"/>
        <w:rPr>
          <w:rFonts w:hint="eastAsia" w:ascii="宋体" w:hAnsi="宋体" w:eastAsia="宋体" w:cs="宋体"/>
          <w:color w:val="auto"/>
          <w:highlight w:val="none"/>
        </w:rPr>
      </w:pPr>
      <w:bookmarkStart w:id="311" w:name="_Toc6107"/>
      <w:r>
        <w:rPr>
          <w:rFonts w:hint="eastAsia" w:ascii="宋体" w:hAnsi="宋体" w:eastAsia="宋体" w:cs="宋体"/>
          <w:color w:val="auto"/>
          <w:highlight w:val="none"/>
        </w:rPr>
        <w:t>八、投标设备技术性能指标的详细描述</w:t>
      </w:r>
      <w:bookmarkEnd w:id="311"/>
    </w:p>
    <w:p>
      <w:pPr>
        <w:pStyle w:val="2"/>
        <w:rPr>
          <w:rFonts w:hint="eastAsia" w:ascii="宋体" w:hAnsi="宋体" w:eastAsia="宋体" w:cs="宋体"/>
          <w:b/>
          <w:color w:val="auto"/>
          <w:sz w:val="32"/>
          <w:highlight w:val="none"/>
        </w:rPr>
      </w:pPr>
    </w:p>
    <w:p>
      <w:pPr>
        <w:pStyle w:val="2"/>
        <w:spacing w:before="9"/>
        <w:rPr>
          <w:rFonts w:hint="eastAsia" w:ascii="宋体" w:hAnsi="宋体" w:eastAsia="宋体" w:cs="宋体"/>
          <w:b/>
          <w:color w:val="auto"/>
          <w:sz w:val="32"/>
          <w:highlight w:val="none"/>
        </w:rPr>
      </w:pPr>
    </w:p>
    <w:p>
      <w:pPr>
        <w:pStyle w:val="2"/>
        <w:rPr>
          <w:rFonts w:hint="eastAsia" w:ascii="宋体" w:hAnsi="宋体" w:eastAsia="宋体" w:cs="宋体"/>
          <w:color w:val="auto"/>
          <w:highlight w:val="none"/>
        </w:rPr>
      </w:pPr>
      <w:r>
        <w:rPr>
          <w:rFonts w:hint="eastAsia" w:ascii="宋体" w:hAnsi="宋体" w:eastAsia="宋体" w:cs="宋体"/>
          <w:color w:val="auto"/>
          <w:highlight w:val="none"/>
        </w:rPr>
        <w:t>投标人应按照第五章《供货要求》的要求</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评审办法</w:t>
      </w:r>
      <w:r>
        <w:rPr>
          <w:rFonts w:hint="eastAsia" w:ascii="宋体" w:hAnsi="宋体" w:eastAsia="宋体" w:cs="宋体"/>
          <w:color w:val="auto"/>
          <w:highlight w:val="none"/>
        </w:rPr>
        <w:t>及提供的格式编写，包括但不限于：</w:t>
      </w:r>
    </w:p>
    <w:p>
      <w:pPr>
        <w:pStyle w:val="29"/>
        <w:numPr>
          <w:ilvl w:val="0"/>
          <w:numId w:val="0"/>
        </w:numPr>
        <w:tabs>
          <w:tab w:val="left" w:pos="1318"/>
        </w:tabs>
        <w:spacing w:before="160" w:after="0" w:line="364" w:lineRule="auto"/>
        <w:ind w:right="371" w:rightChars="0"/>
        <w:jc w:val="left"/>
        <w:rPr>
          <w:rFonts w:hint="eastAsia" w:ascii="宋体" w:hAnsi="宋体" w:eastAsia="宋体" w:cs="宋体"/>
          <w:color w:val="auto"/>
          <w:sz w:val="24"/>
          <w:highlight w:val="none"/>
        </w:rPr>
      </w:pPr>
      <w:r>
        <w:rPr>
          <w:rFonts w:hint="eastAsia" w:ascii="宋体" w:hAnsi="宋体" w:eastAsia="宋体" w:cs="宋体"/>
          <w:color w:val="auto"/>
          <w:spacing w:val="-29"/>
          <w:sz w:val="24"/>
          <w:highlight w:val="none"/>
          <w:lang w:val="en-US" w:eastAsia="zh-CN"/>
        </w:rPr>
        <w:t>1、</w:t>
      </w:r>
      <w:r>
        <w:rPr>
          <w:rFonts w:hint="eastAsia" w:ascii="宋体" w:hAnsi="宋体" w:eastAsia="宋体" w:cs="宋体"/>
          <w:color w:val="auto"/>
          <w:spacing w:val="-29"/>
          <w:sz w:val="24"/>
          <w:highlight w:val="none"/>
        </w:rPr>
        <w:t>技术方案</w:t>
      </w:r>
      <w:r>
        <w:rPr>
          <w:rFonts w:hint="eastAsia" w:ascii="宋体" w:hAnsi="宋体" w:eastAsia="宋体" w:cs="宋体"/>
          <w:color w:val="auto"/>
          <w:sz w:val="24"/>
          <w:highlight w:val="none"/>
        </w:rPr>
        <w:t>（</w:t>
      </w:r>
      <w:r>
        <w:rPr>
          <w:rFonts w:hint="eastAsia" w:ascii="宋体" w:hAnsi="宋体" w:eastAsia="宋体" w:cs="宋体"/>
          <w:color w:val="auto"/>
          <w:spacing w:val="-15"/>
          <w:sz w:val="24"/>
          <w:highlight w:val="none"/>
        </w:rPr>
        <w:t>包括项目系统方案、实施方案及工作计划(根据本文件第五章的《技</w:t>
      </w:r>
      <w:r>
        <w:rPr>
          <w:rFonts w:hint="eastAsia" w:ascii="宋体" w:hAnsi="宋体" w:eastAsia="宋体" w:cs="宋体"/>
          <w:color w:val="auto"/>
          <w:spacing w:val="-18"/>
          <w:sz w:val="24"/>
          <w:highlight w:val="none"/>
        </w:rPr>
        <w:t>术要求》自行编写，包括但不限于系统总体优化设计方案、设备供货方案、系统集成、</w:t>
      </w:r>
      <w:r>
        <w:rPr>
          <w:rFonts w:hint="eastAsia" w:ascii="宋体" w:hAnsi="宋体" w:eastAsia="宋体" w:cs="宋体"/>
          <w:color w:val="auto"/>
          <w:sz w:val="24"/>
          <w:highlight w:val="none"/>
        </w:rPr>
        <w:t>系统调试、免费服务期内的技术支持计划及措施)；</w:t>
      </w:r>
    </w:p>
    <w:p>
      <w:pPr>
        <w:pStyle w:val="29"/>
        <w:numPr>
          <w:ilvl w:val="0"/>
          <w:numId w:val="0"/>
        </w:numPr>
        <w:tabs>
          <w:tab w:val="left" w:pos="1318"/>
        </w:tabs>
        <w:spacing w:before="0" w:after="0" w:line="362" w:lineRule="auto"/>
        <w:ind w:right="366" w:rightChars="0"/>
        <w:jc w:val="left"/>
        <w:rPr>
          <w:rFonts w:hint="eastAsia" w:ascii="宋体" w:hAnsi="宋体" w:eastAsia="宋体" w:cs="宋体"/>
          <w:color w:val="auto"/>
          <w:sz w:val="24"/>
          <w:highlight w:val="none"/>
        </w:rPr>
      </w:pPr>
      <w:r>
        <w:rPr>
          <w:rFonts w:hint="eastAsia" w:ascii="宋体" w:hAnsi="宋体" w:eastAsia="宋体" w:cs="宋体"/>
          <w:color w:val="auto"/>
          <w:spacing w:val="-3"/>
          <w:sz w:val="24"/>
          <w:highlight w:val="none"/>
          <w:lang w:val="en-US" w:eastAsia="zh-CN"/>
        </w:rPr>
        <w:t>2、</w:t>
      </w:r>
      <w:r>
        <w:rPr>
          <w:rFonts w:hint="eastAsia" w:ascii="宋体" w:hAnsi="宋体" w:eastAsia="宋体" w:cs="宋体"/>
          <w:color w:val="auto"/>
          <w:spacing w:val="-3"/>
          <w:sz w:val="24"/>
          <w:highlight w:val="none"/>
        </w:rPr>
        <w:t>投标产品清单</w:t>
      </w:r>
      <w:r>
        <w:rPr>
          <w:rFonts w:hint="eastAsia" w:ascii="宋体" w:hAnsi="宋体" w:eastAsia="宋体" w:cs="宋体"/>
          <w:color w:val="auto"/>
          <w:sz w:val="24"/>
          <w:highlight w:val="none"/>
        </w:rPr>
        <w:t>（</w:t>
      </w:r>
      <w:r>
        <w:rPr>
          <w:rFonts w:hint="eastAsia" w:ascii="宋体" w:hAnsi="宋体" w:eastAsia="宋体" w:cs="宋体"/>
          <w:color w:val="auto"/>
          <w:spacing w:val="-8"/>
          <w:sz w:val="24"/>
          <w:highlight w:val="none"/>
        </w:rPr>
        <w:t>至少须包含名称、规格、型号、单位、数量、主要技术参数、</w:t>
      </w:r>
      <w:r>
        <w:rPr>
          <w:rFonts w:hint="eastAsia" w:ascii="宋体" w:hAnsi="宋体" w:eastAsia="宋体" w:cs="宋体"/>
          <w:color w:val="auto"/>
          <w:sz w:val="24"/>
          <w:highlight w:val="none"/>
        </w:rPr>
        <w:t>产地等，格式自拟）；</w:t>
      </w:r>
    </w:p>
    <w:p>
      <w:pPr>
        <w:pStyle w:val="29"/>
        <w:numPr>
          <w:ilvl w:val="0"/>
          <w:numId w:val="0"/>
        </w:numPr>
        <w:tabs>
          <w:tab w:val="left" w:pos="1318"/>
        </w:tabs>
        <w:spacing w:before="5" w:after="0" w:line="240" w:lineRule="auto"/>
        <w:ind w:right="0" w:right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投标设备综合技术性能说明（自拟）；</w:t>
      </w:r>
    </w:p>
    <w:p>
      <w:pPr>
        <w:pStyle w:val="29"/>
        <w:numPr>
          <w:ilvl w:val="0"/>
          <w:numId w:val="0"/>
        </w:numPr>
        <w:tabs>
          <w:tab w:val="left" w:pos="1318"/>
        </w:tabs>
        <w:spacing w:before="160" w:after="0" w:line="362" w:lineRule="auto"/>
        <w:ind w:right="491" w:right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项目实施团队安排，包括项目经理（项目技术负责人）</w:t>
      </w:r>
      <w:r>
        <w:rPr>
          <w:rFonts w:hint="eastAsia" w:ascii="宋体" w:hAnsi="宋体" w:eastAsia="宋体" w:cs="宋体"/>
          <w:color w:val="auto"/>
          <w:spacing w:val="-2"/>
          <w:sz w:val="24"/>
          <w:highlight w:val="none"/>
        </w:rPr>
        <w:t>履历表、相关资格证</w:t>
      </w:r>
      <w:r>
        <w:rPr>
          <w:rFonts w:hint="eastAsia" w:ascii="宋体" w:hAnsi="宋体" w:eastAsia="宋体" w:cs="宋体"/>
          <w:color w:val="auto"/>
          <w:sz w:val="24"/>
          <w:highlight w:val="none"/>
        </w:rPr>
        <w:t>书及类似业绩证明，拟投入的主要技术人员的履历表及类似业绩证明；。</w:t>
      </w:r>
    </w:p>
    <w:p>
      <w:pPr>
        <w:pStyle w:val="29"/>
        <w:numPr>
          <w:ilvl w:val="0"/>
          <w:numId w:val="0"/>
        </w:numPr>
        <w:tabs>
          <w:tab w:val="left" w:pos="1318"/>
        </w:tabs>
        <w:spacing w:before="3" w:after="0" w:line="364" w:lineRule="auto"/>
        <w:ind w:right="491" w:right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人员培训方案（</w:t>
      </w:r>
      <w:r>
        <w:rPr>
          <w:rFonts w:hint="eastAsia" w:ascii="宋体" w:hAnsi="宋体" w:eastAsia="宋体" w:cs="宋体"/>
          <w:color w:val="auto"/>
          <w:spacing w:val="-1"/>
          <w:sz w:val="24"/>
          <w:highlight w:val="none"/>
        </w:rPr>
        <w:t>根据要求自行编写包括对招标人有关操作和系统软件管理人</w:t>
      </w:r>
      <w:r>
        <w:rPr>
          <w:rFonts w:hint="eastAsia" w:ascii="宋体" w:hAnsi="宋体" w:eastAsia="宋体" w:cs="宋体"/>
          <w:color w:val="auto"/>
          <w:sz w:val="24"/>
          <w:highlight w:val="none"/>
        </w:rPr>
        <w:t>员的培训计划、内容、时间、对象及目标等）；</w:t>
      </w:r>
    </w:p>
    <w:p>
      <w:pPr>
        <w:pStyle w:val="29"/>
        <w:numPr>
          <w:ilvl w:val="0"/>
          <w:numId w:val="0"/>
        </w:numPr>
        <w:tabs>
          <w:tab w:val="left" w:pos="1294"/>
        </w:tabs>
        <w:spacing w:before="0" w:after="0" w:line="364" w:lineRule="auto"/>
        <w:ind w:right="487" w:rightChars="0"/>
        <w:jc w:val="left"/>
        <w:rPr>
          <w:rFonts w:hint="eastAsia" w:ascii="宋体" w:hAnsi="宋体" w:eastAsia="宋体" w:cs="宋体"/>
          <w:color w:val="auto"/>
          <w:spacing w:val="-8"/>
          <w:sz w:val="24"/>
          <w:highlight w:val="none"/>
        </w:rPr>
      </w:pPr>
      <w:r>
        <w:rPr>
          <w:rFonts w:hint="eastAsia" w:ascii="宋体" w:hAnsi="宋体" w:eastAsia="宋体" w:cs="宋体"/>
          <w:color w:val="auto"/>
          <w:spacing w:val="-8"/>
          <w:sz w:val="24"/>
          <w:highlight w:val="none"/>
          <w:lang w:val="en-US" w:eastAsia="zh-CN"/>
        </w:rPr>
        <w:t>6、</w:t>
      </w:r>
      <w:r>
        <w:rPr>
          <w:rFonts w:hint="eastAsia" w:ascii="宋体" w:hAnsi="宋体" w:eastAsia="宋体" w:cs="宋体"/>
          <w:color w:val="auto"/>
          <w:spacing w:val="-8"/>
          <w:sz w:val="24"/>
          <w:highlight w:val="none"/>
        </w:rPr>
        <w:t>系统图、投标设备图纸、产品样本及其它技术资料、手册、指南、安装图或安装说明书等；</w:t>
      </w:r>
    </w:p>
    <w:p>
      <w:pPr>
        <w:pStyle w:val="29"/>
        <w:numPr>
          <w:ilvl w:val="0"/>
          <w:numId w:val="0"/>
        </w:numPr>
        <w:tabs>
          <w:tab w:val="left" w:pos="1294"/>
        </w:tabs>
        <w:spacing w:before="0" w:after="0" w:line="364" w:lineRule="auto"/>
        <w:ind w:right="487" w:rightChars="0"/>
        <w:jc w:val="left"/>
        <w:rPr>
          <w:rFonts w:hint="eastAsia" w:ascii="宋体" w:hAnsi="宋体" w:eastAsia="宋体" w:cs="宋体"/>
          <w:color w:val="auto"/>
          <w:spacing w:val="-8"/>
          <w:sz w:val="24"/>
          <w:highlight w:val="none"/>
        </w:rPr>
      </w:pPr>
      <w:r>
        <w:rPr>
          <w:rFonts w:hint="eastAsia" w:ascii="宋体" w:hAnsi="宋体" w:eastAsia="宋体" w:cs="宋体"/>
          <w:color w:val="auto"/>
          <w:spacing w:val="-8"/>
          <w:sz w:val="24"/>
          <w:highlight w:val="none"/>
          <w:lang w:val="en-US" w:eastAsia="zh-CN"/>
        </w:rPr>
        <w:t>7、</w:t>
      </w:r>
      <w:r>
        <w:rPr>
          <w:rFonts w:hint="eastAsia" w:ascii="宋体" w:hAnsi="宋体" w:eastAsia="宋体" w:cs="宋体"/>
          <w:color w:val="auto"/>
          <w:spacing w:val="-8"/>
          <w:sz w:val="24"/>
          <w:highlight w:val="none"/>
        </w:rPr>
        <w:t>质量管理及保证措施；</w:t>
      </w:r>
    </w:p>
    <w:p>
      <w:pPr>
        <w:pStyle w:val="29"/>
        <w:numPr>
          <w:ilvl w:val="0"/>
          <w:numId w:val="0"/>
        </w:numPr>
        <w:tabs>
          <w:tab w:val="left" w:pos="1294"/>
        </w:tabs>
        <w:spacing w:before="0" w:after="0" w:line="364" w:lineRule="auto"/>
        <w:ind w:right="487" w:rightChars="0"/>
        <w:jc w:val="left"/>
        <w:rPr>
          <w:rFonts w:hint="eastAsia" w:ascii="宋体" w:hAnsi="宋体" w:eastAsia="宋体" w:cs="宋体"/>
          <w:color w:val="auto"/>
          <w:spacing w:val="-8"/>
          <w:sz w:val="24"/>
          <w:highlight w:val="none"/>
        </w:rPr>
      </w:pPr>
      <w:r>
        <w:rPr>
          <w:rFonts w:hint="eastAsia" w:ascii="宋体" w:hAnsi="宋体" w:eastAsia="宋体" w:cs="宋体"/>
          <w:color w:val="auto"/>
          <w:spacing w:val="-8"/>
          <w:sz w:val="24"/>
          <w:highlight w:val="none"/>
          <w:lang w:val="en-US" w:eastAsia="zh-CN"/>
        </w:rPr>
        <w:t>8、</w:t>
      </w:r>
      <w:r>
        <w:rPr>
          <w:rFonts w:hint="eastAsia" w:ascii="宋体" w:hAnsi="宋体" w:eastAsia="宋体" w:cs="宋体"/>
          <w:color w:val="auto"/>
          <w:spacing w:val="-8"/>
          <w:sz w:val="24"/>
          <w:highlight w:val="none"/>
        </w:rPr>
        <w:t>系统维保及售后服务方案；</w:t>
      </w:r>
    </w:p>
    <w:p>
      <w:pPr>
        <w:pStyle w:val="29"/>
        <w:numPr>
          <w:ilvl w:val="0"/>
          <w:numId w:val="0"/>
        </w:numPr>
        <w:tabs>
          <w:tab w:val="left" w:pos="1294"/>
        </w:tabs>
        <w:spacing w:before="0" w:after="0" w:line="364" w:lineRule="auto"/>
        <w:ind w:right="487" w:rightChars="0"/>
        <w:jc w:val="left"/>
        <w:rPr>
          <w:rFonts w:hint="eastAsia" w:ascii="宋体" w:hAnsi="宋体" w:eastAsia="宋体" w:cs="宋体"/>
          <w:color w:val="auto"/>
          <w:spacing w:val="-8"/>
          <w:sz w:val="24"/>
          <w:highlight w:val="none"/>
          <w:lang w:val="zh-CN" w:eastAsia="zh-CN"/>
        </w:rPr>
      </w:pPr>
      <w:r>
        <w:rPr>
          <w:rFonts w:hint="eastAsia" w:ascii="宋体" w:hAnsi="宋体" w:eastAsia="宋体" w:cs="宋体"/>
          <w:color w:val="auto"/>
          <w:spacing w:val="-8"/>
          <w:sz w:val="24"/>
          <w:highlight w:val="none"/>
          <w:lang w:val="en-US" w:eastAsia="zh-CN"/>
        </w:rPr>
        <w:t>9、</w:t>
      </w:r>
      <w:r>
        <w:rPr>
          <w:rFonts w:hint="eastAsia" w:ascii="宋体" w:hAnsi="宋体" w:eastAsia="宋体" w:cs="宋体"/>
          <w:color w:val="auto"/>
          <w:spacing w:val="-8"/>
          <w:sz w:val="24"/>
          <w:highlight w:val="none"/>
        </w:rPr>
        <w:t>投标人认为其它应提供的资料；</w:t>
      </w:r>
    </w:p>
    <w:p>
      <w:pPr>
        <w:pStyle w:val="12"/>
        <w:rPr>
          <w:rFonts w:hint="eastAsia" w:ascii="宋体" w:hAnsi="宋体" w:eastAsia="宋体" w:cs="宋体"/>
          <w:color w:val="auto"/>
          <w:highlight w:val="none"/>
          <w:lang w:val="zh-CN" w:eastAsia="zh-CN"/>
        </w:rPr>
      </w:pPr>
    </w:p>
    <w:p>
      <w:pPr>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br w:type="page"/>
      </w:r>
    </w:p>
    <w:p>
      <w:pPr>
        <w:pStyle w:val="7"/>
        <w:outlineLvl w:val="1"/>
        <w:rPr>
          <w:rFonts w:hint="eastAsia" w:ascii="宋体" w:hAnsi="宋体" w:eastAsia="宋体" w:cs="宋体"/>
          <w:color w:val="auto"/>
          <w:highlight w:val="none"/>
        </w:rPr>
      </w:pPr>
      <w:bookmarkStart w:id="312" w:name="_Toc23652"/>
      <w:r>
        <w:rPr>
          <w:rFonts w:hint="eastAsia" w:ascii="宋体" w:hAnsi="宋体" w:eastAsia="宋体" w:cs="宋体"/>
          <w:color w:val="auto"/>
          <w:highlight w:val="none"/>
        </w:rPr>
        <w:t>九、技术支持资料</w:t>
      </w:r>
      <w:bookmarkEnd w:id="312"/>
    </w:p>
    <w:p>
      <w:pPr>
        <w:pStyle w:val="2"/>
        <w:rPr>
          <w:rFonts w:hint="eastAsia" w:ascii="宋体" w:hAnsi="宋体" w:eastAsia="宋体" w:cs="宋体"/>
          <w:b/>
          <w:color w:val="auto"/>
          <w:sz w:val="32"/>
          <w:highlight w:val="none"/>
        </w:rPr>
      </w:pPr>
    </w:p>
    <w:p>
      <w:pPr>
        <w:pStyle w:val="2"/>
        <w:spacing w:before="9"/>
        <w:rPr>
          <w:rFonts w:hint="eastAsia" w:ascii="宋体" w:hAnsi="宋体" w:eastAsia="宋体" w:cs="宋体"/>
          <w:b/>
          <w:color w:val="auto"/>
          <w:sz w:val="32"/>
          <w:highlight w:val="none"/>
        </w:rPr>
      </w:pPr>
    </w:p>
    <w:p>
      <w:pPr>
        <w:pStyle w:val="2"/>
        <w:ind w:right="15"/>
        <w:jc w:val="center"/>
        <w:rPr>
          <w:rFonts w:hint="eastAsia" w:ascii="宋体" w:hAnsi="宋体" w:eastAsia="宋体" w:cs="宋体"/>
          <w:color w:val="auto"/>
          <w:highlight w:val="none"/>
        </w:rPr>
      </w:pPr>
      <w:r>
        <w:rPr>
          <w:rFonts w:hint="eastAsia" w:ascii="宋体" w:hAnsi="宋体" w:eastAsia="宋体" w:cs="宋体"/>
          <w:color w:val="auto"/>
          <w:highlight w:val="none"/>
        </w:rPr>
        <w:t>投标人认为应提供的其它资料（自拟）</w:t>
      </w:r>
    </w:p>
    <w:p>
      <w:pPr>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br w:type="page"/>
      </w:r>
    </w:p>
    <w:p>
      <w:pPr>
        <w:pStyle w:val="7"/>
        <w:ind w:right="155"/>
        <w:outlineLvl w:val="1"/>
        <w:rPr>
          <w:rFonts w:hint="eastAsia" w:ascii="宋体" w:hAnsi="宋体" w:eastAsia="宋体" w:cs="宋体"/>
          <w:color w:val="auto"/>
          <w:highlight w:val="none"/>
        </w:rPr>
      </w:pPr>
      <w:bookmarkStart w:id="313" w:name="_Toc24760"/>
      <w:r>
        <w:rPr>
          <w:rFonts w:hint="eastAsia" w:ascii="宋体" w:hAnsi="宋体" w:eastAsia="宋体" w:cs="宋体"/>
          <w:color w:val="auto"/>
          <w:highlight w:val="none"/>
        </w:rPr>
        <w:t>十、技术服务和质保期服务计划</w:t>
      </w:r>
      <w:bookmarkEnd w:id="313"/>
    </w:p>
    <w:p>
      <w:pPr>
        <w:pStyle w:val="2"/>
        <w:spacing w:before="4"/>
        <w:rPr>
          <w:rFonts w:hint="eastAsia" w:ascii="宋体" w:hAnsi="宋体" w:eastAsia="宋体" w:cs="宋体"/>
          <w:b/>
          <w:color w:val="auto"/>
          <w:sz w:val="28"/>
          <w:highlight w:val="none"/>
        </w:rPr>
      </w:pPr>
    </w:p>
    <w:p>
      <w:pPr>
        <w:pStyle w:val="2"/>
        <w:ind w:left="477"/>
        <w:rPr>
          <w:rFonts w:hint="eastAsia" w:ascii="宋体" w:hAnsi="宋体" w:eastAsia="宋体" w:cs="宋体"/>
          <w:color w:val="auto"/>
          <w:highlight w:val="none"/>
        </w:rPr>
      </w:pPr>
      <w:r>
        <w:rPr>
          <w:rFonts w:hint="eastAsia" w:ascii="宋体" w:hAnsi="宋体" w:eastAsia="宋体" w:cs="宋体"/>
          <w:color w:val="auto"/>
          <w:highlight w:val="none"/>
        </w:rPr>
        <w:t>（一）技术服务措施和计划</w:t>
      </w:r>
    </w:p>
    <w:p>
      <w:pPr>
        <w:pStyle w:val="2"/>
        <w:spacing w:before="5"/>
        <w:rPr>
          <w:rFonts w:hint="eastAsia" w:ascii="宋体" w:hAnsi="宋体" w:eastAsia="宋体" w:cs="宋体"/>
          <w:color w:val="auto"/>
          <w:sz w:val="12"/>
          <w:highlight w:val="none"/>
        </w:rPr>
      </w:pPr>
    </w:p>
    <w:tbl>
      <w:tblPr>
        <w:tblStyle w:val="20"/>
        <w:tblW w:w="0" w:type="auto"/>
        <w:tblInd w:w="3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6"/>
        <w:gridCol w:w="2620"/>
        <w:gridCol w:w="709"/>
        <w:gridCol w:w="1950"/>
        <w:gridCol w:w="761"/>
        <w:gridCol w:w="2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6" w:type="dxa"/>
            <w:vMerge w:val="restart"/>
          </w:tcPr>
          <w:p>
            <w:pPr>
              <w:pStyle w:val="28"/>
              <w:spacing w:before="140"/>
              <w:ind w:left="127"/>
              <w:rPr>
                <w:rFonts w:hint="eastAsia" w:ascii="宋体" w:hAnsi="宋体" w:eastAsia="宋体" w:cs="宋体"/>
                <w:color w:val="auto"/>
                <w:sz w:val="21"/>
                <w:highlight w:val="none"/>
              </w:rPr>
            </w:pPr>
            <w:r>
              <w:rPr>
                <w:rFonts w:hint="eastAsia" w:ascii="宋体" w:hAnsi="宋体" w:eastAsia="宋体" w:cs="宋体"/>
                <w:color w:val="auto"/>
                <w:sz w:val="21"/>
                <w:highlight w:val="none"/>
              </w:rPr>
              <w:t>序号</w:t>
            </w:r>
          </w:p>
        </w:tc>
        <w:tc>
          <w:tcPr>
            <w:tcW w:w="2620" w:type="dxa"/>
            <w:vMerge w:val="restart"/>
          </w:tcPr>
          <w:p>
            <w:pPr>
              <w:pStyle w:val="28"/>
              <w:spacing w:before="140"/>
              <w:ind w:left="680"/>
              <w:rPr>
                <w:rFonts w:hint="eastAsia" w:ascii="宋体" w:hAnsi="宋体" w:eastAsia="宋体" w:cs="宋体"/>
                <w:color w:val="auto"/>
                <w:sz w:val="21"/>
                <w:highlight w:val="none"/>
              </w:rPr>
            </w:pPr>
            <w:r>
              <w:rPr>
                <w:rFonts w:hint="eastAsia" w:ascii="宋体" w:hAnsi="宋体" w:eastAsia="宋体" w:cs="宋体"/>
                <w:color w:val="auto"/>
                <w:sz w:val="21"/>
                <w:highlight w:val="none"/>
              </w:rPr>
              <w:t>技术服务内容</w:t>
            </w:r>
          </w:p>
        </w:tc>
        <w:tc>
          <w:tcPr>
            <w:tcW w:w="709" w:type="dxa"/>
            <w:vMerge w:val="restart"/>
          </w:tcPr>
          <w:p>
            <w:pPr>
              <w:pStyle w:val="28"/>
              <w:spacing w:before="3"/>
              <w:ind w:left="143"/>
              <w:rPr>
                <w:rFonts w:hint="eastAsia" w:ascii="宋体" w:hAnsi="宋体" w:eastAsia="宋体" w:cs="宋体"/>
                <w:color w:val="auto"/>
                <w:sz w:val="21"/>
                <w:highlight w:val="none"/>
              </w:rPr>
            </w:pPr>
            <w:r>
              <w:rPr>
                <w:rFonts w:hint="eastAsia" w:ascii="宋体" w:hAnsi="宋体" w:eastAsia="宋体" w:cs="宋体"/>
                <w:color w:val="auto"/>
                <w:spacing w:val="-1"/>
                <w:w w:val="95"/>
                <w:sz w:val="21"/>
                <w:highlight w:val="none"/>
              </w:rPr>
              <w:t>计划</w:t>
            </w:r>
          </w:p>
          <w:p>
            <w:pPr>
              <w:pStyle w:val="28"/>
              <w:spacing w:before="4" w:line="258" w:lineRule="exact"/>
              <w:ind w:left="143"/>
              <w:rPr>
                <w:rFonts w:hint="eastAsia" w:ascii="宋体" w:hAnsi="宋体" w:eastAsia="宋体" w:cs="宋体"/>
                <w:color w:val="auto"/>
                <w:sz w:val="21"/>
                <w:highlight w:val="none"/>
              </w:rPr>
            </w:pPr>
            <w:r>
              <w:rPr>
                <w:rFonts w:hint="eastAsia" w:ascii="宋体" w:hAnsi="宋体" w:eastAsia="宋体" w:cs="宋体"/>
                <w:color w:val="auto"/>
                <w:spacing w:val="-1"/>
                <w:w w:val="95"/>
                <w:sz w:val="21"/>
                <w:highlight w:val="none"/>
              </w:rPr>
              <w:t>天数</w:t>
            </w:r>
          </w:p>
        </w:tc>
        <w:tc>
          <w:tcPr>
            <w:tcW w:w="2711" w:type="dxa"/>
            <w:gridSpan w:val="2"/>
          </w:tcPr>
          <w:p>
            <w:pPr>
              <w:pStyle w:val="28"/>
              <w:spacing w:before="1" w:line="251" w:lineRule="exact"/>
              <w:ind w:left="725"/>
              <w:rPr>
                <w:rFonts w:hint="eastAsia" w:ascii="宋体" w:hAnsi="宋体" w:eastAsia="宋体" w:cs="宋体"/>
                <w:color w:val="auto"/>
                <w:sz w:val="21"/>
                <w:highlight w:val="none"/>
              </w:rPr>
            </w:pPr>
            <w:r>
              <w:rPr>
                <w:rFonts w:hint="eastAsia" w:ascii="宋体" w:hAnsi="宋体" w:eastAsia="宋体" w:cs="宋体"/>
                <w:color w:val="auto"/>
                <w:sz w:val="21"/>
                <w:highlight w:val="none"/>
              </w:rPr>
              <w:t>派出人员构成</w:t>
            </w:r>
          </w:p>
        </w:tc>
        <w:tc>
          <w:tcPr>
            <w:tcW w:w="2181" w:type="dxa"/>
            <w:vMerge w:val="restart"/>
          </w:tcPr>
          <w:p>
            <w:pPr>
              <w:pStyle w:val="28"/>
              <w:spacing w:before="140"/>
              <w:ind w:left="859" w:right="852"/>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6" w:type="dxa"/>
            <w:vMerge w:val="continue"/>
            <w:tcBorders>
              <w:top w:val="nil"/>
            </w:tcBorders>
          </w:tcPr>
          <w:p>
            <w:pPr>
              <w:rPr>
                <w:rFonts w:hint="eastAsia" w:ascii="宋体" w:hAnsi="宋体" w:eastAsia="宋体" w:cs="宋体"/>
                <w:color w:val="auto"/>
                <w:sz w:val="2"/>
                <w:szCs w:val="2"/>
                <w:highlight w:val="none"/>
              </w:rPr>
            </w:pPr>
          </w:p>
        </w:tc>
        <w:tc>
          <w:tcPr>
            <w:tcW w:w="2620" w:type="dxa"/>
            <w:vMerge w:val="continue"/>
            <w:tcBorders>
              <w:top w:val="nil"/>
            </w:tcBorders>
          </w:tcPr>
          <w:p>
            <w:pPr>
              <w:rPr>
                <w:rFonts w:hint="eastAsia" w:ascii="宋体" w:hAnsi="宋体" w:eastAsia="宋体" w:cs="宋体"/>
                <w:color w:val="auto"/>
                <w:sz w:val="2"/>
                <w:szCs w:val="2"/>
                <w:highlight w:val="none"/>
              </w:rPr>
            </w:pPr>
          </w:p>
        </w:tc>
        <w:tc>
          <w:tcPr>
            <w:tcW w:w="709" w:type="dxa"/>
            <w:vMerge w:val="continue"/>
            <w:tcBorders>
              <w:top w:val="nil"/>
            </w:tcBorders>
          </w:tcPr>
          <w:p>
            <w:pPr>
              <w:rPr>
                <w:rFonts w:hint="eastAsia" w:ascii="宋体" w:hAnsi="宋体" w:eastAsia="宋体" w:cs="宋体"/>
                <w:color w:val="auto"/>
                <w:sz w:val="2"/>
                <w:szCs w:val="2"/>
                <w:highlight w:val="none"/>
              </w:rPr>
            </w:pPr>
          </w:p>
        </w:tc>
        <w:tc>
          <w:tcPr>
            <w:tcW w:w="1950" w:type="dxa"/>
          </w:tcPr>
          <w:p>
            <w:pPr>
              <w:pStyle w:val="28"/>
              <w:tabs>
                <w:tab w:val="left" w:pos="430"/>
              </w:tabs>
              <w:spacing w:before="2" w:line="251" w:lineRule="exact"/>
              <w:ind w:left="8"/>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职</w:t>
            </w:r>
            <w:r>
              <w:rPr>
                <w:rFonts w:hint="eastAsia" w:ascii="宋体" w:hAnsi="宋体" w:eastAsia="宋体" w:cs="宋体"/>
                <w:color w:val="auto"/>
                <w:sz w:val="21"/>
                <w:highlight w:val="none"/>
              </w:rPr>
              <w:tab/>
            </w:r>
            <w:r>
              <w:rPr>
                <w:rFonts w:hint="eastAsia" w:ascii="宋体" w:hAnsi="宋体" w:eastAsia="宋体" w:cs="宋体"/>
                <w:color w:val="auto"/>
                <w:sz w:val="21"/>
                <w:highlight w:val="none"/>
              </w:rPr>
              <w:t>称</w:t>
            </w:r>
          </w:p>
        </w:tc>
        <w:tc>
          <w:tcPr>
            <w:tcW w:w="761" w:type="dxa"/>
          </w:tcPr>
          <w:p>
            <w:pPr>
              <w:pStyle w:val="28"/>
              <w:spacing w:before="2" w:line="251" w:lineRule="exact"/>
              <w:ind w:left="170"/>
              <w:rPr>
                <w:rFonts w:hint="eastAsia" w:ascii="宋体" w:hAnsi="宋体" w:eastAsia="宋体" w:cs="宋体"/>
                <w:color w:val="auto"/>
                <w:sz w:val="21"/>
                <w:highlight w:val="none"/>
              </w:rPr>
            </w:pPr>
            <w:r>
              <w:rPr>
                <w:rFonts w:hint="eastAsia" w:ascii="宋体" w:hAnsi="宋体" w:eastAsia="宋体" w:cs="宋体"/>
                <w:color w:val="auto"/>
                <w:sz w:val="21"/>
                <w:highlight w:val="none"/>
              </w:rPr>
              <w:t>人数</w:t>
            </w:r>
          </w:p>
        </w:tc>
        <w:tc>
          <w:tcPr>
            <w:tcW w:w="2181" w:type="dxa"/>
            <w:vMerge w:val="continue"/>
            <w:tcBorders>
              <w:top w:val="nil"/>
            </w:tcBorders>
          </w:tcPr>
          <w:p>
            <w:pPr>
              <w:rPr>
                <w:rFonts w:hint="eastAsia" w:ascii="宋体" w:hAnsi="宋体" w:eastAsia="宋体" w:cs="宋体"/>
                <w:color w:val="auto"/>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6" w:type="dxa"/>
          </w:tcPr>
          <w:p>
            <w:pPr>
              <w:pStyle w:val="28"/>
              <w:spacing w:line="252" w:lineRule="exact"/>
              <w:ind w:left="5"/>
              <w:jc w:val="center"/>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1</w:t>
            </w:r>
          </w:p>
        </w:tc>
        <w:tc>
          <w:tcPr>
            <w:tcW w:w="2620" w:type="dxa"/>
          </w:tcPr>
          <w:p>
            <w:pPr>
              <w:pStyle w:val="28"/>
              <w:rPr>
                <w:rFonts w:hint="eastAsia" w:ascii="宋体" w:hAnsi="宋体" w:eastAsia="宋体" w:cs="宋体"/>
                <w:color w:val="auto"/>
                <w:sz w:val="20"/>
                <w:highlight w:val="none"/>
              </w:rPr>
            </w:pPr>
          </w:p>
        </w:tc>
        <w:tc>
          <w:tcPr>
            <w:tcW w:w="709" w:type="dxa"/>
          </w:tcPr>
          <w:p>
            <w:pPr>
              <w:pStyle w:val="28"/>
              <w:rPr>
                <w:rFonts w:hint="eastAsia" w:ascii="宋体" w:hAnsi="宋体" w:eastAsia="宋体" w:cs="宋体"/>
                <w:color w:val="auto"/>
                <w:sz w:val="20"/>
                <w:highlight w:val="none"/>
              </w:rPr>
            </w:pPr>
          </w:p>
        </w:tc>
        <w:tc>
          <w:tcPr>
            <w:tcW w:w="1950" w:type="dxa"/>
          </w:tcPr>
          <w:p>
            <w:pPr>
              <w:pStyle w:val="28"/>
              <w:rPr>
                <w:rFonts w:hint="eastAsia" w:ascii="宋体" w:hAnsi="宋体" w:eastAsia="宋体" w:cs="宋体"/>
                <w:color w:val="auto"/>
                <w:sz w:val="20"/>
                <w:highlight w:val="none"/>
              </w:rPr>
            </w:pPr>
          </w:p>
        </w:tc>
        <w:tc>
          <w:tcPr>
            <w:tcW w:w="761" w:type="dxa"/>
          </w:tcPr>
          <w:p>
            <w:pPr>
              <w:pStyle w:val="28"/>
              <w:rPr>
                <w:rFonts w:hint="eastAsia" w:ascii="宋体" w:hAnsi="宋体" w:eastAsia="宋体" w:cs="宋体"/>
                <w:color w:val="auto"/>
                <w:sz w:val="20"/>
                <w:highlight w:val="none"/>
              </w:rPr>
            </w:pPr>
          </w:p>
        </w:tc>
        <w:tc>
          <w:tcPr>
            <w:tcW w:w="2181"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6" w:type="dxa"/>
          </w:tcPr>
          <w:p>
            <w:pPr>
              <w:pStyle w:val="28"/>
              <w:spacing w:before="1" w:line="251" w:lineRule="exact"/>
              <w:ind w:left="5"/>
              <w:jc w:val="center"/>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2</w:t>
            </w:r>
          </w:p>
        </w:tc>
        <w:tc>
          <w:tcPr>
            <w:tcW w:w="2620" w:type="dxa"/>
          </w:tcPr>
          <w:p>
            <w:pPr>
              <w:pStyle w:val="28"/>
              <w:rPr>
                <w:rFonts w:hint="eastAsia" w:ascii="宋体" w:hAnsi="宋体" w:eastAsia="宋体" w:cs="宋体"/>
                <w:color w:val="auto"/>
                <w:sz w:val="20"/>
                <w:highlight w:val="none"/>
              </w:rPr>
            </w:pPr>
          </w:p>
        </w:tc>
        <w:tc>
          <w:tcPr>
            <w:tcW w:w="709" w:type="dxa"/>
          </w:tcPr>
          <w:p>
            <w:pPr>
              <w:pStyle w:val="28"/>
              <w:rPr>
                <w:rFonts w:hint="eastAsia" w:ascii="宋体" w:hAnsi="宋体" w:eastAsia="宋体" w:cs="宋体"/>
                <w:color w:val="auto"/>
                <w:sz w:val="20"/>
                <w:highlight w:val="none"/>
              </w:rPr>
            </w:pPr>
          </w:p>
        </w:tc>
        <w:tc>
          <w:tcPr>
            <w:tcW w:w="1950" w:type="dxa"/>
          </w:tcPr>
          <w:p>
            <w:pPr>
              <w:pStyle w:val="28"/>
              <w:rPr>
                <w:rFonts w:hint="eastAsia" w:ascii="宋体" w:hAnsi="宋体" w:eastAsia="宋体" w:cs="宋体"/>
                <w:color w:val="auto"/>
                <w:sz w:val="20"/>
                <w:highlight w:val="none"/>
              </w:rPr>
            </w:pPr>
          </w:p>
        </w:tc>
        <w:tc>
          <w:tcPr>
            <w:tcW w:w="761" w:type="dxa"/>
          </w:tcPr>
          <w:p>
            <w:pPr>
              <w:pStyle w:val="28"/>
              <w:rPr>
                <w:rFonts w:hint="eastAsia" w:ascii="宋体" w:hAnsi="宋体" w:eastAsia="宋体" w:cs="宋体"/>
                <w:color w:val="auto"/>
                <w:sz w:val="20"/>
                <w:highlight w:val="none"/>
              </w:rPr>
            </w:pPr>
          </w:p>
        </w:tc>
        <w:tc>
          <w:tcPr>
            <w:tcW w:w="2181"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6" w:type="dxa"/>
          </w:tcPr>
          <w:p>
            <w:pPr>
              <w:pStyle w:val="28"/>
              <w:spacing w:before="2" w:line="251" w:lineRule="exact"/>
              <w:ind w:left="5"/>
              <w:jc w:val="center"/>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3</w:t>
            </w:r>
          </w:p>
        </w:tc>
        <w:tc>
          <w:tcPr>
            <w:tcW w:w="2620" w:type="dxa"/>
          </w:tcPr>
          <w:p>
            <w:pPr>
              <w:pStyle w:val="28"/>
              <w:rPr>
                <w:rFonts w:hint="eastAsia" w:ascii="宋体" w:hAnsi="宋体" w:eastAsia="宋体" w:cs="宋体"/>
                <w:color w:val="auto"/>
                <w:sz w:val="20"/>
                <w:highlight w:val="none"/>
              </w:rPr>
            </w:pPr>
          </w:p>
        </w:tc>
        <w:tc>
          <w:tcPr>
            <w:tcW w:w="709" w:type="dxa"/>
          </w:tcPr>
          <w:p>
            <w:pPr>
              <w:pStyle w:val="28"/>
              <w:rPr>
                <w:rFonts w:hint="eastAsia" w:ascii="宋体" w:hAnsi="宋体" w:eastAsia="宋体" w:cs="宋体"/>
                <w:color w:val="auto"/>
                <w:sz w:val="20"/>
                <w:highlight w:val="none"/>
              </w:rPr>
            </w:pPr>
          </w:p>
        </w:tc>
        <w:tc>
          <w:tcPr>
            <w:tcW w:w="1950" w:type="dxa"/>
          </w:tcPr>
          <w:p>
            <w:pPr>
              <w:pStyle w:val="28"/>
              <w:rPr>
                <w:rFonts w:hint="eastAsia" w:ascii="宋体" w:hAnsi="宋体" w:eastAsia="宋体" w:cs="宋体"/>
                <w:color w:val="auto"/>
                <w:sz w:val="20"/>
                <w:highlight w:val="none"/>
              </w:rPr>
            </w:pPr>
          </w:p>
        </w:tc>
        <w:tc>
          <w:tcPr>
            <w:tcW w:w="761" w:type="dxa"/>
          </w:tcPr>
          <w:p>
            <w:pPr>
              <w:pStyle w:val="28"/>
              <w:rPr>
                <w:rFonts w:hint="eastAsia" w:ascii="宋体" w:hAnsi="宋体" w:eastAsia="宋体" w:cs="宋体"/>
                <w:color w:val="auto"/>
                <w:sz w:val="20"/>
                <w:highlight w:val="none"/>
              </w:rPr>
            </w:pPr>
          </w:p>
        </w:tc>
        <w:tc>
          <w:tcPr>
            <w:tcW w:w="2181"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6" w:type="dxa"/>
          </w:tcPr>
          <w:p>
            <w:pPr>
              <w:pStyle w:val="28"/>
              <w:spacing w:line="252" w:lineRule="exact"/>
              <w:ind w:left="5"/>
              <w:jc w:val="center"/>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4</w:t>
            </w:r>
          </w:p>
        </w:tc>
        <w:tc>
          <w:tcPr>
            <w:tcW w:w="2620" w:type="dxa"/>
          </w:tcPr>
          <w:p>
            <w:pPr>
              <w:pStyle w:val="28"/>
              <w:rPr>
                <w:rFonts w:hint="eastAsia" w:ascii="宋体" w:hAnsi="宋体" w:eastAsia="宋体" w:cs="宋体"/>
                <w:color w:val="auto"/>
                <w:sz w:val="20"/>
                <w:highlight w:val="none"/>
              </w:rPr>
            </w:pPr>
          </w:p>
        </w:tc>
        <w:tc>
          <w:tcPr>
            <w:tcW w:w="709" w:type="dxa"/>
          </w:tcPr>
          <w:p>
            <w:pPr>
              <w:pStyle w:val="28"/>
              <w:rPr>
                <w:rFonts w:hint="eastAsia" w:ascii="宋体" w:hAnsi="宋体" w:eastAsia="宋体" w:cs="宋体"/>
                <w:color w:val="auto"/>
                <w:sz w:val="20"/>
                <w:highlight w:val="none"/>
              </w:rPr>
            </w:pPr>
          </w:p>
        </w:tc>
        <w:tc>
          <w:tcPr>
            <w:tcW w:w="1950" w:type="dxa"/>
          </w:tcPr>
          <w:p>
            <w:pPr>
              <w:pStyle w:val="28"/>
              <w:rPr>
                <w:rFonts w:hint="eastAsia" w:ascii="宋体" w:hAnsi="宋体" w:eastAsia="宋体" w:cs="宋体"/>
                <w:color w:val="auto"/>
                <w:sz w:val="20"/>
                <w:highlight w:val="none"/>
              </w:rPr>
            </w:pPr>
          </w:p>
        </w:tc>
        <w:tc>
          <w:tcPr>
            <w:tcW w:w="761" w:type="dxa"/>
          </w:tcPr>
          <w:p>
            <w:pPr>
              <w:pStyle w:val="28"/>
              <w:rPr>
                <w:rFonts w:hint="eastAsia" w:ascii="宋体" w:hAnsi="宋体" w:eastAsia="宋体" w:cs="宋体"/>
                <w:color w:val="auto"/>
                <w:sz w:val="20"/>
                <w:highlight w:val="none"/>
              </w:rPr>
            </w:pPr>
          </w:p>
        </w:tc>
        <w:tc>
          <w:tcPr>
            <w:tcW w:w="2181"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6" w:type="dxa"/>
          </w:tcPr>
          <w:p>
            <w:pPr>
              <w:pStyle w:val="28"/>
              <w:spacing w:before="1" w:line="251" w:lineRule="exact"/>
              <w:ind w:left="5"/>
              <w:jc w:val="center"/>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5</w:t>
            </w:r>
          </w:p>
        </w:tc>
        <w:tc>
          <w:tcPr>
            <w:tcW w:w="2620" w:type="dxa"/>
          </w:tcPr>
          <w:p>
            <w:pPr>
              <w:pStyle w:val="28"/>
              <w:rPr>
                <w:rFonts w:hint="eastAsia" w:ascii="宋体" w:hAnsi="宋体" w:eastAsia="宋体" w:cs="宋体"/>
                <w:color w:val="auto"/>
                <w:sz w:val="20"/>
                <w:highlight w:val="none"/>
              </w:rPr>
            </w:pPr>
          </w:p>
        </w:tc>
        <w:tc>
          <w:tcPr>
            <w:tcW w:w="709" w:type="dxa"/>
          </w:tcPr>
          <w:p>
            <w:pPr>
              <w:pStyle w:val="28"/>
              <w:rPr>
                <w:rFonts w:hint="eastAsia" w:ascii="宋体" w:hAnsi="宋体" w:eastAsia="宋体" w:cs="宋体"/>
                <w:color w:val="auto"/>
                <w:sz w:val="20"/>
                <w:highlight w:val="none"/>
              </w:rPr>
            </w:pPr>
          </w:p>
        </w:tc>
        <w:tc>
          <w:tcPr>
            <w:tcW w:w="1950" w:type="dxa"/>
          </w:tcPr>
          <w:p>
            <w:pPr>
              <w:pStyle w:val="28"/>
              <w:rPr>
                <w:rFonts w:hint="eastAsia" w:ascii="宋体" w:hAnsi="宋体" w:eastAsia="宋体" w:cs="宋体"/>
                <w:color w:val="auto"/>
                <w:sz w:val="20"/>
                <w:highlight w:val="none"/>
              </w:rPr>
            </w:pPr>
          </w:p>
        </w:tc>
        <w:tc>
          <w:tcPr>
            <w:tcW w:w="761" w:type="dxa"/>
          </w:tcPr>
          <w:p>
            <w:pPr>
              <w:pStyle w:val="28"/>
              <w:rPr>
                <w:rFonts w:hint="eastAsia" w:ascii="宋体" w:hAnsi="宋体" w:eastAsia="宋体" w:cs="宋体"/>
                <w:color w:val="auto"/>
                <w:sz w:val="20"/>
                <w:highlight w:val="none"/>
              </w:rPr>
            </w:pPr>
          </w:p>
        </w:tc>
        <w:tc>
          <w:tcPr>
            <w:tcW w:w="2181"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6" w:type="dxa"/>
          </w:tcPr>
          <w:p>
            <w:pPr>
              <w:pStyle w:val="28"/>
              <w:rPr>
                <w:rFonts w:hint="eastAsia" w:ascii="宋体" w:hAnsi="宋体" w:eastAsia="宋体" w:cs="宋体"/>
                <w:color w:val="auto"/>
                <w:sz w:val="20"/>
                <w:highlight w:val="none"/>
              </w:rPr>
            </w:pPr>
          </w:p>
        </w:tc>
        <w:tc>
          <w:tcPr>
            <w:tcW w:w="2620" w:type="dxa"/>
          </w:tcPr>
          <w:p>
            <w:pPr>
              <w:pStyle w:val="28"/>
              <w:spacing w:line="253" w:lineRule="exact"/>
              <w:ind w:left="106"/>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p>
        </w:tc>
        <w:tc>
          <w:tcPr>
            <w:tcW w:w="709" w:type="dxa"/>
          </w:tcPr>
          <w:p>
            <w:pPr>
              <w:pStyle w:val="28"/>
              <w:rPr>
                <w:rFonts w:hint="eastAsia" w:ascii="宋体" w:hAnsi="宋体" w:eastAsia="宋体" w:cs="宋体"/>
                <w:color w:val="auto"/>
                <w:sz w:val="20"/>
                <w:highlight w:val="none"/>
              </w:rPr>
            </w:pPr>
          </w:p>
        </w:tc>
        <w:tc>
          <w:tcPr>
            <w:tcW w:w="1950" w:type="dxa"/>
          </w:tcPr>
          <w:p>
            <w:pPr>
              <w:pStyle w:val="28"/>
              <w:rPr>
                <w:rFonts w:hint="eastAsia" w:ascii="宋体" w:hAnsi="宋体" w:eastAsia="宋体" w:cs="宋体"/>
                <w:color w:val="auto"/>
                <w:sz w:val="20"/>
                <w:highlight w:val="none"/>
              </w:rPr>
            </w:pPr>
          </w:p>
        </w:tc>
        <w:tc>
          <w:tcPr>
            <w:tcW w:w="761" w:type="dxa"/>
          </w:tcPr>
          <w:p>
            <w:pPr>
              <w:pStyle w:val="28"/>
              <w:rPr>
                <w:rFonts w:hint="eastAsia" w:ascii="宋体" w:hAnsi="宋体" w:eastAsia="宋体" w:cs="宋体"/>
                <w:color w:val="auto"/>
                <w:sz w:val="20"/>
                <w:highlight w:val="none"/>
              </w:rPr>
            </w:pPr>
          </w:p>
        </w:tc>
        <w:tc>
          <w:tcPr>
            <w:tcW w:w="2181" w:type="dxa"/>
          </w:tcPr>
          <w:p>
            <w:pPr>
              <w:pStyle w:val="28"/>
              <w:rPr>
                <w:rFonts w:hint="eastAsia" w:ascii="宋体" w:hAnsi="宋体" w:eastAsia="宋体" w:cs="宋体"/>
                <w:color w:val="auto"/>
                <w:sz w:val="20"/>
                <w:highlight w:val="none"/>
              </w:rPr>
            </w:pPr>
          </w:p>
        </w:tc>
      </w:tr>
    </w:tbl>
    <w:p>
      <w:pPr>
        <w:spacing w:before="0" w:line="364" w:lineRule="auto"/>
        <w:ind w:left="477" w:right="491" w:firstLine="0"/>
        <w:jc w:val="left"/>
        <w:rPr>
          <w:rFonts w:hint="eastAsia" w:ascii="宋体" w:hAnsi="宋体" w:eastAsia="宋体" w:cs="宋体"/>
          <w:color w:val="auto"/>
          <w:sz w:val="21"/>
          <w:highlight w:val="none"/>
        </w:rPr>
      </w:pPr>
      <w:r>
        <w:rPr>
          <w:rFonts w:hint="eastAsia" w:ascii="宋体" w:hAnsi="宋体" w:eastAsia="宋体" w:cs="宋体"/>
          <w:b/>
          <w:color w:val="auto"/>
          <w:spacing w:val="-4"/>
          <w:w w:val="95"/>
          <w:sz w:val="21"/>
          <w:highlight w:val="none"/>
        </w:rPr>
        <w:t>注：</w:t>
      </w:r>
      <w:r>
        <w:rPr>
          <w:rFonts w:hint="eastAsia" w:ascii="宋体" w:hAnsi="宋体" w:eastAsia="宋体" w:cs="宋体"/>
          <w:color w:val="auto"/>
          <w:spacing w:val="-2"/>
          <w:w w:val="95"/>
          <w:sz w:val="21"/>
          <w:highlight w:val="none"/>
        </w:rPr>
        <w:t xml:space="preserve">投标人承诺如果上述人月数不能满足本工程需要，投标人可按招标人要求追加人月数，且不   </w:t>
      </w:r>
      <w:r>
        <w:rPr>
          <w:rFonts w:hint="eastAsia" w:ascii="宋体" w:hAnsi="宋体" w:eastAsia="宋体" w:cs="宋体"/>
          <w:color w:val="auto"/>
          <w:spacing w:val="-2"/>
          <w:sz w:val="21"/>
          <w:highlight w:val="none"/>
        </w:rPr>
        <w:t>增加费用</w:t>
      </w:r>
    </w:p>
    <w:p>
      <w:pPr>
        <w:pStyle w:val="2"/>
        <w:rPr>
          <w:rFonts w:hint="eastAsia" w:ascii="宋体" w:hAnsi="宋体" w:eastAsia="宋体" w:cs="宋体"/>
          <w:color w:val="auto"/>
          <w:sz w:val="20"/>
          <w:highlight w:val="none"/>
        </w:rPr>
      </w:pPr>
    </w:p>
    <w:p>
      <w:pPr>
        <w:pStyle w:val="2"/>
        <w:spacing w:before="6"/>
        <w:rPr>
          <w:rFonts w:hint="eastAsia" w:ascii="宋体" w:hAnsi="宋体" w:eastAsia="宋体" w:cs="宋体"/>
          <w:color w:val="auto"/>
          <w:sz w:val="16"/>
          <w:highlight w:val="none"/>
        </w:rPr>
      </w:pPr>
    </w:p>
    <w:p>
      <w:pPr>
        <w:pStyle w:val="2"/>
        <w:ind w:left="477"/>
        <w:rPr>
          <w:rFonts w:hint="eastAsia" w:ascii="宋体" w:hAnsi="宋体" w:eastAsia="宋体" w:cs="宋体"/>
          <w:color w:val="auto"/>
          <w:highlight w:val="none"/>
        </w:rPr>
      </w:pPr>
      <w:r>
        <w:rPr>
          <w:rFonts w:hint="eastAsia" w:ascii="宋体" w:hAnsi="宋体" w:eastAsia="宋体" w:cs="宋体"/>
          <w:color w:val="auto"/>
          <w:highlight w:val="none"/>
        </w:rPr>
        <w:t>（二）人员培训计划表</w:t>
      </w:r>
    </w:p>
    <w:p>
      <w:pPr>
        <w:pStyle w:val="2"/>
        <w:spacing w:before="3" w:after="1"/>
        <w:rPr>
          <w:rFonts w:hint="eastAsia" w:ascii="宋体" w:hAnsi="宋体" w:eastAsia="宋体" w:cs="宋体"/>
          <w:color w:val="auto"/>
          <w:sz w:val="12"/>
          <w:highlight w:val="none"/>
        </w:rPr>
      </w:pPr>
    </w:p>
    <w:tbl>
      <w:tblPr>
        <w:tblStyle w:val="20"/>
        <w:tblW w:w="0" w:type="auto"/>
        <w:tblInd w:w="3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593"/>
        <w:gridCol w:w="1620"/>
        <w:gridCol w:w="1080"/>
        <w:gridCol w:w="1117"/>
        <w:gridCol w:w="1217"/>
        <w:gridCol w:w="15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709" w:type="dxa"/>
            <w:vMerge w:val="restart"/>
          </w:tcPr>
          <w:p>
            <w:pPr>
              <w:pStyle w:val="28"/>
              <w:spacing w:before="141"/>
              <w:ind w:left="144"/>
              <w:rPr>
                <w:rFonts w:hint="eastAsia" w:ascii="宋体" w:hAnsi="宋体" w:eastAsia="宋体" w:cs="宋体"/>
                <w:color w:val="auto"/>
                <w:sz w:val="21"/>
                <w:highlight w:val="none"/>
              </w:rPr>
            </w:pPr>
            <w:r>
              <w:rPr>
                <w:rFonts w:hint="eastAsia" w:ascii="宋体" w:hAnsi="宋体" w:eastAsia="宋体" w:cs="宋体"/>
                <w:color w:val="auto"/>
                <w:sz w:val="21"/>
                <w:highlight w:val="none"/>
              </w:rPr>
              <w:t>序号</w:t>
            </w:r>
          </w:p>
        </w:tc>
        <w:tc>
          <w:tcPr>
            <w:tcW w:w="1593" w:type="dxa"/>
            <w:vMerge w:val="restart"/>
          </w:tcPr>
          <w:p>
            <w:pPr>
              <w:pStyle w:val="28"/>
              <w:spacing w:before="141"/>
              <w:ind w:left="376"/>
              <w:rPr>
                <w:rFonts w:hint="eastAsia" w:ascii="宋体" w:hAnsi="宋体" w:eastAsia="宋体" w:cs="宋体"/>
                <w:color w:val="auto"/>
                <w:sz w:val="21"/>
                <w:highlight w:val="none"/>
              </w:rPr>
            </w:pPr>
            <w:r>
              <w:rPr>
                <w:rFonts w:hint="eastAsia" w:ascii="宋体" w:hAnsi="宋体" w:eastAsia="宋体" w:cs="宋体"/>
                <w:color w:val="auto"/>
                <w:sz w:val="21"/>
                <w:highlight w:val="none"/>
              </w:rPr>
              <w:t>培训内容</w:t>
            </w:r>
          </w:p>
        </w:tc>
        <w:tc>
          <w:tcPr>
            <w:tcW w:w="1620" w:type="dxa"/>
            <w:vMerge w:val="restart"/>
          </w:tcPr>
          <w:p>
            <w:pPr>
              <w:pStyle w:val="28"/>
              <w:spacing w:before="141"/>
              <w:ind w:left="283"/>
              <w:rPr>
                <w:rFonts w:hint="eastAsia" w:ascii="宋体" w:hAnsi="宋体" w:eastAsia="宋体" w:cs="宋体"/>
                <w:color w:val="auto"/>
                <w:sz w:val="21"/>
                <w:highlight w:val="none"/>
              </w:rPr>
            </w:pPr>
            <w:r>
              <w:rPr>
                <w:rFonts w:hint="eastAsia" w:ascii="宋体" w:hAnsi="宋体" w:eastAsia="宋体" w:cs="宋体"/>
                <w:color w:val="auto"/>
                <w:sz w:val="21"/>
                <w:highlight w:val="none"/>
              </w:rPr>
              <w:t>计划人月数</w:t>
            </w:r>
          </w:p>
        </w:tc>
        <w:tc>
          <w:tcPr>
            <w:tcW w:w="2197" w:type="dxa"/>
            <w:gridSpan w:val="2"/>
          </w:tcPr>
          <w:p>
            <w:pPr>
              <w:pStyle w:val="28"/>
              <w:spacing w:before="2" w:line="251" w:lineRule="exact"/>
              <w:ind w:left="468"/>
              <w:rPr>
                <w:rFonts w:hint="eastAsia" w:ascii="宋体" w:hAnsi="宋体" w:eastAsia="宋体" w:cs="宋体"/>
                <w:color w:val="auto"/>
                <w:sz w:val="21"/>
                <w:highlight w:val="none"/>
              </w:rPr>
            </w:pPr>
            <w:r>
              <w:rPr>
                <w:rFonts w:hint="eastAsia" w:ascii="宋体" w:hAnsi="宋体" w:eastAsia="宋体" w:cs="宋体"/>
                <w:color w:val="auto"/>
                <w:sz w:val="21"/>
                <w:highlight w:val="none"/>
              </w:rPr>
              <w:t>培训教师构成</w:t>
            </w:r>
          </w:p>
        </w:tc>
        <w:tc>
          <w:tcPr>
            <w:tcW w:w="1217" w:type="dxa"/>
            <w:vMerge w:val="restart"/>
          </w:tcPr>
          <w:p>
            <w:pPr>
              <w:pStyle w:val="28"/>
              <w:spacing w:before="141"/>
              <w:ind w:left="397"/>
              <w:rPr>
                <w:rFonts w:hint="eastAsia" w:ascii="宋体" w:hAnsi="宋体" w:eastAsia="宋体" w:cs="宋体"/>
                <w:color w:val="auto"/>
                <w:sz w:val="21"/>
                <w:highlight w:val="none"/>
              </w:rPr>
            </w:pPr>
            <w:r>
              <w:rPr>
                <w:rFonts w:hint="eastAsia" w:ascii="宋体" w:hAnsi="宋体" w:eastAsia="宋体" w:cs="宋体"/>
                <w:color w:val="auto"/>
                <w:sz w:val="21"/>
                <w:highlight w:val="none"/>
              </w:rPr>
              <w:t>地点</w:t>
            </w:r>
          </w:p>
        </w:tc>
        <w:tc>
          <w:tcPr>
            <w:tcW w:w="1595" w:type="dxa"/>
            <w:vMerge w:val="restart"/>
          </w:tcPr>
          <w:p>
            <w:pPr>
              <w:pStyle w:val="28"/>
              <w:tabs>
                <w:tab w:val="left" w:pos="1007"/>
              </w:tabs>
              <w:spacing w:before="141"/>
              <w:ind w:left="375"/>
              <w:rPr>
                <w:rFonts w:hint="eastAsia" w:ascii="宋体" w:hAnsi="宋体" w:eastAsia="宋体" w:cs="宋体"/>
                <w:color w:val="auto"/>
                <w:sz w:val="21"/>
                <w:highlight w:val="none"/>
              </w:rPr>
            </w:pPr>
            <w:r>
              <w:rPr>
                <w:rFonts w:hint="eastAsia" w:ascii="宋体" w:hAnsi="宋体" w:eastAsia="宋体" w:cs="宋体"/>
                <w:color w:val="auto"/>
                <w:sz w:val="21"/>
                <w:highlight w:val="none"/>
              </w:rPr>
              <w:t>备</w:t>
            </w:r>
            <w:r>
              <w:rPr>
                <w:rFonts w:hint="eastAsia" w:ascii="宋体" w:hAnsi="宋体" w:eastAsia="宋体" w:cs="宋体"/>
                <w:color w:val="auto"/>
                <w:sz w:val="21"/>
                <w:highlight w:val="none"/>
              </w:rPr>
              <w:tab/>
            </w:r>
            <w:r>
              <w:rPr>
                <w:rFonts w:hint="eastAsia" w:ascii="宋体" w:hAnsi="宋体" w:eastAsia="宋体" w:cs="宋体"/>
                <w:color w:val="auto"/>
                <w:sz w:val="21"/>
                <w:highlight w:val="none"/>
              </w:rPr>
              <w:t>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709" w:type="dxa"/>
            <w:vMerge w:val="continue"/>
            <w:tcBorders>
              <w:top w:val="nil"/>
            </w:tcBorders>
          </w:tcPr>
          <w:p>
            <w:pPr>
              <w:rPr>
                <w:rFonts w:hint="eastAsia" w:ascii="宋体" w:hAnsi="宋体" w:eastAsia="宋体" w:cs="宋体"/>
                <w:color w:val="auto"/>
                <w:sz w:val="2"/>
                <w:szCs w:val="2"/>
                <w:highlight w:val="none"/>
              </w:rPr>
            </w:pPr>
          </w:p>
        </w:tc>
        <w:tc>
          <w:tcPr>
            <w:tcW w:w="1593" w:type="dxa"/>
            <w:vMerge w:val="continue"/>
            <w:tcBorders>
              <w:top w:val="nil"/>
            </w:tcBorders>
          </w:tcPr>
          <w:p>
            <w:pPr>
              <w:rPr>
                <w:rFonts w:hint="eastAsia" w:ascii="宋体" w:hAnsi="宋体" w:eastAsia="宋体" w:cs="宋体"/>
                <w:color w:val="auto"/>
                <w:sz w:val="2"/>
                <w:szCs w:val="2"/>
                <w:highlight w:val="none"/>
              </w:rPr>
            </w:pPr>
          </w:p>
        </w:tc>
        <w:tc>
          <w:tcPr>
            <w:tcW w:w="1620" w:type="dxa"/>
            <w:vMerge w:val="continue"/>
            <w:tcBorders>
              <w:top w:val="nil"/>
            </w:tcBorders>
          </w:tcPr>
          <w:p>
            <w:pPr>
              <w:rPr>
                <w:rFonts w:hint="eastAsia" w:ascii="宋体" w:hAnsi="宋体" w:eastAsia="宋体" w:cs="宋体"/>
                <w:color w:val="auto"/>
                <w:sz w:val="2"/>
                <w:szCs w:val="2"/>
                <w:highlight w:val="none"/>
              </w:rPr>
            </w:pPr>
          </w:p>
        </w:tc>
        <w:tc>
          <w:tcPr>
            <w:tcW w:w="1080" w:type="dxa"/>
          </w:tcPr>
          <w:p>
            <w:pPr>
              <w:pStyle w:val="28"/>
              <w:spacing w:line="252" w:lineRule="exact"/>
              <w:ind w:left="308" w:right="302"/>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职称</w:t>
            </w:r>
          </w:p>
        </w:tc>
        <w:tc>
          <w:tcPr>
            <w:tcW w:w="1117" w:type="dxa"/>
          </w:tcPr>
          <w:p>
            <w:pPr>
              <w:pStyle w:val="28"/>
              <w:spacing w:line="252" w:lineRule="exact"/>
              <w:ind w:right="338"/>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人数</w:t>
            </w:r>
          </w:p>
        </w:tc>
        <w:tc>
          <w:tcPr>
            <w:tcW w:w="1217" w:type="dxa"/>
            <w:vMerge w:val="continue"/>
            <w:tcBorders>
              <w:top w:val="nil"/>
            </w:tcBorders>
          </w:tcPr>
          <w:p>
            <w:pPr>
              <w:rPr>
                <w:rFonts w:hint="eastAsia" w:ascii="宋体" w:hAnsi="宋体" w:eastAsia="宋体" w:cs="宋体"/>
                <w:color w:val="auto"/>
                <w:sz w:val="2"/>
                <w:szCs w:val="2"/>
                <w:highlight w:val="none"/>
              </w:rPr>
            </w:pPr>
          </w:p>
        </w:tc>
        <w:tc>
          <w:tcPr>
            <w:tcW w:w="1595" w:type="dxa"/>
            <w:vMerge w:val="continue"/>
            <w:tcBorders>
              <w:top w:val="nil"/>
            </w:tcBorders>
          </w:tcPr>
          <w:p>
            <w:pPr>
              <w:rPr>
                <w:rFonts w:hint="eastAsia" w:ascii="宋体" w:hAnsi="宋体" w:eastAsia="宋体" w:cs="宋体"/>
                <w:color w:val="auto"/>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9" w:type="dxa"/>
          </w:tcPr>
          <w:p>
            <w:pPr>
              <w:pStyle w:val="28"/>
              <w:spacing w:line="251" w:lineRule="exact"/>
              <w:ind w:left="7"/>
              <w:jc w:val="center"/>
              <w:rPr>
                <w:rFonts w:hint="eastAsia" w:ascii="宋体" w:hAnsi="宋体" w:eastAsia="宋体" w:cs="宋体"/>
                <w:color w:val="auto"/>
                <w:sz w:val="21"/>
                <w:highlight w:val="none"/>
              </w:rPr>
            </w:pPr>
            <w:r>
              <w:rPr>
                <w:rFonts w:hint="eastAsia" w:ascii="宋体" w:hAnsi="宋体" w:eastAsia="宋体" w:cs="宋体"/>
                <w:color w:val="auto"/>
                <w:w w:val="99"/>
                <w:sz w:val="21"/>
                <w:highlight w:val="none"/>
              </w:rPr>
              <w:t>1</w:t>
            </w:r>
          </w:p>
        </w:tc>
        <w:tc>
          <w:tcPr>
            <w:tcW w:w="1593" w:type="dxa"/>
          </w:tcPr>
          <w:p>
            <w:pPr>
              <w:pStyle w:val="28"/>
              <w:rPr>
                <w:rFonts w:hint="eastAsia" w:ascii="宋体" w:hAnsi="宋体" w:eastAsia="宋体" w:cs="宋体"/>
                <w:color w:val="auto"/>
                <w:sz w:val="20"/>
                <w:highlight w:val="none"/>
              </w:rPr>
            </w:pPr>
          </w:p>
        </w:tc>
        <w:tc>
          <w:tcPr>
            <w:tcW w:w="1620" w:type="dxa"/>
          </w:tcPr>
          <w:p>
            <w:pPr>
              <w:pStyle w:val="28"/>
              <w:rPr>
                <w:rFonts w:hint="eastAsia" w:ascii="宋体" w:hAnsi="宋体" w:eastAsia="宋体" w:cs="宋体"/>
                <w:color w:val="auto"/>
                <w:sz w:val="20"/>
                <w:highlight w:val="none"/>
              </w:rPr>
            </w:pPr>
          </w:p>
        </w:tc>
        <w:tc>
          <w:tcPr>
            <w:tcW w:w="1080" w:type="dxa"/>
          </w:tcPr>
          <w:p>
            <w:pPr>
              <w:pStyle w:val="28"/>
              <w:rPr>
                <w:rFonts w:hint="eastAsia" w:ascii="宋体" w:hAnsi="宋体" w:eastAsia="宋体" w:cs="宋体"/>
                <w:color w:val="auto"/>
                <w:sz w:val="20"/>
                <w:highlight w:val="none"/>
              </w:rPr>
            </w:pPr>
          </w:p>
        </w:tc>
        <w:tc>
          <w:tcPr>
            <w:tcW w:w="1117" w:type="dxa"/>
          </w:tcPr>
          <w:p>
            <w:pPr>
              <w:pStyle w:val="28"/>
              <w:rPr>
                <w:rFonts w:hint="eastAsia" w:ascii="宋体" w:hAnsi="宋体" w:eastAsia="宋体" w:cs="宋体"/>
                <w:color w:val="auto"/>
                <w:sz w:val="20"/>
                <w:highlight w:val="none"/>
              </w:rPr>
            </w:pPr>
          </w:p>
        </w:tc>
        <w:tc>
          <w:tcPr>
            <w:tcW w:w="1217" w:type="dxa"/>
          </w:tcPr>
          <w:p>
            <w:pPr>
              <w:pStyle w:val="28"/>
              <w:rPr>
                <w:rFonts w:hint="eastAsia" w:ascii="宋体" w:hAnsi="宋体" w:eastAsia="宋体" w:cs="宋体"/>
                <w:color w:val="auto"/>
                <w:sz w:val="20"/>
                <w:highlight w:val="none"/>
              </w:rPr>
            </w:pPr>
          </w:p>
        </w:tc>
        <w:tc>
          <w:tcPr>
            <w:tcW w:w="1595"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09" w:type="dxa"/>
          </w:tcPr>
          <w:p>
            <w:pPr>
              <w:pStyle w:val="28"/>
              <w:rPr>
                <w:rFonts w:hint="eastAsia" w:ascii="宋体" w:hAnsi="宋体" w:eastAsia="宋体" w:cs="宋体"/>
                <w:color w:val="auto"/>
                <w:sz w:val="20"/>
                <w:highlight w:val="none"/>
              </w:rPr>
            </w:pPr>
          </w:p>
        </w:tc>
        <w:tc>
          <w:tcPr>
            <w:tcW w:w="1593" w:type="dxa"/>
          </w:tcPr>
          <w:p>
            <w:pPr>
              <w:pStyle w:val="28"/>
              <w:rPr>
                <w:rFonts w:hint="eastAsia" w:ascii="宋体" w:hAnsi="宋体" w:eastAsia="宋体" w:cs="宋体"/>
                <w:color w:val="auto"/>
                <w:sz w:val="20"/>
                <w:highlight w:val="none"/>
              </w:rPr>
            </w:pPr>
          </w:p>
        </w:tc>
        <w:tc>
          <w:tcPr>
            <w:tcW w:w="1620" w:type="dxa"/>
          </w:tcPr>
          <w:p>
            <w:pPr>
              <w:pStyle w:val="28"/>
              <w:rPr>
                <w:rFonts w:hint="eastAsia" w:ascii="宋体" w:hAnsi="宋体" w:eastAsia="宋体" w:cs="宋体"/>
                <w:color w:val="auto"/>
                <w:sz w:val="20"/>
                <w:highlight w:val="none"/>
              </w:rPr>
            </w:pPr>
          </w:p>
        </w:tc>
        <w:tc>
          <w:tcPr>
            <w:tcW w:w="1080" w:type="dxa"/>
          </w:tcPr>
          <w:p>
            <w:pPr>
              <w:pStyle w:val="28"/>
              <w:rPr>
                <w:rFonts w:hint="eastAsia" w:ascii="宋体" w:hAnsi="宋体" w:eastAsia="宋体" w:cs="宋体"/>
                <w:color w:val="auto"/>
                <w:sz w:val="20"/>
                <w:highlight w:val="none"/>
              </w:rPr>
            </w:pPr>
          </w:p>
        </w:tc>
        <w:tc>
          <w:tcPr>
            <w:tcW w:w="1117" w:type="dxa"/>
          </w:tcPr>
          <w:p>
            <w:pPr>
              <w:pStyle w:val="28"/>
              <w:rPr>
                <w:rFonts w:hint="eastAsia" w:ascii="宋体" w:hAnsi="宋体" w:eastAsia="宋体" w:cs="宋体"/>
                <w:color w:val="auto"/>
                <w:sz w:val="20"/>
                <w:highlight w:val="none"/>
              </w:rPr>
            </w:pPr>
          </w:p>
        </w:tc>
        <w:tc>
          <w:tcPr>
            <w:tcW w:w="1217" w:type="dxa"/>
          </w:tcPr>
          <w:p>
            <w:pPr>
              <w:pStyle w:val="28"/>
              <w:rPr>
                <w:rFonts w:hint="eastAsia" w:ascii="宋体" w:hAnsi="宋体" w:eastAsia="宋体" w:cs="宋体"/>
                <w:color w:val="auto"/>
                <w:sz w:val="20"/>
                <w:highlight w:val="none"/>
              </w:rPr>
            </w:pPr>
          </w:p>
        </w:tc>
        <w:tc>
          <w:tcPr>
            <w:tcW w:w="1595"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9" w:type="dxa"/>
          </w:tcPr>
          <w:p>
            <w:pPr>
              <w:pStyle w:val="28"/>
              <w:rPr>
                <w:rFonts w:hint="eastAsia" w:ascii="宋体" w:hAnsi="宋体" w:eastAsia="宋体" w:cs="宋体"/>
                <w:color w:val="auto"/>
                <w:sz w:val="20"/>
                <w:highlight w:val="none"/>
              </w:rPr>
            </w:pPr>
          </w:p>
        </w:tc>
        <w:tc>
          <w:tcPr>
            <w:tcW w:w="1593" w:type="dxa"/>
          </w:tcPr>
          <w:p>
            <w:pPr>
              <w:pStyle w:val="28"/>
              <w:rPr>
                <w:rFonts w:hint="eastAsia" w:ascii="宋体" w:hAnsi="宋体" w:eastAsia="宋体" w:cs="宋体"/>
                <w:color w:val="auto"/>
                <w:sz w:val="20"/>
                <w:highlight w:val="none"/>
              </w:rPr>
            </w:pPr>
          </w:p>
        </w:tc>
        <w:tc>
          <w:tcPr>
            <w:tcW w:w="1620" w:type="dxa"/>
          </w:tcPr>
          <w:p>
            <w:pPr>
              <w:pStyle w:val="28"/>
              <w:rPr>
                <w:rFonts w:hint="eastAsia" w:ascii="宋体" w:hAnsi="宋体" w:eastAsia="宋体" w:cs="宋体"/>
                <w:color w:val="auto"/>
                <w:sz w:val="20"/>
                <w:highlight w:val="none"/>
              </w:rPr>
            </w:pPr>
          </w:p>
        </w:tc>
        <w:tc>
          <w:tcPr>
            <w:tcW w:w="1080" w:type="dxa"/>
          </w:tcPr>
          <w:p>
            <w:pPr>
              <w:pStyle w:val="28"/>
              <w:rPr>
                <w:rFonts w:hint="eastAsia" w:ascii="宋体" w:hAnsi="宋体" w:eastAsia="宋体" w:cs="宋体"/>
                <w:color w:val="auto"/>
                <w:sz w:val="20"/>
                <w:highlight w:val="none"/>
              </w:rPr>
            </w:pPr>
          </w:p>
        </w:tc>
        <w:tc>
          <w:tcPr>
            <w:tcW w:w="1117" w:type="dxa"/>
          </w:tcPr>
          <w:p>
            <w:pPr>
              <w:pStyle w:val="28"/>
              <w:rPr>
                <w:rFonts w:hint="eastAsia" w:ascii="宋体" w:hAnsi="宋体" w:eastAsia="宋体" w:cs="宋体"/>
                <w:color w:val="auto"/>
                <w:sz w:val="20"/>
                <w:highlight w:val="none"/>
              </w:rPr>
            </w:pPr>
          </w:p>
        </w:tc>
        <w:tc>
          <w:tcPr>
            <w:tcW w:w="1217" w:type="dxa"/>
          </w:tcPr>
          <w:p>
            <w:pPr>
              <w:pStyle w:val="28"/>
              <w:rPr>
                <w:rFonts w:hint="eastAsia" w:ascii="宋体" w:hAnsi="宋体" w:eastAsia="宋体" w:cs="宋体"/>
                <w:color w:val="auto"/>
                <w:sz w:val="20"/>
                <w:highlight w:val="none"/>
              </w:rPr>
            </w:pPr>
          </w:p>
        </w:tc>
        <w:tc>
          <w:tcPr>
            <w:tcW w:w="1595"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709" w:type="dxa"/>
          </w:tcPr>
          <w:p>
            <w:pPr>
              <w:pStyle w:val="28"/>
              <w:rPr>
                <w:rFonts w:hint="eastAsia" w:ascii="宋体" w:hAnsi="宋体" w:eastAsia="宋体" w:cs="宋体"/>
                <w:color w:val="auto"/>
                <w:sz w:val="20"/>
                <w:highlight w:val="none"/>
              </w:rPr>
            </w:pPr>
          </w:p>
        </w:tc>
        <w:tc>
          <w:tcPr>
            <w:tcW w:w="1593" w:type="dxa"/>
          </w:tcPr>
          <w:p>
            <w:pPr>
              <w:pStyle w:val="28"/>
              <w:rPr>
                <w:rFonts w:hint="eastAsia" w:ascii="宋体" w:hAnsi="宋体" w:eastAsia="宋体" w:cs="宋体"/>
                <w:color w:val="auto"/>
                <w:sz w:val="20"/>
                <w:highlight w:val="none"/>
              </w:rPr>
            </w:pPr>
          </w:p>
        </w:tc>
        <w:tc>
          <w:tcPr>
            <w:tcW w:w="1620" w:type="dxa"/>
          </w:tcPr>
          <w:p>
            <w:pPr>
              <w:pStyle w:val="28"/>
              <w:rPr>
                <w:rFonts w:hint="eastAsia" w:ascii="宋体" w:hAnsi="宋体" w:eastAsia="宋体" w:cs="宋体"/>
                <w:color w:val="auto"/>
                <w:sz w:val="20"/>
                <w:highlight w:val="none"/>
              </w:rPr>
            </w:pPr>
          </w:p>
        </w:tc>
        <w:tc>
          <w:tcPr>
            <w:tcW w:w="1080" w:type="dxa"/>
          </w:tcPr>
          <w:p>
            <w:pPr>
              <w:pStyle w:val="28"/>
              <w:rPr>
                <w:rFonts w:hint="eastAsia" w:ascii="宋体" w:hAnsi="宋体" w:eastAsia="宋体" w:cs="宋体"/>
                <w:color w:val="auto"/>
                <w:sz w:val="20"/>
                <w:highlight w:val="none"/>
              </w:rPr>
            </w:pPr>
          </w:p>
        </w:tc>
        <w:tc>
          <w:tcPr>
            <w:tcW w:w="1117" w:type="dxa"/>
          </w:tcPr>
          <w:p>
            <w:pPr>
              <w:pStyle w:val="28"/>
              <w:rPr>
                <w:rFonts w:hint="eastAsia" w:ascii="宋体" w:hAnsi="宋体" w:eastAsia="宋体" w:cs="宋体"/>
                <w:color w:val="auto"/>
                <w:sz w:val="20"/>
                <w:highlight w:val="none"/>
              </w:rPr>
            </w:pPr>
          </w:p>
        </w:tc>
        <w:tc>
          <w:tcPr>
            <w:tcW w:w="1217" w:type="dxa"/>
          </w:tcPr>
          <w:p>
            <w:pPr>
              <w:pStyle w:val="28"/>
              <w:rPr>
                <w:rFonts w:hint="eastAsia" w:ascii="宋体" w:hAnsi="宋体" w:eastAsia="宋体" w:cs="宋体"/>
                <w:color w:val="auto"/>
                <w:sz w:val="20"/>
                <w:highlight w:val="none"/>
              </w:rPr>
            </w:pPr>
          </w:p>
        </w:tc>
        <w:tc>
          <w:tcPr>
            <w:tcW w:w="1595"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709" w:type="dxa"/>
          </w:tcPr>
          <w:p>
            <w:pPr>
              <w:pStyle w:val="28"/>
              <w:rPr>
                <w:rFonts w:hint="eastAsia" w:ascii="宋体" w:hAnsi="宋体" w:eastAsia="宋体" w:cs="宋体"/>
                <w:color w:val="auto"/>
                <w:sz w:val="20"/>
                <w:highlight w:val="none"/>
              </w:rPr>
            </w:pPr>
          </w:p>
        </w:tc>
        <w:tc>
          <w:tcPr>
            <w:tcW w:w="1593" w:type="dxa"/>
          </w:tcPr>
          <w:p>
            <w:pPr>
              <w:pStyle w:val="28"/>
              <w:rPr>
                <w:rFonts w:hint="eastAsia" w:ascii="宋体" w:hAnsi="宋体" w:eastAsia="宋体" w:cs="宋体"/>
                <w:color w:val="auto"/>
                <w:sz w:val="20"/>
                <w:highlight w:val="none"/>
              </w:rPr>
            </w:pPr>
          </w:p>
        </w:tc>
        <w:tc>
          <w:tcPr>
            <w:tcW w:w="1620" w:type="dxa"/>
          </w:tcPr>
          <w:p>
            <w:pPr>
              <w:pStyle w:val="28"/>
              <w:rPr>
                <w:rFonts w:hint="eastAsia" w:ascii="宋体" w:hAnsi="宋体" w:eastAsia="宋体" w:cs="宋体"/>
                <w:color w:val="auto"/>
                <w:sz w:val="20"/>
                <w:highlight w:val="none"/>
              </w:rPr>
            </w:pPr>
          </w:p>
        </w:tc>
        <w:tc>
          <w:tcPr>
            <w:tcW w:w="1080" w:type="dxa"/>
          </w:tcPr>
          <w:p>
            <w:pPr>
              <w:pStyle w:val="28"/>
              <w:rPr>
                <w:rFonts w:hint="eastAsia" w:ascii="宋体" w:hAnsi="宋体" w:eastAsia="宋体" w:cs="宋体"/>
                <w:color w:val="auto"/>
                <w:sz w:val="20"/>
                <w:highlight w:val="none"/>
              </w:rPr>
            </w:pPr>
          </w:p>
        </w:tc>
        <w:tc>
          <w:tcPr>
            <w:tcW w:w="1117" w:type="dxa"/>
          </w:tcPr>
          <w:p>
            <w:pPr>
              <w:pStyle w:val="28"/>
              <w:rPr>
                <w:rFonts w:hint="eastAsia" w:ascii="宋体" w:hAnsi="宋体" w:eastAsia="宋体" w:cs="宋体"/>
                <w:color w:val="auto"/>
                <w:sz w:val="20"/>
                <w:highlight w:val="none"/>
              </w:rPr>
            </w:pPr>
          </w:p>
        </w:tc>
        <w:tc>
          <w:tcPr>
            <w:tcW w:w="1217" w:type="dxa"/>
          </w:tcPr>
          <w:p>
            <w:pPr>
              <w:pStyle w:val="28"/>
              <w:rPr>
                <w:rFonts w:hint="eastAsia" w:ascii="宋体" w:hAnsi="宋体" w:eastAsia="宋体" w:cs="宋体"/>
                <w:color w:val="auto"/>
                <w:sz w:val="20"/>
                <w:highlight w:val="none"/>
              </w:rPr>
            </w:pPr>
          </w:p>
        </w:tc>
        <w:tc>
          <w:tcPr>
            <w:tcW w:w="1595" w:type="dxa"/>
          </w:tcPr>
          <w:p>
            <w:pPr>
              <w:pStyle w:val="28"/>
              <w:rPr>
                <w:rFonts w:hint="eastAsia" w:ascii="宋体" w:hAnsi="宋体" w:eastAsia="宋体" w:cs="宋体"/>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709" w:type="dxa"/>
          </w:tcPr>
          <w:p>
            <w:pPr>
              <w:pStyle w:val="28"/>
              <w:spacing w:line="252" w:lineRule="exact"/>
              <w:ind w:left="123" w:right="115"/>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p>
        </w:tc>
        <w:tc>
          <w:tcPr>
            <w:tcW w:w="1593" w:type="dxa"/>
          </w:tcPr>
          <w:p>
            <w:pPr>
              <w:pStyle w:val="28"/>
              <w:spacing w:line="252" w:lineRule="exact"/>
              <w:ind w:left="564" w:right="559"/>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p>
        </w:tc>
        <w:tc>
          <w:tcPr>
            <w:tcW w:w="1620" w:type="dxa"/>
          </w:tcPr>
          <w:p>
            <w:pPr>
              <w:pStyle w:val="28"/>
              <w:spacing w:line="252" w:lineRule="exact"/>
              <w:ind w:left="579" w:right="571"/>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p>
        </w:tc>
        <w:tc>
          <w:tcPr>
            <w:tcW w:w="1080" w:type="dxa"/>
          </w:tcPr>
          <w:p>
            <w:pPr>
              <w:pStyle w:val="28"/>
              <w:spacing w:line="252" w:lineRule="exact"/>
              <w:ind w:left="308" w:right="302"/>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p>
        </w:tc>
        <w:tc>
          <w:tcPr>
            <w:tcW w:w="1117" w:type="dxa"/>
          </w:tcPr>
          <w:p>
            <w:pPr>
              <w:pStyle w:val="28"/>
              <w:spacing w:line="252" w:lineRule="exact"/>
              <w:ind w:right="338"/>
              <w:jc w:val="right"/>
              <w:rPr>
                <w:rFonts w:hint="eastAsia" w:ascii="宋体" w:hAnsi="宋体" w:eastAsia="宋体" w:cs="宋体"/>
                <w:color w:val="auto"/>
                <w:sz w:val="21"/>
                <w:highlight w:val="none"/>
              </w:rPr>
            </w:pPr>
            <w:r>
              <w:rPr>
                <w:rFonts w:hint="eastAsia" w:ascii="宋体" w:hAnsi="宋体" w:eastAsia="宋体" w:cs="宋体"/>
                <w:color w:val="auto"/>
                <w:w w:val="95"/>
                <w:sz w:val="21"/>
                <w:highlight w:val="none"/>
              </w:rPr>
              <w:t>……</w:t>
            </w:r>
          </w:p>
        </w:tc>
        <w:tc>
          <w:tcPr>
            <w:tcW w:w="1217" w:type="dxa"/>
          </w:tcPr>
          <w:p>
            <w:pPr>
              <w:pStyle w:val="28"/>
              <w:spacing w:line="252" w:lineRule="exact"/>
              <w:ind w:left="397"/>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p>
        </w:tc>
        <w:tc>
          <w:tcPr>
            <w:tcW w:w="1595" w:type="dxa"/>
          </w:tcPr>
          <w:p>
            <w:pPr>
              <w:pStyle w:val="28"/>
              <w:rPr>
                <w:rFonts w:hint="eastAsia" w:ascii="宋体" w:hAnsi="宋体" w:eastAsia="宋体" w:cs="宋体"/>
                <w:color w:val="auto"/>
                <w:sz w:val="20"/>
                <w:highlight w:val="none"/>
              </w:rPr>
            </w:pPr>
          </w:p>
        </w:tc>
      </w:tr>
    </w:tbl>
    <w:p>
      <w:pPr>
        <w:spacing w:before="1" w:line="364" w:lineRule="auto"/>
        <w:ind w:left="477" w:right="671" w:firstLine="0"/>
        <w:jc w:val="both"/>
        <w:rPr>
          <w:rFonts w:hint="eastAsia" w:ascii="宋体" w:hAnsi="宋体" w:eastAsia="宋体" w:cs="宋体"/>
          <w:color w:val="auto"/>
          <w:sz w:val="21"/>
          <w:highlight w:val="none"/>
        </w:rPr>
      </w:pPr>
      <w:r>
        <w:rPr>
          <w:rFonts w:hint="eastAsia" w:ascii="宋体" w:hAnsi="宋体" w:eastAsia="宋体" w:cs="宋体"/>
          <w:b/>
          <w:color w:val="auto"/>
          <w:w w:val="95"/>
          <w:sz w:val="21"/>
          <w:highlight w:val="none"/>
        </w:rPr>
        <w:t>注：</w:t>
      </w:r>
      <w:r>
        <w:rPr>
          <w:rFonts w:hint="eastAsia" w:ascii="宋体" w:hAnsi="宋体" w:eastAsia="宋体" w:cs="宋体"/>
          <w:color w:val="auto"/>
          <w:w w:val="95"/>
          <w:sz w:val="21"/>
          <w:highlight w:val="none"/>
        </w:rPr>
        <w:t xml:space="preserve">承诺如果上述人月数不能满足本工程需要，投标人可按招标人要求追加人月数，且不增加   费用。投标人提供的人员培训计划应至少包含上表人月数，其它方面投标人能够为招标人提供   </w:t>
      </w:r>
      <w:r>
        <w:rPr>
          <w:rFonts w:hint="eastAsia" w:ascii="宋体" w:hAnsi="宋体" w:eastAsia="宋体" w:cs="宋体"/>
          <w:color w:val="auto"/>
          <w:sz w:val="21"/>
          <w:highlight w:val="none"/>
        </w:rPr>
        <w:t>的人员培训均应在此表中报出。</w:t>
      </w:r>
    </w:p>
    <w:p>
      <w:pPr>
        <w:pStyle w:val="2"/>
        <w:rPr>
          <w:rFonts w:hint="eastAsia" w:ascii="宋体" w:hAnsi="宋体" w:eastAsia="宋体" w:cs="宋体"/>
          <w:color w:val="auto"/>
          <w:sz w:val="20"/>
          <w:highlight w:val="none"/>
        </w:rPr>
      </w:pPr>
    </w:p>
    <w:p>
      <w:pPr>
        <w:pStyle w:val="2"/>
        <w:spacing w:before="5"/>
        <w:rPr>
          <w:rFonts w:hint="eastAsia" w:ascii="宋体" w:hAnsi="宋体" w:eastAsia="宋体" w:cs="宋体"/>
          <w:color w:val="auto"/>
          <w:sz w:val="16"/>
          <w:highlight w:val="none"/>
        </w:rPr>
      </w:pPr>
    </w:p>
    <w:p>
      <w:pPr>
        <w:pStyle w:val="12"/>
        <w:rPr>
          <w:rFonts w:hint="eastAsia" w:ascii="宋体" w:hAnsi="宋体" w:eastAsia="宋体" w:cs="宋体"/>
          <w:color w:val="auto"/>
          <w:highlight w:val="none"/>
        </w:rPr>
      </w:pPr>
      <w:r>
        <w:rPr>
          <w:rFonts w:hint="eastAsia" w:ascii="宋体" w:hAnsi="宋体" w:eastAsia="宋体" w:cs="宋体"/>
          <w:color w:val="auto"/>
          <w:highlight w:val="none"/>
        </w:rPr>
        <w:t>（三）其它内容：自拟</w:t>
      </w: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7"/>
        <w:ind w:left="3676" w:right="0"/>
        <w:jc w:val="left"/>
        <w:outlineLvl w:val="1"/>
        <w:rPr>
          <w:rFonts w:hint="eastAsia" w:ascii="宋体" w:hAnsi="宋体" w:eastAsia="宋体" w:cs="宋体"/>
          <w:color w:val="auto"/>
          <w:highlight w:val="none"/>
        </w:rPr>
      </w:pPr>
      <w:bookmarkStart w:id="314" w:name="_Toc15650"/>
      <w:r>
        <w:rPr>
          <w:rFonts w:hint="eastAsia" w:ascii="宋体" w:hAnsi="宋体" w:eastAsia="宋体" w:cs="宋体"/>
          <w:color w:val="auto"/>
          <w:highlight w:val="none"/>
        </w:rPr>
        <w:t>十一、其他资料</w:t>
      </w:r>
      <w:bookmarkEnd w:id="314"/>
    </w:p>
    <w:p>
      <w:pPr>
        <w:pStyle w:val="2"/>
        <w:spacing w:before="7"/>
        <w:rPr>
          <w:rFonts w:hint="eastAsia" w:ascii="宋体" w:hAnsi="宋体" w:eastAsia="宋体" w:cs="宋体"/>
          <w:b/>
          <w:color w:val="auto"/>
          <w:sz w:val="34"/>
          <w:highlight w:val="none"/>
        </w:rPr>
      </w:pPr>
    </w:p>
    <w:p>
      <w:pPr>
        <w:pStyle w:val="2"/>
        <w:ind w:left="477"/>
        <w:outlineLvl w:val="4"/>
        <w:rPr>
          <w:rFonts w:hint="eastAsia" w:ascii="宋体" w:hAnsi="宋体" w:eastAsia="宋体" w:cs="宋体"/>
          <w:color w:val="auto"/>
          <w:highlight w:val="none"/>
        </w:rPr>
      </w:pPr>
      <w:r>
        <w:rPr>
          <w:rFonts w:hint="eastAsia" w:ascii="宋体" w:hAnsi="宋体" w:eastAsia="宋体" w:cs="宋体"/>
          <w:color w:val="auto"/>
          <w:highlight w:val="none"/>
        </w:rPr>
        <w:t>（一）项目负责人简历表（格式）</w:t>
      </w:r>
    </w:p>
    <w:p>
      <w:pPr>
        <w:pStyle w:val="2"/>
        <w:spacing w:before="4"/>
        <w:rPr>
          <w:rFonts w:hint="eastAsia" w:ascii="宋体" w:hAnsi="宋体" w:eastAsia="宋体" w:cs="宋体"/>
          <w:color w:val="auto"/>
          <w:sz w:val="32"/>
          <w:highlight w:val="none"/>
        </w:rPr>
      </w:pPr>
    </w:p>
    <w:p>
      <w:pPr>
        <w:spacing w:before="0" w:after="3"/>
        <w:ind w:left="3588" w:right="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项目负责人简历表</w:t>
      </w:r>
    </w:p>
    <w:tbl>
      <w:tblPr>
        <w:tblStyle w:val="20"/>
        <w:tblW w:w="0" w:type="auto"/>
        <w:tblInd w:w="3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7"/>
        <w:gridCol w:w="898"/>
        <w:gridCol w:w="1300"/>
        <w:gridCol w:w="1173"/>
        <w:gridCol w:w="1139"/>
        <w:gridCol w:w="1404"/>
        <w:gridCol w:w="87"/>
        <w:gridCol w:w="1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7" w:hRule="atLeast"/>
        </w:trPr>
        <w:tc>
          <w:tcPr>
            <w:tcW w:w="2125" w:type="dxa"/>
            <w:gridSpan w:val="2"/>
          </w:tcPr>
          <w:p>
            <w:pPr>
              <w:pStyle w:val="28"/>
              <w:tabs>
                <w:tab w:val="left" w:pos="1253"/>
              </w:tabs>
              <w:spacing w:before="178"/>
              <w:ind w:left="773"/>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姓</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名</w:t>
            </w:r>
          </w:p>
        </w:tc>
        <w:tc>
          <w:tcPr>
            <w:tcW w:w="1300" w:type="dxa"/>
          </w:tcPr>
          <w:p>
            <w:pPr>
              <w:pStyle w:val="28"/>
              <w:outlineLvl w:val="9"/>
              <w:rPr>
                <w:rFonts w:hint="eastAsia" w:ascii="宋体" w:hAnsi="宋体" w:eastAsia="宋体" w:cs="宋体"/>
                <w:color w:val="auto"/>
                <w:sz w:val="22"/>
                <w:highlight w:val="none"/>
              </w:rPr>
            </w:pPr>
          </w:p>
        </w:tc>
        <w:tc>
          <w:tcPr>
            <w:tcW w:w="1173" w:type="dxa"/>
          </w:tcPr>
          <w:p>
            <w:pPr>
              <w:pStyle w:val="28"/>
              <w:spacing w:before="178"/>
              <w:ind w:left="417"/>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139" w:type="dxa"/>
          </w:tcPr>
          <w:p>
            <w:pPr>
              <w:pStyle w:val="28"/>
              <w:outlineLvl w:val="9"/>
              <w:rPr>
                <w:rFonts w:hint="eastAsia" w:ascii="宋体" w:hAnsi="宋体" w:eastAsia="宋体" w:cs="宋体"/>
                <w:color w:val="auto"/>
                <w:sz w:val="22"/>
                <w:highlight w:val="none"/>
              </w:rPr>
            </w:pPr>
          </w:p>
        </w:tc>
        <w:tc>
          <w:tcPr>
            <w:tcW w:w="1404" w:type="dxa"/>
          </w:tcPr>
          <w:p>
            <w:pPr>
              <w:pStyle w:val="28"/>
              <w:spacing w:before="178"/>
              <w:ind w:right="139"/>
              <w:jc w:val="righ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出生日期</w:t>
            </w:r>
          </w:p>
        </w:tc>
        <w:tc>
          <w:tcPr>
            <w:tcW w:w="2039" w:type="dxa"/>
            <w:gridSpan w:val="2"/>
          </w:tcPr>
          <w:p>
            <w:pPr>
              <w:pStyle w:val="28"/>
              <w:tabs>
                <w:tab w:val="left" w:pos="1091"/>
                <w:tab w:val="left" w:pos="1571"/>
              </w:tabs>
              <w:spacing w:before="178"/>
              <w:ind w:left="611"/>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月</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7" w:hRule="atLeast"/>
        </w:trPr>
        <w:tc>
          <w:tcPr>
            <w:tcW w:w="2125" w:type="dxa"/>
            <w:gridSpan w:val="2"/>
          </w:tcPr>
          <w:p>
            <w:pPr>
              <w:pStyle w:val="28"/>
              <w:spacing w:before="180"/>
              <w:ind w:left="413"/>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毕业院校专业</w:t>
            </w:r>
          </w:p>
        </w:tc>
        <w:tc>
          <w:tcPr>
            <w:tcW w:w="3612" w:type="dxa"/>
            <w:gridSpan w:val="3"/>
          </w:tcPr>
          <w:p>
            <w:pPr>
              <w:pStyle w:val="28"/>
              <w:outlineLvl w:val="9"/>
              <w:rPr>
                <w:rFonts w:hint="eastAsia" w:ascii="宋体" w:hAnsi="宋体" w:eastAsia="宋体" w:cs="宋体"/>
                <w:color w:val="auto"/>
                <w:sz w:val="22"/>
                <w:highlight w:val="none"/>
              </w:rPr>
            </w:pPr>
          </w:p>
        </w:tc>
        <w:tc>
          <w:tcPr>
            <w:tcW w:w="1404" w:type="dxa"/>
          </w:tcPr>
          <w:p>
            <w:pPr>
              <w:pStyle w:val="28"/>
              <w:spacing w:before="180"/>
              <w:ind w:right="139"/>
              <w:jc w:val="righ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2039" w:type="dxa"/>
            <w:gridSpan w:val="2"/>
          </w:tcPr>
          <w:p>
            <w:pPr>
              <w:pStyle w:val="28"/>
              <w:tabs>
                <w:tab w:val="left" w:pos="1091"/>
                <w:tab w:val="left" w:pos="1571"/>
              </w:tabs>
              <w:spacing w:before="180"/>
              <w:ind w:left="611"/>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月</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2125" w:type="dxa"/>
            <w:gridSpan w:val="2"/>
          </w:tcPr>
          <w:p>
            <w:pPr>
              <w:pStyle w:val="28"/>
              <w:spacing w:before="180"/>
              <w:ind w:left="653"/>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最高学历</w:t>
            </w:r>
          </w:p>
        </w:tc>
        <w:tc>
          <w:tcPr>
            <w:tcW w:w="2473" w:type="dxa"/>
            <w:gridSpan w:val="2"/>
          </w:tcPr>
          <w:p>
            <w:pPr>
              <w:pStyle w:val="28"/>
              <w:outlineLvl w:val="9"/>
              <w:rPr>
                <w:rFonts w:hint="eastAsia" w:ascii="宋体" w:hAnsi="宋体" w:eastAsia="宋体" w:cs="宋体"/>
                <w:color w:val="auto"/>
                <w:sz w:val="22"/>
                <w:highlight w:val="none"/>
              </w:rPr>
            </w:pPr>
          </w:p>
        </w:tc>
        <w:tc>
          <w:tcPr>
            <w:tcW w:w="2543" w:type="dxa"/>
            <w:gridSpan w:val="2"/>
          </w:tcPr>
          <w:p>
            <w:pPr>
              <w:pStyle w:val="28"/>
              <w:spacing w:before="24" w:line="242" w:lineRule="auto"/>
              <w:ind w:left="862" w:right="708"/>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为投标人服务时间</w:t>
            </w:r>
          </w:p>
        </w:tc>
        <w:tc>
          <w:tcPr>
            <w:tcW w:w="2039" w:type="dxa"/>
            <w:gridSpan w:val="2"/>
          </w:tcPr>
          <w:p>
            <w:pPr>
              <w:pStyle w:val="28"/>
              <w:spacing w:before="180"/>
              <w:ind w:left="273"/>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2125" w:type="dxa"/>
            <w:gridSpan w:val="2"/>
          </w:tcPr>
          <w:p>
            <w:pPr>
              <w:pStyle w:val="28"/>
              <w:spacing w:before="179"/>
              <w:ind w:left="293"/>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从事本专业时间</w:t>
            </w:r>
          </w:p>
        </w:tc>
        <w:tc>
          <w:tcPr>
            <w:tcW w:w="2473" w:type="dxa"/>
            <w:gridSpan w:val="2"/>
          </w:tcPr>
          <w:p>
            <w:pPr>
              <w:pStyle w:val="28"/>
              <w:spacing w:before="179"/>
              <w:ind w:left="271"/>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w:t>
            </w:r>
          </w:p>
        </w:tc>
        <w:tc>
          <w:tcPr>
            <w:tcW w:w="2543" w:type="dxa"/>
            <w:gridSpan w:val="2"/>
          </w:tcPr>
          <w:p>
            <w:pPr>
              <w:pStyle w:val="28"/>
              <w:tabs>
                <w:tab w:val="left" w:pos="1642"/>
              </w:tabs>
              <w:spacing w:before="179"/>
              <w:ind w:left="802"/>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职</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称</w:t>
            </w:r>
          </w:p>
        </w:tc>
        <w:tc>
          <w:tcPr>
            <w:tcW w:w="2039" w:type="dxa"/>
            <w:gridSpan w:val="2"/>
          </w:tcPr>
          <w:p>
            <w:pPr>
              <w:pStyle w:val="28"/>
              <w:outlineLvl w:val="9"/>
              <w:rPr>
                <w:rFonts w:hint="eastAsia" w:ascii="宋体" w:hAnsi="宋体" w:eastAsia="宋体" w:cs="宋体"/>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7" w:hRule="atLeast"/>
        </w:trPr>
        <w:tc>
          <w:tcPr>
            <w:tcW w:w="2125" w:type="dxa"/>
            <w:gridSpan w:val="2"/>
          </w:tcPr>
          <w:p>
            <w:pPr>
              <w:pStyle w:val="28"/>
              <w:spacing w:before="179"/>
              <w:ind w:left="648"/>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执业资格</w:t>
            </w:r>
          </w:p>
        </w:tc>
        <w:tc>
          <w:tcPr>
            <w:tcW w:w="2473" w:type="dxa"/>
            <w:gridSpan w:val="2"/>
          </w:tcPr>
          <w:p>
            <w:pPr>
              <w:pStyle w:val="28"/>
              <w:outlineLvl w:val="9"/>
              <w:rPr>
                <w:rFonts w:hint="eastAsia" w:ascii="宋体" w:hAnsi="宋体" w:eastAsia="宋体" w:cs="宋体"/>
                <w:color w:val="auto"/>
                <w:sz w:val="22"/>
                <w:highlight w:val="none"/>
              </w:rPr>
            </w:pPr>
          </w:p>
        </w:tc>
        <w:tc>
          <w:tcPr>
            <w:tcW w:w="2543" w:type="dxa"/>
            <w:gridSpan w:val="2"/>
          </w:tcPr>
          <w:p>
            <w:pPr>
              <w:pStyle w:val="28"/>
              <w:spacing w:before="179"/>
              <w:ind w:left="384"/>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在本项目拟任职务</w:t>
            </w:r>
          </w:p>
        </w:tc>
        <w:tc>
          <w:tcPr>
            <w:tcW w:w="2039" w:type="dxa"/>
            <w:gridSpan w:val="2"/>
          </w:tcPr>
          <w:p>
            <w:pPr>
              <w:pStyle w:val="28"/>
              <w:spacing w:before="179"/>
              <w:ind w:left="493"/>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9180" w:type="dxa"/>
            <w:gridSpan w:val="8"/>
          </w:tcPr>
          <w:p>
            <w:pPr>
              <w:pStyle w:val="28"/>
              <w:tabs>
                <w:tab w:val="left" w:pos="632"/>
                <w:tab w:val="left" w:pos="1112"/>
                <w:tab w:val="left" w:pos="1592"/>
              </w:tabs>
              <w:spacing w:before="179"/>
              <w:ind w:left="152"/>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主</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要</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经</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7" w:hRule="atLeast"/>
        </w:trPr>
        <w:tc>
          <w:tcPr>
            <w:tcW w:w="1227" w:type="dxa"/>
          </w:tcPr>
          <w:p>
            <w:pPr>
              <w:pStyle w:val="28"/>
              <w:spacing w:before="179"/>
              <w:ind w:left="444"/>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时间</w:t>
            </w:r>
          </w:p>
        </w:tc>
        <w:tc>
          <w:tcPr>
            <w:tcW w:w="6001" w:type="dxa"/>
            <w:gridSpan w:val="6"/>
          </w:tcPr>
          <w:p>
            <w:pPr>
              <w:pStyle w:val="28"/>
              <w:spacing w:before="179"/>
              <w:ind w:left="1511"/>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参加过的工程项目名称及规模</w:t>
            </w:r>
          </w:p>
        </w:tc>
        <w:tc>
          <w:tcPr>
            <w:tcW w:w="1952" w:type="dxa"/>
          </w:tcPr>
          <w:p>
            <w:pPr>
              <w:pStyle w:val="28"/>
              <w:spacing w:before="23" w:line="242" w:lineRule="auto"/>
              <w:ind w:left="927" w:right="52" w:hanging="72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该项目中担任职务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3" w:hRule="atLeast"/>
        </w:trPr>
        <w:tc>
          <w:tcPr>
            <w:tcW w:w="1227" w:type="dxa"/>
          </w:tcPr>
          <w:p>
            <w:pPr>
              <w:pStyle w:val="28"/>
              <w:outlineLvl w:val="9"/>
              <w:rPr>
                <w:rFonts w:hint="eastAsia" w:ascii="宋体" w:hAnsi="宋体" w:eastAsia="宋体" w:cs="宋体"/>
                <w:color w:val="auto"/>
                <w:sz w:val="22"/>
                <w:highlight w:val="none"/>
              </w:rPr>
            </w:pPr>
          </w:p>
        </w:tc>
        <w:tc>
          <w:tcPr>
            <w:tcW w:w="6001" w:type="dxa"/>
            <w:gridSpan w:val="6"/>
          </w:tcPr>
          <w:p>
            <w:pPr>
              <w:pStyle w:val="28"/>
              <w:outlineLvl w:val="9"/>
              <w:rPr>
                <w:rFonts w:hint="eastAsia" w:ascii="宋体" w:hAnsi="宋体" w:eastAsia="宋体" w:cs="宋体"/>
                <w:color w:val="auto"/>
                <w:sz w:val="22"/>
                <w:highlight w:val="none"/>
              </w:rPr>
            </w:pPr>
          </w:p>
        </w:tc>
        <w:tc>
          <w:tcPr>
            <w:tcW w:w="1952" w:type="dxa"/>
          </w:tcPr>
          <w:p>
            <w:pPr>
              <w:pStyle w:val="28"/>
              <w:outlineLvl w:val="9"/>
              <w:rPr>
                <w:rFonts w:hint="eastAsia" w:ascii="宋体" w:hAnsi="宋体" w:eastAsia="宋体" w:cs="宋体"/>
                <w:color w:val="auto"/>
                <w:sz w:val="22"/>
                <w:highlight w:val="none"/>
              </w:rPr>
            </w:pPr>
          </w:p>
        </w:tc>
      </w:tr>
    </w:tbl>
    <w:p>
      <w:pPr>
        <w:pStyle w:val="2"/>
        <w:spacing w:before="7"/>
        <w:outlineLvl w:val="9"/>
        <w:rPr>
          <w:rFonts w:hint="eastAsia" w:ascii="宋体" w:hAnsi="宋体" w:eastAsia="宋体" w:cs="宋体"/>
          <w:b/>
          <w:color w:val="auto"/>
          <w:sz w:val="36"/>
          <w:highlight w:val="none"/>
        </w:rPr>
      </w:pPr>
    </w:p>
    <w:p>
      <w:pPr>
        <w:pStyle w:val="2"/>
        <w:ind w:left="477"/>
        <w:outlineLvl w:val="9"/>
        <w:rPr>
          <w:rFonts w:hint="eastAsia" w:ascii="宋体" w:hAnsi="宋体" w:eastAsia="宋体" w:cs="宋体"/>
          <w:color w:val="auto"/>
          <w:highlight w:val="none"/>
        </w:rPr>
      </w:pPr>
      <w:r>
        <w:rPr>
          <w:rFonts w:hint="eastAsia" w:ascii="宋体" w:hAnsi="宋体" w:eastAsia="宋体" w:cs="宋体"/>
          <w:color w:val="auto"/>
          <w:highlight w:val="none"/>
        </w:rPr>
        <w:t>投标人：（盖章）</w:t>
      </w:r>
    </w:p>
    <w:p>
      <w:pPr>
        <w:pStyle w:val="2"/>
        <w:tabs>
          <w:tab w:val="left" w:pos="957"/>
          <w:tab w:val="left" w:pos="2157"/>
          <w:tab w:val="left" w:pos="2997"/>
          <w:tab w:val="left" w:pos="3837"/>
        </w:tabs>
        <w:spacing w:before="159"/>
        <w:ind w:left="477"/>
        <w:outlineLvl w:val="9"/>
        <w:rPr>
          <w:rFonts w:hint="eastAsia" w:ascii="宋体" w:hAnsi="宋体" w:eastAsia="宋体" w:cs="宋体"/>
          <w:color w:val="auto"/>
          <w:highlight w:val="none"/>
        </w:rPr>
      </w:pPr>
      <w:r>
        <w:rPr>
          <w:rFonts w:hint="eastAsia" w:ascii="宋体" w:hAnsi="宋体" w:eastAsia="宋体" w:cs="宋体"/>
          <w:color w:val="auto"/>
          <w:highlight w:val="none"/>
        </w:rPr>
        <w:t>日</w:t>
      </w:r>
      <w:r>
        <w:rPr>
          <w:rFonts w:hint="eastAsia" w:ascii="宋体" w:hAnsi="宋体" w:eastAsia="宋体" w:cs="宋体"/>
          <w:color w:val="auto"/>
          <w:highlight w:val="none"/>
        </w:rPr>
        <w:tab/>
      </w:r>
      <w:r>
        <w:rPr>
          <w:rFonts w:hint="eastAsia" w:ascii="宋体" w:hAnsi="宋体" w:eastAsia="宋体" w:cs="宋体"/>
          <w:color w:val="auto"/>
          <w:highlight w:val="none"/>
        </w:rPr>
        <w:t>期：</w:t>
      </w:r>
      <w:r>
        <w:rPr>
          <w:rFonts w:hint="eastAsia" w:ascii="宋体" w:hAnsi="宋体" w:eastAsia="宋体" w:cs="宋体"/>
          <w:color w:val="auto"/>
          <w:highlight w:val="none"/>
        </w:rPr>
        <w:tab/>
      </w:r>
      <w:r>
        <w:rPr>
          <w:rFonts w:hint="eastAsia" w:ascii="宋体" w:hAnsi="宋体" w:eastAsia="宋体" w:cs="宋体"/>
          <w:color w:val="auto"/>
          <w:highlight w:val="none"/>
        </w:rPr>
        <w:t>年</w:t>
      </w:r>
      <w:r>
        <w:rPr>
          <w:rFonts w:hint="eastAsia" w:ascii="宋体" w:hAnsi="宋体" w:eastAsia="宋体" w:cs="宋体"/>
          <w:color w:val="auto"/>
          <w:highlight w:val="none"/>
        </w:rPr>
        <w:tab/>
      </w:r>
      <w:r>
        <w:rPr>
          <w:rFonts w:hint="eastAsia" w:ascii="宋体" w:hAnsi="宋体" w:eastAsia="宋体" w:cs="宋体"/>
          <w:color w:val="auto"/>
          <w:highlight w:val="none"/>
        </w:rPr>
        <w:t>月</w:t>
      </w:r>
      <w:r>
        <w:rPr>
          <w:rFonts w:hint="eastAsia" w:ascii="宋体" w:hAnsi="宋体" w:eastAsia="宋体" w:cs="宋体"/>
          <w:color w:val="auto"/>
          <w:highlight w:val="none"/>
        </w:rPr>
        <w:tab/>
      </w:r>
      <w:r>
        <w:rPr>
          <w:rFonts w:hint="eastAsia" w:ascii="宋体" w:hAnsi="宋体" w:eastAsia="宋体" w:cs="宋体"/>
          <w:color w:val="auto"/>
          <w:highlight w:val="none"/>
        </w:rPr>
        <w:t>日</w:t>
      </w:r>
    </w:p>
    <w:p>
      <w:pPr>
        <w:pStyle w:val="2"/>
        <w:outlineLvl w:val="9"/>
        <w:rPr>
          <w:rFonts w:hint="eastAsia" w:ascii="宋体" w:hAnsi="宋体" w:eastAsia="宋体" w:cs="宋体"/>
          <w:color w:val="auto"/>
          <w:highlight w:val="none"/>
        </w:rPr>
      </w:pPr>
    </w:p>
    <w:p>
      <w:pPr>
        <w:pStyle w:val="2"/>
        <w:outlineLvl w:val="9"/>
        <w:rPr>
          <w:rFonts w:hint="eastAsia" w:ascii="宋体" w:hAnsi="宋体" w:eastAsia="宋体" w:cs="宋体"/>
          <w:color w:val="auto"/>
          <w:sz w:val="31"/>
          <w:highlight w:val="none"/>
        </w:rPr>
      </w:pPr>
    </w:p>
    <w:p>
      <w:pPr>
        <w:pStyle w:val="2"/>
        <w:spacing w:line="362" w:lineRule="auto"/>
        <w:ind w:left="477" w:right="491" w:firstLine="120"/>
        <w:outlineLvl w:val="9"/>
        <w:rPr>
          <w:rFonts w:hint="eastAsia" w:ascii="宋体" w:hAnsi="宋体" w:eastAsia="宋体" w:cs="宋体"/>
          <w:color w:val="auto"/>
          <w:highlight w:val="none"/>
        </w:rPr>
      </w:pPr>
      <w:r>
        <w:rPr>
          <w:rFonts w:hint="eastAsia" w:ascii="宋体" w:hAnsi="宋体" w:eastAsia="宋体" w:cs="宋体"/>
          <w:color w:val="auto"/>
          <w:highlight w:val="none"/>
        </w:rPr>
        <w:t>附：项目负责人身份证（复印件）、职称证书（复印件）、执业资格证（如有）、业绩证明文件</w:t>
      </w:r>
    </w:p>
    <w:p>
      <w:pPr>
        <w:spacing w:after="0" w:line="362" w:lineRule="auto"/>
        <w:outlineLvl w:val="9"/>
        <w:rPr>
          <w:rFonts w:hint="eastAsia" w:ascii="宋体" w:hAnsi="宋体" w:eastAsia="宋体" w:cs="宋体"/>
          <w:color w:val="auto"/>
          <w:highlight w:val="none"/>
        </w:rPr>
        <w:sectPr>
          <w:pgSz w:w="12240" w:h="15840"/>
          <w:pgMar w:top="1360" w:right="1160" w:bottom="1160" w:left="1320" w:header="878" w:footer="975" w:gutter="0"/>
          <w:pgNumType w:fmt="decimal"/>
          <w:cols w:space="720" w:num="1"/>
        </w:sectPr>
      </w:pPr>
    </w:p>
    <w:p>
      <w:pPr>
        <w:pStyle w:val="2"/>
        <w:spacing w:before="65"/>
        <w:ind w:left="477"/>
        <w:outlineLvl w:val="4"/>
        <w:rPr>
          <w:rFonts w:hint="eastAsia" w:ascii="宋体" w:hAnsi="宋体" w:eastAsia="宋体" w:cs="宋体"/>
          <w:color w:val="auto"/>
          <w:highlight w:val="none"/>
        </w:rPr>
      </w:pPr>
      <w:r>
        <w:rPr>
          <w:rFonts w:hint="eastAsia" w:ascii="宋体" w:hAnsi="宋体" w:eastAsia="宋体" w:cs="宋体"/>
          <w:color w:val="auto"/>
          <w:highlight w:val="none"/>
        </w:rPr>
        <w:t>（二）拟投入本项目人员汇总表（格式）</w:t>
      </w:r>
    </w:p>
    <w:p>
      <w:pPr>
        <w:spacing w:before="160"/>
        <w:ind w:right="14"/>
        <w:outlineLvl w:val="9"/>
        <w:rPr>
          <w:rFonts w:hint="eastAsia" w:ascii="宋体" w:hAnsi="宋体" w:eastAsia="宋体" w:cs="宋体"/>
          <w:color w:val="auto"/>
          <w:highlight w:val="none"/>
        </w:rPr>
      </w:pPr>
      <w:r>
        <w:rPr>
          <w:rFonts w:hint="eastAsia" w:ascii="宋体" w:hAnsi="宋体" w:eastAsia="宋体" w:cs="宋体"/>
          <w:color w:val="auto"/>
          <w:highlight w:val="none"/>
        </w:rPr>
        <w:t>拟投入本项目人员汇总表</w:t>
      </w:r>
    </w:p>
    <w:p>
      <w:pPr>
        <w:pStyle w:val="2"/>
        <w:spacing w:before="6"/>
        <w:outlineLvl w:val="9"/>
        <w:rPr>
          <w:rFonts w:hint="eastAsia" w:ascii="宋体" w:hAnsi="宋体" w:eastAsia="宋体" w:cs="宋体"/>
          <w:b/>
          <w:color w:val="auto"/>
          <w:sz w:val="16"/>
          <w:highlight w:val="none"/>
        </w:rPr>
      </w:pPr>
    </w:p>
    <w:tbl>
      <w:tblPr>
        <w:tblStyle w:val="20"/>
        <w:tblW w:w="0" w:type="auto"/>
        <w:tblInd w:w="3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7"/>
        <w:gridCol w:w="808"/>
        <w:gridCol w:w="1035"/>
        <w:gridCol w:w="992"/>
        <w:gridCol w:w="1134"/>
        <w:gridCol w:w="992"/>
        <w:gridCol w:w="993"/>
        <w:gridCol w:w="1275"/>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17" w:type="dxa"/>
          </w:tcPr>
          <w:p>
            <w:pPr>
              <w:pStyle w:val="28"/>
              <w:spacing w:before="1"/>
              <w:outlineLvl w:val="9"/>
              <w:rPr>
                <w:rFonts w:hint="eastAsia" w:ascii="宋体" w:hAnsi="宋体" w:eastAsia="宋体" w:cs="宋体"/>
                <w:b/>
                <w:color w:val="auto"/>
                <w:sz w:val="21"/>
                <w:highlight w:val="none"/>
              </w:rPr>
            </w:pPr>
          </w:p>
          <w:p>
            <w:pPr>
              <w:pStyle w:val="28"/>
              <w:ind w:left="24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808" w:type="dxa"/>
          </w:tcPr>
          <w:p>
            <w:pPr>
              <w:pStyle w:val="28"/>
              <w:spacing w:before="1"/>
              <w:outlineLvl w:val="9"/>
              <w:rPr>
                <w:rFonts w:hint="eastAsia" w:ascii="宋体" w:hAnsi="宋体" w:eastAsia="宋体" w:cs="宋体"/>
                <w:b/>
                <w:color w:val="auto"/>
                <w:sz w:val="21"/>
                <w:highlight w:val="none"/>
              </w:rPr>
            </w:pPr>
          </w:p>
          <w:p>
            <w:pPr>
              <w:pStyle w:val="28"/>
              <w:ind w:left="234"/>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035" w:type="dxa"/>
          </w:tcPr>
          <w:p>
            <w:pPr>
              <w:pStyle w:val="28"/>
              <w:spacing w:before="1"/>
              <w:outlineLvl w:val="9"/>
              <w:rPr>
                <w:rFonts w:hint="eastAsia" w:ascii="宋体" w:hAnsi="宋体" w:eastAsia="宋体" w:cs="宋体"/>
                <w:b/>
                <w:color w:val="auto"/>
                <w:sz w:val="21"/>
                <w:highlight w:val="none"/>
              </w:rPr>
            </w:pPr>
          </w:p>
          <w:p>
            <w:pPr>
              <w:pStyle w:val="28"/>
              <w:ind w:left="348"/>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992" w:type="dxa"/>
          </w:tcPr>
          <w:p>
            <w:pPr>
              <w:pStyle w:val="28"/>
              <w:spacing w:before="116" w:line="242" w:lineRule="auto"/>
              <w:ind w:left="325" w:right="174"/>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出生日期</w:t>
            </w:r>
          </w:p>
        </w:tc>
        <w:tc>
          <w:tcPr>
            <w:tcW w:w="1134" w:type="dxa"/>
          </w:tcPr>
          <w:p>
            <w:pPr>
              <w:pStyle w:val="28"/>
              <w:spacing w:before="1"/>
              <w:outlineLvl w:val="9"/>
              <w:rPr>
                <w:rFonts w:hint="eastAsia" w:ascii="宋体" w:hAnsi="宋体" w:eastAsia="宋体" w:cs="宋体"/>
                <w:b/>
                <w:color w:val="auto"/>
                <w:sz w:val="21"/>
                <w:highlight w:val="none"/>
              </w:rPr>
            </w:pPr>
          </w:p>
          <w:p>
            <w:pPr>
              <w:pStyle w:val="28"/>
              <w:ind w:left="397"/>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992" w:type="dxa"/>
          </w:tcPr>
          <w:p>
            <w:pPr>
              <w:pStyle w:val="28"/>
              <w:spacing w:before="1"/>
              <w:outlineLvl w:val="9"/>
              <w:rPr>
                <w:rFonts w:hint="eastAsia" w:ascii="宋体" w:hAnsi="宋体" w:eastAsia="宋体" w:cs="宋体"/>
                <w:b/>
                <w:color w:val="auto"/>
                <w:sz w:val="21"/>
                <w:highlight w:val="none"/>
              </w:rPr>
            </w:pPr>
          </w:p>
          <w:p>
            <w:pPr>
              <w:pStyle w:val="28"/>
              <w:ind w:left="326"/>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tc>
        <w:tc>
          <w:tcPr>
            <w:tcW w:w="993" w:type="dxa"/>
          </w:tcPr>
          <w:p>
            <w:pPr>
              <w:pStyle w:val="28"/>
              <w:spacing w:before="116" w:line="242" w:lineRule="auto"/>
              <w:ind w:left="327" w:right="173"/>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技术职称</w:t>
            </w:r>
          </w:p>
        </w:tc>
        <w:tc>
          <w:tcPr>
            <w:tcW w:w="1275" w:type="dxa"/>
          </w:tcPr>
          <w:p>
            <w:pPr>
              <w:pStyle w:val="28"/>
              <w:spacing w:before="116" w:line="242" w:lineRule="auto"/>
              <w:ind w:left="227" w:right="75"/>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在本项目拟任职务</w:t>
            </w:r>
          </w:p>
        </w:tc>
        <w:tc>
          <w:tcPr>
            <w:tcW w:w="1134" w:type="dxa"/>
          </w:tcPr>
          <w:p>
            <w:pPr>
              <w:pStyle w:val="28"/>
              <w:spacing w:before="116" w:line="242" w:lineRule="auto"/>
              <w:ind w:left="397" w:right="4" w:hanging="24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主要工作业绩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17" w:type="dxa"/>
          </w:tcPr>
          <w:p>
            <w:pPr>
              <w:pStyle w:val="28"/>
              <w:outlineLvl w:val="9"/>
              <w:rPr>
                <w:rFonts w:hint="eastAsia" w:ascii="宋体" w:hAnsi="宋体" w:eastAsia="宋体" w:cs="宋体"/>
                <w:color w:val="auto"/>
                <w:sz w:val="22"/>
                <w:highlight w:val="none"/>
              </w:rPr>
            </w:pPr>
          </w:p>
        </w:tc>
        <w:tc>
          <w:tcPr>
            <w:tcW w:w="808" w:type="dxa"/>
          </w:tcPr>
          <w:p>
            <w:pPr>
              <w:pStyle w:val="28"/>
              <w:outlineLvl w:val="9"/>
              <w:rPr>
                <w:rFonts w:hint="eastAsia" w:ascii="宋体" w:hAnsi="宋体" w:eastAsia="宋体" w:cs="宋体"/>
                <w:color w:val="auto"/>
                <w:sz w:val="22"/>
                <w:highlight w:val="none"/>
              </w:rPr>
            </w:pPr>
          </w:p>
        </w:tc>
        <w:tc>
          <w:tcPr>
            <w:tcW w:w="1035"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993" w:type="dxa"/>
          </w:tcPr>
          <w:p>
            <w:pPr>
              <w:pStyle w:val="28"/>
              <w:outlineLvl w:val="9"/>
              <w:rPr>
                <w:rFonts w:hint="eastAsia" w:ascii="宋体" w:hAnsi="宋体" w:eastAsia="宋体" w:cs="宋体"/>
                <w:color w:val="auto"/>
                <w:sz w:val="22"/>
                <w:highlight w:val="none"/>
              </w:rPr>
            </w:pPr>
          </w:p>
        </w:tc>
        <w:tc>
          <w:tcPr>
            <w:tcW w:w="1275"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817" w:type="dxa"/>
          </w:tcPr>
          <w:p>
            <w:pPr>
              <w:pStyle w:val="28"/>
              <w:outlineLvl w:val="9"/>
              <w:rPr>
                <w:rFonts w:hint="eastAsia" w:ascii="宋体" w:hAnsi="宋体" w:eastAsia="宋体" w:cs="宋体"/>
                <w:color w:val="auto"/>
                <w:sz w:val="22"/>
                <w:highlight w:val="none"/>
              </w:rPr>
            </w:pPr>
          </w:p>
        </w:tc>
        <w:tc>
          <w:tcPr>
            <w:tcW w:w="808" w:type="dxa"/>
          </w:tcPr>
          <w:p>
            <w:pPr>
              <w:pStyle w:val="28"/>
              <w:outlineLvl w:val="9"/>
              <w:rPr>
                <w:rFonts w:hint="eastAsia" w:ascii="宋体" w:hAnsi="宋体" w:eastAsia="宋体" w:cs="宋体"/>
                <w:color w:val="auto"/>
                <w:sz w:val="22"/>
                <w:highlight w:val="none"/>
              </w:rPr>
            </w:pPr>
          </w:p>
        </w:tc>
        <w:tc>
          <w:tcPr>
            <w:tcW w:w="1035"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993" w:type="dxa"/>
          </w:tcPr>
          <w:p>
            <w:pPr>
              <w:pStyle w:val="28"/>
              <w:outlineLvl w:val="9"/>
              <w:rPr>
                <w:rFonts w:hint="eastAsia" w:ascii="宋体" w:hAnsi="宋体" w:eastAsia="宋体" w:cs="宋体"/>
                <w:color w:val="auto"/>
                <w:sz w:val="22"/>
                <w:highlight w:val="none"/>
              </w:rPr>
            </w:pPr>
          </w:p>
        </w:tc>
        <w:tc>
          <w:tcPr>
            <w:tcW w:w="1275"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17" w:type="dxa"/>
          </w:tcPr>
          <w:p>
            <w:pPr>
              <w:pStyle w:val="28"/>
              <w:outlineLvl w:val="9"/>
              <w:rPr>
                <w:rFonts w:hint="eastAsia" w:ascii="宋体" w:hAnsi="宋体" w:eastAsia="宋体" w:cs="宋体"/>
                <w:color w:val="auto"/>
                <w:sz w:val="22"/>
                <w:highlight w:val="none"/>
              </w:rPr>
            </w:pPr>
          </w:p>
        </w:tc>
        <w:tc>
          <w:tcPr>
            <w:tcW w:w="808" w:type="dxa"/>
          </w:tcPr>
          <w:p>
            <w:pPr>
              <w:pStyle w:val="28"/>
              <w:outlineLvl w:val="9"/>
              <w:rPr>
                <w:rFonts w:hint="eastAsia" w:ascii="宋体" w:hAnsi="宋体" w:eastAsia="宋体" w:cs="宋体"/>
                <w:color w:val="auto"/>
                <w:sz w:val="22"/>
                <w:highlight w:val="none"/>
              </w:rPr>
            </w:pPr>
          </w:p>
        </w:tc>
        <w:tc>
          <w:tcPr>
            <w:tcW w:w="1035"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993" w:type="dxa"/>
          </w:tcPr>
          <w:p>
            <w:pPr>
              <w:pStyle w:val="28"/>
              <w:outlineLvl w:val="9"/>
              <w:rPr>
                <w:rFonts w:hint="eastAsia" w:ascii="宋体" w:hAnsi="宋体" w:eastAsia="宋体" w:cs="宋体"/>
                <w:color w:val="auto"/>
                <w:sz w:val="22"/>
                <w:highlight w:val="none"/>
              </w:rPr>
            </w:pPr>
          </w:p>
        </w:tc>
        <w:tc>
          <w:tcPr>
            <w:tcW w:w="1275"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817" w:type="dxa"/>
          </w:tcPr>
          <w:p>
            <w:pPr>
              <w:pStyle w:val="28"/>
              <w:outlineLvl w:val="9"/>
              <w:rPr>
                <w:rFonts w:hint="eastAsia" w:ascii="宋体" w:hAnsi="宋体" w:eastAsia="宋体" w:cs="宋体"/>
                <w:color w:val="auto"/>
                <w:sz w:val="22"/>
                <w:highlight w:val="none"/>
              </w:rPr>
            </w:pPr>
          </w:p>
        </w:tc>
        <w:tc>
          <w:tcPr>
            <w:tcW w:w="808" w:type="dxa"/>
          </w:tcPr>
          <w:p>
            <w:pPr>
              <w:pStyle w:val="28"/>
              <w:outlineLvl w:val="9"/>
              <w:rPr>
                <w:rFonts w:hint="eastAsia" w:ascii="宋体" w:hAnsi="宋体" w:eastAsia="宋体" w:cs="宋体"/>
                <w:color w:val="auto"/>
                <w:sz w:val="22"/>
                <w:highlight w:val="none"/>
              </w:rPr>
            </w:pPr>
          </w:p>
        </w:tc>
        <w:tc>
          <w:tcPr>
            <w:tcW w:w="1035"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993" w:type="dxa"/>
          </w:tcPr>
          <w:p>
            <w:pPr>
              <w:pStyle w:val="28"/>
              <w:outlineLvl w:val="9"/>
              <w:rPr>
                <w:rFonts w:hint="eastAsia" w:ascii="宋体" w:hAnsi="宋体" w:eastAsia="宋体" w:cs="宋体"/>
                <w:color w:val="auto"/>
                <w:sz w:val="22"/>
                <w:highlight w:val="none"/>
              </w:rPr>
            </w:pPr>
          </w:p>
        </w:tc>
        <w:tc>
          <w:tcPr>
            <w:tcW w:w="1275"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817" w:type="dxa"/>
          </w:tcPr>
          <w:p>
            <w:pPr>
              <w:pStyle w:val="28"/>
              <w:outlineLvl w:val="9"/>
              <w:rPr>
                <w:rFonts w:hint="eastAsia" w:ascii="宋体" w:hAnsi="宋体" w:eastAsia="宋体" w:cs="宋体"/>
                <w:color w:val="auto"/>
                <w:sz w:val="22"/>
                <w:highlight w:val="none"/>
              </w:rPr>
            </w:pPr>
          </w:p>
        </w:tc>
        <w:tc>
          <w:tcPr>
            <w:tcW w:w="808" w:type="dxa"/>
          </w:tcPr>
          <w:p>
            <w:pPr>
              <w:pStyle w:val="28"/>
              <w:outlineLvl w:val="9"/>
              <w:rPr>
                <w:rFonts w:hint="eastAsia" w:ascii="宋体" w:hAnsi="宋体" w:eastAsia="宋体" w:cs="宋体"/>
                <w:color w:val="auto"/>
                <w:sz w:val="22"/>
                <w:highlight w:val="none"/>
              </w:rPr>
            </w:pPr>
          </w:p>
        </w:tc>
        <w:tc>
          <w:tcPr>
            <w:tcW w:w="1035"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993" w:type="dxa"/>
          </w:tcPr>
          <w:p>
            <w:pPr>
              <w:pStyle w:val="28"/>
              <w:outlineLvl w:val="9"/>
              <w:rPr>
                <w:rFonts w:hint="eastAsia" w:ascii="宋体" w:hAnsi="宋体" w:eastAsia="宋体" w:cs="宋体"/>
                <w:color w:val="auto"/>
                <w:sz w:val="22"/>
                <w:highlight w:val="none"/>
              </w:rPr>
            </w:pPr>
          </w:p>
        </w:tc>
        <w:tc>
          <w:tcPr>
            <w:tcW w:w="1275"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817" w:type="dxa"/>
          </w:tcPr>
          <w:p>
            <w:pPr>
              <w:pStyle w:val="28"/>
              <w:outlineLvl w:val="9"/>
              <w:rPr>
                <w:rFonts w:hint="eastAsia" w:ascii="宋体" w:hAnsi="宋体" w:eastAsia="宋体" w:cs="宋体"/>
                <w:color w:val="auto"/>
                <w:sz w:val="22"/>
                <w:highlight w:val="none"/>
              </w:rPr>
            </w:pPr>
          </w:p>
        </w:tc>
        <w:tc>
          <w:tcPr>
            <w:tcW w:w="808" w:type="dxa"/>
          </w:tcPr>
          <w:p>
            <w:pPr>
              <w:pStyle w:val="28"/>
              <w:outlineLvl w:val="9"/>
              <w:rPr>
                <w:rFonts w:hint="eastAsia" w:ascii="宋体" w:hAnsi="宋体" w:eastAsia="宋体" w:cs="宋体"/>
                <w:color w:val="auto"/>
                <w:sz w:val="22"/>
                <w:highlight w:val="none"/>
              </w:rPr>
            </w:pPr>
          </w:p>
        </w:tc>
        <w:tc>
          <w:tcPr>
            <w:tcW w:w="1035"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993" w:type="dxa"/>
          </w:tcPr>
          <w:p>
            <w:pPr>
              <w:pStyle w:val="28"/>
              <w:outlineLvl w:val="9"/>
              <w:rPr>
                <w:rFonts w:hint="eastAsia" w:ascii="宋体" w:hAnsi="宋体" w:eastAsia="宋体" w:cs="宋体"/>
                <w:color w:val="auto"/>
                <w:sz w:val="22"/>
                <w:highlight w:val="none"/>
              </w:rPr>
            </w:pPr>
          </w:p>
        </w:tc>
        <w:tc>
          <w:tcPr>
            <w:tcW w:w="1275"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17" w:type="dxa"/>
          </w:tcPr>
          <w:p>
            <w:pPr>
              <w:pStyle w:val="28"/>
              <w:outlineLvl w:val="9"/>
              <w:rPr>
                <w:rFonts w:hint="eastAsia" w:ascii="宋体" w:hAnsi="宋体" w:eastAsia="宋体" w:cs="宋体"/>
                <w:color w:val="auto"/>
                <w:sz w:val="22"/>
                <w:highlight w:val="none"/>
              </w:rPr>
            </w:pPr>
          </w:p>
        </w:tc>
        <w:tc>
          <w:tcPr>
            <w:tcW w:w="808" w:type="dxa"/>
          </w:tcPr>
          <w:p>
            <w:pPr>
              <w:pStyle w:val="28"/>
              <w:outlineLvl w:val="9"/>
              <w:rPr>
                <w:rFonts w:hint="eastAsia" w:ascii="宋体" w:hAnsi="宋体" w:eastAsia="宋体" w:cs="宋体"/>
                <w:color w:val="auto"/>
                <w:sz w:val="22"/>
                <w:highlight w:val="none"/>
              </w:rPr>
            </w:pPr>
          </w:p>
        </w:tc>
        <w:tc>
          <w:tcPr>
            <w:tcW w:w="1035"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993" w:type="dxa"/>
          </w:tcPr>
          <w:p>
            <w:pPr>
              <w:pStyle w:val="28"/>
              <w:outlineLvl w:val="9"/>
              <w:rPr>
                <w:rFonts w:hint="eastAsia" w:ascii="宋体" w:hAnsi="宋体" w:eastAsia="宋体" w:cs="宋体"/>
                <w:color w:val="auto"/>
                <w:sz w:val="22"/>
                <w:highlight w:val="none"/>
              </w:rPr>
            </w:pPr>
          </w:p>
        </w:tc>
        <w:tc>
          <w:tcPr>
            <w:tcW w:w="1275"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817" w:type="dxa"/>
          </w:tcPr>
          <w:p>
            <w:pPr>
              <w:pStyle w:val="28"/>
              <w:outlineLvl w:val="9"/>
              <w:rPr>
                <w:rFonts w:hint="eastAsia" w:ascii="宋体" w:hAnsi="宋体" w:eastAsia="宋体" w:cs="宋体"/>
                <w:color w:val="auto"/>
                <w:sz w:val="22"/>
                <w:highlight w:val="none"/>
              </w:rPr>
            </w:pPr>
          </w:p>
        </w:tc>
        <w:tc>
          <w:tcPr>
            <w:tcW w:w="808" w:type="dxa"/>
          </w:tcPr>
          <w:p>
            <w:pPr>
              <w:pStyle w:val="28"/>
              <w:outlineLvl w:val="9"/>
              <w:rPr>
                <w:rFonts w:hint="eastAsia" w:ascii="宋体" w:hAnsi="宋体" w:eastAsia="宋体" w:cs="宋体"/>
                <w:color w:val="auto"/>
                <w:sz w:val="22"/>
                <w:highlight w:val="none"/>
              </w:rPr>
            </w:pPr>
          </w:p>
        </w:tc>
        <w:tc>
          <w:tcPr>
            <w:tcW w:w="1035"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c>
          <w:tcPr>
            <w:tcW w:w="992" w:type="dxa"/>
          </w:tcPr>
          <w:p>
            <w:pPr>
              <w:pStyle w:val="28"/>
              <w:outlineLvl w:val="9"/>
              <w:rPr>
                <w:rFonts w:hint="eastAsia" w:ascii="宋体" w:hAnsi="宋体" w:eastAsia="宋体" w:cs="宋体"/>
                <w:color w:val="auto"/>
                <w:sz w:val="22"/>
                <w:highlight w:val="none"/>
              </w:rPr>
            </w:pPr>
          </w:p>
        </w:tc>
        <w:tc>
          <w:tcPr>
            <w:tcW w:w="993" w:type="dxa"/>
          </w:tcPr>
          <w:p>
            <w:pPr>
              <w:pStyle w:val="28"/>
              <w:outlineLvl w:val="9"/>
              <w:rPr>
                <w:rFonts w:hint="eastAsia" w:ascii="宋体" w:hAnsi="宋体" w:eastAsia="宋体" w:cs="宋体"/>
                <w:color w:val="auto"/>
                <w:sz w:val="22"/>
                <w:highlight w:val="none"/>
              </w:rPr>
            </w:pPr>
          </w:p>
        </w:tc>
        <w:tc>
          <w:tcPr>
            <w:tcW w:w="1275" w:type="dxa"/>
          </w:tcPr>
          <w:p>
            <w:pPr>
              <w:pStyle w:val="28"/>
              <w:outlineLvl w:val="9"/>
              <w:rPr>
                <w:rFonts w:hint="eastAsia" w:ascii="宋体" w:hAnsi="宋体" w:eastAsia="宋体" w:cs="宋体"/>
                <w:color w:val="auto"/>
                <w:sz w:val="22"/>
                <w:highlight w:val="none"/>
              </w:rPr>
            </w:pPr>
          </w:p>
        </w:tc>
        <w:tc>
          <w:tcPr>
            <w:tcW w:w="1134" w:type="dxa"/>
          </w:tcPr>
          <w:p>
            <w:pPr>
              <w:pStyle w:val="28"/>
              <w:outlineLvl w:val="9"/>
              <w:rPr>
                <w:rFonts w:hint="eastAsia" w:ascii="宋体" w:hAnsi="宋体" w:eastAsia="宋体" w:cs="宋体"/>
                <w:color w:val="auto"/>
                <w:sz w:val="22"/>
                <w:highlight w:val="none"/>
              </w:rPr>
            </w:pPr>
          </w:p>
        </w:tc>
      </w:tr>
    </w:tbl>
    <w:p>
      <w:pPr>
        <w:pStyle w:val="2"/>
        <w:spacing w:before="5"/>
        <w:outlineLvl w:val="9"/>
        <w:rPr>
          <w:rFonts w:hint="eastAsia" w:ascii="宋体" w:hAnsi="宋体" w:eastAsia="宋体" w:cs="宋体"/>
          <w:b/>
          <w:color w:val="auto"/>
          <w:sz w:val="28"/>
          <w:highlight w:val="none"/>
        </w:rPr>
      </w:pPr>
    </w:p>
    <w:p>
      <w:pPr>
        <w:pStyle w:val="2"/>
        <w:spacing w:before="1"/>
        <w:ind w:left="597"/>
        <w:outlineLvl w:val="9"/>
        <w:rPr>
          <w:rFonts w:hint="eastAsia" w:ascii="宋体" w:hAnsi="宋体" w:eastAsia="宋体" w:cs="宋体"/>
          <w:color w:val="auto"/>
          <w:highlight w:val="none"/>
        </w:rPr>
      </w:pPr>
      <w:r>
        <w:rPr>
          <w:rFonts w:hint="eastAsia" w:ascii="宋体" w:hAnsi="宋体" w:eastAsia="宋体" w:cs="宋体"/>
          <w:color w:val="auto"/>
          <w:highlight w:val="none"/>
        </w:rPr>
        <w:t>投标人：（盖章）</w:t>
      </w:r>
    </w:p>
    <w:p>
      <w:pPr>
        <w:pStyle w:val="2"/>
        <w:tabs>
          <w:tab w:val="left" w:pos="1077"/>
          <w:tab w:val="left" w:pos="2157"/>
          <w:tab w:val="left" w:pos="3237"/>
          <w:tab w:val="left" w:pos="4317"/>
        </w:tabs>
        <w:spacing w:before="160"/>
        <w:ind w:left="597"/>
        <w:outlineLvl w:val="9"/>
        <w:rPr>
          <w:rFonts w:hint="eastAsia" w:ascii="宋体" w:hAnsi="宋体" w:eastAsia="宋体" w:cs="宋体"/>
          <w:color w:val="auto"/>
          <w:highlight w:val="none"/>
        </w:rPr>
      </w:pPr>
      <w:r>
        <w:rPr>
          <w:rFonts w:hint="eastAsia" w:ascii="宋体" w:hAnsi="宋体" w:eastAsia="宋体" w:cs="宋体"/>
          <w:color w:val="auto"/>
          <w:highlight w:val="none"/>
        </w:rPr>
        <w:t>日</w:t>
      </w:r>
      <w:r>
        <w:rPr>
          <w:rFonts w:hint="eastAsia" w:ascii="宋体" w:hAnsi="宋体" w:eastAsia="宋体" w:cs="宋体"/>
          <w:color w:val="auto"/>
          <w:highlight w:val="none"/>
        </w:rPr>
        <w:tab/>
      </w:r>
      <w:r>
        <w:rPr>
          <w:rFonts w:hint="eastAsia" w:ascii="宋体" w:hAnsi="宋体" w:eastAsia="宋体" w:cs="宋体"/>
          <w:color w:val="auto"/>
          <w:highlight w:val="none"/>
        </w:rPr>
        <w:t>期：</w:t>
      </w:r>
      <w:r>
        <w:rPr>
          <w:rFonts w:hint="eastAsia" w:ascii="宋体" w:hAnsi="宋体" w:eastAsia="宋体" w:cs="宋体"/>
          <w:color w:val="auto"/>
          <w:highlight w:val="none"/>
        </w:rPr>
        <w:tab/>
      </w:r>
      <w:r>
        <w:rPr>
          <w:rFonts w:hint="eastAsia" w:ascii="宋体" w:hAnsi="宋体" w:eastAsia="宋体" w:cs="宋体"/>
          <w:color w:val="auto"/>
          <w:highlight w:val="none"/>
        </w:rPr>
        <w:t>年</w:t>
      </w:r>
      <w:r>
        <w:rPr>
          <w:rFonts w:hint="eastAsia" w:ascii="宋体" w:hAnsi="宋体" w:eastAsia="宋体" w:cs="宋体"/>
          <w:color w:val="auto"/>
          <w:highlight w:val="none"/>
        </w:rPr>
        <w:tab/>
      </w:r>
      <w:r>
        <w:rPr>
          <w:rFonts w:hint="eastAsia" w:ascii="宋体" w:hAnsi="宋体" w:eastAsia="宋体" w:cs="宋体"/>
          <w:color w:val="auto"/>
          <w:highlight w:val="none"/>
        </w:rPr>
        <w:t>月</w:t>
      </w:r>
      <w:r>
        <w:rPr>
          <w:rFonts w:hint="eastAsia" w:ascii="宋体" w:hAnsi="宋体" w:eastAsia="宋体" w:cs="宋体"/>
          <w:color w:val="auto"/>
          <w:highlight w:val="none"/>
        </w:rPr>
        <w:tab/>
      </w:r>
      <w:r>
        <w:rPr>
          <w:rFonts w:hint="eastAsia" w:ascii="宋体" w:hAnsi="宋体" w:eastAsia="宋体" w:cs="宋体"/>
          <w:color w:val="auto"/>
          <w:highlight w:val="none"/>
        </w:rPr>
        <w:t>日</w:t>
      </w:r>
    </w:p>
    <w:p>
      <w:pPr>
        <w:pStyle w:val="2"/>
        <w:outlineLvl w:val="9"/>
        <w:rPr>
          <w:rFonts w:hint="eastAsia" w:ascii="宋体" w:hAnsi="宋体" w:eastAsia="宋体" w:cs="宋体"/>
          <w:color w:val="auto"/>
          <w:highlight w:val="none"/>
        </w:rPr>
      </w:pPr>
    </w:p>
    <w:p>
      <w:pPr>
        <w:pStyle w:val="2"/>
        <w:outlineLvl w:val="9"/>
        <w:rPr>
          <w:rFonts w:hint="eastAsia" w:ascii="宋体" w:hAnsi="宋体" w:eastAsia="宋体" w:cs="宋体"/>
          <w:color w:val="auto"/>
          <w:sz w:val="31"/>
          <w:highlight w:val="none"/>
        </w:rPr>
      </w:pPr>
    </w:p>
    <w:p>
      <w:pPr>
        <w:pStyle w:val="2"/>
        <w:spacing w:before="1"/>
        <w:ind w:left="477"/>
        <w:outlineLvl w:val="9"/>
        <w:rPr>
          <w:rFonts w:hint="eastAsia" w:ascii="宋体" w:hAnsi="宋体" w:eastAsia="宋体" w:cs="宋体"/>
          <w:color w:val="auto"/>
          <w:highlight w:val="none"/>
        </w:rPr>
      </w:pPr>
      <w:r>
        <w:rPr>
          <w:rFonts w:hint="eastAsia" w:ascii="宋体" w:hAnsi="宋体" w:eastAsia="宋体" w:cs="宋体"/>
          <w:color w:val="auto"/>
          <w:highlight w:val="none"/>
        </w:rPr>
        <w:t>附：身份证（复印件）、职称证书（复印件）、执业资格证（如有）。</w:t>
      </w:r>
    </w:p>
    <w:p>
      <w:pPr>
        <w:outlineLvl w:val="9"/>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45"/>
        <w:ind w:firstLine="321" w:firstLineChars="100"/>
        <w:outlineLvl w:val="4"/>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lang w:eastAsia="zh-CN"/>
        </w:rPr>
        <w:t>）近年同类项目业绩</w:t>
      </w:r>
    </w:p>
    <w:p>
      <w:pPr>
        <w:pStyle w:val="36"/>
        <w:adjustRightInd w:val="0"/>
        <w:snapToGrid w:val="0"/>
        <w:spacing w:line="500" w:lineRule="exact"/>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近年同类项目业绩</w:t>
      </w:r>
    </w:p>
    <w:p>
      <w:pPr>
        <w:pStyle w:val="36"/>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附：类似项目业绩表（</w:t>
      </w:r>
      <w:r>
        <w:rPr>
          <w:rFonts w:hint="eastAsia" w:ascii="宋体" w:hAnsi="宋体" w:eastAsia="宋体" w:cs="宋体"/>
          <w:color w:val="auto"/>
          <w:sz w:val="24"/>
          <w:highlight w:val="none"/>
        </w:rPr>
        <w:t>建议按照评审标准提供相应资料</w:t>
      </w:r>
      <w:r>
        <w:rPr>
          <w:rFonts w:hint="eastAsia" w:ascii="宋体" w:hAnsi="宋体" w:eastAsia="宋体" w:cs="宋体"/>
          <w:color w:val="auto"/>
          <w:sz w:val="24"/>
          <w:szCs w:val="24"/>
          <w:highlight w:val="none"/>
        </w:rPr>
        <w:t>）</w:t>
      </w:r>
    </w:p>
    <w:p>
      <w:pPr>
        <w:pStyle w:val="36"/>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36"/>
        <w:adjustRightInd w:val="0"/>
        <w:snapToGrid w:val="0"/>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u w:val="single"/>
        </w:rPr>
        <w:t xml:space="preserve">                              </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908" w:type="dxa"/>
            <w:noWrap w:val="0"/>
            <w:vAlign w:val="center"/>
          </w:tcPr>
          <w:p>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7200" w:type="dxa"/>
            <w:noWrap w:val="0"/>
            <w:vAlign w:val="top"/>
          </w:tcPr>
          <w:p>
            <w:pPr>
              <w:pStyle w:val="36"/>
              <w:tabs>
                <w:tab w:val="left" w:pos="2265"/>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908" w:type="dxa"/>
            <w:noWrap w:val="0"/>
            <w:vAlign w:val="center"/>
          </w:tcPr>
          <w:p>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项目单位名称</w:t>
            </w:r>
          </w:p>
        </w:tc>
        <w:tc>
          <w:tcPr>
            <w:tcW w:w="7200" w:type="dxa"/>
            <w:noWrap w:val="0"/>
            <w:vAlign w:val="top"/>
          </w:tcPr>
          <w:p>
            <w:pPr>
              <w:pStyle w:val="36"/>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908" w:type="dxa"/>
            <w:noWrap w:val="0"/>
            <w:vAlign w:val="center"/>
          </w:tcPr>
          <w:p>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项目单位联系人姓名及联系方式</w:t>
            </w:r>
          </w:p>
        </w:tc>
        <w:tc>
          <w:tcPr>
            <w:tcW w:w="7200" w:type="dxa"/>
            <w:noWrap w:val="0"/>
            <w:vAlign w:val="top"/>
          </w:tcPr>
          <w:p>
            <w:pPr>
              <w:pStyle w:val="36"/>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908" w:type="dxa"/>
            <w:noWrap w:val="0"/>
            <w:vAlign w:val="center"/>
          </w:tcPr>
          <w:p>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合同金额</w:t>
            </w:r>
          </w:p>
        </w:tc>
        <w:tc>
          <w:tcPr>
            <w:tcW w:w="7200" w:type="dxa"/>
            <w:noWrap w:val="0"/>
            <w:vAlign w:val="top"/>
          </w:tcPr>
          <w:p>
            <w:pPr>
              <w:pStyle w:val="36"/>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908" w:type="dxa"/>
            <w:noWrap w:val="0"/>
            <w:vAlign w:val="center"/>
          </w:tcPr>
          <w:p>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p>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7200" w:type="dxa"/>
            <w:noWrap w:val="0"/>
            <w:vAlign w:val="top"/>
          </w:tcPr>
          <w:p>
            <w:pPr>
              <w:pStyle w:val="36"/>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908" w:type="dxa"/>
            <w:noWrap w:val="0"/>
            <w:vAlign w:val="center"/>
          </w:tcPr>
          <w:p>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项目实施时间</w:t>
            </w:r>
          </w:p>
        </w:tc>
        <w:tc>
          <w:tcPr>
            <w:tcW w:w="7200" w:type="dxa"/>
            <w:noWrap w:val="0"/>
            <w:vAlign w:val="top"/>
          </w:tcPr>
          <w:p>
            <w:pPr>
              <w:pStyle w:val="36"/>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1908" w:type="dxa"/>
            <w:noWrap w:val="0"/>
            <w:vAlign w:val="center"/>
          </w:tcPr>
          <w:p>
            <w:pPr>
              <w:pStyle w:val="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项目内容说明</w:t>
            </w:r>
          </w:p>
        </w:tc>
        <w:tc>
          <w:tcPr>
            <w:tcW w:w="7200" w:type="dxa"/>
            <w:noWrap w:val="0"/>
            <w:vAlign w:val="top"/>
          </w:tcPr>
          <w:p>
            <w:pPr>
              <w:pStyle w:val="36"/>
              <w:jc w:val="center"/>
              <w:rPr>
                <w:rFonts w:hint="eastAsia" w:ascii="宋体" w:hAnsi="宋体" w:eastAsia="宋体" w:cs="宋体"/>
                <w:color w:val="auto"/>
                <w:sz w:val="24"/>
                <w:szCs w:val="24"/>
                <w:highlight w:val="none"/>
              </w:rPr>
            </w:pPr>
          </w:p>
        </w:tc>
      </w:tr>
    </w:tbl>
    <w:p>
      <w:pPr>
        <w:pStyle w:val="36"/>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说明：1．每个合同须单独附表，并附上相关证明材料，否则专家在评审时将不予采信；</w:t>
      </w:r>
    </w:p>
    <w:p>
      <w:pPr>
        <w:pStyle w:val="36"/>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2．项目内容请简单说明所承担的具体工作内容；</w:t>
      </w:r>
    </w:p>
    <w:p>
      <w:pPr>
        <w:pStyle w:val="36"/>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法定代表人（单位负责人）或其委托代理人（签字或电子签章）：</w:t>
      </w:r>
      <w:r>
        <w:rPr>
          <w:rFonts w:hint="eastAsia" w:ascii="宋体" w:hAnsi="宋体" w:eastAsia="宋体" w:cs="宋体"/>
          <w:color w:val="auto"/>
          <w:sz w:val="24"/>
          <w:szCs w:val="24"/>
          <w:highlight w:val="none"/>
          <w:u w:val="single"/>
        </w:rPr>
        <w:t xml:space="preserve">                  </w:t>
      </w:r>
    </w:p>
    <w:p>
      <w:pPr>
        <w:pStyle w:val="36"/>
        <w:adjustRightInd w:val="0"/>
        <w:snapToGrid w:val="0"/>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供应商名称（签章）：</w:t>
      </w:r>
      <w:r>
        <w:rPr>
          <w:rFonts w:hint="eastAsia" w:ascii="宋体" w:hAnsi="宋体" w:eastAsia="宋体" w:cs="宋体"/>
          <w:color w:val="auto"/>
          <w:sz w:val="24"/>
          <w:szCs w:val="24"/>
          <w:highlight w:val="none"/>
          <w:u w:val="single"/>
        </w:rPr>
        <w:t xml:space="preserve">                       </w:t>
      </w:r>
    </w:p>
    <w:p>
      <w:pPr>
        <w:pStyle w:val="12"/>
        <w:rPr>
          <w:rFonts w:hint="eastAsia" w:ascii="宋体" w:hAnsi="宋体" w:eastAsia="宋体" w:cs="宋体"/>
          <w:color w:val="auto"/>
          <w:highlight w:val="none"/>
          <w:lang w:val="zh-CN" w:eastAsia="zh-CN"/>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日</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宋体;SimSun">
    <w:altName w:val="宋体"/>
    <w:panose1 w:val="00000000000000000000"/>
    <w:charset w:val="86"/>
    <w:family w:val="roman"/>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PAGE   \* MERGEFORMAT</w:instrText>
    </w:r>
    <w:r>
      <w:fldChar w:fldCharType="separate"/>
    </w:r>
    <w:r>
      <w:rPr>
        <w:lang w:val="zh-CN"/>
      </w:rPr>
      <w:t>2</w:t>
    </w:r>
    <w:r>
      <w:fldChar w:fldCharType="end"/>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99440" cy="1651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99440" cy="165100"/>
                      </a:xfrm>
                      <a:prstGeom prst="rect">
                        <a:avLst/>
                      </a:prstGeom>
                      <a:noFill/>
                      <a:ln w="6350">
                        <a:noFill/>
                      </a:ln>
                    </wps:spPr>
                    <wps:txbx>
                      <w:txbxContent>
                        <w:p>
                          <w:pPr>
                            <w:pStyle w:val="16"/>
                            <w:ind w:firstLine="36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3pt;width:47.2pt;mso-position-horizontal:center;mso-position-horizontal-relative:margin;z-index:251661312;mso-width-relative:page;mso-height-relative:page;" filled="f" stroked="f" coordsize="21600,21600" o:gfxdata="UEsDBAoAAAAAAIdO4kAAAAAAAAAAAAAAAAAEAAAAZHJzL1BLAwQUAAAACACHTuJAhpBpk9MAAAAD&#10;AQAADwAAAGRycy9kb3ducmV2LnhtbE2PS0/DMBCE70j8B2uRuFE7VVVBiNMDjxuvFpDg5sRLEmGv&#10;I3uTln+P4QKXlUYzmvm22hy8EzPGNATSUCwUCKQ22IE6DS/Pt2fnIBIbssYFQg1fmGBTHx9VprRh&#10;T1ucd9yJXEKpNBp65rGUMrU9epMWYUTK3keI3nCWsZM2mn0u904ulVpLbwbKC70Z8arH9nM3eQ3u&#10;LcW7RvH7fN3d89OjnF5vigetT08KdQmC8cB/YfjBz+hQZ6YmTGSTcBryI/x7s3exWoFoNCzXCmRd&#10;yf/s9TdQSwMEFAAAAAgAh07iQEZkrHwzAgAAVwQAAA4AAABkcnMvZTJvRG9jLnhtbK1UwW4TMRC9&#10;I/EPlu9kk5JUNOqmCo2CkCpaqSDOjtebXcn2GNvpbvkA+ANOvXDnu/IdvPVmU1Q49MDFmZ0Zv5n3&#10;Zpzzi9Zodqd8qMnmfDIac6aspKK225x/+rh+9YazEIUthCarcn6vAr9YvHxx3ri5OqGKdKE8A4gN&#10;88blvIrRzbMsyEoZEUbklEWwJG9ExKffZoUXDdCNzk7G49OsIV84T1KFAO+qD/IDon8OIJVlLdWK&#10;5M4oG3tUr7SIoBSq2gW+SN2WpZLxuiyDikznHExjOlEE9qY7s8W5mG+9cFUtDy2I57TwhJMRtUXR&#10;I9RKRMF2vv4LytTSU6AyjiSZrCeSFAGLyfiJNreVcCpxgdTBHUUP/w9Wfri78awucj6dcGaFwcT3&#10;P77vH37tf35j8EGgxoU58m4dMmP7llqszeAPcHa829Kb7heMGOKQ9/4or2ojk3DOzs6mU0QkQpPT&#10;2WSc5M8eLzsf4jtFhnVGzj2ml0QVd1chohGkDildLUvrWus0QW1Zk/PT17NxunCM4Ia2uNhR6Fvt&#10;rNhu2gOvDRX3oOWp34zg5LpG8SsR4o3wWAX0i8cSr3GUmlCEDhZnFfmv//J3+ZgQopw1WK2chy87&#10;4RVn+r3F7AAZB8MPxmYw7M5cErYV40A3ycQFH/Vglp7MZ7yhZVcFIWElauU8DuZl7Bccb1Cq5TIl&#10;YduciFf21skOupdvuYtU1knZTpZei4Na2Lck+OFtdAv953fKevw/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pBpk9MAAAADAQAADwAAAAAAAAABACAAAAAiAAAAZHJzL2Rvd25yZXYueG1sUEsB&#10;AhQAFAAAAAgAh07iQEZkrHwzAgAAVwQAAA4AAAAAAAAAAQAgAAAAIgEAAGRycy9lMm9Eb2MueG1s&#10;UEsFBgAAAAAGAAYAWQEAAMcFAAAAAA==&#10;">
              <v:fill on="f" focussize="0,0"/>
              <v:stroke on="f" weight="0.5pt"/>
              <v:imagedata o:title=""/>
              <o:lock v:ext="edit" aspectratio="f"/>
              <v:textbox inset="0mm,0mm,0mm,0mm">
                <w:txbxContent>
                  <w:p>
                    <w:pPr>
                      <w:pStyle w:val="16"/>
                      <w:ind w:firstLine="36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1FADE"/>
    <w:multiLevelType w:val="multilevel"/>
    <w:tmpl w:val="8461FADE"/>
    <w:lvl w:ilvl="0" w:tentative="0">
      <w:start w:val="1"/>
      <w:numFmt w:val="decimal"/>
      <w:lvlText w:val="（%1）"/>
      <w:lvlJc w:val="left"/>
      <w:pPr>
        <w:ind w:left="477" w:hanging="601"/>
        <w:jc w:val="left"/>
      </w:pPr>
      <w:rPr>
        <w:rFonts w:hint="default" w:ascii="宋体" w:hAnsi="宋体" w:eastAsia="宋体" w:cs="宋体"/>
        <w:spacing w:val="-58"/>
        <w:w w:val="100"/>
        <w:sz w:val="22"/>
        <w:szCs w:val="22"/>
        <w:lang w:val="zh-CN" w:eastAsia="zh-CN" w:bidi="zh-CN"/>
      </w:rPr>
    </w:lvl>
    <w:lvl w:ilvl="1" w:tentative="0">
      <w:start w:val="0"/>
      <w:numFmt w:val="bullet"/>
      <w:lvlText w:val="•"/>
      <w:lvlJc w:val="left"/>
      <w:pPr>
        <w:ind w:left="1408" w:hanging="601"/>
      </w:pPr>
      <w:rPr>
        <w:rFonts w:hint="default"/>
        <w:lang w:val="zh-CN" w:eastAsia="zh-CN" w:bidi="zh-CN"/>
      </w:rPr>
    </w:lvl>
    <w:lvl w:ilvl="2" w:tentative="0">
      <w:start w:val="0"/>
      <w:numFmt w:val="bullet"/>
      <w:lvlText w:val="•"/>
      <w:lvlJc w:val="left"/>
      <w:pPr>
        <w:ind w:left="2336" w:hanging="601"/>
      </w:pPr>
      <w:rPr>
        <w:rFonts w:hint="default"/>
        <w:lang w:val="zh-CN" w:eastAsia="zh-CN" w:bidi="zh-CN"/>
      </w:rPr>
    </w:lvl>
    <w:lvl w:ilvl="3" w:tentative="0">
      <w:start w:val="0"/>
      <w:numFmt w:val="bullet"/>
      <w:lvlText w:val="•"/>
      <w:lvlJc w:val="left"/>
      <w:pPr>
        <w:ind w:left="3264" w:hanging="601"/>
      </w:pPr>
      <w:rPr>
        <w:rFonts w:hint="default"/>
        <w:lang w:val="zh-CN" w:eastAsia="zh-CN" w:bidi="zh-CN"/>
      </w:rPr>
    </w:lvl>
    <w:lvl w:ilvl="4" w:tentative="0">
      <w:start w:val="0"/>
      <w:numFmt w:val="bullet"/>
      <w:lvlText w:val="•"/>
      <w:lvlJc w:val="left"/>
      <w:pPr>
        <w:ind w:left="4192" w:hanging="601"/>
      </w:pPr>
      <w:rPr>
        <w:rFonts w:hint="default"/>
        <w:lang w:val="zh-CN" w:eastAsia="zh-CN" w:bidi="zh-CN"/>
      </w:rPr>
    </w:lvl>
    <w:lvl w:ilvl="5" w:tentative="0">
      <w:start w:val="0"/>
      <w:numFmt w:val="bullet"/>
      <w:lvlText w:val="•"/>
      <w:lvlJc w:val="left"/>
      <w:pPr>
        <w:ind w:left="5120" w:hanging="601"/>
      </w:pPr>
      <w:rPr>
        <w:rFonts w:hint="default"/>
        <w:lang w:val="zh-CN" w:eastAsia="zh-CN" w:bidi="zh-CN"/>
      </w:rPr>
    </w:lvl>
    <w:lvl w:ilvl="6" w:tentative="0">
      <w:start w:val="0"/>
      <w:numFmt w:val="bullet"/>
      <w:lvlText w:val="•"/>
      <w:lvlJc w:val="left"/>
      <w:pPr>
        <w:ind w:left="6048" w:hanging="601"/>
      </w:pPr>
      <w:rPr>
        <w:rFonts w:hint="default"/>
        <w:lang w:val="zh-CN" w:eastAsia="zh-CN" w:bidi="zh-CN"/>
      </w:rPr>
    </w:lvl>
    <w:lvl w:ilvl="7" w:tentative="0">
      <w:start w:val="0"/>
      <w:numFmt w:val="bullet"/>
      <w:lvlText w:val="•"/>
      <w:lvlJc w:val="left"/>
      <w:pPr>
        <w:ind w:left="6976" w:hanging="601"/>
      </w:pPr>
      <w:rPr>
        <w:rFonts w:hint="default"/>
        <w:lang w:val="zh-CN" w:eastAsia="zh-CN" w:bidi="zh-CN"/>
      </w:rPr>
    </w:lvl>
    <w:lvl w:ilvl="8" w:tentative="0">
      <w:start w:val="0"/>
      <w:numFmt w:val="bullet"/>
      <w:lvlText w:val="•"/>
      <w:lvlJc w:val="left"/>
      <w:pPr>
        <w:ind w:left="7904" w:hanging="601"/>
      </w:pPr>
      <w:rPr>
        <w:rFonts w:hint="default"/>
        <w:lang w:val="zh-CN" w:eastAsia="zh-CN" w:bidi="zh-CN"/>
      </w:rPr>
    </w:lvl>
  </w:abstractNum>
  <w:abstractNum w:abstractNumId="1">
    <w:nsid w:val="9288B902"/>
    <w:multiLevelType w:val="multilevel"/>
    <w:tmpl w:val="9288B902"/>
    <w:lvl w:ilvl="0" w:tentative="0">
      <w:start w:val="1"/>
      <w:numFmt w:val="decimal"/>
      <w:lvlText w:val="（%1）"/>
      <w:lvlJc w:val="left"/>
      <w:pPr>
        <w:ind w:left="155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0" w:hanging="601"/>
      </w:pPr>
      <w:rPr>
        <w:rFonts w:hint="default"/>
        <w:lang w:val="zh-CN" w:eastAsia="zh-CN" w:bidi="zh-CN"/>
      </w:rPr>
    </w:lvl>
    <w:lvl w:ilvl="2" w:tentative="0">
      <w:start w:val="0"/>
      <w:numFmt w:val="bullet"/>
      <w:lvlText w:val="•"/>
      <w:lvlJc w:val="left"/>
      <w:pPr>
        <w:ind w:left="3200" w:hanging="601"/>
      </w:pPr>
      <w:rPr>
        <w:rFonts w:hint="default"/>
        <w:lang w:val="zh-CN" w:eastAsia="zh-CN" w:bidi="zh-CN"/>
      </w:rPr>
    </w:lvl>
    <w:lvl w:ilvl="3" w:tentative="0">
      <w:start w:val="0"/>
      <w:numFmt w:val="bullet"/>
      <w:lvlText w:val="•"/>
      <w:lvlJc w:val="left"/>
      <w:pPr>
        <w:ind w:left="4020" w:hanging="601"/>
      </w:pPr>
      <w:rPr>
        <w:rFonts w:hint="default"/>
        <w:lang w:val="zh-CN" w:eastAsia="zh-CN" w:bidi="zh-CN"/>
      </w:rPr>
    </w:lvl>
    <w:lvl w:ilvl="4" w:tentative="0">
      <w:start w:val="0"/>
      <w:numFmt w:val="bullet"/>
      <w:lvlText w:val="•"/>
      <w:lvlJc w:val="left"/>
      <w:pPr>
        <w:ind w:left="4840" w:hanging="601"/>
      </w:pPr>
      <w:rPr>
        <w:rFonts w:hint="default"/>
        <w:lang w:val="zh-CN" w:eastAsia="zh-CN" w:bidi="zh-CN"/>
      </w:rPr>
    </w:lvl>
    <w:lvl w:ilvl="5" w:tentative="0">
      <w:start w:val="0"/>
      <w:numFmt w:val="bullet"/>
      <w:lvlText w:val="•"/>
      <w:lvlJc w:val="left"/>
      <w:pPr>
        <w:ind w:left="5660"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300" w:hanging="601"/>
      </w:pPr>
      <w:rPr>
        <w:rFonts w:hint="default"/>
        <w:lang w:val="zh-CN" w:eastAsia="zh-CN" w:bidi="zh-CN"/>
      </w:rPr>
    </w:lvl>
    <w:lvl w:ilvl="8" w:tentative="0">
      <w:start w:val="0"/>
      <w:numFmt w:val="bullet"/>
      <w:lvlText w:val="•"/>
      <w:lvlJc w:val="left"/>
      <w:pPr>
        <w:ind w:left="8120" w:hanging="601"/>
      </w:pPr>
      <w:rPr>
        <w:rFonts w:hint="default"/>
        <w:lang w:val="zh-CN" w:eastAsia="zh-CN" w:bidi="zh-CN"/>
      </w:rPr>
    </w:lvl>
  </w:abstractNum>
  <w:abstractNum w:abstractNumId="2">
    <w:nsid w:val="9C11E984"/>
    <w:multiLevelType w:val="multilevel"/>
    <w:tmpl w:val="9C11E984"/>
    <w:lvl w:ilvl="0" w:tentative="0">
      <w:start w:val="1"/>
      <w:numFmt w:val="decimal"/>
      <w:lvlText w:val="（%1）"/>
      <w:lvlJc w:val="left"/>
      <w:pPr>
        <w:ind w:left="155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0" w:hanging="601"/>
      </w:pPr>
      <w:rPr>
        <w:rFonts w:hint="default"/>
        <w:lang w:val="zh-CN" w:eastAsia="zh-CN" w:bidi="zh-CN"/>
      </w:rPr>
    </w:lvl>
    <w:lvl w:ilvl="2" w:tentative="0">
      <w:start w:val="0"/>
      <w:numFmt w:val="bullet"/>
      <w:lvlText w:val="•"/>
      <w:lvlJc w:val="left"/>
      <w:pPr>
        <w:ind w:left="3200" w:hanging="601"/>
      </w:pPr>
      <w:rPr>
        <w:rFonts w:hint="default"/>
        <w:lang w:val="zh-CN" w:eastAsia="zh-CN" w:bidi="zh-CN"/>
      </w:rPr>
    </w:lvl>
    <w:lvl w:ilvl="3" w:tentative="0">
      <w:start w:val="0"/>
      <w:numFmt w:val="bullet"/>
      <w:lvlText w:val="•"/>
      <w:lvlJc w:val="left"/>
      <w:pPr>
        <w:ind w:left="4020" w:hanging="601"/>
      </w:pPr>
      <w:rPr>
        <w:rFonts w:hint="default"/>
        <w:lang w:val="zh-CN" w:eastAsia="zh-CN" w:bidi="zh-CN"/>
      </w:rPr>
    </w:lvl>
    <w:lvl w:ilvl="4" w:tentative="0">
      <w:start w:val="0"/>
      <w:numFmt w:val="bullet"/>
      <w:lvlText w:val="•"/>
      <w:lvlJc w:val="left"/>
      <w:pPr>
        <w:ind w:left="4840" w:hanging="601"/>
      </w:pPr>
      <w:rPr>
        <w:rFonts w:hint="default"/>
        <w:lang w:val="zh-CN" w:eastAsia="zh-CN" w:bidi="zh-CN"/>
      </w:rPr>
    </w:lvl>
    <w:lvl w:ilvl="5" w:tentative="0">
      <w:start w:val="0"/>
      <w:numFmt w:val="bullet"/>
      <w:lvlText w:val="•"/>
      <w:lvlJc w:val="left"/>
      <w:pPr>
        <w:ind w:left="5660"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300" w:hanging="601"/>
      </w:pPr>
      <w:rPr>
        <w:rFonts w:hint="default"/>
        <w:lang w:val="zh-CN" w:eastAsia="zh-CN" w:bidi="zh-CN"/>
      </w:rPr>
    </w:lvl>
    <w:lvl w:ilvl="8" w:tentative="0">
      <w:start w:val="0"/>
      <w:numFmt w:val="bullet"/>
      <w:lvlText w:val="•"/>
      <w:lvlJc w:val="left"/>
      <w:pPr>
        <w:ind w:left="8120" w:hanging="601"/>
      </w:pPr>
      <w:rPr>
        <w:rFonts w:hint="default"/>
        <w:lang w:val="zh-CN" w:eastAsia="zh-CN" w:bidi="zh-CN"/>
      </w:rPr>
    </w:lvl>
  </w:abstractNum>
  <w:abstractNum w:abstractNumId="3">
    <w:nsid w:val="9C8AC8EF"/>
    <w:multiLevelType w:val="multilevel"/>
    <w:tmpl w:val="9C8AC8EF"/>
    <w:lvl w:ilvl="0" w:tentative="0">
      <w:start w:val="1"/>
      <w:numFmt w:val="decimal"/>
      <w:lvlText w:val="（%1）"/>
      <w:lvlJc w:val="left"/>
      <w:pPr>
        <w:ind w:left="155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0" w:hanging="601"/>
      </w:pPr>
      <w:rPr>
        <w:rFonts w:hint="default"/>
        <w:lang w:val="zh-CN" w:eastAsia="zh-CN" w:bidi="zh-CN"/>
      </w:rPr>
    </w:lvl>
    <w:lvl w:ilvl="2" w:tentative="0">
      <w:start w:val="0"/>
      <w:numFmt w:val="bullet"/>
      <w:lvlText w:val="•"/>
      <w:lvlJc w:val="left"/>
      <w:pPr>
        <w:ind w:left="3200" w:hanging="601"/>
      </w:pPr>
      <w:rPr>
        <w:rFonts w:hint="default"/>
        <w:lang w:val="zh-CN" w:eastAsia="zh-CN" w:bidi="zh-CN"/>
      </w:rPr>
    </w:lvl>
    <w:lvl w:ilvl="3" w:tentative="0">
      <w:start w:val="0"/>
      <w:numFmt w:val="bullet"/>
      <w:lvlText w:val="•"/>
      <w:lvlJc w:val="left"/>
      <w:pPr>
        <w:ind w:left="4020" w:hanging="601"/>
      </w:pPr>
      <w:rPr>
        <w:rFonts w:hint="default"/>
        <w:lang w:val="zh-CN" w:eastAsia="zh-CN" w:bidi="zh-CN"/>
      </w:rPr>
    </w:lvl>
    <w:lvl w:ilvl="4" w:tentative="0">
      <w:start w:val="0"/>
      <w:numFmt w:val="bullet"/>
      <w:lvlText w:val="•"/>
      <w:lvlJc w:val="left"/>
      <w:pPr>
        <w:ind w:left="4840" w:hanging="601"/>
      </w:pPr>
      <w:rPr>
        <w:rFonts w:hint="default"/>
        <w:lang w:val="zh-CN" w:eastAsia="zh-CN" w:bidi="zh-CN"/>
      </w:rPr>
    </w:lvl>
    <w:lvl w:ilvl="5" w:tentative="0">
      <w:start w:val="0"/>
      <w:numFmt w:val="bullet"/>
      <w:lvlText w:val="•"/>
      <w:lvlJc w:val="left"/>
      <w:pPr>
        <w:ind w:left="5660"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300" w:hanging="601"/>
      </w:pPr>
      <w:rPr>
        <w:rFonts w:hint="default"/>
        <w:lang w:val="zh-CN" w:eastAsia="zh-CN" w:bidi="zh-CN"/>
      </w:rPr>
    </w:lvl>
    <w:lvl w:ilvl="8" w:tentative="0">
      <w:start w:val="0"/>
      <w:numFmt w:val="bullet"/>
      <w:lvlText w:val="•"/>
      <w:lvlJc w:val="left"/>
      <w:pPr>
        <w:ind w:left="8120" w:hanging="601"/>
      </w:pPr>
      <w:rPr>
        <w:rFonts w:hint="default"/>
        <w:lang w:val="zh-CN" w:eastAsia="zh-CN" w:bidi="zh-CN"/>
      </w:rPr>
    </w:lvl>
  </w:abstractNum>
  <w:abstractNum w:abstractNumId="4">
    <w:nsid w:val="B0F1ACD9"/>
    <w:multiLevelType w:val="multilevel"/>
    <w:tmpl w:val="B0F1ACD9"/>
    <w:lvl w:ilvl="0" w:tentative="0">
      <w:start w:val="1"/>
      <w:numFmt w:val="decimal"/>
      <w:lvlText w:val="（%1）"/>
      <w:lvlJc w:val="left"/>
      <w:pPr>
        <w:ind w:left="155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0" w:hanging="601"/>
      </w:pPr>
      <w:rPr>
        <w:rFonts w:hint="default"/>
        <w:lang w:val="zh-CN" w:eastAsia="zh-CN" w:bidi="zh-CN"/>
      </w:rPr>
    </w:lvl>
    <w:lvl w:ilvl="2" w:tentative="0">
      <w:start w:val="0"/>
      <w:numFmt w:val="bullet"/>
      <w:lvlText w:val="•"/>
      <w:lvlJc w:val="left"/>
      <w:pPr>
        <w:ind w:left="3200" w:hanging="601"/>
      </w:pPr>
      <w:rPr>
        <w:rFonts w:hint="default"/>
        <w:lang w:val="zh-CN" w:eastAsia="zh-CN" w:bidi="zh-CN"/>
      </w:rPr>
    </w:lvl>
    <w:lvl w:ilvl="3" w:tentative="0">
      <w:start w:val="0"/>
      <w:numFmt w:val="bullet"/>
      <w:lvlText w:val="•"/>
      <w:lvlJc w:val="left"/>
      <w:pPr>
        <w:ind w:left="4020" w:hanging="601"/>
      </w:pPr>
      <w:rPr>
        <w:rFonts w:hint="default"/>
        <w:lang w:val="zh-CN" w:eastAsia="zh-CN" w:bidi="zh-CN"/>
      </w:rPr>
    </w:lvl>
    <w:lvl w:ilvl="4" w:tentative="0">
      <w:start w:val="0"/>
      <w:numFmt w:val="bullet"/>
      <w:lvlText w:val="•"/>
      <w:lvlJc w:val="left"/>
      <w:pPr>
        <w:ind w:left="4840" w:hanging="601"/>
      </w:pPr>
      <w:rPr>
        <w:rFonts w:hint="default"/>
        <w:lang w:val="zh-CN" w:eastAsia="zh-CN" w:bidi="zh-CN"/>
      </w:rPr>
    </w:lvl>
    <w:lvl w:ilvl="5" w:tentative="0">
      <w:start w:val="0"/>
      <w:numFmt w:val="bullet"/>
      <w:lvlText w:val="•"/>
      <w:lvlJc w:val="left"/>
      <w:pPr>
        <w:ind w:left="5660"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300" w:hanging="601"/>
      </w:pPr>
      <w:rPr>
        <w:rFonts w:hint="default"/>
        <w:lang w:val="zh-CN" w:eastAsia="zh-CN" w:bidi="zh-CN"/>
      </w:rPr>
    </w:lvl>
    <w:lvl w:ilvl="8" w:tentative="0">
      <w:start w:val="0"/>
      <w:numFmt w:val="bullet"/>
      <w:lvlText w:val="•"/>
      <w:lvlJc w:val="left"/>
      <w:pPr>
        <w:ind w:left="8120" w:hanging="601"/>
      </w:pPr>
      <w:rPr>
        <w:rFonts w:hint="default"/>
        <w:lang w:val="zh-CN" w:eastAsia="zh-CN" w:bidi="zh-CN"/>
      </w:rPr>
    </w:lvl>
  </w:abstractNum>
  <w:abstractNum w:abstractNumId="5">
    <w:nsid w:val="B1840793"/>
    <w:multiLevelType w:val="singleLevel"/>
    <w:tmpl w:val="B1840793"/>
    <w:lvl w:ilvl="0" w:tentative="0">
      <w:start w:val="1"/>
      <w:numFmt w:val="decimal"/>
      <w:suff w:val="nothing"/>
      <w:lvlText w:val="%1、"/>
      <w:lvlJc w:val="left"/>
    </w:lvl>
  </w:abstractNum>
  <w:abstractNum w:abstractNumId="6">
    <w:nsid w:val="D10333A3"/>
    <w:multiLevelType w:val="singleLevel"/>
    <w:tmpl w:val="D10333A3"/>
    <w:lvl w:ilvl="0" w:tentative="0">
      <w:start w:val="1"/>
      <w:numFmt w:val="decimal"/>
      <w:lvlText w:val="%1."/>
      <w:lvlJc w:val="left"/>
      <w:pPr>
        <w:tabs>
          <w:tab w:val="left" w:pos="312"/>
        </w:tabs>
      </w:pPr>
    </w:lvl>
  </w:abstractNum>
  <w:abstractNum w:abstractNumId="7">
    <w:nsid w:val="D7F9FE59"/>
    <w:multiLevelType w:val="multilevel"/>
    <w:tmpl w:val="D7F9FE59"/>
    <w:lvl w:ilvl="0" w:tentative="0">
      <w:start w:val="1"/>
      <w:numFmt w:val="decimal"/>
      <w:lvlText w:val="（%1）"/>
      <w:lvlJc w:val="left"/>
      <w:pPr>
        <w:ind w:left="155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0" w:hanging="601"/>
      </w:pPr>
      <w:rPr>
        <w:rFonts w:hint="default"/>
        <w:lang w:val="zh-CN" w:eastAsia="zh-CN" w:bidi="zh-CN"/>
      </w:rPr>
    </w:lvl>
    <w:lvl w:ilvl="2" w:tentative="0">
      <w:start w:val="0"/>
      <w:numFmt w:val="bullet"/>
      <w:lvlText w:val="•"/>
      <w:lvlJc w:val="left"/>
      <w:pPr>
        <w:ind w:left="3200" w:hanging="601"/>
      </w:pPr>
      <w:rPr>
        <w:rFonts w:hint="default"/>
        <w:lang w:val="zh-CN" w:eastAsia="zh-CN" w:bidi="zh-CN"/>
      </w:rPr>
    </w:lvl>
    <w:lvl w:ilvl="3" w:tentative="0">
      <w:start w:val="0"/>
      <w:numFmt w:val="bullet"/>
      <w:lvlText w:val="•"/>
      <w:lvlJc w:val="left"/>
      <w:pPr>
        <w:ind w:left="4020" w:hanging="601"/>
      </w:pPr>
      <w:rPr>
        <w:rFonts w:hint="default"/>
        <w:lang w:val="zh-CN" w:eastAsia="zh-CN" w:bidi="zh-CN"/>
      </w:rPr>
    </w:lvl>
    <w:lvl w:ilvl="4" w:tentative="0">
      <w:start w:val="0"/>
      <w:numFmt w:val="bullet"/>
      <w:lvlText w:val="•"/>
      <w:lvlJc w:val="left"/>
      <w:pPr>
        <w:ind w:left="4840" w:hanging="601"/>
      </w:pPr>
      <w:rPr>
        <w:rFonts w:hint="default"/>
        <w:lang w:val="zh-CN" w:eastAsia="zh-CN" w:bidi="zh-CN"/>
      </w:rPr>
    </w:lvl>
    <w:lvl w:ilvl="5" w:tentative="0">
      <w:start w:val="0"/>
      <w:numFmt w:val="bullet"/>
      <w:lvlText w:val="•"/>
      <w:lvlJc w:val="left"/>
      <w:pPr>
        <w:ind w:left="5660"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300" w:hanging="601"/>
      </w:pPr>
      <w:rPr>
        <w:rFonts w:hint="default"/>
        <w:lang w:val="zh-CN" w:eastAsia="zh-CN" w:bidi="zh-CN"/>
      </w:rPr>
    </w:lvl>
    <w:lvl w:ilvl="8" w:tentative="0">
      <w:start w:val="0"/>
      <w:numFmt w:val="bullet"/>
      <w:lvlText w:val="•"/>
      <w:lvlJc w:val="left"/>
      <w:pPr>
        <w:ind w:left="8120" w:hanging="601"/>
      </w:pPr>
      <w:rPr>
        <w:rFonts w:hint="default"/>
        <w:lang w:val="zh-CN" w:eastAsia="zh-CN" w:bidi="zh-CN"/>
      </w:rPr>
    </w:lvl>
  </w:abstractNum>
  <w:abstractNum w:abstractNumId="8">
    <w:nsid w:val="DCBA6B53"/>
    <w:multiLevelType w:val="multilevel"/>
    <w:tmpl w:val="DCBA6B53"/>
    <w:lvl w:ilvl="0" w:tentative="0">
      <w:start w:val="1"/>
      <w:numFmt w:val="decimal"/>
      <w:lvlText w:val="%1"/>
      <w:lvlJc w:val="left"/>
      <w:pPr>
        <w:ind w:left="1677" w:hanging="720"/>
        <w:jc w:val="left"/>
      </w:pPr>
      <w:rPr>
        <w:rFonts w:hint="default"/>
        <w:lang w:val="zh-CN" w:eastAsia="zh-CN" w:bidi="zh-CN"/>
      </w:rPr>
    </w:lvl>
    <w:lvl w:ilvl="1" w:tentative="0">
      <w:start w:val="4"/>
      <w:numFmt w:val="decimal"/>
      <w:lvlText w:val="%1.%2"/>
      <w:lvlJc w:val="left"/>
      <w:pPr>
        <w:ind w:left="1677" w:hanging="720"/>
        <w:jc w:val="left"/>
      </w:pPr>
      <w:rPr>
        <w:rFonts w:hint="default"/>
        <w:lang w:val="zh-CN" w:eastAsia="zh-CN" w:bidi="zh-CN"/>
      </w:rPr>
    </w:lvl>
    <w:lvl w:ilvl="2" w:tentative="0">
      <w:start w:val="3"/>
      <w:numFmt w:val="decimal"/>
      <w:lvlText w:val="%1.%2.%3"/>
      <w:lvlJc w:val="left"/>
      <w:pPr>
        <w:ind w:left="1677" w:hanging="72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4104" w:hanging="720"/>
      </w:pPr>
      <w:rPr>
        <w:rFonts w:hint="default"/>
        <w:lang w:val="zh-CN" w:eastAsia="zh-CN" w:bidi="zh-CN"/>
      </w:rPr>
    </w:lvl>
    <w:lvl w:ilvl="4" w:tentative="0">
      <w:start w:val="0"/>
      <w:numFmt w:val="bullet"/>
      <w:lvlText w:val="•"/>
      <w:lvlJc w:val="left"/>
      <w:pPr>
        <w:ind w:left="4912" w:hanging="720"/>
      </w:pPr>
      <w:rPr>
        <w:rFonts w:hint="default"/>
        <w:lang w:val="zh-CN" w:eastAsia="zh-CN" w:bidi="zh-CN"/>
      </w:rPr>
    </w:lvl>
    <w:lvl w:ilvl="5" w:tentative="0">
      <w:start w:val="0"/>
      <w:numFmt w:val="bullet"/>
      <w:lvlText w:val="•"/>
      <w:lvlJc w:val="left"/>
      <w:pPr>
        <w:ind w:left="5720" w:hanging="720"/>
      </w:pPr>
      <w:rPr>
        <w:rFonts w:hint="default"/>
        <w:lang w:val="zh-CN" w:eastAsia="zh-CN" w:bidi="zh-CN"/>
      </w:rPr>
    </w:lvl>
    <w:lvl w:ilvl="6" w:tentative="0">
      <w:start w:val="0"/>
      <w:numFmt w:val="bullet"/>
      <w:lvlText w:val="•"/>
      <w:lvlJc w:val="left"/>
      <w:pPr>
        <w:ind w:left="6528" w:hanging="720"/>
      </w:pPr>
      <w:rPr>
        <w:rFonts w:hint="default"/>
        <w:lang w:val="zh-CN" w:eastAsia="zh-CN" w:bidi="zh-CN"/>
      </w:rPr>
    </w:lvl>
    <w:lvl w:ilvl="7" w:tentative="0">
      <w:start w:val="0"/>
      <w:numFmt w:val="bullet"/>
      <w:lvlText w:val="•"/>
      <w:lvlJc w:val="left"/>
      <w:pPr>
        <w:ind w:left="7336" w:hanging="720"/>
      </w:pPr>
      <w:rPr>
        <w:rFonts w:hint="default"/>
        <w:lang w:val="zh-CN" w:eastAsia="zh-CN" w:bidi="zh-CN"/>
      </w:rPr>
    </w:lvl>
    <w:lvl w:ilvl="8" w:tentative="0">
      <w:start w:val="0"/>
      <w:numFmt w:val="bullet"/>
      <w:lvlText w:val="•"/>
      <w:lvlJc w:val="left"/>
      <w:pPr>
        <w:ind w:left="8144" w:hanging="720"/>
      </w:pPr>
      <w:rPr>
        <w:rFonts w:hint="default"/>
        <w:lang w:val="zh-CN" w:eastAsia="zh-CN" w:bidi="zh-CN"/>
      </w:rPr>
    </w:lvl>
  </w:abstractNum>
  <w:abstractNum w:abstractNumId="9">
    <w:nsid w:val="E0294EC7"/>
    <w:multiLevelType w:val="multilevel"/>
    <w:tmpl w:val="E0294EC7"/>
    <w:lvl w:ilvl="0" w:tentative="0">
      <w:start w:val="1"/>
      <w:numFmt w:val="decimal"/>
      <w:lvlText w:val="（%1）"/>
      <w:lvlJc w:val="left"/>
      <w:pPr>
        <w:ind w:left="155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0" w:hanging="601"/>
      </w:pPr>
      <w:rPr>
        <w:rFonts w:hint="default"/>
        <w:lang w:val="zh-CN" w:eastAsia="zh-CN" w:bidi="zh-CN"/>
      </w:rPr>
    </w:lvl>
    <w:lvl w:ilvl="2" w:tentative="0">
      <w:start w:val="0"/>
      <w:numFmt w:val="bullet"/>
      <w:lvlText w:val="•"/>
      <w:lvlJc w:val="left"/>
      <w:pPr>
        <w:ind w:left="3200" w:hanging="601"/>
      </w:pPr>
      <w:rPr>
        <w:rFonts w:hint="default"/>
        <w:lang w:val="zh-CN" w:eastAsia="zh-CN" w:bidi="zh-CN"/>
      </w:rPr>
    </w:lvl>
    <w:lvl w:ilvl="3" w:tentative="0">
      <w:start w:val="0"/>
      <w:numFmt w:val="bullet"/>
      <w:lvlText w:val="•"/>
      <w:lvlJc w:val="left"/>
      <w:pPr>
        <w:ind w:left="4020" w:hanging="601"/>
      </w:pPr>
      <w:rPr>
        <w:rFonts w:hint="default"/>
        <w:lang w:val="zh-CN" w:eastAsia="zh-CN" w:bidi="zh-CN"/>
      </w:rPr>
    </w:lvl>
    <w:lvl w:ilvl="4" w:tentative="0">
      <w:start w:val="0"/>
      <w:numFmt w:val="bullet"/>
      <w:lvlText w:val="•"/>
      <w:lvlJc w:val="left"/>
      <w:pPr>
        <w:ind w:left="4840" w:hanging="601"/>
      </w:pPr>
      <w:rPr>
        <w:rFonts w:hint="default"/>
        <w:lang w:val="zh-CN" w:eastAsia="zh-CN" w:bidi="zh-CN"/>
      </w:rPr>
    </w:lvl>
    <w:lvl w:ilvl="5" w:tentative="0">
      <w:start w:val="0"/>
      <w:numFmt w:val="bullet"/>
      <w:lvlText w:val="•"/>
      <w:lvlJc w:val="left"/>
      <w:pPr>
        <w:ind w:left="5660"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300" w:hanging="601"/>
      </w:pPr>
      <w:rPr>
        <w:rFonts w:hint="default"/>
        <w:lang w:val="zh-CN" w:eastAsia="zh-CN" w:bidi="zh-CN"/>
      </w:rPr>
    </w:lvl>
    <w:lvl w:ilvl="8" w:tentative="0">
      <w:start w:val="0"/>
      <w:numFmt w:val="bullet"/>
      <w:lvlText w:val="•"/>
      <w:lvlJc w:val="left"/>
      <w:pPr>
        <w:ind w:left="8120" w:hanging="601"/>
      </w:pPr>
      <w:rPr>
        <w:rFonts w:hint="default"/>
        <w:lang w:val="zh-CN" w:eastAsia="zh-CN" w:bidi="zh-CN"/>
      </w:rPr>
    </w:lvl>
  </w:abstractNum>
  <w:abstractNum w:abstractNumId="10">
    <w:nsid w:val="F4B5D9F5"/>
    <w:multiLevelType w:val="multilevel"/>
    <w:tmpl w:val="F4B5D9F5"/>
    <w:lvl w:ilvl="0" w:tentative="0">
      <w:start w:val="1"/>
      <w:numFmt w:val="decimal"/>
      <w:lvlText w:val="（%1）"/>
      <w:lvlJc w:val="left"/>
      <w:pPr>
        <w:ind w:left="155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0" w:hanging="601"/>
      </w:pPr>
      <w:rPr>
        <w:rFonts w:hint="default"/>
        <w:lang w:val="zh-CN" w:eastAsia="zh-CN" w:bidi="zh-CN"/>
      </w:rPr>
    </w:lvl>
    <w:lvl w:ilvl="2" w:tentative="0">
      <w:start w:val="0"/>
      <w:numFmt w:val="bullet"/>
      <w:lvlText w:val="•"/>
      <w:lvlJc w:val="left"/>
      <w:pPr>
        <w:ind w:left="3200" w:hanging="601"/>
      </w:pPr>
      <w:rPr>
        <w:rFonts w:hint="default"/>
        <w:lang w:val="zh-CN" w:eastAsia="zh-CN" w:bidi="zh-CN"/>
      </w:rPr>
    </w:lvl>
    <w:lvl w:ilvl="3" w:tentative="0">
      <w:start w:val="0"/>
      <w:numFmt w:val="bullet"/>
      <w:lvlText w:val="•"/>
      <w:lvlJc w:val="left"/>
      <w:pPr>
        <w:ind w:left="4020" w:hanging="601"/>
      </w:pPr>
      <w:rPr>
        <w:rFonts w:hint="default"/>
        <w:lang w:val="zh-CN" w:eastAsia="zh-CN" w:bidi="zh-CN"/>
      </w:rPr>
    </w:lvl>
    <w:lvl w:ilvl="4" w:tentative="0">
      <w:start w:val="0"/>
      <w:numFmt w:val="bullet"/>
      <w:lvlText w:val="•"/>
      <w:lvlJc w:val="left"/>
      <w:pPr>
        <w:ind w:left="4840" w:hanging="601"/>
      </w:pPr>
      <w:rPr>
        <w:rFonts w:hint="default"/>
        <w:lang w:val="zh-CN" w:eastAsia="zh-CN" w:bidi="zh-CN"/>
      </w:rPr>
    </w:lvl>
    <w:lvl w:ilvl="5" w:tentative="0">
      <w:start w:val="0"/>
      <w:numFmt w:val="bullet"/>
      <w:lvlText w:val="•"/>
      <w:lvlJc w:val="left"/>
      <w:pPr>
        <w:ind w:left="5660"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300" w:hanging="601"/>
      </w:pPr>
      <w:rPr>
        <w:rFonts w:hint="default"/>
        <w:lang w:val="zh-CN" w:eastAsia="zh-CN" w:bidi="zh-CN"/>
      </w:rPr>
    </w:lvl>
    <w:lvl w:ilvl="8" w:tentative="0">
      <w:start w:val="0"/>
      <w:numFmt w:val="bullet"/>
      <w:lvlText w:val="•"/>
      <w:lvlJc w:val="left"/>
      <w:pPr>
        <w:ind w:left="8120" w:hanging="601"/>
      </w:pPr>
      <w:rPr>
        <w:rFonts w:hint="default"/>
        <w:lang w:val="zh-CN" w:eastAsia="zh-CN" w:bidi="zh-CN"/>
      </w:rPr>
    </w:lvl>
  </w:abstractNum>
  <w:abstractNum w:abstractNumId="11">
    <w:nsid w:val="01E60860"/>
    <w:multiLevelType w:val="multilevel"/>
    <w:tmpl w:val="01E60860"/>
    <w:lvl w:ilvl="0" w:tentative="0">
      <w:start w:val="1"/>
      <w:numFmt w:val="bullet"/>
      <w:lvlText w:val=""/>
      <w:lvlJc w:val="left"/>
      <w:pPr>
        <w:ind w:left="1400" w:hanging="420"/>
      </w:pPr>
      <w:rPr>
        <w:rFonts w:hint="default" w:ascii="Wingdings" w:hAnsi="Wingdings"/>
      </w:rPr>
    </w:lvl>
    <w:lvl w:ilvl="1" w:tentative="0">
      <w:start w:val="1"/>
      <w:numFmt w:val="bullet"/>
      <w:lvlText w:val=""/>
      <w:lvlJc w:val="left"/>
      <w:pPr>
        <w:ind w:left="1820" w:hanging="420"/>
      </w:pPr>
      <w:rPr>
        <w:rFonts w:hint="default" w:ascii="Wingdings" w:hAnsi="Wingdings"/>
      </w:rPr>
    </w:lvl>
    <w:lvl w:ilvl="2" w:tentative="0">
      <w:start w:val="1"/>
      <w:numFmt w:val="bullet"/>
      <w:lvlText w:val=""/>
      <w:lvlJc w:val="left"/>
      <w:pPr>
        <w:ind w:left="2240" w:hanging="420"/>
      </w:pPr>
      <w:rPr>
        <w:rFonts w:hint="default" w:ascii="Wingdings" w:hAnsi="Wingdings"/>
      </w:rPr>
    </w:lvl>
    <w:lvl w:ilvl="3" w:tentative="0">
      <w:start w:val="1"/>
      <w:numFmt w:val="bullet"/>
      <w:lvlText w:val=""/>
      <w:lvlJc w:val="left"/>
      <w:pPr>
        <w:ind w:left="2660" w:hanging="420"/>
      </w:pPr>
      <w:rPr>
        <w:rFonts w:hint="default" w:ascii="Wingdings" w:hAnsi="Wingdings"/>
      </w:rPr>
    </w:lvl>
    <w:lvl w:ilvl="4" w:tentative="0">
      <w:start w:val="1"/>
      <w:numFmt w:val="bullet"/>
      <w:lvlText w:val=""/>
      <w:lvlJc w:val="left"/>
      <w:pPr>
        <w:ind w:left="3080" w:hanging="420"/>
      </w:pPr>
      <w:rPr>
        <w:rFonts w:hint="default" w:ascii="Wingdings" w:hAnsi="Wingdings"/>
      </w:rPr>
    </w:lvl>
    <w:lvl w:ilvl="5" w:tentative="0">
      <w:start w:val="1"/>
      <w:numFmt w:val="bullet"/>
      <w:lvlText w:val=""/>
      <w:lvlJc w:val="left"/>
      <w:pPr>
        <w:ind w:left="3500" w:hanging="420"/>
      </w:pPr>
      <w:rPr>
        <w:rFonts w:hint="default" w:ascii="Wingdings" w:hAnsi="Wingdings"/>
      </w:rPr>
    </w:lvl>
    <w:lvl w:ilvl="6" w:tentative="0">
      <w:start w:val="1"/>
      <w:numFmt w:val="bullet"/>
      <w:lvlText w:val=""/>
      <w:lvlJc w:val="left"/>
      <w:pPr>
        <w:ind w:left="3920" w:hanging="420"/>
      </w:pPr>
      <w:rPr>
        <w:rFonts w:hint="default" w:ascii="Wingdings" w:hAnsi="Wingdings"/>
      </w:rPr>
    </w:lvl>
    <w:lvl w:ilvl="7" w:tentative="0">
      <w:start w:val="1"/>
      <w:numFmt w:val="bullet"/>
      <w:lvlText w:val=""/>
      <w:lvlJc w:val="left"/>
      <w:pPr>
        <w:ind w:left="4340" w:hanging="420"/>
      </w:pPr>
      <w:rPr>
        <w:rFonts w:hint="default" w:ascii="Wingdings" w:hAnsi="Wingdings"/>
      </w:rPr>
    </w:lvl>
    <w:lvl w:ilvl="8" w:tentative="0">
      <w:start w:val="1"/>
      <w:numFmt w:val="bullet"/>
      <w:lvlText w:val=""/>
      <w:lvlJc w:val="left"/>
      <w:pPr>
        <w:ind w:left="4760" w:hanging="420"/>
      </w:pPr>
      <w:rPr>
        <w:rFonts w:hint="default" w:ascii="Wingdings" w:hAnsi="Wingdings"/>
      </w:rPr>
    </w:lvl>
  </w:abstractNum>
  <w:abstractNum w:abstractNumId="12">
    <w:nsid w:val="0E640482"/>
    <w:multiLevelType w:val="multilevel"/>
    <w:tmpl w:val="0E640482"/>
    <w:lvl w:ilvl="0" w:tentative="0">
      <w:start w:val="1"/>
      <w:numFmt w:val="decimal"/>
      <w:lvlText w:val="（%1）"/>
      <w:lvlJc w:val="left"/>
      <w:pPr>
        <w:ind w:left="620" w:hanging="601"/>
        <w:jc w:val="left"/>
      </w:pPr>
      <w:rPr>
        <w:rFonts w:hint="default" w:ascii="宋体" w:hAnsi="宋体" w:eastAsia="宋体" w:cs="宋体"/>
        <w:spacing w:val="-39"/>
        <w:w w:val="100"/>
        <w:sz w:val="22"/>
        <w:szCs w:val="22"/>
        <w:lang w:val="zh-CN" w:eastAsia="zh-CN" w:bidi="zh-CN"/>
      </w:rPr>
    </w:lvl>
    <w:lvl w:ilvl="1" w:tentative="0">
      <w:start w:val="0"/>
      <w:numFmt w:val="bullet"/>
      <w:lvlText w:val="•"/>
      <w:lvlJc w:val="left"/>
      <w:pPr>
        <w:ind w:left="1408" w:hanging="601"/>
      </w:pPr>
      <w:rPr>
        <w:rFonts w:hint="default"/>
        <w:lang w:val="zh-CN" w:eastAsia="zh-CN" w:bidi="zh-CN"/>
      </w:rPr>
    </w:lvl>
    <w:lvl w:ilvl="2" w:tentative="0">
      <w:start w:val="0"/>
      <w:numFmt w:val="bullet"/>
      <w:lvlText w:val="•"/>
      <w:lvlJc w:val="left"/>
      <w:pPr>
        <w:ind w:left="2336" w:hanging="601"/>
      </w:pPr>
      <w:rPr>
        <w:rFonts w:hint="default"/>
        <w:lang w:val="zh-CN" w:eastAsia="zh-CN" w:bidi="zh-CN"/>
      </w:rPr>
    </w:lvl>
    <w:lvl w:ilvl="3" w:tentative="0">
      <w:start w:val="0"/>
      <w:numFmt w:val="bullet"/>
      <w:lvlText w:val="•"/>
      <w:lvlJc w:val="left"/>
      <w:pPr>
        <w:ind w:left="3264" w:hanging="601"/>
      </w:pPr>
      <w:rPr>
        <w:rFonts w:hint="default"/>
        <w:lang w:val="zh-CN" w:eastAsia="zh-CN" w:bidi="zh-CN"/>
      </w:rPr>
    </w:lvl>
    <w:lvl w:ilvl="4" w:tentative="0">
      <w:start w:val="0"/>
      <w:numFmt w:val="bullet"/>
      <w:lvlText w:val="•"/>
      <w:lvlJc w:val="left"/>
      <w:pPr>
        <w:ind w:left="4192" w:hanging="601"/>
      </w:pPr>
      <w:rPr>
        <w:rFonts w:hint="default"/>
        <w:lang w:val="zh-CN" w:eastAsia="zh-CN" w:bidi="zh-CN"/>
      </w:rPr>
    </w:lvl>
    <w:lvl w:ilvl="5" w:tentative="0">
      <w:start w:val="0"/>
      <w:numFmt w:val="bullet"/>
      <w:lvlText w:val="•"/>
      <w:lvlJc w:val="left"/>
      <w:pPr>
        <w:ind w:left="5120" w:hanging="601"/>
      </w:pPr>
      <w:rPr>
        <w:rFonts w:hint="default"/>
        <w:lang w:val="zh-CN" w:eastAsia="zh-CN" w:bidi="zh-CN"/>
      </w:rPr>
    </w:lvl>
    <w:lvl w:ilvl="6" w:tentative="0">
      <w:start w:val="0"/>
      <w:numFmt w:val="bullet"/>
      <w:lvlText w:val="•"/>
      <w:lvlJc w:val="left"/>
      <w:pPr>
        <w:ind w:left="6048" w:hanging="601"/>
      </w:pPr>
      <w:rPr>
        <w:rFonts w:hint="default"/>
        <w:lang w:val="zh-CN" w:eastAsia="zh-CN" w:bidi="zh-CN"/>
      </w:rPr>
    </w:lvl>
    <w:lvl w:ilvl="7" w:tentative="0">
      <w:start w:val="0"/>
      <w:numFmt w:val="bullet"/>
      <w:lvlText w:val="•"/>
      <w:lvlJc w:val="left"/>
      <w:pPr>
        <w:ind w:left="6976" w:hanging="601"/>
      </w:pPr>
      <w:rPr>
        <w:rFonts w:hint="default"/>
        <w:lang w:val="zh-CN" w:eastAsia="zh-CN" w:bidi="zh-CN"/>
      </w:rPr>
    </w:lvl>
    <w:lvl w:ilvl="8" w:tentative="0">
      <w:start w:val="0"/>
      <w:numFmt w:val="bullet"/>
      <w:lvlText w:val="•"/>
      <w:lvlJc w:val="left"/>
      <w:pPr>
        <w:ind w:left="7904" w:hanging="601"/>
      </w:pPr>
      <w:rPr>
        <w:rFonts w:hint="default"/>
        <w:lang w:val="zh-CN" w:eastAsia="zh-CN" w:bidi="zh-CN"/>
      </w:rPr>
    </w:lvl>
  </w:abstractNum>
  <w:abstractNum w:abstractNumId="13">
    <w:nsid w:val="0E9D59C9"/>
    <w:multiLevelType w:val="multilevel"/>
    <w:tmpl w:val="0E9D59C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0D591E5"/>
    <w:multiLevelType w:val="multilevel"/>
    <w:tmpl w:val="10D591E5"/>
    <w:lvl w:ilvl="0" w:tentative="0">
      <w:start w:val="1"/>
      <w:numFmt w:val="decimal"/>
      <w:lvlText w:val="%1."/>
      <w:lvlJc w:val="left"/>
      <w:pPr>
        <w:ind w:left="477" w:hanging="361"/>
        <w:jc w:val="left"/>
      </w:pPr>
      <w:rPr>
        <w:rFonts w:hint="default" w:ascii="宋体" w:hAnsi="宋体" w:eastAsia="宋体" w:cs="宋体"/>
        <w:spacing w:val="-29"/>
        <w:w w:val="100"/>
        <w:sz w:val="22"/>
        <w:szCs w:val="22"/>
        <w:lang w:val="zh-CN" w:eastAsia="zh-CN" w:bidi="zh-CN"/>
      </w:rPr>
    </w:lvl>
    <w:lvl w:ilvl="1" w:tentative="0">
      <w:start w:val="0"/>
      <w:numFmt w:val="bullet"/>
      <w:lvlText w:val="•"/>
      <w:lvlJc w:val="left"/>
      <w:pPr>
        <w:ind w:left="1408" w:hanging="361"/>
      </w:pPr>
      <w:rPr>
        <w:rFonts w:hint="default"/>
        <w:lang w:val="zh-CN" w:eastAsia="zh-CN" w:bidi="zh-CN"/>
      </w:rPr>
    </w:lvl>
    <w:lvl w:ilvl="2" w:tentative="0">
      <w:start w:val="0"/>
      <w:numFmt w:val="bullet"/>
      <w:lvlText w:val="•"/>
      <w:lvlJc w:val="left"/>
      <w:pPr>
        <w:ind w:left="2336" w:hanging="361"/>
      </w:pPr>
      <w:rPr>
        <w:rFonts w:hint="default"/>
        <w:lang w:val="zh-CN" w:eastAsia="zh-CN" w:bidi="zh-CN"/>
      </w:rPr>
    </w:lvl>
    <w:lvl w:ilvl="3" w:tentative="0">
      <w:start w:val="0"/>
      <w:numFmt w:val="bullet"/>
      <w:lvlText w:val="•"/>
      <w:lvlJc w:val="left"/>
      <w:pPr>
        <w:ind w:left="3264" w:hanging="361"/>
      </w:pPr>
      <w:rPr>
        <w:rFonts w:hint="default"/>
        <w:lang w:val="zh-CN" w:eastAsia="zh-CN" w:bidi="zh-CN"/>
      </w:rPr>
    </w:lvl>
    <w:lvl w:ilvl="4" w:tentative="0">
      <w:start w:val="0"/>
      <w:numFmt w:val="bullet"/>
      <w:lvlText w:val="•"/>
      <w:lvlJc w:val="left"/>
      <w:pPr>
        <w:ind w:left="4192" w:hanging="361"/>
      </w:pPr>
      <w:rPr>
        <w:rFonts w:hint="default"/>
        <w:lang w:val="zh-CN" w:eastAsia="zh-CN" w:bidi="zh-CN"/>
      </w:rPr>
    </w:lvl>
    <w:lvl w:ilvl="5" w:tentative="0">
      <w:start w:val="0"/>
      <w:numFmt w:val="bullet"/>
      <w:lvlText w:val="•"/>
      <w:lvlJc w:val="left"/>
      <w:pPr>
        <w:ind w:left="5120" w:hanging="361"/>
      </w:pPr>
      <w:rPr>
        <w:rFonts w:hint="default"/>
        <w:lang w:val="zh-CN" w:eastAsia="zh-CN" w:bidi="zh-CN"/>
      </w:rPr>
    </w:lvl>
    <w:lvl w:ilvl="6" w:tentative="0">
      <w:start w:val="0"/>
      <w:numFmt w:val="bullet"/>
      <w:lvlText w:val="•"/>
      <w:lvlJc w:val="left"/>
      <w:pPr>
        <w:ind w:left="6048" w:hanging="361"/>
      </w:pPr>
      <w:rPr>
        <w:rFonts w:hint="default"/>
        <w:lang w:val="zh-CN" w:eastAsia="zh-CN" w:bidi="zh-CN"/>
      </w:rPr>
    </w:lvl>
    <w:lvl w:ilvl="7" w:tentative="0">
      <w:start w:val="0"/>
      <w:numFmt w:val="bullet"/>
      <w:lvlText w:val="•"/>
      <w:lvlJc w:val="left"/>
      <w:pPr>
        <w:ind w:left="6976" w:hanging="361"/>
      </w:pPr>
      <w:rPr>
        <w:rFonts w:hint="default"/>
        <w:lang w:val="zh-CN" w:eastAsia="zh-CN" w:bidi="zh-CN"/>
      </w:rPr>
    </w:lvl>
    <w:lvl w:ilvl="8" w:tentative="0">
      <w:start w:val="0"/>
      <w:numFmt w:val="bullet"/>
      <w:lvlText w:val="•"/>
      <w:lvlJc w:val="left"/>
      <w:pPr>
        <w:ind w:left="7904" w:hanging="361"/>
      </w:pPr>
      <w:rPr>
        <w:rFonts w:hint="default"/>
        <w:lang w:val="zh-CN" w:eastAsia="zh-CN" w:bidi="zh-CN"/>
      </w:rPr>
    </w:lvl>
  </w:abstractNum>
  <w:abstractNum w:abstractNumId="15">
    <w:nsid w:val="133D1B3A"/>
    <w:multiLevelType w:val="singleLevel"/>
    <w:tmpl w:val="133D1B3A"/>
    <w:lvl w:ilvl="0" w:tentative="0">
      <w:start w:val="1"/>
      <w:numFmt w:val="decimal"/>
      <w:lvlText w:val="%1."/>
      <w:lvlJc w:val="left"/>
      <w:pPr>
        <w:tabs>
          <w:tab w:val="left" w:pos="312"/>
        </w:tabs>
      </w:pPr>
    </w:lvl>
  </w:abstractNum>
  <w:abstractNum w:abstractNumId="16">
    <w:nsid w:val="15C71F96"/>
    <w:multiLevelType w:val="multilevel"/>
    <w:tmpl w:val="15C71F9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A753409"/>
    <w:multiLevelType w:val="multilevel"/>
    <w:tmpl w:val="1A75340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AD50295"/>
    <w:multiLevelType w:val="multilevel"/>
    <w:tmpl w:val="1AD50295"/>
    <w:lvl w:ilvl="0" w:tentative="0">
      <w:start w:val="1"/>
      <w:numFmt w:val="decimal"/>
      <w:lvlText w:val="%1."/>
      <w:lvlJc w:val="left"/>
      <w:pPr>
        <w:ind w:left="477" w:hanging="360"/>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1408" w:hanging="360"/>
      </w:pPr>
      <w:rPr>
        <w:rFonts w:hint="default"/>
        <w:lang w:val="zh-CN" w:eastAsia="zh-CN" w:bidi="zh-CN"/>
      </w:rPr>
    </w:lvl>
    <w:lvl w:ilvl="2" w:tentative="0">
      <w:start w:val="0"/>
      <w:numFmt w:val="bullet"/>
      <w:lvlText w:val="•"/>
      <w:lvlJc w:val="left"/>
      <w:pPr>
        <w:ind w:left="2336" w:hanging="360"/>
      </w:pPr>
      <w:rPr>
        <w:rFonts w:hint="default"/>
        <w:lang w:val="zh-CN" w:eastAsia="zh-CN" w:bidi="zh-CN"/>
      </w:rPr>
    </w:lvl>
    <w:lvl w:ilvl="3" w:tentative="0">
      <w:start w:val="0"/>
      <w:numFmt w:val="bullet"/>
      <w:lvlText w:val="•"/>
      <w:lvlJc w:val="left"/>
      <w:pPr>
        <w:ind w:left="3264" w:hanging="360"/>
      </w:pPr>
      <w:rPr>
        <w:rFonts w:hint="default"/>
        <w:lang w:val="zh-CN" w:eastAsia="zh-CN" w:bidi="zh-CN"/>
      </w:rPr>
    </w:lvl>
    <w:lvl w:ilvl="4" w:tentative="0">
      <w:start w:val="0"/>
      <w:numFmt w:val="bullet"/>
      <w:lvlText w:val="•"/>
      <w:lvlJc w:val="left"/>
      <w:pPr>
        <w:ind w:left="4192" w:hanging="360"/>
      </w:pPr>
      <w:rPr>
        <w:rFonts w:hint="default"/>
        <w:lang w:val="zh-CN" w:eastAsia="zh-CN" w:bidi="zh-CN"/>
      </w:rPr>
    </w:lvl>
    <w:lvl w:ilvl="5" w:tentative="0">
      <w:start w:val="0"/>
      <w:numFmt w:val="bullet"/>
      <w:lvlText w:val="•"/>
      <w:lvlJc w:val="left"/>
      <w:pPr>
        <w:ind w:left="5120" w:hanging="360"/>
      </w:pPr>
      <w:rPr>
        <w:rFonts w:hint="default"/>
        <w:lang w:val="zh-CN" w:eastAsia="zh-CN" w:bidi="zh-CN"/>
      </w:rPr>
    </w:lvl>
    <w:lvl w:ilvl="6" w:tentative="0">
      <w:start w:val="0"/>
      <w:numFmt w:val="bullet"/>
      <w:lvlText w:val="•"/>
      <w:lvlJc w:val="left"/>
      <w:pPr>
        <w:ind w:left="6048" w:hanging="360"/>
      </w:pPr>
      <w:rPr>
        <w:rFonts w:hint="default"/>
        <w:lang w:val="zh-CN" w:eastAsia="zh-CN" w:bidi="zh-CN"/>
      </w:rPr>
    </w:lvl>
    <w:lvl w:ilvl="7" w:tentative="0">
      <w:start w:val="0"/>
      <w:numFmt w:val="bullet"/>
      <w:lvlText w:val="•"/>
      <w:lvlJc w:val="left"/>
      <w:pPr>
        <w:ind w:left="6976" w:hanging="360"/>
      </w:pPr>
      <w:rPr>
        <w:rFonts w:hint="default"/>
        <w:lang w:val="zh-CN" w:eastAsia="zh-CN" w:bidi="zh-CN"/>
      </w:rPr>
    </w:lvl>
    <w:lvl w:ilvl="8" w:tentative="0">
      <w:start w:val="0"/>
      <w:numFmt w:val="bullet"/>
      <w:lvlText w:val="•"/>
      <w:lvlJc w:val="left"/>
      <w:pPr>
        <w:ind w:left="7904" w:hanging="360"/>
      </w:pPr>
      <w:rPr>
        <w:rFonts w:hint="default"/>
        <w:lang w:val="zh-CN" w:eastAsia="zh-CN" w:bidi="zh-CN"/>
      </w:rPr>
    </w:lvl>
  </w:abstractNum>
  <w:abstractNum w:abstractNumId="19">
    <w:nsid w:val="1C4534E4"/>
    <w:multiLevelType w:val="multilevel"/>
    <w:tmpl w:val="1C4534E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327416F"/>
    <w:multiLevelType w:val="multilevel"/>
    <w:tmpl w:val="2327416F"/>
    <w:lvl w:ilvl="0" w:tentative="0">
      <w:start w:val="1"/>
      <w:numFmt w:val="bullet"/>
      <w:lvlText w:val=""/>
      <w:lvlJc w:val="left"/>
      <w:pPr>
        <w:ind w:left="1400" w:hanging="420"/>
      </w:pPr>
      <w:rPr>
        <w:rFonts w:hint="default" w:ascii="Wingdings" w:hAnsi="Wingdings"/>
      </w:rPr>
    </w:lvl>
    <w:lvl w:ilvl="1" w:tentative="0">
      <w:start w:val="1"/>
      <w:numFmt w:val="bullet"/>
      <w:lvlText w:val=""/>
      <w:lvlJc w:val="left"/>
      <w:pPr>
        <w:ind w:left="1820" w:hanging="420"/>
      </w:pPr>
      <w:rPr>
        <w:rFonts w:hint="default" w:ascii="Wingdings" w:hAnsi="Wingdings"/>
      </w:rPr>
    </w:lvl>
    <w:lvl w:ilvl="2" w:tentative="0">
      <w:start w:val="1"/>
      <w:numFmt w:val="bullet"/>
      <w:lvlText w:val=""/>
      <w:lvlJc w:val="left"/>
      <w:pPr>
        <w:ind w:left="2240" w:hanging="420"/>
      </w:pPr>
      <w:rPr>
        <w:rFonts w:hint="default" w:ascii="Wingdings" w:hAnsi="Wingdings"/>
      </w:rPr>
    </w:lvl>
    <w:lvl w:ilvl="3" w:tentative="0">
      <w:start w:val="1"/>
      <w:numFmt w:val="bullet"/>
      <w:lvlText w:val=""/>
      <w:lvlJc w:val="left"/>
      <w:pPr>
        <w:ind w:left="2660" w:hanging="420"/>
      </w:pPr>
      <w:rPr>
        <w:rFonts w:hint="default" w:ascii="Wingdings" w:hAnsi="Wingdings"/>
      </w:rPr>
    </w:lvl>
    <w:lvl w:ilvl="4" w:tentative="0">
      <w:start w:val="1"/>
      <w:numFmt w:val="bullet"/>
      <w:lvlText w:val=""/>
      <w:lvlJc w:val="left"/>
      <w:pPr>
        <w:ind w:left="3080" w:hanging="420"/>
      </w:pPr>
      <w:rPr>
        <w:rFonts w:hint="default" w:ascii="Wingdings" w:hAnsi="Wingdings"/>
      </w:rPr>
    </w:lvl>
    <w:lvl w:ilvl="5" w:tentative="0">
      <w:start w:val="1"/>
      <w:numFmt w:val="bullet"/>
      <w:lvlText w:val=""/>
      <w:lvlJc w:val="left"/>
      <w:pPr>
        <w:ind w:left="3500" w:hanging="420"/>
      </w:pPr>
      <w:rPr>
        <w:rFonts w:hint="default" w:ascii="Wingdings" w:hAnsi="Wingdings"/>
      </w:rPr>
    </w:lvl>
    <w:lvl w:ilvl="6" w:tentative="0">
      <w:start w:val="1"/>
      <w:numFmt w:val="bullet"/>
      <w:lvlText w:val=""/>
      <w:lvlJc w:val="left"/>
      <w:pPr>
        <w:ind w:left="3920" w:hanging="420"/>
      </w:pPr>
      <w:rPr>
        <w:rFonts w:hint="default" w:ascii="Wingdings" w:hAnsi="Wingdings"/>
      </w:rPr>
    </w:lvl>
    <w:lvl w:ilvl="7" w:tentative="0">
      <w:start w:val="1"/>
      <w:numFmt w:val="bullet"/>
      <w:lvlText w:val=""/>
      <w:lvlJc w:val="left"/>
      <w:pPr>
        <w:ind w:left="4340" w:hanging="420"/>
      </w:pPr>
      <w:rPr>
        <w:rFonts w:hint="default" w:ascii="Wingdings" w:hAnsi="Wingdings"/>
      </w:rPr>
    </w:lvl>
    <w:lvl w:ilvl="8" w:tentative="0">
      <w:start w:val="1"/>
      <w:numFmt w:val="bullet"/>
      <w:lvlText w:val=""/>
      <w:lvlJc w:val="left"/>
      <w:pPr>
        <w:ind w:left="4760" w:hanging="420"/>
      </w:pPr>
      <w:rPr>
        <w:rFonts w:hint="default" w:ascii="Wingdings" w:hAnsi="Wingdings"/>
      </w:rPr>
    </w:lvl>
  </w:abstractNum>
  <w:abstractNum w:abstractNumId="21">
    <w:nsid w:val="2470EC97"/>
    <w:multiLevelType w:val="multilevel"/>
    <w:tmpl w:val="2470EC97"/>
    <w:lvl w:ilvl="0" w:tentative="0">
      <w:start w:val="1"/>
      <w:numFmt w:val="decimal"/>
      <w:lvlText w:val="%1"/>
      <w:lvlJc w:val="left"/>
      <w:pPr>
        <w:ind w:left="1197" w:hanging="720"/>
        <w:jc w:val="left"/>
      </w:pPr>
      <w:rPr>
        <w:rFonts w:hint="default"/>
        <w:lang w:val="zh-CN" w:eastAsia="zh-CN" w:bidi="zh-CN"/>
      </w:rPr>
    </w:lvl>
    <w:lvl w:ilvl="1" w:tentative="0">
      <w:start w:val="4"/>
      <w:numFmt w:val="decimal"/>
      <w:lvlText w:val="%1.%2"/>
      <w:lvlJc w:val="left"/>
      <w:pPr>
        <w:ind w:left="1197" w:hanging="720"/>
        <w:jc w:val="left"/>
      </w:pPr>
      <w:rPr>
        <w:rFonts w:hint="default"/>
        <w:lang w:val="zh-CN" w:eastAsia="zh-CN" w:bidi="zh-CN"/>
      </w:rPr>
    </w:lvl>
    <w:lvl w:ilvl="2" w:tentative="0">
      <w:start w:val="1"/>
      <w:numFmt w:val="decimal"/>
      <w:lvlText w:val="%1.%2.%3"/>
      <w:lvlJc w:val="left"/>
      <w:pPr>
        <w:ind w:left="1197" w:hanging="720"/>
        <w:jc w:val="left"/>
      </w:pPr>
      <w:rPr>
        <w:rFonts w:hint="default" w:ascii="宋体" w:hAnsi="宋体" w:eastAsia="宋体" w:cs="宋体"/>
        <w:w w:val="100"/>
        <w:sz w:val="24"/>
        <w:szCs w:val="24"/>
        <w:lang w:val="zh-CN" w:eastAsia="zh-CN" w:bidi="zh-CN"/>
      </w:rPr>
    </w:lvl>
    <w:lvl w:ilvl="3" w:tentative="0">
      <w:start w:val="1"/>
      <w:numFmt w:val="decimal"/>
      <w:lvlText w:val="（%4）"/>
      <w:lvlJc w:val="left"/>
      <w:pPr>
        <w:ind w:left="477" w:hanging="601"/>
        <w:jc w:val="left"/>
      </w:pPr>
      <w:rPr>
        <w:rFonts w:hint="default" w:ascii="宋体" w:hAnsi="宋体" w:eastAsia="宋体" w:cs="宋体"/>
        <w:spacing w:val="-58"/>
        <w:w w:val="100"/>
        <w:sz w:val="22"/>
        <w:szCs w:val="22"/>
        <w:lang w:val="zh-CN" w:eastAsia="zh-CN" w:bidi="zh-CN"/>
      </w:rPr>
    </w:lvl>
    <w:lvl w:ilvl="4" w:tentative="0">
      <w:start w:val="0"/>
      <w:numFmt w:val="bullet"/>
      <w:lvlText w:val="•"/>
      <w:lvlJc w:val="left"/>
      <w:pPr>
        <w:ind w:left="4053" w:hanging="601"/>
      </w:pPr>
      <w:rPr>
        <w:rFonts w:hint="default"/>
        <w:lang w:val="zh-CN" w:eastAsia="zh-CN" w:bidi="zh-CN"/>
      </w:rPr>
    </w:lvl>
    <w:lvl w:ilvl="5" w:tentative="0">
      <w:start w:val="0"/>
      <w:numFmt w:val="bullet"/>
      <w:lvlText w:val="•"/>
      <w:lvlJc w:val="left"/>
      <w:pPr>
        <w:ind w:left="5004" w:hanging="601"/>
      </w:pPr>
      <w:rPr>
        <w:rFonts w:hint="default"/>
        <w:lang w:val="zh-CN" w:eastAsia="zh-CN" w:bidi="zh-CN"/>
      </w:rPr>
    </w:lvl>
    <w:lvl w:ilvl="6" w:tentative="0">
      <w:start w:val="0"/>
      <w:numFmt w:val="bullet"/>
      <w:lvlText w:val="•"/>
      <w:lvlJc w:val="left"/>
      <w:pPr>
        <w:ind w:left="5955" w:hanging="601"/>
      </w:pPr>
      <w:rPr>
        <w:rFonts w:hint="default"/>
        <w:lang w:val="zh-CN" w:eastAsia="zh-CN" w:bidi="zh-CN"/>
      </w:rPr>
    </w:lvl>
    <w:lvl w:ilvl="7" w:tentative="0">
      <w:start w:val="0"/>
      <w:numFmt w:val="bullet"/>
      <w:lvlText w:val="•"/>
      <w:lvlJc w:val="left"/>
      <w:pPr>
        <w:ind w:left="6906" w:hanging="601"/>
      </w:pPr>
      <w:rPr>
        <w:rFonts w:hint="default"/>
        <w:lang w:val="zh-CN" w:eastAsia="zh-CN" w:bidi="zh-CN"/>
      </w:rPr>
    </w:lvl>
    <w:lvl w:ilvl="8" w:tentative="0">
      <w:start w:val="0"/>
      <w:numFmt w:val="bullet"/>
      <w:lvlText w:val="•"/>
      <w:lvlJc w:val="left"/>
      <w:pPr>
        <w:ind w:left="7857" w:hanging="601"/>
      </w:pPr>
      <w:rPr>
        <w:rFonts w:hint="default"/>
        <w:lang w:val="zh-CN" w:eastAsia="zh-CN" w:bidi="zh-CN"/>
      </w:rPr>
    </w:lvl>
  </w:abstractNum>
  <w:abstractNum w:abstractNumId="22">
    <w:nsid w:val="264B58A6"/>
    <w:multiLevelType w:val="singleLevel"/>
    <w:tmpl w:val="264B58A6"/>
    <w:lvl w:ilvl="0" w:tentative="0">
      <w:start w:val="1"/>
      <w:numFmt w:val="decimal"/>
      <w:lvlText w:val="%1."/>
      <w:lvlJc w:val="left"/>
      <w:pPr>
        <w:tabs>
          <w:tab w:val="left" w:pos="312"/>
        </w:tabs>
      </w:pPr>
    </w:lvl>
  </w:abstractNum>
  <w:abstractNum w:abstractNumId="23">
    <w:nsid w:val="2A8F537B"/>
    <w:multiLevelType w:val="multilevel"/>
    <w:tmpl w:val="2A8F537B"/>
    <w:lvl w:ilvl="0" w:tentative="0">
      <w:start w:val="1"/>
      <w:numFmt w:val="decimal"/>
      <w:lvlText w:val="（%1）"/>
      <w:lvlJc w:val="left"/>
      <w:pPr>
        <w:ind w:left="526" w:hanging="525"/>
        <w:jc w:val="left"/>
      </w:pPr>
      <w:rPr>
        <w:rFonts w:hint="default" w:ascii="宋体" w:hAnsi="宋体" w:eastAsia="宋体" w:cs="宋体"/>
        <w:spacing w:val="-1"/>
        <w:w w:val="99"/>
        <w:sz w:val="19"/>
        <w:szCs w:val="19"/>
        <w:lang w:val="zh-CN" w:eastAsia="zh-CN" w:bidi="zh-CN"/>
      </w:rPr>
    </w:lvl>
    <w:lvl w:ilvl="1" w:tentative="0">
      <w:start w:val="1"/>
      <w:numFmt w:val="decimal"/>
      <w:lvlText w:val="%2）"/>
      <w:lvlJc w:val="left"/>
      <w:pPr>
        <w:ind w:left="526" w:hanging="316"/>
        <w:jc w:val="left"/>
      </w:pPr>
      <w:rPr>
        <w:rFonts w:hint="default" w:ascii="宋体" w:hAnsi="宋体" w:eastAsia="宋体" w:cs="宋体"/>
        <w:spacing w:val="-1"/>
        <w:w w:val="99"/>
        <w:sz w:val="19"/>
        <w:szCs w:val="19"/>
        <w:lang w:val="zh-CN" w:eastAsia="zh-CN" w:bidi="zh-CN"/>
      </w:rPr>
    </w:lvl>
    <w:lvl w:ilvl="2" w:tentative="0">
      <w:start w:val="0"/>
      <w:numFmt w:val="bullet"/>
      <w:lvlText w:val="•"/>
      <w:lvlJc w:val="left"/>
      <w:pPr>
        <w:ind w:left="1500" w:hanging="316"/>
      </w:pPr>
      <w:rPr>
        <w:rFonts w:hint="default"/>
        <w:lang w:val="zh-CN" w:eastAsia="zh-CN" w:bidi="zh-CN"/>
      </w:rPr>
    </w:lvl>
    <w:lvl w:ilvl="3" w:tentative="0">
      <w:start w:val="0"/>
      <w:numFmt w:val="bullet"/>
      <w:lvlText w:val="•"/>
      <w:lvlJc w:val="left"/>
      <w:pPr>
        <w:ind w:left="1992" w:hanging="316"/>
      </w:pPr>
      <w:rPr>
        <w:rFonts w:hint="default"/>
        <w:lang w:val="zh-CN" w:eastAsia="zh-CN" w:bidi="zh-CN"/>
      </w:rPr>
    </w:lvl>
    <w:lvl w:ilvl="4" w:tentative="0">
      <w:start w:val="0"/>
      <w:numFmt w:val="bullet"/>
      <w:lvlText w:val="•"/>
      <w:lvlJc w:val="left"/>
      <w:pPr>
        <w:ind w:left="2484" w:hanging="316"/>
      </w:pPr>
      <w:rPr>
        <w:rFonts w:hint="default"/>
        <w:lang w:val="zh-CN" w:eastAsia="zh-CN" w:bidi="zh-CN"/>
      </w:rPr>
    </w:lvl>
    <w:lvl w:ilvl="5" w:tentative="0">
      <w:start w:val="0"/>
      <w:numFmt w:val="bullet"/>
      <w:lvlText w:val="•"/>
      <w:lvlJc w:val="left"/>
      <w:pPr>
        <w:ind w:left="2976" w:hanging="316"/>
      </w:pPr>
      <w:rPr>
        <w:rFonts w:hint="default"/>
        <w:lang w:val="zh-CN" w:eastAsia="zh-CN" w:bidi="zh-CN"/>
      </w:rPr>
    </w:lvl>
    <w:lvl w:ilvl="6" w:tentative="0">
      <w:start w:val="0"/>
      <w:numFmt w:val="bullet"/>
      <w:lvlText w:val="•"/>
      <w:lvlJc w:val="left"/>
      <w:pPr>
        <w:ind w:left="3467" w:hanging="316"/>
      </w:pPr>
      <w:rPr>
        <w:rFonts w:hint="default"/>
        <w:lang w:val="zh-CN" w:eastAsia="zh-CN" w:bidi="zh-CN"/>
      </w:rPr>
    </w:lvl>
    <w:lvl w:ilvl="7" w:tentative="0">
      <w:start w:val="0"/>
      <w:numFmt w:val="bullet"/>
      <w:lvlText w:val="•"/>
      <w:lvlJc w:val="left"/>
      <w:pPr>
        <w:ind w:left="3959" w:hanging="316"/>
      </w:pPr>
      <w:rPr>
        <w:rFonts w:hint="default"/>
        <w:lang w:val="zh-CN" w:eastAsia="zh-CN" w:bidi="zh-CN"/>
      </w:rPr>
    </w:lvl>
    <w:lvl w:ilvl="8" w:tentative="0">
      <w:start w:val="0"/>
      <w:numFmt w:val="bullet"/>
      <w:lvlText w:val="•"/>
      <w:lvlJc w:val="left"/>
      <w:pPr>
        <w:ind w:left="4451" w:hanging="316"/>
      </w:pPr>
      <w:rPr>
        <w:rFonts w:hint="default"/>
        <w:lang w:val="zh-CN" w:eastAsia="zh-CN" w:bidi="zh-CN"/>
      </w:rPr>
    </w:lvl>
  </w:abstractNum>
  <w:abstractNum w:abstractNumId="24">
    <w:nsid w:val="39A0D9AC"/>
    <w:multiLevelType w:val="multilevel"/>
    <w:tmpl w:val="39A0D9AC"/>
    <w:lvl w:ilvl="0" w:tentative="0">
      <w:start w:val="1"/>
      <w:numFmt w:val="decimal"/>
      <w:lvlText w:val="（%1）"/>
      <w:lvlJc w:val="left"/>
      <w:pPr>
        <w:ind w:left="155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0" w:hanging="601"/>
      </w:pPr>
      <w:rPr>
        <w:rFonts w:hint="default"/>
        <w:lang w:val="zh-CN" w:eastAsia="zh-CN" w:bidi="zh-CN"/>
      </w:rPr>
    </w:lvl>
    <w:lvl w:ilvl="2" w:tentative="0">
      <w:start w:val="0"/>
      <w:numFmt w:val="bullet"/>
      <w:lvlText w:val="•"/>
      <w:lvlJc w:val="left"/>
      <w:pPr>
        <w:ind w:left="3200" w:hanging="601"/>
      </w:pPr>
      <w:rPr>
        <w:rFonts w:hint="default"/>
        <w:lang w:val="zh-CN" w:eastAsia="zh-CN" w:bidi="zh-CN"/>
      </w:rPr>
    </w:lvl>
    <w:lvl w:ilvl="3" w:tentative="0">
      <w:start w:val="0"/>
      <w:numFmt w:val="bullet"/>
      <w:lvlText w:val="•"/>
      <w:lvlJc w:val="left"/>
      <w:pPr>
        <w:ind w:left="4020" w:hanging="601"/>
      </w:pPr>
      <w:rPr>
        <w:rFonts w:hint="default"/>
        <w:lang w:val="zh-CN" w:eastAsia="zh-CN" w:bidi="zh-CN"/>
      </w:rPr>
    </w:lvl>
    <w:lvl w:ilvl="4" w:tentative="0">
      <w:start w:val="0"/>
      <w:numFmt w:val="bullet"/>
      <w:lvlText w:val="•"/>
      <w:lvlJc w:val="left"/>
      <w:pPr>
        <w:ind w:left="4840" w:hanging="601"/>
      </w:pPr>
      <w:rPr>
        <w:rFonts w:hint="default"/>
        <w:lang w:val="zh-CN" w:eastAsia="zh-CN" w:bidi="zh-CN"/>
      </w:rPr>
    </w:lvl>
    <w:lvl w:ilvl="5" w:tentative="0">
      <w:start w:val="0"/>
      <w:numFmt w:val="bullet"/>
      <w:lvlText w:val="•"/>
      <w:lvlJc w:val="left"/>
      <w:pPr>
        <w:ind w:left="5660"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300" w:hanging="601"/>
      </w:pPr>
      <w:rPr>
        <w:rFonts w:hint="default"/>
        <w:lang w:val="zh-CN" w:eastAsia="zh-CN" w:bidi="zh-CN"/>
      </w:rPr>
    </w:lvl>
    <w:lvl w:ilvl="8" w:tentative="0">
      <w:start w:val="0"/>
      <w:numFmt w:val="bullet"/>
      <w:lvlText w:val="•"/>
      <w:lvlJc w:val="left"/>
      <w:pPr>
        <w:ind w:left="8120" w:hanging="601"/>
      </w:pPr>
      <w:rPr>
        <w:rFonts w:hint="default"/>
        <w:lang w:val="zh-CN" w:eastAsia="zh-CN" w:bidi="zh-CN"/>
      </w:rPr>
    </w:lvl>
  </w:abstractNum>
  <w:abstractNum w:abstractNumId="25">
    <w:nsid w:val="3A2451B5"/>
    <w:multiLevelType w:val="singleLevel"/>
    <w:tmpl w:val="3A2451B5"/>
    <w:lvl w:ilvl="0" w:tentative="0">
      <w:start w:val="1"/>
      <w:numFmt w:val="decimal"/>
      <w:suff w:val="nothing"/>
      <w:lvlText w:val="%1、"/>
      <w:lvlJc w:val="left"/>
    </w:lvl>
  </w:abstractNum>
  <w:abstractNum w:abstractNumId="26">
    <w:nsid w:val="42626C16"/>
    <w:multiLevelType w:val="multilevel"/>
    <w:tmpl w:val="42626C1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43556610"/>
    <w:multiLevelType w:val="multilevel"/>
    <w:tmpl w:val="4355661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4A51D704"/>
    <w:multiLevelType w:val="multilevel"/>
    <w:tmpl w:val="4A51D704"/>
    <w:lvl w:ilvl="0" w:tentative="0">
      <w:start w:val="1"/>
      <w:numFmt w:val="decimal"/>
      <w:lvlText w:val="%1."/>
      <w:lvlJc w:val="left"/>
      <w:pPr>
        <w:ind w:left="1377" w:hanging="360"/>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2218" w:hanging="360"/>
      </w:pPr>
      <w:rPr>
        <w:rFonts w:hint="default"/>
        <w:lang w:val="zh-CN" w:eastAsia="zh-CN" w:bidi="zh-CN"/>
      </w:rPr>
    </w:lvl>
    <w:lvl w:ilvl="2" w:tentative="0">
      <w:start w:val="0"/>
      <w:numFmt w:val="bullet"/>
      <w:lvlText w:val="•"/>
      <w:lvlJc w:val="left"/>
      <w:pPr>
        <w:ind w:left="3056" w:hanging="360"/>
      </w:pPr>
      <w:rPr>
        <w:rFonts w:hint="default"/>
        <w:lang w:val="zh-CN" w:eastAsia="zh-CN" w:bidi="zh-CN"/>
      </w:rPr>
    </w:lvl>
    <w:lvl w:ilvl="3" w:tentative="0">
      <w:start w:val="0"/>
      <w:numFmt w:val="bullet"/>
      <w:lvlText w:val="•"/>
      <w:lvlJc w:val="left"/>
      <w:pPr>
        <w:ind w:left="3894" w:hanging="360"/>
      </w:pPr>
      <w:rPr>
        <w:rFonts w:hint="default"/>
        <w:lang w:val="zh-CN" w:eastAsia="zh-CN" w:bidi="zh-CN"/>
      </w:rPr>
    </w:lvl>
    <w:lvl w:ilvl="4" w:tentative="0">
      <w:start w:val="0"/>
      <w:numFmt w:val="bullet"/>
      <w:lvlText w:val="•"/>
      <w:lvlJc w:val="left"/>
      <w:pPr>
        <w:ind w:left="4732" w:hanging="360"/>
      </w:pPr>
      <w:rPr>
        <w:rFonts w:hint="default"/>
        <w:lang w:val="zh-CN" w:eastAsia="zh-CN" w:bidi="zh-CN"/>
      </w:rPr>
    </w:lvl>
    <w:lvl w:ilvl="5" w:tentative="0">
      <w:start w:val="0"/>
      <w:numFmt w:val="bullet"/>
      <w:lvlText w:val="•"/>
      <w:lvlJc w:val="left"/>
      <w:pPr>
        <w:ind w:left="5570" w:hanging="360"/>
      </w:pPr>
      <w:rPr>
        <w:rFonts w:hint="default"/>
        <w:lang w:val="zh-CN" w:eastAsia="zh-CN" w:bidi="zh-CN"/>
      </w:rPr>
    </w:lvl>
    <w:lvl w:ilvl="6" w:tentative="0">
      <w:start w:val="0"/>
      <w:numFmt w:val="bullet"/>
      <w:lvlText w:val="•"/>
      <w:lvlJc w:val="left"/>
      <w:pPr>
        <w:ind w:left="6408" w:hanging="360"/>
      </w:pPr>
      <w:rPr>
        <w:rFonts w:hint="default"/>
        <w:lang w:val="zh-CN" w:eastAsia="zh-CN" w:bidi="zh-CN"/>
      </w:rPr>
    </w:lvl>
    <w:lvl w:ilvl="7" w:tentative="0">
      <w:start w:val="0"/>
      <w:numFmt w:val="bullet"/>
      <w:lvlText w:val="•"/>
      <w:lvlJc w:val="left"/>
      <w:pPr>
        <w:ind w:left="7246" w:hanging="360"/>
      </w:pPr>
      <w:rPr>
        <w:rFonts w:hint="default"/>
        <w:lang w:val="zh-CN" w:eastAsia="zh-CN" w:bidi="zh-CN"/>
      </w:rPr>
    </w:lvl>
    <w:lvl w:ilvl="8" w:tentative="0">
      <w:start w:val="0"/>
      <w:numFmt w:val="bullet"/>
      <w:lvlText w:val="•"/>
      <w:lvlJc w:val="left"/>
      <w:pPr>
        <w:ind w:left="8084" w:hanging="360"/>
      </w:pPr>
      <w:rPr>
        <w:rFonts w:hint="default"/>
        <w:lang w:val="zh-CN" w:eastAsia="zh-CN" w:bidi="zh-CN"/>
      </w:rPr>
    </w:lvl>
  </w:abstractNum>
  <w:abstractNum w:abstractNumId="29">
    <w:nsid w:val="4C1BAE26"/>
    <w:multiLevelType w:val="multilevel"/>
    <w:tmpl w:val="4C1BAE26"/>
    <w:lvl w:ilvl="0" w:tentative="0">
      <w:start w:val="1"/>
      <w:numFmt w:val="decimal"/>
      <w:lvlText w:val="（%1）"/>
      <w:lvlJc w:val="left"/>
      <w:pPr>
        <w:ind w:left="155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0" w:hanging="601"/>
      </w:pPr>
      <w:rPr>
        <w:rFonts w:hint="default"/>
        <w:lang w:val="zh-CN" w:eastAsia="zh-CN" w:bidi="zh-CN"/>
      </w:rPr>
    </w:lvl>
    <w:lvl w:ilvl="2" w:tentative="0">
      <w:start w:val="0"/>
      <w:numFmt w:val="bullet"/>
      <w:lvlText w:val="•"/>
      <w:lvlJc w:val="left"/>
      <w:pPr>
        <w:ind w:left="3200" w:hanging="601"/>
      </w:pPr>
      <w:rPr>
        <w:rFonts w:hint="default"/>
        <w:lang w:val="zh-CN" w:eastAsia="zh-CN" w:bidi="zh-CN"/>
      </w:rPr>
    </w:lvl>
    <w:lvl w:ilvl="3" w:tentative="0">
      <w:start w:val="0"/>
      <w:numFmt w:val="bullet"/>
      <w:lvlText w:val="•"/>
      <w:lvlJc w:val="left"/>
      <w:pPr>
        <w:ind w:left="4020" w:hanging="601"/>
      </w:pPr>
      <w:rPr>
        <w:rFonts w:hint="default"/>
        <w:lang w:val="zh-CN" w:eastAsia="zh-CN" w:bidi="zh-CN"/>
      </w:rPr>
    </w:lvl>
    <w:lvl w:ilvl="4" w:tentative="0">
      <w:start w:val="0"/>
      <w:numFmt w:val="bullet"/>
      <w:lvlText w:val="•"/>
      <w:lvlJc w:val="left"/>
      <w:pPr>
        <w:ind w:left="4840" w:hanging="601"/>
      </w:pPr>
      <w:rPr>
        <w:rFonts w:hint="default"/>
        <w:lang w:val="zh-CN" w:eastAsia="zh-CN" w:bidi="zh-CN"/>
      </w:rPr>
    </w:lvl>
    <w:lvl w:ilvl="5" w:tentative="0">
      <w:start w:val="0"/>
      <w:numFmt w:val="bullet"/>
      <w:lvlText w:val="•"/>
      <w:lvlJc w:val="left"/>
      <w:pPr>
        <w:ind w:left="5660"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300" w:hanging="601"/>
      </w:pPr>
      <w:rPr>
        <w:rFonts w:hint="default"/>
        <w:lang w:val="zh-CN" w:eastAsia="zh-CN" w:bidi="zh-CN"/>
      </w:rPr>
    </w:lvl>
    <w:lvl w:ilvl="8" w:tentative="0">
      <w:start w:val="0"/>
      <w:numFmt w:val="bullet"/>
      <w:lvlText w:val="•"/>
      <w:lvlJc w:val="left"/>
      <w:pPr>
        <w:ind w:left="8120" w:hanging="601"/>
      </w:pPr>
      <w:rPr>
        <w:rFonts w:hint="default"/>
        <w:lang w:val="zh-CN" w:eastAsia="zh-CN" w:bidi="zh-CN"/>
      </w:rPr>
    </w:lvl>
  </w:abstractNum>
  <w:abstractNum w:abstractNumId="30">
    <w:nsid w:val="4D4DC07F"/>
    <w:multiLevelType w:val="multilevel"/>
    <w:tmpl w:val="4D4DC07F"/>
    <w:lvl w:ilvl="0" w:tentative="0">
      <w:start w:val="1"/>
      <w:numFmt w:val="decimal"/>
      <w:lvlText w:val="%1."/>
      <w:lvlJc w:val="left"/>
      <w:pPr>
        <w:ind w:left="1039" w:hanging="562"/>
        <w:jc w:val="left"/>
      </w:pPr>
      <w:rPr>
        <w:rFonts w:hint="default" w:ascii="宋体" w:hAnsi="宋体" w:eastAsia="宋体" w:cs="宋体"/>
        <w:b/>
        <w:bCs/>
        <w:spacing w:val="0"/>
        <w:w w:val="99"/>
        <w:sz w:val="28"/>
        <w:szCs w:val="28"/>
        <w:lang w:val="zh-CN" w:eastAsia="zh-CN" w:bidi="zh-CN"/>
      </w:rPr>
    </w:lvl>
    <w:lvl w:ilvl="1" w:tentative="0">
      <w:start w:val="1"/>
      <w:numFmt w:val="decimal"/>
      <w:lvlText w:val="%1.%2"/>
      <w:lvlJc w:val="left"/>
      <w:pPr>
        <w:ind w:left="1440" w:hanging="483"/>
        <w:jc w:val="left"/>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620" w:hanging="720"/>
        <w:jc w:val="left"/>
      </w:pPr>
      <w:rPr>
        <w:rFonts w:hint="default" w:ascii="宋体" w:hAnsi="宋体" w:eastAsia="宋体" w:cs="宋体"/>
        <w:spacing w:val="-16"/>
        <w:w w:val="100"/>
        <w:sz w:val="24"/>
        <w:szCs w:val="24"/>
        <w:lang w:val="zh-CN" w:eastAsia="zh-CN" w:bidi="zh-CN"/>
      </w:rPr>
    </w:lvl>
    <w:lvl w:ilvl="3" w:tentative="0">
      <w:start w:val="0"/>
      <w:numFmt w:val="bullet"/>
      <w:lvlText w:val="•"/>
      <w:lvlJc w:val="left"/>
      <w:pPr>
        <w:ind w:left="1440" w:hanging="720"/>
      </w:pPr>
      <w:rPr>
        <w:rFonts w:hint="default"/>
        <w:lang w:val="zh-CN" w:eastAsia="zh-CN" w:bidi="zh-CN"/>
      </w:rPr>
    </w:lvl>
    <w:lvl w:ilvl="4" w:tentative="0">
      <w:start w:val="0"/>
      <w:numFmt w:val="bullet"/>
      <w:lvlText w:val="•"/>
      <w:lvlJc w:val="left"/>
      <w:pPr>
        <w:ind w:left="1560" w:hanging="720"/>
      </w:pPr>
      <w:rPr>
        <w:rFonts w:hint="default"/>
        <w:lang w:val="zh-CN" w:eastAsia="zh-CN" w:bidi="zh-CN"/>
      </w:rPr>
    </w:lvl>
    <w:lvl w:ilvl="5" w:tentative="0">
      <w:start w:val="0"/>
      <w:numFmt w:val="bullet"/>
      <w:lvlText w:val="•"/>
      <w:lvlJc w:val="left"/>
      <w:pPr>
        <w:ind w:left="1680" w:hanging="720"/>
      </w:pPr>
      <w:rPr>
        <w:rFonts w:hint="default"/>
        <w:lang w:val="zh-CN" w:eastAsia="zh-CN" w:bidi="zh-CN"/>
      </w:rPr>
    </w:lvl>
    <w:lvl w:ilvl="6" w:tentative="0">
      <w:start w:val="0"/>
      <w:numFmt w:val="bullet"/>
      <w:lvlText w:val="•"/>
      <w:lvlJc w:val="left"/>
      <w:pPr>
        <w:ind w:left="1800" w:hanging="720"/>
      </w:pPr>
      <w:rPr>
        <w:rFonts w:hint="default"/>
        <w:lang w:val="zh-CN" w:eastAsia="zh-CN" w:bidi="zh-CN"/>
      </w:rPr>
    </w:lvl>
    <w:lvl w:ilvl="7" w:tentative="0">
      <w:start w:val="0"/>
      <w:numFmt w:val="bullet"/>
      <w:lvlText w:val="•"/>
      <w:lvlJc w:val="left"/>
      <w:pPr>
        <w:ind w:left="3790" w:hanging="720"/>
      </w:pPr>
      <w:rPr>
        <w:rFonts w:hint="default"/>
        <w:lang w:val="zh-CN" w:eastAsia="zh-CN" w:bidi="zh-CN"/>
      </w:rPr>
    </w:lvl>
    <w:lvl w:ilvl="8" w:tentative="0">
      <w:start w:val="0"/>
      <w:numFmt w:val="bullet"/>
      <w:lvlText w:val="•"/>
      <w:lvlJc w:val="left"/>
      <w:pPr>
        <w:ind w:left="5780" w:hanging="720"/>
      </w:pPr>
      <w:rPr>
        <w:rFonts w:hint="default"/>
        <w:lang w:val="zh-CN" w:eastAsia="zh-CN" w:bidi="zh-CN"/>
      </w:rPr>
    </w:lvl>
  </w:abstractNum>
  <w:abstractNum w:abstractNumId="31">
    <w:nsid w:val="53FF1B05"/>
    <w:multiLevelType w:val="multilevel"/>
    <w:tmpl w:val="53FF1B05"/>
    <w:lvl w:ilvl="0" w:tentative="0">
      <w:start w:val="1"/>
      <w:numFmt w:val="bullet"/>
      <w:lvlText w:val=""/>
      <w:lvlJc w:val="left"/>
      <w:pPr>
        <w:ind w:left="1400" w:hanging="420"/>
      </w:pPr>
      <w:rPr>
        <w:rFonts w:hint="default" w:ascii="Wingdings" w:hAnsi="Wingdings"/>
      </w:rPr>
    </w:lvl>
    <w:lvl w:ilvl="1" w:tentative="0">
      <w:start w:val="1"/>
      <w:numFmt w:val="bullet"/>
      <w:lvlText w:val=""/>
      <w:lvlJc w:val="left"/>
      <w:pPr>
        <w:ind w:left="1820" w:hanging="420"/>
      </w:pPr>
      <w:rPr>
        <w:rFonts w:hint="default" w:ascii="Wingdings" w:hAnsi="Wingdings"/>
      </w:rPr>
    </w:lvl>
    <w:lvl w:ilvl="2" w:tentative="0">
      <w:start w:val="1"/>
      <w:numFmt w:val="bullet"/>
      <w:lvlText w:val=""/>
      <w:lvlJc w:val="left"/>
      <w:pPr>
        <w:ind w:left="2240" w:hanging="420"/>
      </w:pPr>
      <w:rPr>
        <w:rFonts w:hint="default" w:ascii="Wingdings" w:hAnsi="Wingdings"/>
      </w:rPr>
    </w:lvl>
    <w:lvl w:ilvl="3" w:tentative="0">
      <w:start w:val="1"/>
      <w:numFmt w:val="bullet"/>
      <w:lvlText w:val=""/>
      <w:lvlJc w:val="left"/>
      <w:pPr>
        <w:ind w:left="2660" w:hanging="420"/>
      </w:pPr>
      <w:rPr>
        <w:rFonts w:hint="default" w:ascii="Wingdings" w:hAnsi="Wingdings"/>
      </w:rPr>
    </w:lvl>
    <w:lvl w:ilvl="4" w:tentative="0">
      <w:start w:val="1"/>
      <w:numFmt w:val="bullet"/>
      <w:lvlText w:val=""/>
      <w:lvlJc w:val="left"/>
      <w:pPr>
        <w:ind w:left="3080" w:hanging="420"/>
      </w:pPr>
      <w:rPr>
        <w:rFonts w:hint="default" w:ascii="Wingdings" w:hAnsi="Wingdings"/>
      </w:rPr>
    </w:lvl>
    <w:lvl w:ilvl="5" w:tentative="0">
      <w:start w:val="1"/>
      <w:numFmt w:val="bullet"/>
      <w:lvlText w:val=""/>
      <w:lvlJc w:val="left"/>
      <w:pPr>
        <w:ind w:left="3500" w:hanging="420"/>
      </w:pPr>
      <w:rPr>
        <w:rFonts w:hint="default" w:ascii="Wingdings" w:hAnsi="Wingdings"/>
      </w:rPr>
    </w:lvl>
    <w:lvl w:ilvl="6" w:tentative="0">
      <w:start w:val="1"/>
      <w:numFmt w:val="bullet"/>
      <w:lvlText w:val=""/>
      <w:lvlJc w:val="left"/>
      <w:pPr>
        <w:ind w:left="3920" w:hanging="420"/>
      </w:pPr>
      <w:rPr>
        <w:rFonts w:hint="default" w:ascii="Wingdings" w:hAnsi="Wingdings"/>
      </w:rPr>
    </w:lvl>
    <w:lvl w:ilvl="7" w:tentative="0">
      <w:start w:val="1"/>
      <w:numFmt w:val="bullet"/>
      <w:lvlText w:val=""/>
      <w:lvlJc w:val="left"/>
      <w:pPr>
        <w:ind w:left="4340" w:hanging="420"/>
      </w:pPr>
      <w:rPr>
        <w:rFonts w:hint="default" w:ascii="Wingdings" w:hAnsi="Wingdings"/>
      </w:rPr>
    </w:lvl>
    <w:lvl w:ilvl="8" w:tentative="0">
      <w:start w:val="1"/>
      <w:numFmt w:val="bullet"/>
      <w:lvlText w:val=""/>
      <w:lvlJc w:val="left"/>
      <w:pPr>
        <w:ind w:left="4760" w:hanging="420"/>
      </w:pPr>
      <w:rPr>
        <w:rFonts w:hint="default" w:ascii="Wingdings" w:hAnsi="Wingdings"/>
      </w:rPr>
    </w:lvl>
  </w:abstractNum>
  <w:abstractNum w:abstractNumId="32">
    <w:nsid w:val="58765686"/>
    <w:multiLevelType w:val="multilevel"/>
    <w:tmpl w:val="58765686"/>
    <w:lvl w:ilvl="0" w:tentative="0">
      <w:start w:val="1"/>
      <w:numFmt w:val="decimal"/>
      <w:lvlText w:val="（%1）"/>
      <w:lvlJc w:val="left"/>
      <w:pPr>
        <w:ind w:left="477"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08" w:hanging="601"/>
      </w:pPr>
      <w:rPr>
        <w:rFonts w:hint="default"/>
        <w:lang w:val="zh-CN" w:eastAsia="zh-CN" w:bidi="zh-CN"/>
      </w:rPr>
    </w:lvl>
    <w:lvl w:ilvl="2" w:tentative="0">
      <w:start w:val="0"/>
      <w:numFmt w:val="bullet"/>
      <w:lvlText w:val="•"/>
      <w:lvlJc w:val="left"/>
      <w:pPr>
        <w:ind w:left="2336" w:hanging="601"/>
      </w:pPr>
      <w:rPr>
        <w:rFonts w:hint="default"/>
        <w:lang w:val="zh-CN" w:eastAsia="zh-CN" w:bidi="zh-CN"/>
      </w:rPr>
    </w:lvl>
    <w:lvl w:ilvl="3" w:tentative="0">
      <w:start w:val="0"/>
      <w:numFmt w:val="bullet"/>
      <w:lvlText w:val="•"/>
      <w:lvlJc w:val="left"/>
      <w:pPr>
        <w:ind w:left="3264" w:hanging="601"/>
      </w:pPr>
      <w:rPr>
        <w:rFonts w:hint="default"/>
        <w:lang w:val="zh-CN" w:eastAsia="zh-CN" w:bidi="zh-CN"/>
      </w:rPr>
    </w:lvl>
    <w:lvl w:ilvl="4" w:tentative="0">
      <w:start w:val="0"/>
      <w:numFmt w:val="bullet"/>
      <w:lvlText w:val="•"/>
      <w:lvlJc w:val="left"/>
      <w:pPr>
        <w:ind w:left="4192" w:hanging="601"/>
      </w:pPr>
      <w:rPr>
        <w:rFonts w:hint="default"/>
        <w:lang w:val="zh-CN" w:eastAsia="zh-CN" w:bidi="zh-CN"/>
      </w:rPr>
    </w:lvl>
    <w:lvl w:ilvl="5" w:tentative="0">
      <w:start w:val="0"/>
      <w:numFmt w:val="bullet"/>
      <w:lvlText w:val="•"/>
      <w:lvlJc w:val="left"/>
      <w:pPr>
        <w:ind w:left="5120" w:hanging="601"/>
      </w:pPr>
      <w:rPr>
        <w:rFonts w:hint="default"/>
        <w:lang w:val="zh-CN" w:eastAsia="zh-CN" w:bidi="zh-CN"/>
      </w:rPr>
    </w:lvl>
    <w:lvl w:ilvl="6" w:tentative="0">
      <w:start w:val="0"/>
      <w:numFmt w:val="bullet"/>
      <w:lvlText w:val="•"/>
      <w:lvlJc w:val="left"/>
      <w:pPr>
        <w:ind w:left="6048" w:hanging="601"/>
      </w:pPr>
      <w:rPr>
        <w:rFonts w:hint="default"/>
        <w:lang w:val="zh-CN" w:eastAsia="zh-CN" w:bidi="zh-CN"/>
      </w:rPr>
    </w:lvl>
    <w:lvl w:ilvl="7" w:tentative="0">
      <w:start w:val="0"/>
      <w:numFmt w:val="bullet"/>
      <w:lvlText w:val="•"/>
      <w:lvlJc w:val="left"/>
      <w:pPr>
        <w:ind w:left="6976" w:hanging="601"/>
      </w:pPr>
      <w:rPr>
        <w:rFonts w:hint="default"/>
        <w:lang w:val="zh-CN" w:eastAsia="zh-CN" w:bidi="zh-CN"/>
      </w:rPr>
    </w:lvl>
    <w:lvl w:ilvl="8" w:tentative="0">
      <w:start w:val="0"/>
      <w:numFmt w:val="bullet"/>
      <w:lvlText w:val="•"/>
      <w:lvlJc w:val="left"/>
      <w:pPr>
        <w:ind w:left="7904" w:hanging="601"/>
      </w:pPr>
      <w:rPr>
        <w:rFonts w:hint="default"/>
        <w:lang w:val="zh-CN" w:eastAsia="zh-CN" w:bidi="zh-CN"/>
      </w:rPr>
    </w:lvl>
  </w:abstractNum>
  <w:abstractNum w:abstractNumId="33">
    <w:nsid w:val="5A241D34"/>
    <w:multiLevelType w:val="multilevel"/>
    <w:tmpl w:val="5A241D34"/>
    <w:lvl w:ilvl="0" w:tentative="0">
      <w:start w:val="1"/>
      <w:numFmt w:val="decimal"/>
      <w:lvlText w:val="（%1）"/>
      <w:lvlJc w:val="left"/>
      <w:pPr>
        <w:ind w:left="84" w:hanging="526"/>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623" w:hanging="526"/>
      </w:pPr>
      <w:rPr>
        <w:rFonts w:hint="default"/>
        <w:lang w:val="zh-CN" w:eastAsia="zh-CN" w:bidi="zh-CN"/>
      </w:rPr>
    </w:lvl>
    <w:lvl w:ilvl="2" w:tentative="0">
      <w:start w:val="0"/>
      <w:numFmt w:val="bullet"/>
      <w:lvlText w:val="•"/>
      <w:lvlJc w:val="left"/>
      <w:pPr>
        <w:ind w:left="1167" w:hanging="526"/>
      </w:pPr>
      <w:rPr>
        <w:rFonts w:hint="default"/>
        <w:lang w:val="zh-CN" w:eastAsia="zh-CN" w:bidi="zh-CN"/>
      </w:rPr>
    </w:lvl>
    <w:lvl w:ilvl="3" w:tentative="0">
      <w:start w:val="0"/>
      <w:numFmt w:val="bullet"/>
      <w:lvlText w:val="•"/>
      <w:lvlJc w:val="left"/>
      <w:pPr>
        <w:ind w:left="1711" w:hanging="526"/>
      </w:pPr>
      <w:rPr>
        <w:rFonts w:hint="default"/>
        <w:lang w:val="zh-CN" w:eastAsia="zh-CN" w:bidi="zh-CN"/>
      </w:rPr>
    </w:lvl>
    <w:lvl w:ilvl="4" w:tentative="0">
      <w:start w:val="0"/>
      <w:numFmt w:val="bullet"/>
      <w:lvlText w:val="•"/>
      <w:lvlJc w:val="left"/>
      <w:pPr>
        <w:ind w:left="2255" w:hanging="526"/>
      </w:pPr>
      <w:rPr>
        <w:rFonts w:hint="default"/>
        <w:lang w:val="zh-CN" w:eastAsia="zh-CN" w:bidi="zh-CN"/>
      </w:rPr>
    </w:lvl>
    <w:lvl w:ilvl="5" w:tentative="0">
      <w:start w:val="0"/>
      <w:numFmt w:val="bullet"/>
      <w:lvlText w:val="•"/>
      <w:lvlJc w:val="left"/>
      <w:pPr>
        <w:ind w:left="2799" w:hanging="526"/>
      </w:pPr>
      <w:rPr>
        <w:rFonts w:hint="default"/>
        <w:lang w:val="zh-CN" w:eastAsia="zh-CN" w:bidi="zh-CN"/>
      </w:rPr>
    </w:lvl>
    <w:lvl w:ilvl="6" w:tentative="0">
      <w:start w:val="0"/>
      <w:numFmt w:val="bullet"/>
      <w:lvlText w:val="•"/>
      <w:lvlJc w:val="left"/>
      <w:pPr>
        <w:ind w:left="3342" w:hanging="526"/>
      </w:pPr>
      <w:rPr>
        <w:rFonts w:hint="default"/>
        <w:lang w:val="zh-CN" w:eastAsia="zh-CN" w:bidi="zh-CN"/>
      </w:rPr>
    </w:lvl>
    <w:lvl w:ilvl="7" w:tentative="0">
      <w:start w:val="0"/>
      <w:numFmt w:val="bullet"/>
      <w:lvlText w:val="•"/>
      <w:lvlJc w:val="left"/>
      <w:pPr>
        <w:ind w:left="3886" w:hanging="526"/>
      </w:pPr>
      <w:rPr>
        <w:rFonts w:hint="default"/>
        <w:lang w:val="zh-CN" w:eastAsia="zh-CN" w:bidi="zh-CN"/>
      </w:rPr>
    </w:lvl>
    <w:lvl w:ilvl="8" w:tentative="0">
      <w:start w:val="0"/>
      <w:numFmt w:val="bullet"/>
      <w:lvlText w:val="•"/>
      <w:lvlJc w:val="left"/>
      <w:pPr>
        <w:ind w:left="4430" w:hanging="526"/>
      </w:pPr>
      <w:rPr>
        <w:rFonts w:hint="default"/>
        <w:lang w:val="zh-CN" w:eastAsia="zh-CN" w:bidi="zh-CN"/>
      </w:rPr>
    </w:lvl>
  </w:abstractNum>
  <w:abstractNum w:abstractNumId="34">
    <w:nsid w:val="5D1F30AD"/>
    <w:multiLevelType w:val="multilevel"/>
    <w:tmpl w:val="5D1F30AD"/>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5E8772EB"/>
    <w:multiLevelType w:val="singleLevel"/>
    <w:tmpl w:val="5E8772EB"/>
    <w:lvl w:ilvl="0" w:tentative="0">
      <w:start w:val="4"/>
      <w:numFmt w:val="chineseCounting"/>
      <w:lvlText w:val="第%1章"/>
      <w:lvlJc w:val="left"/>
      <w:rPr>
        <w:rFonts w:hint="eastAsia"/>
        <w:highlight w:val="none"/>
      </w:rPr>
    </w:lvl>
  </w:abstractNum>
  <w:abstractNum w:abstractNumId="36">
    <w:nsid w:val="5F3C50A6"/>
    <w:multiLevelType w:val="multilevel"/>
    <w:tmpl w:val="5F3C50A6"/>
    <w:lvl w:ilvl="0" w:tentative="0">
      <w:start w:val="1"/>
      <w:numFmt w:val="bullet"/>
      <w:lvlText w:val=""/>
      <w:lvlJc w:val="left"/>
      <w:pPr>
        <w:ind w:left="1400" w:hanging="420"/>
      </w:pPr>
      <w:rPr>
        <w:rFonts w:hint="default" w:ascii="Wingdings" w:hAnsi="Wingdings"/>
      </w:rPr>
    </w:lvl>
    <w:lvl w:ilvl="1" w:tentative="0">
      <w:start w:val="1"/>
      <w:numFmt w:val="bullet"/>
      <w:lvlText w:val=""/>
      <w:lvlJc w:val="left"/>
      <w:pPr>
        <w:ind w:left="1820" w:hanging="420"/>
      </w:pPr>
      <w:rPr>
        <w:rFonts w:hint="default" w:ascii="Wingdings" w:hAnsi="Wingdings"/>
      </w:rPr>
    </w:lvl>
    <w:lvl w:ilvl="2" w:tentative="0">
      <w:start w:val="1"/>
      <w:numFmt w:val="bullet"/>
      <w:lvlText w:val=""/>
      <w:lvlJc w:val="left"/>
      <w:pPr>
        <w:ind w:left="2240" w:hanging="420"/>
      </w:pPr>
      <w:rPr>
        <w:rFonts w:hint="default" w:ascii="Wingdings" w:hAnsi="Wingdings"/>
      </w:rPr>
    </w:lvl>
    <w:lvl w:ilvl="3" w:tentative="0">
      <w:start w:val="1"/>
      <w:numFmt w:val="bullet"/>
      <w:lvlText w:val=""/>
      <w:lvlJc w:val="left"/>
      <w:pPr>
        <w:ind w:left="2660" w:hanging="420"/>
      </w:pPr>
      <w:rPr>
        <w:rFonts w:hint="default" w:ascii="Wingdings" w:hAnsi="Wingdings"/>
      </w:rPr>
    </w:lvl>
    <w:lvl w:ilvl="4" w:tentative="0">
      <w:start w:val="1"/>
      <w:numFmt w:val="bullet"/>
      <w:lvlText w:val=""/>
      <w:lvlJc w:val="left"/>
      <w:pPr>
        <w:ind w:left="3080" w:hanging="420"/>
      </w:pPr>
      <w:rPr>
        <w:rFonts w:hint="default" w:ascii="Wingdings" w:hAnsi="Wingdings"/>
      </w:rPr>
    </w:lvl>
    <w:lvl w:ilvl="5" w:tentative="0">
      <w:start w:val="1"/>
      <w:numFmt w:val="bullet"/>
      <w:lvlText w:val=""/>
      <w:lvlJc w:val="left"/>
      <w:pPr>
        <w:ind w:left="3500" w:hanging="420"/>
      </w:pPr>
      <w:rPr>
        <w:rFonts w:hint="default" w:ascii="Wingdings" w:hAnsi="Wingdings"/>
      </w:rPr>
    </w:lvl>
    <w:lvl w:ilvl="6" w:tentative="0">
      <w:start w:val="1"/>
      <w:numFmt w:val="bullet"/>
      <w:lvlText w:val=""/>
      <w:lvlJc w:val="left"/>
      <w:pPr>
        <w:ind w:left="3920" w:hanging="420"/>
      </w:pPr>
      <w:rPr>
        <w:rFonts w:hint="default" w:ascii="Wingdings" w:hAnsi="Wingdings"/>
      </w:rPr>
    </w:lvl>
    <w:lvl w:ilvl="7" w:tentative="0">
      <w:start w:val="1"/>
      <w:numFmt w:val="bullet"/>
      <w:lvlText w:val=""/>
      <w:lvlJc w:val="left"/>
      <w:pPr>
        <w:ind w:left="4340" w:hanging="420"/>
      </w:pPr>
      <w:rPr>
        <w:rFonts w:hint="default" w:ascii="Wingdings" w:hAnsi="Wingdings"/>
      </w:rPr>
    </w:lvl>
    <w:lvl w:ilvl="8" w:tentative="0">
      <w:start w:val="1"/>
      <w:numFmt w:val="bullet"/>
      <w:lvlText w:val=""/>
      <w:lvlJc w:val="left"/>
      <w:pPr>
        <w:ind w:left="4760" w:hanging="420"/>
      </w:pPr>
      <w:rPr>
        <w:rFonts w:hint="default" w:ascii="Wingdings" w:hAnsi="Wingdings"/>
      </w:rPr>
    </w:lvl>
  </w:abstractNum>
  <w:abstractNum w:abstractNumId="37">
    <w:nsid w:val="60382F6E"/>
    <w:multiLevelType w:val="multilevel"/>
    <w:tmpl w:val="60382F6E"/>
    <w:lvl w:ilvl="0" w:tentative="0">
      <w:start w:val="1"/>
      <w:numFmt w:val="decimal"/>
      <w:lvlText w:val="（%1）"/>
      <w:lvlJc w:val="left"/>
      <w:pPr>
        <w:ind w:left="155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0" w:hanging="601"/>
      </w:pPr>
      <w:rPr>
        <w:rFonts w:hint="default"/>
        <w:lang w:val="zh-CN" w:eastAsia="zh-CN" w:bidi="zh-CN"/>
      </w:rPr>
    </w:lvl>
    <w:lvl w:ilvl="2" w:tentative="0">
      <w:start w:val="0"/>
      <w:numFmt w:val="bullet"/>
      <w:lvlText w:val="•"/>
      <w:lvlJc w:val="left"/>
      <w:pPr>
        <w:ind w:left="3200" w:hanging="601"/>
      </w:pPr>
      <w:rPr>
        <w:rFonts w:hint="default"/>
        <w:lang w:val="zh-CN" w:eastAsia="zh-CN" w:bidi="zh-CN"/>
      </w:rPr>
    </w:lvl>
    <w:lvl w:ilvl="3" w:tentative="0">
      <w:start w:val="0"/>
      <w:numFmt w:val="bullet"/>
      <w:lvlText w:val="•"/>
      <w:lvlJc w:val="left"/>
      <w:pPr>
        <w:ind w:left="4020" w:hanging="601"/>
      </w:pPr>
      <w:rPr>
        <w:rFonts w:hint="default"/>
        <w:lang w:val="zh-CN" w:eastAsia="zh-CN" w:bidi="zh-CN"/>
      </w:rPr>
    </w:lvl>
    <w:lvl w:ilvl="4" w:tentative="0">
      <w:start w:val="0"/>
      <w:numFmt w:val="bullet"/>
      <w:lvlText w:val="•"/>
      <w:lvlJc w:val="left"/>
      <w:pPr>
        <w:ind w:left="4840" w:hanging="601"/>
      </w:pPr>
      <w:rPr>
        <w:rFonts w:hint="default"/>
        <w:lang w:val="zh-CN" w:eastAsia="zh-CN" w:bidi="zh-CN"/>
      </w:rPr>
    </w:lvl>
    <w:lvl w:ilvl="5" w:tentative="0">
      <w:start w:val="0"/>
      <w:numFmt w:val="bullet"/>
      <w:lvlText w:val="•"/>
      <w:lvlJc w:val="left"/>
      <w:pPr>
        <w:ind w:left="5660"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300" w:hanging="601"/>
      </w:pPr>
      <w:rPr>
        <w:rFonts w:hint="default"/>
        <w:lang w:val="zh-CN" w:eastAsia="zh-CN" w:bidi="zh-CN"/>
      </w:rPr>
    </w:lvl>
    <w:lvl w:ilvl="8" w:tentative="0">
      <w:start w:val="0"/>
      <w:numFmt w:val="bullet"/>
      <w:lvlText w:val="•"/>
      <w:lvlJc w:val="left"/>
      <w:pPr>
        <w:ind w:left="8120" w:hanging="601"/>
      </w:pPr>
      <w:rPr>
        <w:rFonts w:hint="default"/>
        <w:lang w:val="zh-CN" w:eastAsia="zh-CN" w:bidi="zh-CN"/>
      </w:rPr>
    </w:lvl>
  </w:abstractNum>
  <w:abstractNum w:abstractNumId="38">
    <w:nsid w:val="612C1093"/>
    <w:multiLevelType w:val="multilevel"/>
    <w:tmpl w:val="612C1093"/>
    <w:lvl w:ilvl="0" w:tentative="0">
      <w:start w:val="1"/>
      <w:numFmt w:val="bullet"/>
      <w:lvlText w:val=""/>
      <w:lvlJc w:val="left"/>
      <w:pPr>
        <w:ind w:left="1400" w:hanging="420"/>
      </w:pPr>
      <w:rPr>
        <w:rFonts w:hint="default" w:ascii="Wingdings" w:hAnsi="Wingdings"/>
      </w:rPr>
    </w:lvl>
    <w:lvl w:ilvl="1" w:tentative="0">
      <w:start w:val="1"/>
      <w:numFmt w:val="bullet"/>
      <w:lvlText w:val=""/>
      <w:lvlJc w:val="left"/>
      <w:pPr>
        <w:ind w:left="1820" w:hanging="420"/>
      </w:pPr>
      <w:rPr>
        <w:rFonts w:hint="default" w:ascii="Wingdings" w:hAnsi="Wingdings"/>
      </w:rPr>
    </w:lvl>
    <w:lvl w:ilvl="2" w:tentative="0">
      <w:start w:val="1"/>
      <w:numFmt w:val="bullet"/>
      <w:lvlText w:val=""/>
      <w:lvlJc w:val="left"/>
      <w:pPr>
        <w:ind w:left="2240" w:hanging="420"/>
      </w:pPr>
      <w:rPr>
        <w:rFonts w:hint="default" w:ascii="Wingdings" w:hAnsi="Wingdings"/>
      </w:rPr>
    </w:lvl>
    <w:lvl w:ilvl="3" w:tentative="0">
      <w:start w:val="1"/>
      <w:numFmt w:val="bullet"/>
      <w:lvlText w:val=""/>
      <w:lvlJc w:val="left"/>
      <w:pPr>
        <w:ind w:left="2660" w:hanging="420"/>
      </w:pPr>
      <w:rPr>
        <w:rFonts w:hint="default" w:ascii="Wingdings" w:hAnsi="Wingdings"/>
      </w:rPr>
    </w:lvl>
    <w:lvl w:ilvl="4" w:tentative="0">
      <w:start w:val="1"/>
      <w:numFmt w:val="bullet"/>
      <w:lvlText w:val=""/>
      <w:lvlJc w:val="left"/>
      <w:pPr>
        <w:ind w:left="3080" w:hanging="420"/>
      </w:pPr>
      <w:rPr>
        <w:rFonts w:hint="default" w:ascii="Wingdings" w:hAnsi="Wingdings"/>
      </w:rPr>
    </w:lvl>
    <w:lvl w:ilvl="5" w:tentative="0">
      <w:start w:val="1"/>
      <w:numFmt w:val="bullet"/>
      <w:lvlText w:val=""/>
      <w:lvlJc w:val="left"/>
      <w:pPr>
        <w:ind w:left="3500" w:hanging="420"/>
      </w:pPr>
      <w:rPr>
        <w:rFonts w:hint="default" w:ascii="Wingdings" w:hAnsi="Wingdings"/>
      </w:rPr>
    </w:lvl>
    <w:lvl w:ilvl="6" w:tentative="0">
      <w:start w:val="1"/>
      <w:numFmt w:val="bullet"/>
      <w:lvlText w:val=""/>
      <w:lvlJc w:val="left"/>
      <w:pPr>
        <w:ind w:left="3920" w:hanging="420"/>
      </w:pPr>
      <w:rPr>
        <w:rFonts w:hint="default" w:ascii="Wingdings" w:hAnsi="Wingdings"/>
      </w:rPr>
    </w:lvl>
    <w:lvl w:ilvl="7" w:tentative="0">
      <w:start w:val="1"/>
      <w:numFmt w:val="bullet"/>
      <w:lvlText w:val=""/>
      <w:lvlJc w:val="left"/>
      <w:pPr>
        <w:ind w:left="4340" w:hanging="420"/>
      </w:pPr>
      <w:rPr>
        <w:rFonts w:hint="default" w:ascii="Wingdings" w:hAnsi="Wingdings"/>
      </w:rPr>
    </w:lvl>
    <w:lvl w:ilvl="8" w:tentative="0">
      <w:start w:val="1"/>
      <w:numFmt w:val="bullet"/>
      <w:lvlText w:val=""/>
      <w:lvlJc w:val="left"/>
      <w:pPr>
        <w:ind w:left="4760" w:hanging="420"/>
      </w:pPr>
      <w:rPr>
        <w:rFonts w:hint="default" w:ascii="Wingdings" w:hAnsi="Wingdings"/>
      </w:rPr>
    </w:lvl>
  </w:abstractNum>
  <w:abstractNum w:abstractNumId="39">
    <w:nsid w:val="6133393A"/>
    <w:multiLevelType w:val="multilevel"/>
    <w:tmpl w:val="6133393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629F7852"/>
    <w:multiLevelType w:val="multilevel"/>
    <w:tmpl w:val="629F7852"/>
    <w:lvl w:ilvl="0" w:tentative="0">
      <w:start w:val="1"/>
      <w:numFmt w:val="decimal"/>
      <w:lvlText w:val="%1."/>
      <w:lvlJc w:val="left"/>
      <w:pPr>
        <w:ind w:left="1039" w:hanging="562"/>
        <w:jc w:val="left"/>
      </w:pPr>
      <w:rPr>
        <w:rFonts w:hint="default" w:ascii="宋体" w:hAnsi="宋体" w:eastAsia="宋体" w:cs="宋体"/>
        <w:b/>
        <w:bCs/>
        <w:spacing w:val="0"/>
        <w:w w:val="99"/>
        <w:sz w:val="28"/>
        <w:szCs w:val="28"/>
        <w:lang w:val="zh-CN" w:eastAsia="zh-CN" w:bidi="zh-CN"/>
      </w:rPr>
    </w:lvl>
    <w:lvl w:ilvl="1" w:tentative="0">
      <w:start w:val="1"/>
      <w:numFmt w:val="decimal"/>
      <w:lvlText w:val="%1.%2"/>
      <w:lvlJc w:val="left"/>
      <w:pPr>
        <w:ind w:left="1560" w:hanging="603"/>
        <w:jc w:val="left"/>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1677" w:hanging="720"/>
        <w:jc w:val="left"/>
      </w:pPr>
      <w:rPr>
        <w:rFonts w:hint="default" w:ascii="宋体" w:hAnsi="宋体" w:eastAsia="宋体" w:cs="宋体"/>
        <w:w w:val="100"/>
        <w:sz w:val="24"/>
        <w:szCs w:val="24"/>
        <w:lang w:val="zh-CN" w:eastAsia="zh-CN" w:bidi="zh-CN"/>
      </w:rPr>
    </w:lvl>
    <w:lvl w:ilvl="3" w:tentative="0">
      <w:start w:val="1"/>
      <w:numFmt w:val="decimal"/>
      <w:lvlText w:val="%4."/>
      <w:lvlJc w:val="left"/>
      <w:pPr>
        <w:ind w:left="1408" w:hanging="360"/>
        <w:jc w:val="left"/>
      </w:pPr>
      <w:rPr>
        <w:rFonts w:hint="default" w:ascii="宋体" w:hAnsi="宋体" w:eastAsia="宋体" w:cs="宋体"/>
        <w:w w:val="100"/>
        <w:sz w:val="24"/>
        <w:szCs w:val="24"/>
        <w:lang w:val="zh-CN" w:eastAsia="zh-CN" w:bidi="zh-CN"/>
      </w:rPr>
    </w:lvl>
    <w:lvl w:ilvl="4" w:tentative="0">
      <w:start w:val="0"/>
      <w:numFmt w:val="bullet"/>
      <w:lvlText w:val="•"/>
      <w:lvlJc w:val="left"/>
      <w:pPr>
        <w:ind w:left="1680" w:hanging="360"/>
      </w:pPr>
      <w:rPr>
        <w:rFonts w:hint="default"/>
        <w:lang w:val="zh-CN" w:eastAsia="zh-CN" w:bidi="zh-CN"/>
      </w:rPr>
    </w:lvl>
    <w:lvl w:ilvl="5" w:tentative="0">
      <w:start w:val="0"/>
      <w:numFmt w:val="bullet"/>
      <w:lvlText w:val="•"/>
      <w:lvlJc w:val="left"/>
      <w:pPr>
        <w:ind w:left="1800" w:hanging="360"/>
      </w:pPr>
      <w:rPr>
        <w:rFonts w:hint="default"/>
        <w:lang w:val="zh-CN" w:eastAsia="zh-CN" w:bidi="zh-CN"/>
      </w:rPr>
    </w:lvl>
    <w:lvl w:ilvl="6" w:tentative="0">
      <w:start w:val="0"/>
      <w:numFmt w:val="bullet"/>
      <w:lvlText w:val="•"/>
      <w:lvlJc w:val="left"/>
      <w:pPr>
        <w:ind w:left="3392" w:hanging="360"/>
      </w:pPr>
      <w:rPr>
        <w:rFonts w:hint="default"/>
        <w:lang w:val="zh-CN" w:eastAsia="zh-CN" w:bidi="zh-CN"/>
      </w:rPr>
    </w:lvl>
    <w:lvl w:ilvl="7" w:tentative="0">
      <w:start w:val="0"/>
      <w:numFmt w:val="bullet"/>
      <w:lvlText w:val="•"/>
      <w:lvlJc w:val="left"/>
      <w:pPr>
        <w:ind w:left="4984" w:hanging="360"/>
      </w:pPr>
      <w:rPr>
        <w:rFonts w:hint="default"/>
        <w:lang w:val="zh-CN" w:eastAsia="zh-CN" w:bidi="zh-CN"/>
      </w:rPr>
    </w:lvl>
    <w:lvl w:ilvl="8" w:tentative="0">
      <w:start w:val="0"/>
      <w:numFmt w:val="bullet"/>
      <w:lvlText w:val="•"/>
      <w:lvlJc w:val="left"/>
      <w:pPr>
        <w:ind w:left="6576" w:hanging="360"/>
      </w:pPr>
      <w:rPr>
        <w:rFonts w:hint="default"/>
        <w:lang w:val="zh-CN" w:eastAsia="zh-CN" w:bidi="zh-CN"/>
      </w:rPr>
    </w:lvl>
  </w:abstractNum>
  <w:abstractNum w:abstractNumId="41">
    <w:nsid w:val="66C71ECC"/>
    <w:multiLevelType w:val="multilevel"/>
    <w:tmpl w:val="66C71EC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66DC4324"/>
    <w:multiLevelType w:val="multilevel"/>
    <w:tmpl w:val="66DC4324"/>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6F97EC93"/>
    <w:multiLevelType w:val="singleLevel"/>
    <w:tmpl w:val="6F97EC93"/>
    <w:lvl w:ilvl="0" w:tentative="0">
      <w:start w:val="1"/>
      <w:numFmt w:val="decimal"/>
      <w:lvlText w:val="%1."/>
      <w:lvlJc w:val="left"/>
      <w:pPr>
        <w:ind w:left="425" w:hanging="425"/>
      </w:pPr>
      <w:rPr>
        <w:rFonts w:hint="default"/>
      </w:rPr>
    </w:lvl>
  </w:abstractNum>
  <w:abstractNum w:abstractNumId="44">
    <w:nsid w:val="76BA1E64"/>
    <w:multiLevelType w:val="multilevel"/>
    <w:tmpl w:val="76BA1E6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77ECEA79"/>
    <w:multiLevelType w:val="multilevel"/>
    <w:tmpl w:val="77ECEA79"/>
    <w:lvl w:ilvl="0" w:tentative="0">
      <w:start w:val="1"/>
      <w:numFmt w:val="decimal"/>
      <w:lvlText w:val="（%1）"/>
      <w:lvlJc w:val="left"/>
      <w:pPr>
        <w:ind w:left="143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72" w:hanging="601"/>
      </w:pPr>
      <w:rPr>
        <w:rFonts w:hint="default"/>
        <w:lang w:val="zh-CN" w:eastAsia="zh-CN" w:bidi="zh-CN"/>
      </w:rPr>
    </w:lvl>
    <w:lvl w:ilvl="2" w:tentative="0">
      <w:start w:val="0"/>
      <w:numFmt w:val="bullet"/>
      <w:lvlText w:val="•"/>
      <w:lvlJc w:val="left"/>
      <w:pPr>
        <w:ind w:left="3104" w:hanging="601"/>
      </w:pPr>
      <w:rPr>
        <w:rFonts w:hint="default"/>
        <w:lang w:val="zh-CN" w:eastAsia="zh-CN" w:bidi="zh-CN"/>
      </w:rPr>
    </w:lvl>
    <w:lvl w:ilvl="3" w:tentative="0">
      <w:start w:val="0"/>
      <w:numFmt w:val="bullet"/>
      <w:lvlText w:val="•"/>
      <w:lvlJc w:val="left"/>
      <w:pPr>
        <w:ind w:left="3936" w:hanging="601"/>
      </w:pPr>
      <w:rPr>
        <w:rFonts w:hint="default"/>
        <w:lang w:val="zh-CN" w:eastAsia="zh-CN" w:bidi="zh-CN"/>
      </w:rPr>
    </w:lvl>
    <w:lvl w:ilvl="4" w:tentative="0">
      <w:start w:val="0"/>
      <w:numFmt w:val="bullet"/>
      <w:lvlText w:val="•"/>
      <w:lvlJc w:val="left"/>
      <w:pPr>
        <w:ind w:left="4768" w:hanging="601"/>
      </w:pPr>
      <w:rPr>
        <w:rFonts w:hint="default"/>
        <w:lang w:val="zh-CN" w:eastAsia="zh-CN" w:bidi="zh-CN"/>
      </w:rPr>
    </w:lvl>
    <w:lvl w:ilvl="5" w:tentative="0">
      <w:start w:val="0"/>
      <w:numFmt w:val="bullet"/>
      <w:lvlText w:val="•"/>
      <w:lvlJc w:val="left"/>
      <w:pPr>
        <w:ind w:left="5600" w:hanging="601"/>
      </w:pPr>
      <w:rPr>
        <w:rFonts w:hint="default"/>
        <w:lang w:val="zh-CN" w:eastAsia="zh-CN" w:bidi="zh-CN"/>
      </w:rPr>
    </w:lvl>
    <w:lvl w:ilvl="6" w:tentative="0">
      <w:start w:val="0"/>
      <w:numFmt w:val="bullet"/>
      <w:lvlText w:val="•"/>
      <w:lvlJc w:val="left"/>
      <w:pPr>
        <w:ind w:left="6432" w:hanging="601"/>
      </w:pPr>
      <w:rPr>
        <w:rFonts w:hint="default"/>
        <w:lang w:val="zh-CN" w:eastAsia="zh-CN" w:bidi="zh-CN"/>
      </w:rPr>
    </w:lvl>
    <w:lvl w:ilvl="7" w:tentative="0">
      <w:start w:val="0"/>
      <w:numFmt w:val="bullet"/>
      <w:lvlText w:val="•"/>
      <w:lvlJc w:val="left"/>
      <w:pPr>
        <w:ind w:left="7264" w:hanging="601"/>
      </w:pPr>
      <w:rPr>
        <w:rFonts w:hint="default"/>
        <w:lang w:val="zh-CN" w:eastAsia="zh-CN" w:bidi="zh-CN"/>
      </w:rPr>
    </w:lvl>
    <w:lvl w:ilvl="8" w:tentative="0">
      <w:start w:val="0"/>
      <w:numFmt w:val="bullet"/>
      <w:lvlText w:val="•"/>
      <w:lvlJc w:val="left"/>
      <w:pPr>
        <w:ind w:left="8096" w:hanging="601"/>
      </w:pPr>
      <w:rPr>
        <w:rFonts w:hint="default"/>
        <w:lang w:val="zh-CN" w:eastAsia="zh-CN" w:bidi="zh-CN"/>
      </w:rPr>
    </w:lvl>
  </w:abstractNum>
  <w:abstractNum w:abstractNumId="46">
    <w:nsid w:val="78C1583D"/>
    <w:multiLevelType w:val="multilevel"/>
    <w:tmpl w:val="78C1583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799B749B"/>
    <w:multiLevelType w:val="multilevel"/>
    <w:tmpl w:val="799B749B"/>
    <w:lvl w:ilvl="0" w:tentative="0">
      <w:start w:val="1"/>
      <w:numFmt w:val="bullet"/>
      <w:lvlText w:val=""/>
      <w:lvlJc w:val="left"/>
      <w:pPr>
        <w:ind w:left="1400" w:hanging="420"/>
      </w:pPr>
      <w:rPr>
        <w:rFonts w:hint="default" w:ascii="Wingdings" w:hAnsi="Wingdings"/>
      </w:rPr>
    </w:lvl>
    <w:lvl w:ilvl="1" w:tentative="0">
      <w:start w:val="1"/>
      <w:numFmt w:val="bullet"/>
      <w:lvlText w:val=""/>
      <w:lvlJc w:val="left"/>
      <w:pPr>
        <w:ind w:left="1820" w:hanging="420"/>
      </w:pPr>
      <w:rPr>
        <w:rFonts w:hint="default" w:ascii="Wingdings" w:hAnsi="Wingdings"/>
      </w:rPr>
    </w:lvl>
    <w:lvl w:ilvl="2" w:tentative="0">
      <w:start w:val="1"/>
      <w:numFmt w:val="bullet"/>
      <w:lvlText w:val=""/>
      <w:lvlJc w:val="left"/>
      <w:pPr>
        <w:ind w:left="2240" w:hanging="420"/>
      </w:pPr>
      <w:rPr>
        <w:rFonts w:hint="default" w:ascii="Wingdings" w:hAnsi="Wingdings"/>
      </w:rPr>
    </w:lvl>
    <w:lvl w:ilvl="3" w:tentative="0">
      <w:start w:val="1"/>
      <w:numFmt w:val="bullet"/>
      <w:lvlText w:val=""/>
      <w:lvlJc w:val="left"/>
      <w:pPr>
        <w:ind w:left="2660" w:hanging="420"/>
      </w:pPr>
      <w:rPr>
        <w:rFonts w:hint="default" w:ascii="Wingdings" w:hAnsi="Wingdings"/>
      </w:rPr>
    </w:lvl>
    <w:lvl w:ilvl="4" w:tentative="0">
      <w:start w:val="1"/>
      <w:numFmt w:val="bullet"/>
      <w:lvlText w:val=""/>
      <w:lvlJc w:val="left"/>
      <w:pPr>
        <w:ind w:left="3080" w:hanging="420"/>
      </w:pPr>
      <w:rPr>
        <w:rFonts w:hint="default" w:ascii="Wingdings" w:hAnsi="Wingdings"/>
      </w:rPr>
    </w:lvl>
    <w:lvl w:ilvl="5" w:tentative="0">
      <w:start w:val="1"/>
      <w:numFmt w:val="bullet"/>
      <w:lvlText w:val=""/>
      <w:lvlJc w:val="left"/>
      <w:pPr>
        <w:ind w:left="3500" w:hanging="420"/>
      </w:pPr>
      <w:rPr>
        <w:rFonts w:hint="default" w:ascii="Wingdings" w:hAnsi="Wingdings"/>
      </w:rPr>
    </w:lvl>
    <w:lvl w:ilvl="6" w:tentative="0">
      <w:start w:val="1"/>
      <w:numFmt w:val="bullet"/>
      <w:lvlText w:val=""/>
      <w:lvlJc w:val="left"/>
      <w:pPr>
        <w:ind w:left="3920" w:hanging="420"/>
      </w:pPr>
      <w:rPr>
        <w:rFonts w:hint="default" w:ascii="Wingdings" w:hAnsi="Wingdings"/>
      </w:rPr>
    </w:lvl>
    <w:lvl w:ilvl="7" w:tentative="0">
      <w:start w:val="1"/>
      <w:numFmt w:val="bullet"/>
      <w:lvlText w:val=""/>
      <w:lvlJc w:val="left"/>
      <w:pPr>
        <w:ind w:left="4340" w:hanging="420"/>
      </w:pPr>
      <w:rPr>
        <w:rFonts w:hint="default" w:ascii="Wingdings" w:hAnsi="Wingdings"/>
      </w:rPr>
    </w:lvl>
    <w:lvl w:ilvl="8" w:tentative="0">
      <w:start w:val="1"/>
      <w:numFmt w:val="bullet"/>
      <w:lvlText w:val=""/>
      <w:lvlJc w:val="left"/>
      <w:pPr>
        <w:ind w:left="4760" w:hanging="420"/>
      </w:pPr>
      <w:rPr>
        <w:rFonts w:hint="default" w:ascii="Wingdings" w:hAnsi="Wingdings"/>
      </w:rPr>
    </w:lvl>
  </w:abstractNum>
  <w:abstractNum w:abstractNumId="48">
    <w:nsid w:val="7C246926"/>
    <w:multiLevelType w:val="multilevel"/>
    <w:tmpl w:val="7C246926"/>
    <w:lvl w:ilvl="0" w:tentative="0">
      <w:start w:val="1"/>
      <w:numFmt w:val="decimal"/>
      <w:lvlText w:val="（%1）"/>
      <w:lvlJc w:val="left"/>
      <w:pPr>
        <w:ind w:left="155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0" w:hanging="601"/>
      </w:pPr>
      <w:rPr>
        <w:rFonts w:hint="default"/>
        <w:lang w:val="zh-CN" w:eastAsia="zh-CN" w:bidi="zh-CN"/>
      </w:rPr>
    </w:lvl>
    <w:lvl w:ilvl="2" w:tentative="0">
      <w:start w:val="0"/>
      <w:numFmt w:val="bullet"/>
      <w:lvlText w:val="•"/>
      <w:lvlJc w:val="left"/>
      <w:pPr>
        <w:ind w:left="3200" w:hanging="601"/>
      </w:pPr>
      <w:rPr>
        <w:rFonts w:hint="default"/>
        <w:lang w:val="zh-CN" w:eastAsia="zh-CN" w:bidi="zh-CN"/>
      </w:rPr>
    </w:lvl>
    <w:lvl w:ilvl="3" w:tentative="0">
      <w:start w:val="0"/>
      <w:numFmt w:val="bullet"/>
      <w:lvlText w:val="•"/>
      <w:lvlJc w:val="left"/>
      <w:pPr>
        <w:ind w:left="4020" w:hanging="601"/>
      </w:pPr>
      <w:rPr>
        <w:rFonts w:hint="default"/>
        <w:lang w:val="zh-CN" w:eastAsia="zh-CN" w:bidi="zh-CN"/>
      </w:rPr>
    </w:lvl>
    <w:lvl w:ilvl="4" w:tentative="0">
      <w:start w:val="0"/>
      <w:numFmt w:val="bullet"/>
      <w:lvlText w:val="•"/>
      <w:lvlJc w:val="left"/>
      <w:pPr>
        <w:ind w:left="4840" w:hanging="601"/>
      </w:pPr>
      <w:rPr>
        <w:rFonts w:hint="default"/>
        <w:lang w:val="zh-CN" w:eastAsia="zh-CN" w:bidi="zh-CN"/>
      </w:rPr>
    </w:lvl>
    <w:lvl w:ilvl="5" w:tentative="0">
      <w:start w:val="0"/>
      <w:numFmt w:val="bullet"/>
      <w:lvlText w:val="•"/>
      <w:lvlJc w:val="left"/>
      <w:pPr>
        <w:ind w:left="5660"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300" w:hanging="601"/>
      </w:pPr>
      <w:rPr>
        <w:rFonts w:hint="default"/>
        <w:lang w:val="zh-CN" w:eastAsia="zh-CN" w:bidi="zh-CN"/>
      </w:rPr>
    </w:lvl>
    <w:lvl w:ilvl="8" w:tentative="0">
      <w:start w:val="0"/>
      <w:numFmt w:val="bullet"/>
      <w:lvlText w:val="•"/>
      <w:lvlJc w:val="left"/>
      <w:pPr>
        <w:ind w:left="8120" w:hanging="601"/>
      </w:pPr>
      <w:rPr>
        <w:rFonts w:hint="default"/>
        <w:lang w:val="zh-CN" w:eastAsia="zh-CN" w:bidi="zh-CN"/>
      </w:rPr>
    </w:lvl>
  </w:abstractNum>
  <w:num w:numId="1">
    <w:abstractNumId w:val="23"/>
  </w:num>
  <w:num w:numId="2">
    <w:abstractNumId w:val="33"/>
  </w:num>
  <w:num w:numId="3">
    <w:abstractNumId w:val="5"/>
  </w:num>
  <w:num w:numId="4">
    <w:abstractNumId w:val="30"/>
  </w:num>
  <w:num w:numId="5">
    <w:abstractNumId w:val="10"/>
  </w:num>
  <w:num w:numId="6">
    <w:abstractNumId w:val="21"/>
  </w:num>
  <w:num w:numId="7">
    <w:abstractNumId w:val="8"/>
  </w:num>
  <w:num w:numId="8">
    <w:abstractNumId w:val="7"/>
  </w:num>
  <w:num w:numId="9">
    <w:abstractNumId w:val="3"/>
  </w:num>
  <w:num w:numId="10">
    <w:abstractNumId w:val="29"/>
  </w:num>
  <w:num w:numId="11">
    <w:abstractNumId w:val="37"/>
  </w:num>
  <w:num w:numId="12">
    <w:abstractNumId w:val="12"/>
  </w:num>
  <w:num w:numId="13">
    <w:abstractNumId w:val="4"/>
  </w:num>
  <w:num w:numId="14">
    <w:abstractNumId w:val="48"/>
  </w:num>
  <w:num w:numId="15">
    <w:abstractNumId w:val="45"/>
  </w:num>
  <w:num w:numId="16">
    <w:abstractNumId w:val="25"/>
  </w:num>
  <w:num w:numId="17">
    <w:abstractNumId w:val="40"/>
  </w:num>
  <w:num w:numId="18">
    <w:abstractNumId w:val="1"/>
  </w:num>
  <w:num w:numId="19">
    <w:abstractNumId w:val="24"/>
  </w:num>
  <w:num w:numId="20">
    <w:abstractNumId w:val="0"/>
  </w:num>
  <w:num w:numId="21">
    <w:abstractNumId w:val="32"/>
  </w:num>
  <w:num w:numId="22">
    <w:abstractNumId w:val="35"/>
  </w:num>
  <w:num w:numId="23">
    <w:abstractNumId w:val="34"/>
  </w:num>
  <w:num w:numId="24">
    <w:abstractNumId w:val="42"/>
  </w:num>
  <w:num w:numId="25">
    <w:abstractNumId w:val="46"/>
  </w:num>
  <w:num w:numId="26">
    <w:abstractNumId w:val="39"/>
  </w:num>
  <w:num w:numId="27">
    <w:abstractNumId w:val="27"/>
  </w:num>
  <w:num w:numId="28">
    <w:abstractNumId w:val="13"/>
  </w:num>
  <w:num w:numId="29">
    <w:abstractNumId w:val="17"/>
  </w:num>
  <w:num w:numId="30">
    <w:abstractNumId w:val="44"/>
  </w:num>
  <w:num w:numId="31">
    <w:abstractNumId w:val="43"/>
  </w:num>
  <w:num w:numId="32">
    <w:abstractNumId w:val="41"/>
  </w:num>
  <w:num w:numId="33">
    <w:abstractNumId w:val="16"/>
  </w:num>
  <w:num w:numId="34">
    <w:abstractNumId w:val="15"/>
  </w:num>
  <w:num w:numId="35">
    <w:abstractNumId w:val="6"/>
  </w:num>
  <w:num w:numId="36">
    <w:abstractNumId w:val="26"/>
  </w:num>
  <w:num w:numId="37">
    <w:abstractNumId w:val="19"/>
  </w:num>
  <w:num w:numId="38">
    <w:abstractNumId w:val="22"/>
  </w:num>
  <w:num w:numId="39">
    <w:abstractNumId w:val="20"/>
  </w:num>
  <w:num w:numId="40">
    <w:abstractNumId w:val="31"/>
  </w:num>
  <w:num w:numId="41">
    <w:abstractNumId w:val="38"/>
  </w:num>
  <w:num w:numId="42">
    <w:abstractNumId w:val="11"/>
  </w:num>
  <w:num w:numId="43">
    <w:abstractNumId w:val="47"/>
  </w:num>
  <w:num w:numId="44">
    <w:abstractNumId w:val="36"/>
  </w:num>
  <w:num w:numId="45">
    <w:abstractNumId w:val="14"/>
  </w:num>
  <w:num w:numId="46">
    <w:abstractNumId w:val="2"/>
  </w:num>
  <w:num w:numId="47">
    <w:abstractNumId w:val="9"/>
  </w:num>
  <w:num w:numId="48">
    <w:abstractNumId w:val="18"/>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mMjllMzBjNzU2MzRmNWMwZmY5ODE4ZDQxOTFjMWIifQ=="/>
  </w:docVars>
  <w:rsids>
    <w:rsidRoot w:val="712B5A68"/>
    <w:rsid w:val="000C72CA"/>
    <w:rsid w:val="003F5B4A"/>
    <w:rsid w:val="00F810B2"/>
    <w:rsid w:val="057C377D"/>
    <w:rsid w:val="07C05332"/>
    <w:rsid w:val="08A90D2D"/>
    <w:rsid w:val="0BA5258C"/>
    <w:rsid w:val="0CF52C43"/>
    <w:rsid w:val="0D3A01A5"/>
    <w:rsid w:val="0DF465A6"/>
    <w:rsid w:val="0E472A48"/>
    <w:rsid w:val="0EB9406D"/>
    <w:rsid w:val="0F1D0F19"/>
    <w:rsid w:val="0FFE370C"/>
    <w:rsid w:val="101E5B5C"/>
    <w:rsid w:val="10652D6C"/>
    <w:rsid w:val="109E0ADB"/>
    <w:rsid w:val="12521AED"/>
    <w:rsid w:val="12C56763"/>
    <w:rsid w:val="141967A9"/>
    <w:rsid w:val="15520F4C"/>
    <w:rsid w:val="16481B85"/>
    <w:rsid w:val="167E17D6"/>
    <w:rsid w:val="18423A7C"/>
    <w:rsid w:val="188D7D23"/>
    <w:rsid w:val="18D07C10"/>
    <w:rsid w:val="1D9C6312"/>
    <w:rsid w:val="1E911BEF"/>
    <w:rsid w:val="1F264A2D"/>
    <w:rsid w:val="1F66307C"/>
    <w:rsid w:val="1FA140B4"/>
    <w:rsid w:val="235002CB"/>
    <w:rsid w:val="24A81A41"/>
    <w:rsid w:val="26445799"/>
    <w:rsid w:val="275959CC"/>
    <w:rsid w:val="2A7D1FC5"/>
    <w:rsid w:val="2BFC45C0"/>
    <w:rsid w:val="2F8D1F5F"/>
    <w:rsid w:val="2F990904"/>
    <w:rsid w:val="2FC242FE"/>
    <w:rsid w:val="317764AE"/>
    <w:rsid w:val="32650F71"/>
    <w:rsid w:val="366C2598"/>
    <w:rsid w:val="37BF2ED1"/>
    <w:rsid w:val="38A07241"/>
    <w:rsid w:val="3B143534"/>
    <w:rsid w:val="3B6638C9"/>
    <w:rsid w:val="3CD016DD"/>
    <w:rsid w:val="40420B44"/>
    <w:rsid w:val="427923BB"/>
    <w:rsid w:val="43C77C41"/>
    <w:rsid w:val="4574077E"/>
    <w:rsid w:val="4607616F"/>
    <w:rsid w:val="48AC1250"/>
    <w:rsid w:val="48CA4EAD"/>
    <w:rsid w:val="49B32DBD"/>
    <w:rsid w:val="49E60792"/>
    <w:rsid w:val="4A25750C"/>
    <w:rsid w:val="4A851D59"/>
    <w:rsid w:val="4B004E37"/>
    <w:rsid w:val="4B782F12"/>
    <w:rsid w:val="4BE92425"/>
    <w:rsid w:val="4CE7734F"/>
    <w:rsid w:val="4DC25072"/>
    <w:rsid w:val="4E0B3B20"/>
    <w:rsid w:val="4EE47996"/>
    <w:rsid w:val="4F0D4824"/>
    <w:rsid w:val="501C315F"/>
    <w:rsid w:val="51226553"/>
    <w:rsid w:val="525C7843"/>
    <w:rsid w:val="52F23502"/>
    <w:rsid w:val="53256338"/>
    <w:rsid w:val="53F86F3B"/>
    <w:rsid w:val="546E1AAF"/>
    <w:rsid w:val="54D67D81"/>
    <w:rsid w:val="552271FC"/>
    <w:rsid w:val="56876E58"/>
    <w:rsid w:val="5748483A"/>
    <w:rsid w:val="58767185"/>
    <w:rsid w:val="59841344"/>
    <w:rsid w:val="59A56E6B"/>
    <w:rsid w:val="5AD14B46"/>
    <w:rsid w:val="5AD8311B"/>
    <w:rsid w:val="5C3B64A1"/>
    <w:rsid w:val="5E316028"/>
    <w:rsid w:val="5EC724E8"/>
    <w:rsid w:val="5F4B4EC7"/>
    <w:rsid w:val="5FB217C3"/>
    <w:rsid w:val="6129748A"/>
    <w:rsid w:val="613D4EDC"/>
    <w:rsid w:val="64855383"/>
    <w:rsid w:val="64C5396E"/>
    <w:rsid w:val="66FE4F15"/>
    <w:rsid w:val="68112A26"/>
    <w:rsid w:val="6A0F7007"/>
    <w:rsid w:val="6BBA1291"/>
    <w:rsid w:val="6D063C35"/>
    <w:rsid w:val="6D1B0E98"/>
    <w:rsid w:val="6FC80571"/>
    <w:rsid w:val="709F32C5"/>
    <w:rsid w:val="712B5A68"/>
    <w:rsid w:val="72766AE8"/>
    <w:rsid w:val="74583EB6"/>
    <w:rsid w:val="74A363FC"/>
    <w:rsid w:val="74B74314"/>
    <w:rsid w:val="75363ACC"/>
    <w:rsid w:val="75B4336E"/>
    <w:rsid w:val="76067942"/>
    <w:rsid w:val="77AE24A5"/>
    <w:rsid w:val="78DB6C4C"/>
    <w:rsid w:val="795B1D53"/>
    <w:rsid w:val="7A992B33"/>
    <w:rsid w:val="7D6A530E"/>
    <w:rsid w:val="7DE20C95"/>
    <w:rsid w:val="7E7C655D"/>
    <w:rsid w:val="7EBB5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5">
    <w:name w:val="heading 1"/>
    <w:basedOn w:val="6"/>
    <w:next w:val="1"/>
    <w:qFormat/>
    <w:uiPriority w:val="1"/>
    <w:pPr>
      <w:ind w:right="16"/>
      <w:jc w:val="center"/>
      <w:outlineLvl w:val="1"/>
    </w:pPr>
    <w:rPr>
      <w:rFonts w:ascii="黑体" w:hAnsi="黑体" w:eastAsia="黑体" w:cs="黑体"/>
      <w:sz w:val="44"/>
      <w:szCs w:val="44"/>
      <w:lang w:val="zh-CN" w:eastAsia="zh-CN" w:bidi="zh-CN"/>
    </w:rPr>
  </w:style>
  <w:style w:type="paragraph" w:styleId="6">
    <w:name w:val="heading 2"/>
    <w:basedOn w:val="7"/>
    <w:next w:val="1"/>
    <w:qFormat/>
    <w:uiPriority w:val="1"/>
    <w:pPr>
      <w:spacing w:before="50"/>
      <w:ind w:right="153"/>
      <w:jc w:val="center"/>
      <w:outlineLvl w:val="2"/>
    </w:pPr>
    <w:rPr>
      <w:rFonts w:ascii="宋体" w:hAnsi="宋体" w:eastAsia="宋体" w:cs="宋体"/>
      <w:sz w:val="36"/>
      <w:szCs w:val="36"/>
      <w:lang w:val="zh-CN" w:eastAsia="zh-CN" w:bidi="zh-CN"/>
    </w:rPr>
  </w:style>
  <w:style w:type="paragraph" w:styleId="7">
    <w:name w:val="heading 3"/>
    <w:basedOn w:val="1"/>
    <w:next w:val="1"/>
    <w:qFormat/>
    <w:uiPriority w:val="1"/>
    <w:pPr>
      <w:spacing w:before="55"/>
      <w:ind w:right="158"/>
      <w:jc w:val="center"/>
      <w:outlineLvl w:val="3"/>
    </w:pPr>
    <w:rPr>
      <w:rFonts w:ascii="宋体" w:hAnsi="宋体" w:eastAsia="宋体" w:cs="宋体"/>
      <w:b/>
      <w:bCs/>
      <w:sz w:val="32"/>
      <w:szCs w:val="32"/>
      <w:lang w:val="zh-CN" w:eastAsia="zh-CN" w:bidi="zh-CN"/>
    </w:rPr>
  </w:style>
  <w:style w:type="paragraph" w:styleId="8">
    <w:name w:val="heading 4"/>
    <w:basedOn w:val="1"/>
    <w:next w:val="1"/>
    <w:qFormat/>
    <w:uiPriority w:val="1"/>
    <w:pPr>
      <w:ind w:left="1039" w:hanging="563"/>
      <w:outlineLvl w:val="4"/>
    </w:pPr>
    <w:rPr>
      <w:rFonts w:ascii="宋体" w:hAnsi="宋体" w:eastAsia="宋体" w:cs="宋体"/>
      <w:b/>
      <w:bCs/>
      <w:sz w:val="28"/>
      <w:szCs w:val="28"/>
      <w:lang w:val="zh-CN" w:eastAsia="zh-CN" w:bidi="zh-CN"/>
    </w:rPr>
  </w:style>
  <w:style w:type="paragraph" w:styleId="9">
    <w:name w:val="heading 5"/>
    <w:basedOn w:val="1"/>
    <w:next w:val="1"/>
    <w:qFormat/>
    <w:uiPriority w:val="1"/>
    <w:pPr>
      <w:ind w:left="1677"/>
      <w:outlineLvl w:val="5"/>
    </w:pPr>
    <w:rPr>
      <w:rFonts w:ascii="宋体" w:hAnsi="宋体" w:eastAsia="宋体" w:cs="宋体"/>
      <w:sz w:val="28"/>
      <w:szCs w:val="28"/>
      <w:lang w:val="zh-CN" w:eastAsia="zh-CN" w:bidi="zh-CN"/>
    </w:rPr>
  </w:style>
  <w:style w:type="paragraph" w:styleId="10">
    <w:name w:val="heading 6"/>
    <w:basedOn w:val="1"/>
    <w:next w:val="1"/>
    <w:qFormat/>
    <w:uiPriority w:val="1"/>
    <w:pPr>
      <w:ind w:left="1560" w:hanging="603"/>
      <w:outlineLvl w:val="6"/>
    </w:pPr>
    <w:rPr>
      <w:rFonts w:ascii="宋体" w:hAnsi="宋体" w:eastAsia="宋体" w:cs="宋体"/>
      <w:b/>
      <w:bCs/>
      <w:sz w:val="24"/>
      <w:szCs w:val="24"/>
      <w:lang w:val="zh-CN" w:eastAsia="zh-CN" w:bidi="zh-CN"/>
    </w:rPr>
  </w:style>
  <w:style w:type="paragraph" w:styleId="11">
    <w:name w:val="heading 7"/>
    <w:basedOn w:val="1"/>
    <w:next w:val="1"/>
    <w:semiHidden/>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rPr>
      <w:rFonts w:ascii="宋体" w:hAnsi="宋体" w:eastAsia="宋体" w:cs="宋体"/>
      <w:sz w:val="24"/>
      <w:szCs w:val="24"/>
      <w:lang w:val="zh-CN" w:eastAsia="zh-CN" w:bidi="zh-CN"/>
    </w:rPr>
  </w:style>
  <w:style w:type="paragraph" w:customStyle="1" w:styleId="3">
    <w:name w:val="style4"/>
    <w:basedOn w:val="1"/>
    <w:next w:val="4"/>
    <w:qFormat/>
    <w:uiPriority w:val="0"/>
    <w:pPr>
      <w:widowControl/>
      <w:spacing w:before="280" w:after="280"/>
    </w:pPr>
    <w:rPr>
      <w:rFonts w:ascii="宋体"/>
      <w:sz w:val="18"/>
    </w:rPr>
  </w:style>
  <w:style w:type="paragraph" w:customStyle="1" w:styleId="4">
    <w:name w:val="2"/>
    <w:next w:val="1"/>
    <w:qFormat/>
    <w:uiPriority w:val="0"/>
    <w:pPr>
      <w:widowControl w:val="0"/>
      <w:jc w:val="both"/>
    </w:pPr>
    <w:rPr>
      <w:rFonts w:ascii="Calibri" w:hAnsi="Calibri" w:eastAsia="宋体" w:cs="Times New Roman"/>
      <w:sz w:val="21"/>
      <w:szCs w:val="22"/>
      <w:lang w:val="en-US" w:eastAsia="zh-CN" w:bidi="ar-SA"/>
    </w:rPr>
  </w:style>
  <w:style w:type="paragraph" w:styleId="12">
    <w:name w:val="Normal Indent"/>
    <w:basedOn w:val="1"/>
    <w:qFormat/>
    <w:uiPriority w:val="0"/>
    <w:pPr>
      <w:autoSpaceDE w:val="0"/>
      <w:autoSpaceDN w:val="0"/>
      <w:adjustRightInd w:val="0"/>
      <w:ind w:right="0" w:rightChars="0" w:firstLine="420"/>
      <w:jc w:val="left"/>
      <w:textAlignment w:val="baseline"/>
    </w:pPr>
    <w:rPr>
      <w:rFonts w:ascii="宋体"/>
      <w:kern w:val="0"/>
      <w:sz w:val="34"/>
      <w:szCs w:val="20"/>
    </w:rPr>
  </w:style>
  <w:style w:type="paragraph" w:styleId="13">
    <w:name w:val="toa heading"/>
    <w:basedOn w:val="1"/>
    <w:next w:val="1"/>
    <w:qFormat/>
    <w:uiPriority w:val="0"/>
    <w:pPr>
      <w:spacing w:before="120"/>
    </w:pPr>
    <w:rPr>
      <w:rFonts w:ascii="Cambria" w:hAnsi="Cambria"/>
      <w:sz w:val="24"/>
    </w:rPr>
  </w:style>
  <w:style w:type="paragraph" w:styleId="14">
    <w:name w:val="annotation text"/>
    <w:basedOn w:val="1"/>
    <w:semiHidden/>
    <w:qFormat/>
    <w:uiPriority w:val="0"/>
    <w:pPr>
      <w:jc w:val="left"/>
    </w:pPr>
  </w:style>
  <w:style w:type="paragraph" w:styleId="15">
    <w:name w:val="Plain Text"/>
    <w:basedOn w:val="1"/>
    <w:qFormat/>
    <w:uiPriority w:val="0"/>
    <w:rPr>
      <w:rFonts w:ascii="宋体" w:hAnsi="Courier New"/>
    </w:rPr>
  </w:style>
  <w:style w:type="paragraph" w:styleId="16">
    <w:name w:val="footer"/>
    <w:basedOn w:val="1"/>
    <w:qFormat/>
    <w:uiPriority w:val="99"/>
    <w:pPr>
      <w:tabs>
        <w:tab w:val="center" w:pos="4153"/>
        <w:tab w:val="right" w:pos="8306"/>
      </w:tabs>
      <w:snapToGrid w:val="0"/>
      <w:jc w:val="left"/>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Normal (Web)"/>
    <w:basedOn w:val="1"/>
    <w:qFormat/>
    <w:uiPriority w:val="0"/>
    <w:pPr>
      <w:widowControl/>
      <w:spacing w:before="100" w:beforeAutospacing="1" w:after="100" w:afterAutospacing="1"/>
      <w:ind w:right="0" w:rightChars="0"/>
      <w:jc w:val="left"/>
    </w:pPr>
    <w:rPr>
      <w:rFonts w:ascii="宋体" w:hAnsi="宋体"/>
      <w:kern w:val="0"/>
      <w:sz w:val="24"/>
      <w:szCs w:val="24"/>
    </w:rPr>
  </w:style>
  <w:style w:type="paragraph" w:styleId="19">
    <w:name w:val="Body Text First Indent"/>
    <w:basedOn w:val="2"/>
    <w:qFormat/>
    <w:uiPriority w:val="0"/>
    <w:pPr>
      <w:ind w:firstLine="42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22"/>
    <w:rPr>
      <w:b/>
      <w:bCs/>
    </w:rPr>
  </w:style>
  <w:style w:type="paragraph" w:customStyle="1" w:styleId="24">
    <w:name w:val="段"/>
    <w:next w:val="1"/>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25">
    <w:name w:val="正"/>
    <w:basedOn w:val="26"/>
    <w:qFormat/>
    <w:uiPriority w:val="0"/>
    <w:pPr>
      <w:tabs>
        <w:tab w:val="left" w:pos="-120"/>
      </w:tabs>
      <w:spacing w:line="560" w:lineRule="exact"/>
      <w:ind w:firstLine="600"/>
      <w:textAlignment w:val="baseline"/>
    </w:pPr>
    <w:rPr>
      <w:rFonts w:ascii="仿宋_GB2312" w:hAnsi="仿宋_GB2312" w:eastAsia="仿宋_GB2312" w:cs="仿宋_GB2312"/>
      <w:color w:val="000000"/>
      <w:spacing w:val="20"/>
      <w:kern w:val="0"/>
    </w:rPr>
  </w:style>
  <w:style w:type="paragraph" w:customStyle="1" w:styleId="26">
    <w:name w:val="正文_1"/>
    <w:next w:val="25"/>
    <w:qFormat/>
    <w:uiPriority w:val="0"/>
    <w:pPr>
      <w:widowControl w:val="0"/>
      <w:suppressAutoHyphens/>
      <w:jc w:val="both"/>
    </w:pPr>
    <w:rPr>
      <w:rFonts w:ascii="Calibri" w:hAnsi="Calibri" w:eastAsia="宋体;SimSun" w:cs="Calibri"/>
      <w:kern w:val="2"/>
      <w:sz w:val="21"/>
      <w:szCs w:val="21"/>
      <w:lang w:val="en-US" w:eastAsia="zh-CN" w:bidi="ar-SA"/>
    </w:rPr>
  </w:style>
  <w:style w:type="paragraph" w:customStyle="1" w:styleId="27">
    <w:name w:val="Normal"/>
    <w:qFormat/>
    <w:uiPriority w:val="0"/>
    <w:rPr>
      <w:rFonts w:ascii="Times New Roman" w:hAnsi="Times New Roman" w:eastAsia="Times New Roman" w:cs="Times New Roman"/>
      <w:sz w:val="24"/>
      <w:szCs w:val="24"/>
      <w:lang w:val="en-US" w:eastAsia="zh-CN" w:bidi="ar-SA"/>
    </w:rPr>
  </w:style>
  <w:style w:type="paragraph" w:customStyle="1" w:styleId="28">
    <w:name w:val="Table Paragraph"/>
    <w:basedOn w:val="1"/>
    <w:qFormat/>
    <w:uiPriority w:val="1"/>
    <w:rPr>
      <w:rFonts w:ascii="宋体" w:hAnsi="宋体" w:eastAsia="宋体" w:cs="宋体"/>
      <w:lang w:val="zh-CN" w:eastAsia="zh-CN" w:bidi="zh-CN"/>
    </w:rPr>
  </w:style>
  <w:style w:type="paragraph" w:styleId="29">
    <w:name w:val="List Paragraph"/>
    <w:basedOn w:val="1"/>
    <w:qFormat/>
    <w:uiPriority w:val="1"/>
    <w:pPr>
      <w:ind w:left="477" w:firstLine="480"/>
    </w:pPr>
    <w:rPr>
      <w:rFonts w:ascii="宋体" w:hAnsi="宋体" w:eastAsia="宋体" w:cs="宋体"/>
      <w:lang w:val="zh-CN" w:eastAsia="zh-CN" w:bidi="zh-CN"/>
    </w:rPr>
  </w:style>
  <w:style w:type="paragraph" w:customStyle="1" w:styleId="30">
    <w:name w:val="Normal_3"/>
    <w:qFormat/>
    <w:uiPriority w:val="0"/>
    <w:rPr>
      <w:rFonts w:ascii="黑体" w:hAnsi="黑体" w:eastAsia="黑体" w:cs="Times New Roman"/>
      <w:b/>
      <w:sz w:val="32"/>
      <w:szCs w:val="24"/>
      <w:lang w:val="en-US" w:eastAsia="zh-CN" w:bidi="ar-SA"/>
    </w:rPr>
  </w:style>
  <w:style w:type="paragraph" w:customStyle="1" w:styleId="31">
    <w:name w:val="Default Text"/>
    <w:qFormat/>
    <w:uiPriority w:val="0"/>
    <w:pPr>
      <w:widowControl w:val="0"/>
      <w:autoSpaceDE w:val="0"/>
      <w:autoSpaceDN w:val="0"/>
      <w:adjustRightInd w:val="0"/>
    </w:pPr>
    <w:rPr>
      <w:rFonts w:ascii="Calibri" w:hAnsi="Calibri" w:eastAsia="宋体" w:cs="Times New Roman"/>
      <w:color w:val="000000"/>
      <w:kern w:val="2"/>
      <w:sz w:val="24"/>
      <w:szCs w:val="24"/>
      <w:lang w:val="en-US" w:eastAsia="zh-CN" w:bidi="ar-SA"/>
    </w:rPr>
  </w:style>
  <w:style w:type="paragraph" w:customStyle="1" w:styleId="32">
    <w:name w:val="正文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33">
    <w:name w:val="Normal_17"/>
    <w:qFormat/>
    <w:uiPriority w:val="0"/>
    <w:rPr>
      <w:rFonts w:ascii="黑体" w:hAnsi="黑体" w:eastAsia="黑体" w:cs="Times New Roman"/>
      <w:b/>
      <w:sz w:val="32"/>
      <w:szCs w:val="24"/>
      <w:lang w:val="en-US" w:eastAsia="zh-CN" w:bidi="ar-SA"/>
    </w:rPr>
  </w:style>
  <w:style w:type="paragraph" w:customStyle="1" w:styleId="34">
    <w:name w:val="正文文本_1_0"/>
    <w:basedOn w:val="35"/>
    <w:qFormat/>
    <w:uiPriority w:val="0"/>
    <w:pPr>
      <w:spacing w:after="120"/>
    </w:pPr>
    <w:rPr>
      <w:szCs w:val="22"/>
    </w:rPr>
  </w:style>
  <w:style w:type="paragraph" w:customStyle="1" w:styleId="35">
    <w:name w:val="正文_0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6">
    <w:name w:val="正文_0_0_1"/>
    <w:qFormat/>
    <w:uiPriority w:val="0"/>
    <w:pPr>
      <w:widowControl w:val="0"/>
      <w:jc w:val="both"/>
    </w:pPr>
    <w:rPr>
      <w:rFonts w:ascii="Calibri" w:hAnsi="Calibri" w:eastAsia="宋体" w:cs="Times New Roman"/>
      <w:kern w:val="2"/>
      <w:sz w:val="28"/>
      <w:szCs w:val="22"/>
      <w:lang w:val="en-US" w:eastAsia="zh-CN" w:bidi="ar-SA"/>
    </w:rPr>
  </w:style>
  <w:style w:type="paragraph" w:customStyle="1" w:styleId="37">
    <w:name w:val="正文_0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正文_0_1"/>
    <w:next w:val="4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文本_0"/>
    <w:basedOn w:val="42"/>
    <w:qFormat/>
    <w:uiPriority w:val="0"/>
    <w:pPr>
      <w:spacing w:after="120"/>
    </w:pPr>
    <w:rPr>
      <w:rFonts w:ascii="Times New Roman" w:hAnsi="Times New Roman"/>
      <w:szCs w:val="24"/>
    </w:rPr>
  </w:style>
  <w:style w:type="paragraph" w:customStyle="1" w:styleId="42">
    <w:name w:val="正文_1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
    <w:name w:val="正文_1_1_0_0"/>
    <w:semiHidden/>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正文_4_0_0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45">
    <w:name w:val="Normal_14"/>
    <w:qFormat/>
    <w:uiPriority w:val="0"/>
    <w:rPr>
      <w:rFonts w:ascii="黑体" w:hAnsi="黑体" w:eastAsia="黑体" w:cs="Times New Roman"/>
      <w:b/>
      <w:sz w:val="32"/>
      <w:szCs w:val="24"/>
      <w:lang w:val="en-US" w:eastAsia="zh-CN" w:bidi="ar-SA"/>
    </w:rPr>
  </w:style>
  <w:style w:type="paragraph" w:customStyle="1" w:styleId="46">
    <w:name w:val="WPSOffice手动目录 1"/>
    <w:qFormat/>
    <w:uiPriority w:val="0"/>
    <w:pPr>
      <w:ind w:leftChars="0"/>
    </w:pPr>
    <w:rPr>
      <w:rFonts w:ascii="Times New Roman" w:hAnsi="Times New Roman" w:eastAsia="宋体" w:cs="Times New Roman"/>
      <w:sz w:val="20"/>
      <w:szCs w:val="20"/>
    </w:rPr>
  </w:style>
  <w:style w:type="paragraph" w:customStyle="1" w:styleId="47">
    <w:name w:val="WPSOffice手动目录 2"/>
    <w:qFormat/>
    <w:uiPriority w:val="0"/>
    <w:pPr>
      <w:ind w:leftChars="200"/>
    </w:pPr>
    <w:rPr>
      <w:rFonts w:ascii="Times New Roman" w:hAnsi="Times New Roman" w:eastAsia="宋体" w:cs="Times New Roman"/>
      <w:sz w:val="20"/>
      <w:szCs w:val="20"/>
    </w:rPr>
  </w:style>
  <w:style w:type="paragraph" w:customStyle="1" w:styleId="48">
    <w:name w:val="正文_2"/>
    <w:qFormat/>
    <w:uiPriority w:val="0"/>
    <w:pPr>
      <w:widowControl w:val="0"/>
      <w:jc w:val="both"/>
    </w:pPr>
    <w:rPr>
      <w:rFonts w:ascii="Times New Roman" w:hAnsi="Times New Roman" w:eastAsia="仿宋_GB2312" w:cs="Times New Roman"/>
      <w:kern w:val="2"/>
      <w:sz w:val="28"/>
      <w:szCs w:val="24"/>
      <w:lang w:val="en-US" w:eastAsia="zh-CN" w:bidi="ar-SA"/>
    </w:rPr>
  </w:style>
  <w:style w:type="paragraph" w:customStyle="1" w:styleId="49">
    <w:name w:val="正文1"/>
    <w:next w:val="1"/>
    <w:qFormat/>
    <w:uiPriority w:val="0"/>
    <w:pPr>
      <w:widowControl w:val="0"/>
      <w:jc w:val="both"/>
    </w:pPr>
    <w:rPr>
      <w:rFonts w:ascii="Times New Roman" w:hAnsi="Times New Roman" w:eastAsia="Times New Roman" w:cs="Times New Roman"/>
      <w:lang w:val="en-US" w:eastAsia="zh-CN" w:bidi="ar-SA"/>
    </w:rPr>
  </w:style>
  <w:style w:type="paragraph" w:customStyle="1" w:styleId="50">
    <w:name w:val="正文_0"/>
    <w:qFormat/>
    <w:uiPriority w:val="0"/>
    <w:pPr>
      <w:widowControl w:val="0"/>
      <w:jc w:val="both"/>
    </w:pPr>
    <w:rPr>
      <w:rFonts w:ascii="Times New Roman" w:hAnsi="Times New Roman" w:eastAsia="仿宋_GB2312" w:cs="Times New Roman"/>
      <w:kern w:val="2"/>
      <w:sz w:val="28"/>
      <w:szCs w:val="24"/>
      <w:lang w:val="en-US" w:eastAsia="zh-CN" w:bidi="ar-SA"/>
    </w:rPr>
  </w:style>
  <w:style w:type="paragraph" w:customStyle="1" w:styleId="51">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52">
    <w:name w:val="表格正文段落（紧凑型）"/>
    <w:basedOn w:val="1"/>
    <w:qFormat/>
    <w:uiPriority w:val="0"/>
    <w:pPr>
      <w:widowControl/>
      <w:snapToGrid w:val="0"/>
      <w:jc w:val="left"/>
    </w:pPr>
    <w:rPr>
      <w:rFonts w:cs="黑体"/>
      <w:sz w:val="22"/>
      <w:szCs w:val="22"/>
      <w:lang w:val="en-GB"/>
    </w:rPr>
  </w:style>
  <w:style w:type="paragraph" w:customStyle="1" w:styleId="53">
    <w:name w:val="正文缩进2格"/>
    <w:basedOn w:val="1"/>
    <w:unhideWhenUsed/>
    <w:qFormat/>
    <w:uiPriority w:val="99"/>
    <w:pPr>
      <w:spacing w:line="600" w:lineRule="exact"/>
      <w:ind w:firstLine="639" w:firstLineChars="206"/>
    </w:pPr>
    <w:rPr>
      <w:rFonts w:hint="default" w:hAnsi="宋体" w:eastAsia="Times New Roman"/>
      <w:sz w:val="31"/>
      <w:szCs w:val="24"/>
    </w:rPr>
  </w:style>
  <w:style w:type="character" w:customStyle="1" w:styleId="54">
    <w:name w:val="不明显强调1"/>
    <w:qFormat/>
    <w:uiPriority w:val="19"/>
    <w:rPr>
      <w:i/>
      <w:iCs/>
      <w:color w:val="808080"/>
    </w:rPr>
  </w:style>
  <w:style w:type="paragraph" w:customStyle="1" w:styleId="55">
    <w:name w:val="二级条标题"/>
    <w:basedOn w:val="56"/>
    <w:next w:val="24"/>
    <w:qFormat/>
    <w:uiPriority w:val="0"/>
    <w:pPr>
      <w:spacing w:before="50" w:after="50"/>
      <w:outlineLvl w:val="3"/>
    </w:pPr>
  </w:style>
  <w:style w:type="paragraph" w:customStyle="1" w:styleId="56">
    <w:name w:val="一级条标题"/>
    <w:next w:val="24"/>
    <w:qFormat/>
    <w:uiPriority w:val="0"/>
    <w:pPr>
      <w:spacing w:beforeLines="50" w:afterLines="50"/>
      <w:outlineLvl w:val="2"/>
    </w:pPr>
    <w:rPr>
      <w:rFonts w:ascii="黑体" w:eastAsia="黑体" w:hAnsiTheme="minorHAnsi" w:cstheme="minorBid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141</Pages>
  <Words>62281</Words>
  <Characters>64830</Characters>
  <Lines>0</Lines>
  <Paragraphs>0</Paragraphs>
  <TotalTime>20</TotalTime>
  <ScaleCrop>false</ScaleCrop>
  <LinksUpToDate>false</LinksUpToDate>
  <CharactersWithSpaces>67322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2022-10-11T04:54:00Z</dcterms:created>
  <dc:creator>七月红茶(꒪Д꒪)ノ</dc:creator>
  <cp:lastModifiedBy>七月红茶(꒪Д꒪)ノ</cp:lastModifiedBy>
  <dcterms:modified xsi:type="dcterms:W3CDTF">2022-12-23T11:10:49Z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E806AD97195D4585B4374DD9CF9BD26C</vt:lpwstr>
  </property>
</Properties>
</file>