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Theme="minorEastAsia" w:hAnsiTheme="minorEastAsia" w:eastAsiaTheme="minorEastAsia"/>
          <w:b/>
          <w:sz w:val="52"/>
          <w:szCs w:val="52"/>
        </w:rPr>
      </w:pPr>
    </w:p>
    <w:p>
      <w:pPr>
        <w:jc w:val="center"/>
        <w:rPr>
          <w:rFonts w:asciiTheme="minorEastAsia" w:hAnsiTheme="minorEastAsia" w:eastAsiaTheme="minorEastAsia"/>
          <w:b/>
          <w:sz w:val="44"/>
          <w:szCs w:val="44"/>
        </w:rPr>
      </w:pPr>
      <w:r>
        <w:rPr>
          <w:rFonts w:hint="eastAsia" w:asciiTheme="minorEastAsia" w:hAnsiTheme="minorEastAsia" w:eastAsiaTheme="minorEastAsia"/>
          <w:b/>
          <w:bCs/>
          <w:sz w:val="44"/>
          <w:szCs w:val="44"/>
        </w:rPr>
        <w:t>县区级疾控中心职业病危害监测能力提升项目</w:t>
      </w:r>
    </w:p>
    <w:p>
      <w:pPr>
        <w:spacing w:beforeLines="50"/>
        <w:jc w:val="center"/>
        <w:rPr>
          <w:rFonts w:asciiTheme="minorEastAsia" w:hAnsiTheme="minorEastAsia" w:eastAsiaTheme="minorEastAsia"/>
          <w:sz w:val="56"/>
          <w:szCs w:val="72"/>
        </w:rPr>
      </w:pPr>
    </w:p>
    <w:p>
      <w:pPr>
        <w:spacing w:beforeLines="50"/>
        <w:jc w:val="center"/>
        <w:rPr>
          <w:rFonts w:asciiTheme="minorEastAsia" w:hAnsiTheme="minorEastAsia" w:eastAsiaTheme="minorEastAsia"/>
          <w:sz w:val="56"/>
          <w:szCs w:val="72"/>
        </w:rPr>
      </w:pPr>
      <w:r>
        <w:rPr>
          <w:rFonts w:hint="eastAsia" w:asciiTheme="minorEastAsia" w:hAnsiTheme="minorEastAsia" w:eastAsiaTheme="minorEastAsia"/>
          <w:sz w:val="56"/>
          <w:szCs w:val="72"/>
        </w:rPr>
        <w:t>公开招标采购文件</w:t>
      </w:r>
    </w:p>
    <w:p>
      <w:pPr>
        <w:snapToGrid w:val="0"/>
        <w:spacing w:beforeLines="50" w:line="360" w:lineRule="auto"/>
        <w:rPr>
          <w:rFonts w:asciiTheme="minorEastAsia" w:hAnsiTheme="minorEastAsia" w:eastAsiaTheme="minorEastAsia"/>
          <w:sz w:val="30"/>
          <w:szCs w:val="72"/>
        </w:rPr>
      </w:pPr>
      <w:r>
        <w:rPr>
          <w:rFonts w:hint="eastAsia" w:asciiTheme="minorEastAsia" w:hAnsiTheme="minorEastAsia" w:eastAsiaTheme="minorEastAsia"/>
          <w:sz w:val="30"/>
          <w:szCs w:val="72"/>
        </w:rPr>
        <w:t xml:space="preserve">                      </w:t>
      </w:r>
    </w:p>
    <w:p>
      <w:pPr>
        <w:snapToGrid w:val="0"/>
        <w:spacing w:beforeLines="50" w:line="360" w:lineRule="auto"/>
        <w:rPr>
          <w:rFonts w:asciiTheme="minorEastAsia" w:hAnsiTheme="minorEastAsia" w:eastAsiaTheme="minorEastAsia"/>
          <w:sz w:val="30"/>
          <w:szCs w:val="72"/>
        </w:rPr>
      </w:pPr>
    </w:p>
    <w:p>
      <w:pPr>
        <w:snapToGrid w:val="0"/>
        <w:spacing w:beforeLines="50" w:line="360" w:lineRule="auto"/>
        <w:rPr>
          <w:rFonts w:asciiTheme="minorEastAsia" w:hAnsiTheme="minorEastAsia" w:eastAsiaTheme="minorEastAsia"/>
          <w:sz w:val="30"/>
          <w:szCs w:val="72"/>
        </w:rPr>
      </w:pPr>
    </w:p>
    <w:p>
      <w:pPr>
        <w:snapToGrid w:val="0"/>
        <w:spacing w:beforeLines="50" w:line="360" w:lineRule="auto"/>
        <w:rPr>
          <w:rFonts w:asciiTheme="minorEastAsia" w:hAnsiTheme="minorEastAsia" w:eastAsiaTheme="minorEastAsia"/>
          <w:sz w:val="30"/>
          <w:szCs w:val="72"/>
        </w:rPr>
      </w:pPr>
    </w:p>
    <w:p>
      <w:pPr>
        <w:snapToGrid w:val="0"/>
        <w:spacing w:beforeLines="50" w:line="360" w:lineRule="auto"/>
        <w:rPr>
          <w:rFonts w:asciiTheme="minorEastAsia" w:hAnsiTheme="minorEastAsia" w:eastAsiaTheme="minorEastAsia"/>
          <w:sz w:val="30"/>
          <w:szCs w:val="72"/>
        </w:rPr>
      </w:pPr>
    </w:p>
    <w:p>
      <w:pPr>
        <w:snapToGrid w:val="0"/>
        <w:spacing w:beforeLines="50" w:line="360" w:lineRule="auto"/>
        <w:rPr>
          <w:rFonts w:asciiTheme="minorEastAsia" w:hAnsiTheme="minorEastAsia" w:eastAsiaTheme="minorEastAsia"/>
          <w:sz w:val="30"/>
          <w:szCs w:val="72"/>
        </w:rPr>
      </w:pPr>
    </w:p>
    <w:p>
      <w:pPr>
        <w:snapToGrid w:val="0"/>
        <w:spacing w:beforeLines="50" w:line="360" w:lineRule="auto"/>
        <w:rPr>
          <w:rFonts w:asciiTheme="minorEastAsia" w:hAnsiTheme="minorEastAsia" w:eastAsiaTheme="minorEastAsia"/>
          <w:sz w:val="30"/>
          <w:szCs w:val="72"/>
        </w:rPr>
      </w:pPr>
    </w:p>
    <w:p>
      <w:pPr>
        <w:snapToGrid w:val="0"/>
        <w:spacing w:beforeLines="50" w:line="360" w:lineRule="auto"/>
        <w:ind w:left="1506" w:hanging="1506" w:hangingChars="500"/>
        <w:rPr>
          <w:rFonts w:asciiTheme="minorEastAsia" w:hAnsiTheme="minorEastAsia" w:eastAsiaTheme="minorEastAsia"/>
          <w:b/>
          <w:sz w:val="30"/>
          <w:szCs w:val="72"/>
        </w:rPr>
      </w:pPr>
      <w:r>
        <w:rPr>
          <w:rFonts w:hint="eastAsia" w:asciiTheme="minorEastAsia" w:hAnsiTheme="minorEastAsia" w:eastAsiaTheme="minorEastAsia"/>
          <w:b/>
          <w:sz w:val="30"/>
          <w:szCs w:val="72"/>
        </w:rPr>
        <w:t>项目名称：</w:t>
      </w:r>
      <w:r>
        <w:rPr>
          <w:rFonts w:hint="eastAsia" w:asciiTheme="minorEastAsia" w:hAnsiTheme="minorEastAsia" w:eastAsiaTheme="minorEastAsia"/>
          <w:b/>
          <w:bCs/>
          <w:w w:val="95"/>
          <w:sz w:val="28"/>
          <w:szCs w:val="28"/>
        </w:rPr>
        <w:t xml:space="preserve">县区级疾控中心职业病危害监测能力提升项目 </w:t>
      </w:r>
    </w:p>
    <w:p>
      <w:pPr>
        <w:snapToGrid w:val="0"/>
        <w:spacing w:beforeLines="50" w:afterLines="50" w:line="360" w:lineRule="auto"/>
        <w:rPr>
          <w:rFonts w:asciiTheme="minorEastAsia" w:hAnsiTheme="minorEastAsia" w:eastAsiaTheme="minorEastAsia"/>
          <w:b/>
          <w:bCs/>
          <w:w w:val="95"/>
          <w:sz w:val="28"/>
          <w:szCs w:val="28"/>
        </w:rPr>
      </w:pPr>
      <w:r>
        <w:rPr>
          <w:rFonts w:asciiTheme="minorEastAsia" w:hAnsiTheme="minorEastAsia" w:eastAsiaTheme="minorEastAsia"/>
          <w:b/>
          <w:bCs/>
          <w:w w:val="95"/>
          <w:sz w:val="30"/>
          <w:szCs w:val="30"/>
        </w:rPr>
        <w:t>采购单位：</w:t>
      </w:r>
      <w:r>
        <w:rPr>
          <w:rFonts w:hint="eastAsia" w:asciiTheme="minorEastAsia" w:hAnsiTheme="minorEastAsia" w:eastAsiaTheme="minorEastAsia"/>
          <w:b/>
          <w:bCs/>
          <w:w w:val="95"/>
          <w:sz w:val="28"/>
          <w:szCs w:val="28"/>
        </w:rPr>
        <w:t>新疆维吾尔自治区卫生健康委员会</w:t>
      </w:r>
    </w:p>
    <w:p>
      <w:pPr>
        <w:snapToGrid w:val="0"/>
        <w:spacing w:beforeLines="50" w:afterLines="50" w:line="360" w:lineRule="auto"/>
        <w:rPr>
          <w:rFonts w:asciiTheme="minorEastAsia" w:hAnsiTheme="minorEastAsia" w:eastAsiaTheme="minorEastAsia"/>
          <w:b/>
          <w:bCs/>
          <w:w w:val="95"/>
          <w:sz w:val="30"/>
          <w:szCs w:val="30"/>
        </w:rPr>
      </w:pPr>
      <w:r>
        <w:rPr>
          <w:rFonts w:hint="eastAsia" w:asciiTheme="minorEastAsia" w:hAnsiTheme="minorEastAsia" w:eastAsiaTheme="minorEastAsia"/>
          <w:b/>
          <w:bCs/>
          <w:w w:val="95"/>
          <w:sz w:val="30"/>
          <w:szCs w:val="30"/>
        </w:rPr>
        <w:t>采购</w:t>
      </w:r>
      <w:r>
        <w:rPr>
          <w:rFonts w:asciiTheme="minorEastAsia" w:hAnsiTheme="minorEastAsia" w:eastAsiaTheme="minorEastAsia"/>
          <w:b/>
          <w:bCs/>
          <w:w w:val="95"/>
          <w:sz w:val="30"/>
          <w:szCs w:val="30"/>
        </w:rPr>
        <w:t>机构：</w:t>
      </w:r>
      <w:r>
        <w:rPr>
          <w:rFonts w:hint="eastAsia" w:asciiTheme="minorEastAsia" w:hAnsiTheme="minorEastAsia" w:eastAsiaTheme="minorEastAsia"/>
          <w:b/>
          <w:bCs/>
          <w:w w:val="95"/>
          <w:sz w:val="30"/>
          <w:szCs w:val="30"/>
        </w:rPr>
        <w:t>新疆谱诚项目管理咨询有限公司</w:t>
      </w:r>
    </w:p>
    <w:p>
      <w:pPr>
        <w:adjustRightInd w:val="0"/>
        <w:snapToGrid w:val="0"/>
        <w:spacing w:line="360" w:lineRule="auto"/>
        <w:rPr>
          <w:rFonts w:asciiTheme="minorEastAsia" w:hAnsiTheme="minorEastAsia" w:eastAsiaTheme="minorEastAsia"/>
          <w:b/>
        </w:rPr>
      </w:pPr>
    </w:p>
    <w:p>
      <w:pPr>
        <w:pStyle w:val="30"/>
        <w:adjustRightInd w:val="0"/>
        <w:snapToGrid w:val="0"/>
        <w:spacing w:line="360" w:lineRule="auto"/>
        <w:ind w:left="5250"/>
        <w:jc w:val="center"/>
        <w:rPr>
          <w:rFonts w:asciiTheme="minorEastAsia" w:hAnsiTheme="minorEastAsia" w:eastAsiaTheme="minorEastAsia"/>
          <w:b/>
          <w:sz w:val="30"/>
        </w:rPr>
      </w:pPr>
      <w:r>
        <w:rPr>
          <w:rFonts w:hint="eastAsia" w:asciiTheme="minorEastAsia" w:hAnsiTheme="minorEastAsia" w:eastAsiaTheme="minorEastAsia"/>
          <w:b/>
          <w:sz w:val="30"/>
        </w:rPr>
        <w:t xml:space="preserve"> </w:t>
      </w:r>
    </w:p>
    <w:p>
      <w:pPr>
        <w:pStyle w:val="30"/>
        <w:spacing w:line="640" w:lineRule="exact"/>
        <w:ind w:leftChars="0" w:firstLine="3148" w:firstLineChars="1100"/>
        <w:rPr>
          <w:rFonts w:asciiTheme="minorEastAsia" w:hAnsiTheme="minorEastAsia" w:eastAsiaTheme="minorEastAsia"/>
          <w:b/>
          <w:bCs/>
          <w:w w:val="95"/>
          <w:sz w:val="30"/>
          <w:szCs w:val="30"/>
        </w:rPr>
      </w:pPr>
      <w:r>
        <w:rPr>
          <w:rFonts w:hint="eastAsia" w:asciiTheme="minorEastAsia" w:hAnsiTheme="minorEastAsia" w:eastAsiaTheme="minorEastAsia"/>
          <w:b/>
          <w:bCs/>
          <w:w w:val="95"/>
          <w:sz w:val="30"/>
          <w:szCs w:val="30"/>
        </w:rPr>
        <w:t>二○二○年十二月</w:t>
      </w:r>
    </w:p>
    <w:p/>
    <w:p/>
    <w:p/>
    <w:p/>
    <w:p/>
    <w:p/>
    <w:p/>
    <w:p>
      <w:pPr>
        <w:tabs>
          <w:tab w:val="left" w:pos="6867"/>
        </w:tabs>
      </w:pPr>
      <w:r>
        <w:rPr>
          <w:rFonts w:hint="eastAsia"/>
        </w:rPr>
        <w:tab/>
      </w: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Pr>
        <w:tabs>
          <w:tab w:val="left" w:pos="6867"/>
        </w:tabs>
      </w:pPr>
    </w:p>
    <w:p/>
    <w:p>
      <w:pPr>
        <w:pStyle w:val="90"/>
        <w:spacing w:line="800" w:lineRule="exact"/>
        <w:ind w:left="-1" w:leftChars="-135" w:right="531" w:rightChars="253" w:hanging="282" w:hangingChars="117"/>
        <w:rPr>
          <w:rFonts w:asciiTheme="minorEastAsia" w:hAnsiTheme="minorEastAsia" w:eastAsia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招标文件审核确认登记栏</w:t>
      </w:r>
    </w:p>
    <w:tbl>
      <w:tblPr>
        <w:tblStyle w:val="51"/>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3" w:hRule="atLeast"/>
        </w:trPr>
        <w:tc>
          <w:tcPr>
            <w:tcW w:w="9135" w:type="dxa"/>
            <w:tcBorders>
              <w:top w:val="single" w:color="auto" w:sz="4" w:space="0"/>
              <w:left w:val="single" w:color="auto" w:sz="4" w:space="0"/>
              <w:bottom w:val="single" w:color="auto" w:sz="4" w:space="0"/>
              <w:right w:val="single" w:color="auto" w:sz="4" w:space="0"/>
            </w:tcBorders>
          </w:tcPr>
          <w:p>
            <w:pPr>
              <w:jc w:val="center"/>
              <w:rPr>
                <w:rFonts w:cs="黑体"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lang w:bidi="zh-CN"/>
                <w14:textFill>
                  <w14:solidFill>
                    <w14:schemeClr w14:val="tx1"/>
                  </w14:solidFill>
                </w14:textFill>
              </w:rPr>
            </w:pPr>
            <w:r>
              <w:rPr>
                <w:rFonts w:hint="eastAsia" w:asciiTheme="minorEastAsia" w:hAnsiTheme="minorEastAsia" w:eastAsiaTheme="minorEastAsia"/>
                <w:b/>
                <w:bCs/>
                <w:color w:val="000000" w:themeColor="text1"/>
                <w:sz w:val="28"/>
                <w:szCs w:val="28"/>
                <w:shd w:val="clear" w:color="auto" w:fill="FFFFFF"/>
                <w:lang w:bidi="zh-CN"/>
                <w14:textFill>
                  <w14:solidFill>
                    <w14:schemeClr w14:val="tx1"/>
                  </w14:solidFill>
                </w14:textFill>
              </w:rPr>
              <w:t>县区级疾控中心职业病危害监测能力提升项目</w:t>
            </w: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b/>
                <w:color w:val="000000" w:themeColor="text1"/>
                <w:sz w:val="28"/>
                <w:szCs w:val="28"/>
                <w:shd w:val="clear" w:color="auto" w:fill="FFFFFF"/>
                <w14:textFill>
                  <w14:solidFill>
                    <w14:schemeClr w14:val="tx1"/>
                  </w14:solidFill>
                </w14:textFill>
              </w:rPr>
              <w:t>招标文件已审核</w:t>
            </w:r>
          </w:p>
          <w:p>
            <w:pPr>
              <w:ind w:firstLine="560" w:firstLineChars="200"/>
              <w:rPr>
                <w:rFonts w:asciiTheme="minorEastAsia" w:hAnsiTheme="minorEastAsia" w:eastAsiaTheme="minorEastAsia"/>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jc w:val="cente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rPr>
                <w:rFonts w:asciiTheme="minorEastAsia" w:hAnsiTheme="minorEastAsia" w:eastAsiaTheme="minorEastAsia"/>
                <w:b/>
                <w:color w:val="000000" w:themeColor="text1"/>
                <w:sz w:val="28"/>
                <w:szCs w:val="28"/>
                <w:shd w:val="clear" w:color="auto" w:fill="FFFFFF"/>
                <w14:textFill>
                  <w14:solidFill>
                    <w14:schemeClr w14:val="tx1"/>
                  </w14:solidFill>
                </w14:textFill>
              </w:rPr>
            </w:pPr>
          </w:p>
          <w:p>
            <w:pPr>
              <w:rPr>
                <w:rFonts w:asciiTheme="minorEastAsia" w:hAnsiTheme="minorEastAsia" w:eastAsiaTheme="minorEastAsia"/>
                <w:b/>
                <w:color w:val="000000" w:themeColor="text1"/>
                <w:sz w:val="28"/>
                <w:szCs w:val="28"/>
                <w:u w:val="single"/>
                <w:shd w:val="clear" w:color="auto" w:fill="FFFFFF"/>
                <w14:textFill>
                  <w14:solidFill>
                    <w14:schemeClr w14:val="tx1"/>
                  </w14:solidFill>
                </w14:textFill>
              </w:rPr>
            </w:pPr>
            <w:r>
              <w:rPr>
                <w:rFonts w:hint="eastAsia" w:asciiTheme="minorEastAsia" w:hAnsiTheme="minorEastAsia" w:eastAsiaTheme="minorEastAsia"/>
                <w:b/>
                <w:color w:val="000000" w:themeColor="text1"/>
                <w:sz w:val="28"/>
                <w:szCs w:val="28"/>
                <w:shd w:val="clear" w:color="auto" w:fill="FFFFFF"/>
                <w14:textFill>
                  <w14:solidFill>
                    <w14:schemeClr w14:val="tx1"/>
                  </w14:solidFill>
                </w14:textFill>
              </w:rPr>
              <w:t>审核人：</w:t>
            </w:r>
            <w:r>
              <w:rPr>
                <w:rFonts w:hint="eastAsia" w:asciiTheme="minorEastAsia" w:hAnsiTheme="minorEastAsia" w:eastAsiaTheme="minorEastAsia"/>
                <w:b/>
                <w:color w:val="000000" w:themeColor="text1"/>
                <w:sz w:val="28"/>
                <w:szCs w:val="28"/>
                <w:u w:val="single"/>
                <w:shd w:val="clear" w:color="auto" w:fill="FFFFFF"/>
                <w14:textFill>
                  <w14:solidFill>
                    <w14:schemeClr w14:val="tx1"/>
                  </w14:solidFill>
                </w14:textFill>
              </w:rPr>
              <w:t xml:space="preserve">                    （签字或盖章）</w:t>
            </w:r>
          </w:p>
          <w:p>
            <w:pPr>
              <w:rPr>
                <w:rFonts w:asciiTheme="minorEastAsia" w:hAnsiTheme="minorEastAsia" w:eastAsiaTheme="minorEastAsia"/>
                <w:b/>
                <w:color w:val="000000" w:themeColor="text1"/>
                <w:sz w:val="28"/>
                <w:szCs w:val="28"/>
                <w:u w:val="single"/>
                <w:shd w:val="clear" w:color="auto" w:fill="FFFFFF"/>
                <w14:textFill>
                  <w14:solidFill>
                    <w14:schemeClr w14:val="tx1"/>
                  </w14:solidFill>
                </w14:textFill>
              </w:rPr>
            </w:pPr>
          </w:p>
          <w:p>
            <w:pPr>
              <w:rPr>
                <w:rFonts w:cs="黑体" w:asciiTheme="minorEastAsia" w:hAnsiTheme="minorEastAsia" w:eastAsia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b/>
                <w:color w:val="000000" w:themeColor="text1"/>
                <w:sz w:val="28"/>
                <w:szCs w:val="28"/>
                <w:shd w:val="clear" w:color="auto" w:fill="FFFFFF"/>
                <w14:textFill>
                  <w14:solidFill>
                    <w14:schemeClr w14:val="tx1"/>
                  </w14:solidFill>
                </w14:textFill>
              </w:rPr>
              <w:t xml:space="preserve">备案日期：   年   月   日 </w:t>
            </w:r>
          </w:p>
        </w:tc>
      </w:tr>
    </w:tbl>
    <w:p>
      <w:pPr>
        <w:spacing w:beforeLines="50" w:afterLines="50" w:line="360" w:lineRule="auto"/>
        <w:ind w:firstLine="3520" w:firstLineChars="800"/>
        <w:rPr>
          <w:rFonts w:asciiTheme="minorEastAsia" w:hAnsiTheme="minorEastAsia" w:eastAsiaTheme="minorEastAsia"/>
          <w:sz w:val="44"/>
          <w:szCs w:val="44"/>
        </w:rPr>
      </w:pPr>
      <w:r>
        <w:rPr>
          <w:rFonts w:hint="eastAsia" w:asciiTheme="minorEastAsia" w:hAnsiTheme="minorEastAsia" w:eastAsiaTheme="minorEastAsia"/>
          <w:sz w:val="44"/>
          <w:szCs w:val="44"/>
        </w:rPr>
        <w:t>目  录</w:t>
      </w:r>
    </w:p>
    <w:p>
      <w:pPr>
        <w:numPr>
          <w:ilvl w:val="0"/>
          <w:numId w:val="10"/>
        </w:numPr>
        <w:spacing w:beforeLines="50" w:line="480" w:lineRule="exact"/>
        <w:rPr>
          <w:rFonts w:asciiTheme="minorEastAsia" w:hAnsiTheme="minorEastAsia" w:eastAsiaTheme="minorEastAsia"/>
          <w:sz w:val="30"/>
          <w:szCs w:val="20"/>
        </w:rPr>
      </w:pPr>
      <w:r>
        <w:rPr>
          <w:rFonts w:hint="eastAsia" w:asciiTheme="minorEastAsia" w:hAnsiTheme="minorEastAsia" w:eastAsiaTheme="minorEastAsia"/>
          <w:sz w:val="30"/>
          <w:szCs w:val="20"/>
        </w:rPr>
        <w:t>投标邀请函</w:t>
      </w:r>
    </w:p>
    <w:p>
      <w:pPr>
        <w:numPr>
          <w:ilvl w:val="0"/>
          <w:numId w:val="10"/>
        </w:numPr>
        <w:spacing w:beforeLines="50" w:line="480" w:lineRule="exact"/>
        <w:rPr>
          <w:rFonts w:asciiTheme="minorEastAsia" w:hAnsiTheme="minorEastAsia" w:eastAsiaTheme="minorEastAsia"/>
          <w:sz w:val="30"/>
          <w:szCs w:val="20"/>
        </w:rPr>
      </w:pPr>
      <w:r>
        <w:rPr>
          <w:rFonts w:hint="eastAsia" w:asciiTheme="minorEastAsia" w:hAnsiTheme="minorEastAsia" w:eastAsiaTheme="minorEastAsia"/>
          <w:sz w:val="30"/>
          <w:szCs w:val="20"/>
        </w:rPr>
        <w:t>投标人须知采购需求</w:t>
      </w:r>
    </w:p>
    <w:p>
      <w:pPr>
        <w:numPr>
          <w:ilvl w:val="0"/>
          <w:numId w:val="10"/>
        </w:numPr>
        <w:spacing w:beforeLines="50" w:line="480" w:lineRule="exact"/>
        <w:rPr>
          <w:rFonts w:asciiTheme="minorEastAsia" w:hAnsiTheme="minorEastAsia" w:eastAsiaTheme="minorEastAsia"/>
          <w:sz w:val="30"/>
          <w:szCs w:val="20"/>
        </w:rPr>
      </w:pPr>
      <w:r>
        <w:rPr>
          <w:rFonts w:hint="eastAsia" w:asciiTheme="minorEastAsia" w:hAnsiTheme="minorEastAsia" w:eastAsiaTheme="minorEastAsia"/>
          <w:sz w:val="30"/>
          <w:szCs w:val="20"/>
        </w:rPr>
        <w:t>采购需求</w:t>
      </w:r>
    </w:p>
    <w:p>
      <w:pPr>
        <w:numPr>
          <w:ilvl w:val="0"/>
          <w:numId w:val="10"/>
        </w:numPr>
        <w:spacing w:beforeLines="50" w:line="480" w:lineRule="exact"/>
        <w:rPr>
          <w:rFonts w:asciiTheme="minorEastAsia" w:hAnsiTheme="minorEastAsia" w:eastAsiaTheme="minorEastAsia"/>
          <w:sz w:val="30"/>
          <w:szCs w:val="20"/>
        </w:rPr>
      </w:pPr>
      <w:r>
        <w:rPr>
          <w:rFonts w:hint="eastAsia" w:asciiTheme="minorEastAsia" w:hAnsiTheme="minorEastAsia" w:eastAsiaTheme="minorEastAsia"/>
          <w:sz w:val="30"/>
          <w:szCs w:val="20"/>
        </w:rPr>
        <w:t>评标办法及评分标准</w:t>
      </w:r>
    </w:p>
    <w:p>
      <w:pPr>
        <w:numPr>
          <w:ilvl w:val="0"/>
          <w:numId w:val="10"/>
        </w:numPr>
        <w:spacing w:beforeLines="50" w:line="480" w:lineRule="exact"/>
        <w:rPr>
          <w:rFonts w:asciiTheme="minorEastAsia" w:hAnsiTheme="minorEastAsia" w:eastAsiaTheme="minorEastAsia"/>
          <w:sz w:val="30"/>
          <w:szCs w:val="20"/>
        </w:rPr>
      </w:pPr>
      <w:r>
        <w:rPr>
          <w:rFonts w:hint="eastAsia" w:asciiTheme="minorEastAsia" w:hAnsiTheme="minorEastAsia" w:eastAsiaTheme="minorEastAsia"/>
          <w:sz w:val="30"/>
          <w:szCs w:val="20"/>
        </w:rPr>
        <w:t>政府采购合同主要条款</w:t>
      </w:r>
    </w:p>
    <w:p>
      <w:pPr>
        <w:numPr>
          <w:ilvl w:val="0"/>
          <w:numId w:val="10"/>
        </w:numPr>
        <w:spacing w:beforeLines="50" w:line="480" w:lineRule="exact"/>
        <w:rPr>
          <w:rFonts w:asciiTheme="minorEastAsia" w:hAnsiTheme="minorEastAsia" w:eastAsiaTheme="minorEastAsia"/>
          <w:sz w:val="30"/>
          <w:szCs w:val="20"/>
        </w:rPr>
      </w:pPr>
      <w:r>
        <w:rPr>
          <w:rFonts w:hint="eastAsia" w:asciiTheme="minorEastAsia" w:hAnsiTheme="minorEastAsia" w:eastAsiaTheme="minorEastAsia"/>
          <w:sz w:val="30"/>
          <w:szCs w:val="20"/>
        </w:rPr>
        <w:t>投标文件格式</w:t>
      </w:r>
    </w:p>
    <w:p>
      <w:pPr>
        <w:widowControl/>
        <w:spacing w:line="360" w:lineRule="auto"/>
        <w:jc w:val="center"/>
        <w:rPr>
          <w:rFonts w:asciiTheme="minorEastAsia" w:hAnsiTheme="minorEastAsia" w:eastAsiaTheme="minorEastAsia"/>
          <w:b/>
          <w:sz w:val="30"/>
          <w:szCs w:val="30"/>
        </w:rPr>
      </w:pPr>
      <w:r>
        <w:rPr>
          <w:rFonts w:asciiTheme="minorEastAsia" w:hAnsiTheme="minorEastAsia" w:eastAsiaTheme="minorEastAsia"/>
          <w:sz w:val="24"/>
        </w:rPr>
        <w:br w:type="page"/>
      </w:r>
      <w:r>
        <w:rPr>
          <w:rFonts w:hint="eastAsia" w:asciiTheme="minorEastAsia" w:hAnsiTheme="minorEastAsia" w:eastAsiaTheme="minorEastAsia"/>
          <w:b/>
          <w:sz w:val="30"/>
          <w:szCs w:val="30"/>
        </w:rPr>
        <w:t>第一章    投标邀请函</w:t>
      </w:r>
    </w:p>
    <w:p>
      <w:pPr>
        <w:jc w:val="center"/>
        <w:rPr>
          <w:rFonts w:asciiTheme="minorEastAsia" w:hAnsiTheme="minorEastAsia"/>
          <w:b/>
          <w:sz w:val="30"/>
          <w:szCs w:val="30"/>
        </w:rPr>
      </w:pPr>
      <w:r>
        <w:rPr>
          <w:rFonts w:hint="eastAsia" w:asciiTheme="minorEastAsia" w:hAnsiTheme="minorEastAsia"/>
          <w:b/>
          <w:sz w:val="30"/>
          <w:szCs w:val="30"/>
        </w:rPr>
        <w:t>县区级疾控中心职业病危害监测能力提升项目公开招标公告</w:t>
      </w:r>
    </w:p>
    <w:p>
      <w:pPr>
        <w:jc w:val="center"/>
        <w:rPr>
          <w:rFonts w:asciiTheme="minorEastAsia" w:hAnsiTheme="minorEastAsia"/>
          <w:b/>
          <w:sz w:val="30"/>
          <w:szCs w:val="30"/>
        </w:rPr>
      </w:pPr>
    </w:p>
    <w:p>
      <w:pPr>
        <w:spacing w:line="360" w:lineRule="auto"/>
        <w:ind w:firstLine="465"/>
        <w:rPr>
          <w:rFonts w:asciiTheme="minorEastAsia" w:hAnsiTheme="minorEastAsia"/>
          <w:sz w:val="24"/>
        </w:rPr>
      </w:pPr>
      <w:r>
        <w:rPr>
          <w:rFonts w:hint="eastAsia" w:asciiTheme="minorEastAsia" w:hAnsiTheme="minorEastAsia"/>
          <w:sz w:val="24"/>
        </w:rPr>
        <w:t xml:space="preserve">新疆谱诚项目管理咨询有限公司受新疆维吾尔自治区卫生健康委员会的委托，对县区级疾控中心职业病危害监测能力提升项目进行招标采购，招标方式为公开招标。欢迎合格投标人前往招标代理公司报名，购买招标文件。 </w:t>
      </w:r>
    </w:p>
    <w:p>
      <w:pPr>
        <w:spacing w:line="360" w:lineRule="auto"/>
        <w:ind w:firstLine="465"/>
        <w:rPr>
          <w:rFonts w:asciiTheme="minorEastAsia" w:hAnsiTheme="minorEastAsia"/>
          <w:sz w:val="24"/>
        </w:rPr>
      </w:pPr>
    </w:p>
    <w:p>
      <w:pPr>
        <w:pStyle w:val="317"/>
        <w:numPr>
          <w:ilvl w:val="0"/>
          <w:numId w:val="11"/>
        </w:numPr>
        <w:spacing w:line="360" w:lineRule="auto"/>
        <w:ind w:firstLineChars="0"/>
        <w:rPr>
          <w:sz w:val="24"/>
          <w:szCs w:val="24"/>
        </w:rPr>
      </w:pPr>
      <w:r>
        <w:rPr>
          <w:rFonts w:hint="eastAsia" w:asciiTheme="minorEastAsia" w:hAnsiTheme="minorEastAsia"/>
          <w:b/>
          <w:sz w:val="24"/>
          <w:szCs w:val="24"/>
        </w:rPr>
        <w:t>项目名称</w:t>
      </w:r>
      <w:r>
        <w:rPr>
          <w:rFonts w:hint="eastAsia" w:asciiTheme="minorEastAsia" w:hAnsiTheme="minorEastAsia"/>
          <w:sz w:val="24"/>
          <w:szCs w:val="24"/>
        </w:rPr>
        <w:t>：</w:t>
      </w:r>
      <w:r>
        <w:rPr>
          <w:rFonts w:hint="eastAsia"/>
          <w:sz w:val="24"/>
          <w:szCs w:val="24"/>
        </w:rPr>
        <w:t>县区级疾控中心职业病危害监测能力提升项目</w:t>
      </w:r>
    </w:p>
    <w:p>
      <w:pPr>
        <w:pStyle w:val="317"/>
        <w:spacing w:line="360" w:lineRule="auto"/>
        <w:ind w:left="480" w:firstLine="0" w:firstLineChars="0"/>
        <w:rPr>
          <w:rFonts w:asciiTheme="minorEastAsia" w:hAnsiTheme="minorEastAsia"/>
          <w:b/>
          <w:sz w:val="24"/>
          <w:szCs w:val="24"/>
        </w:rPr>
      </w:pPr>
      <w:r>
        <w:rPr>
          <w:rFonts w:hint="eastAsia" w:asciiTheme="minorEastAsia" w:hAnsiTheme="minorEastAsia"/>
          <w:b/>
          <w:sz w:val="24"/>
          <w:szCs w:val="24"/>
        </w:rPr>
        <w:t>项目标段/包名称：</w:t>
      </w:r>
    </w:p>
    <w:p>
      <w:pPr>
        <w:pStyle w:val="317"/>
        <w:numPr>
          <w:ilvl w:val="0"/>
          <w:numId w:val="12"/>
        </w:numPr>
        <w:spacing w:line="360" w:lineRule="auto"/>
        <w:ind w:firstLineChars="0"/>
        <w:rPr>
          <w:sz w:val="24"/>
          <w:szCs w:val="24"/>
        </w:rPr>
      </w:pPr>
      <w:r>
        <w:rPr>
          <w:rFonts w:hint="eastAsia"/>
          <w:sz w:val="24"/>
          <w:szCs w:val="24"/>
        </w:rPr>
        <w:t>县区级疾控中心职业病危害监测能力提升项目（1包）；</w:t>
      </w:r>
    </w:p>
    <w:p>
      <w:pPr>
        <w:pStyle w:val="317"/>
        <w:numPr>
          <w:ilvl w:val="0"/>
          <w:numId w:val="12"/>
        </w:numPr>
        <w:spacing w:line="360" w:lineRule="auto"/>
        <w:ind w:firstLineChars="0"/>
        <w:rPr>
          <w:sz w:val="24"/>
          <w:szCs w:val="24"/>
        </w:rPr>
      </w:pPr>
      <w:r>
        <w:rPr>
          <w:rFonts w:hint="eastAsia"/>
          <w:sz w:val="24"/>
          <w:szCs w:val="24"/>
        </w:rPr>
        <w:t>县区级疾控中心职业病危害监测能力提升项目（2包）；</w:t>
      </w:r>
    </w:p>
    <w:p>
      <w:pPr>
        <w:pStyle w:val="317"/>
        <w:numPr>
          <w:ilvl w:val="0"/>
          <w:numId w:val="12"/>
        </w:numPr>
        <w:spacing w:line="360" w:lineRule="auto"/>
        <w:ind w:firstLineChars="0"/>
        <w:rPr>
          <w:sz w:val="24"/>
          <w:szCs w:val="24"/>
        </w:rPr>
      </w:pPr>
      <w:r>
        <w:rPr>
          <w:rFonts w:hint="eastAsia"/>
          <w:sz w:val="24"/>
          <w:szCs w:val="24"/>
        </w:rPr>
        <w:t>县区级疾控中心职业病危害监测能力提升项目（3包）；</w:t>
      </w:r>
    </w:p>
    <w:p>
      <w:pPr>
        <w:spacing w:line="360" w:lineRule="auto"/>
        <w:rPr>
          <w:sz w:val="24"/>
        </w:rPr>
      </w:pPr>
      <w:r>
        <w:rPr>
          <w:rFonts w:hint="eastAsia" w:asciiTheme="minorEastAsia" w:hAnsiTheme="minorEastAsia"/>
          <w:sz w:val="24"/>
        </w:rPr>
        <w:t>二、</w:t>
      </w:r>
      <w:r>
        <w:rPr>
          <w:rFonts w:hint="eastAsia" w:asciiTheme="minorEastAsia" w:hAnsiTheme="minorEastAsia"/>
          <w:b/>
          <w:sz w:val="24"/>
        </w:rPr>
        <w:t>项目编号：</w:t>
      </w:r>
    </w:p>
    <w:p>
      <w:pPr>
        <w:spacing w:line="360" w:lineRule="auto"/>
        <w:ind w:left="284" w:firstLine="120" w:firstLineChars="50"/>
        <w:rPr>
          <w:sz w:val="24"/>
        </w:rPr>
      </w:pPr>
      <w:r>
        <w:rPr>
          <w:rFonts w:hint="eastAsia"/>
          <w:sz w:val="24"/>
        </w:rPr>
        <w:t>（1包）编号：</w:t>
      </w:r>
      <w:r>
        <w:rPr>
          <w:sz w:val="24"/>
        </w:rPr>
        <w:t>XJPCFW2020-046</w:t>
      </w:r>
    </w:p>
    <w:p>
      <w:pPr>
        <w:spacing w:line="360" w:lineRule="auto"/>
        <w:ind w:firstLine="360" w:firstLineChars="150"/>
        <w:rPr>
          <w:sz w:val="24"/>
        </w:rPr>
      </w:pPr>
      <w:r>
        <w:rPr>
          <w:rFonts w:hint="eastAsia"/>
          <w:sz w:val="24"/>
        </w:rPr>
        <w:t>（2包）编号：</w:t>
      </w:r>
      <w:r>
        <w:rPr>
          <w:sz w:val="24"/>
        </w:rPr>
        <w:t>XJPCFW2020-04</w:t>
      </w:r>
      <w:r>
        <w:rPr>
          <w:rFonts w:hint="eastAsia"/>
          <w:sz w:val="24"/>
        </w:rPr>
        <w:t>7</w:t>
      </w:r>
    </w:p>
    <w:p>
      <w:pPr>
        <w:spacing w:line="360" w:lineRule="auto"/>
        <w:ind w:firstLine="360" w:firstLineChars="150"/>
        <w:rPr>
          <w:sz w:val="24"/>
        </w:rPr>
      </w:pPr>
      <w:r>
        <w:rPr>
          <w:rFonts w:hint="eastAsia"/>
          <w:sz w:val="24"/>
        </w:rPr>
        <w:t>（3包）编号：</w:t>
      </w:r>
      <w:r>
        <w:rPr>
          <w:sz w:val="24"/>
        </w:rPr>
        <w:t>XJPCFW2020-04</w:t>
      </w:r>
      <w:r>
        <w:rPr>
          <w:rFonts w:hint="eastAsia"/>
          <w:sz w:val="24"/>
        </w:rPr>
        <w:t>8</w:t>
      </w:r>
    </w:p>
    <w:p>
      <w:pPr>
        <w:pStyle w:val="317"/>
        <w:numPr>
          <w:ilvl w:val="0"/>
          <w:numId w:val="11"/>
        </w:numPr>
        <w:spacing w:line="360" w:lineRule="auto"/>
        <w:ind w:firstLineChars="0"/>
        <w:rPr>
          <w:rFonts w:asciiTheme="minorEastAsia" w:hAnsiTheme="minorEastAsia"/>
          <w:sz w:val="24"/>
          <w:szCs w:val="24"/>
        </w:rPr>
      </w:pPr>
      <w:r>
        <w:rPr>
          <w:rFonts w:hint="eastAsia" w:asciiTheme="minorEastAsia" w:hAnsiTheme="minorEastAsia"/>
          <w:b/>
          <w:sz w:val="24"/>
          <w:szCs w:val="24"/>
        </w:rPr>
        <w:t>招标范围：</w:t>
      </w:r>
      <w:r>
        <w:rPr>
          <w:rFonts w:hint="eastAsia"/>
          <w:sz w:val="24"/>
          <w:szCs w:val="24"/>
        </w:rPr>
        <w:t>区级疾控中心职业病危害监测能力提升项目设备采购</w:t>
      </w:r>
    </w:p>
    <w:p>
      <w:pPr>
        <w:spacing w:line="360" w:lineRule="auto"/>
        <w:rPr>
          <w:rFonts w:asciiTheme="minorEastAsia" w:hAnsiTheme="minorEastAsia"/>
          <w:sz w:val="24"/>
        </w:rPr>
      </w:pPr>
      <w:r>
        <w:rPr>
          <w:rFonts w:hint="eastAsia" w:asciiTheme="minorEastAsia" w:hAnsiTheme="minorEastAsia"/>
          <w:sz w:val="24"/>
        </w:rPr>
        <w:t>四、</w:t>
      </w:r>
      <w:r>
        <w:rPr>
          <w:rFonts w:hint="eastAsia" w:asciiTheme="minorEastAsia" w:hAnsiTheme="minorEastAsia"/>
          <w:b/>
          <w:sz w:val="24"/>
        </w:rPr>
        <w:t>采购预算:</w:t>
      </w:r>
    </w:p>
    <w:p>
      <w:pPr>
        <w:pStyle w:val="317"/>
        <w:spacing w:line="360" w:lineRule="auto"/>
        <w:ind w:left="480" w:firstLine="0" w:firstLineChars="0"/>
        <w:rPr>
          <w:rFonts w:asciiTheme="minorEastAsia" w:hAnsiTheme="minorEastAsia"/>
          <w:sz w:val="24"/>
          <w:szCs w:val="24"/>
        </w:rPr>
      </w:pPr>
      <w:r>
        <w:rPr>
          <w:rFonts w:hint="eastAsia" w:asciiTheme="minorEastAsia" w:hAnsiTheme="minorEastAsia"/>
          <w:sz w:val="24"/>
          <w:szCs w:val="24"/>
        </w:rPr>
        <w:t>1包：小写：1150 万元       大写：壹仟壹佰伍拾万元整</w:t>
      </w:r>
    </w:p>
    <w:p>
      <w:pPr>
        <w:pStyle w:val="317"/>
        <w:spacing w:line="360" w:lineRule="auto"/>
        <w:ind w:left="480" w:firstLine="0" w:firstLineChars="0"/>
        <w:rPr>
          <w:rFonts w:asciiTheme="minorEastAsia" w:hAnsiTheme="minorEastAsia"/>
          <w:sz w:val="24"/>
          <w:szCs w:val="24"/>
        </w:rPr>
      </w:pPr>
      <w:r>
        <w:rPr>
          <w:rFonts w:hint="eastAsia" w:asciiTheme="minorEastAsia" w:hAnsiTheme="minorEastAsia"/>
          <w:sz w:val="24"/>
          <w:szCs w:val="24"/>
        </w:rPr>
        <w:t>2包：小写： 770万元       大写：柒佰柒拾万元整</w:t>
      </w:r>
    </w:p>
    <w:p>
      <w:pPr>
        <w:pStyle w:val="317"/>
        <w:spacing w:line="360" w:lineRule="auto"/>
        <w:ind w:left="480" w:firstLine="0" w:firstLineChars="0"/>
        <w:rPr>
          <w:rFonts w:asciiTheme="minorEastAsia" w:hAnsiTheme="minorEastAsia"/>
          <w:sz w:val="24"/>
          <w:szCs w:val="24"/>
        </w:rPr>
      </w:pPr>
      <w:r>
        <w:rPr>
          <w:rFonts w:hint="eastAsia" w:asciiTheme="minorEastAsia" w:hAnsiTheme="minorEastAsia"/>
          <w:sz w:val="24"/>
          <w:szCs w:val="24"/>
        </w:rPr>
        <w:t>3包：小写： 200 万元      大写：贰佰万元整</w:t>
      </w:r>
    </w:p>
    <w:p>
      <w:pPr>
        <w:pStyle w:val="317"/>
        <w:spacing w:line="360" w:lineRule="auto"/>
        <w:ind w:left="480" w:firstLine="0" w:firstLineChars="0"/>
        <w:rPr>
          <w:rFonts w:asciiTheme="minorEastAsia" w:hAnsiTheme="minorEastAsia"/>
          <w:sz w:val="24"/>
          <w:szCs w:val="24"/>
        </w:rPr>
      </w:pPr>
    </w:p>
    <w:p>
      <w:pPr>
        <w:spacing w:line="360" w:lineRule="auto"/>
        <w:rPr>
          <w:rFonts w:asciiTheme="minorEastAsia" w:hAnsiTheme="minorEastAsia"/>
          <w:sz w:val="24"/>
        </w:rPr>
      </w:pPr>
      <w:r>
        <w:rPr>
          <w:rFonts w:hint="eastAsia" w:asciiTheme="minorEastAsia" w:hAnsiTheme="minorEastAsia"/>
          <w:sz w:val="24"/>
        </w:rPr>
        <w:t>五、</w:t>
      </w:r>
      <w:r>
        <w:rPr>
          <w:rFonts w:hint="eastAsia" w:asciiTheme="minorEastAsia" w:hAnsiTheme="minorEastAsia"/>
          <w:b/>
          <w:sz w:val="24"/>
        </w:rPr>
        <w:t>招标内容:</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45"/>
        <w:gridCol w:w="3477"/>
        <w:gridCol w:w="2205"/>
        <w:gridCol w:w="2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8" w:hRule="atLeast"/>
        </w:trPr>
        <w:tc>
          <w:tcPr>
            <w:tcW w:w="508" w:type="pct"/>
            <w:shd w:val="pct10" w:color="auto" w:fill="auto"/>
            <w:vAlign w:val="center"/>
          </w:tcPr>
          <w:p>
            <w:pPr>
              <w:widowControl/>
              <w:tabs>
                <w:tab w:val="left" w:pos="420"/>
              </w:tabs>
              <w:spacing w:line="240" w:lineRule="exact"/>
              <w:jc w:val="center"/>
              <w:outlineLvl w:val="0"/>
              <w:rPr>
                <w:b/>
                <w:sz w:val="24"/>
              </w:rPr>
            </w:pPr>
            <w:r>
              <w:rPr>
                <w:rFonts w:hint="eastAsia"/>
                <w:b/>
                <w:sz w:val="24"/>
              </w:rPr>
              <w:t>序号</w:t>
            </w:r>
          </w:p>
        </w:tc>
        <w:tc>
          <w:tcPr>
            <w:tcW w:w="1870" w:type="pct"/>
            <w:shd w:val="pct10" w:color="auto" w:fill="auto"/>
            <w:vAlign w:val="center"/>
          </w:tcPr>
          <w:p>
            <w:pPr>
              <w:widowControl/>
              <w:tabs>
                <w:tab w:val="left" w:pos="420"/>
              </w:tabs>
              <w:spacing w:line="240" w:lineRule="exact"/>
              <w:jc w:val="center"/>
              <w:outlineLvl w:val="0"/>
              <w:rPr>
                <w:b/>
                <w:sz w:val="24"/>
              </w:rPr>
            </w:pPr>
            <w:r>
              <w:rPr>
                <w:rFonts w:hint="eastAsia"/>
                <w:b/>
                <w:sz w:val="24"/>
              </w:rPr>
              <w:t>项目名称</w:t>
            </w:r>
          </w:p>
        </w:tc>
        <w:tc>
          <w:tcPr>
            <w:tcW w:w="1186" w:type="pct"/>
            <w:shd w:val="pct10" w:color="auto" w:fill="auto"/>
            <w:vAlign w:val="center"/>
          </w:tcPr>
          <w:p>
            <w:pPr>
              <w:widowControl/>
              <w:tabs>
                <w:tab w:val="left" w:pos="420"/>
              </w:tabs>
              <w:spacing w:line="240" w:lineRule="exact"/>
              <w:jc w:val="center"/>
              <w:outlineLvl w:val="0"/>
              <w:rPr>
                <w:b/>
                <w:sz w:val="24"/>
              </w:rPr>
            </w:pPr>
            <w:bookmarkStart w:id="0" w:name="_Toc35250168"/>
            <w:bookmarkStart w:id="1" w:name="_Toc35357948"/>
            <w:bookmarkStart w:id="2" w:name="_Toc35358366"/>
            <w:bookmarkStart w:id="3" w:name="_Toc35249649"/>
            <w:bookmarkStart w:id="4" w:name="_Toc35358568"/>
            <w:r>
              <w:rPr>
                <w:rFonts w:hint="eastAsia"/>
                <w:b/>
                <w:sz w:val="24"/>
              </w:rPr>
              <w:t>单位/数量</w:t>
            </w:r>
            <w:bookmarkEnd w:id="0"/>
            <w:bookmarkEnd w:id="1"/>
            <w:bookmarkEnd w:id="2"/>
            <w:bookmarkEnd w:id="3"/>
            <w:bookmarkEnd w:id="4"/>
          </w:p>
        </w:tc>
        <w:tc>
          <w:tcPr>
            <w:tcW w:w="1436" w:type="pct"/>
            <w:shd w:val="pct10" w:color="auto" w:fill="auto"/>
            <w:vAlign w:val="center"/>
          </w:tcPr>
          <w:p>
            <w:pPr>
              <w:widowControl/>
              <w:tabs>
                <w:tab w:val="left" w:pos="420"/>
              </w:tabs>
              <w:spacing w:line="240" w:lineRule="exact"/>
              <w:jc w:val="center"/>
              <w:outlineLvl w:val="0"/>
              <w:rPr>
                <w:b/>
                <w:sz w:val="24"/>
              </w:rPr>
            </w:pPr>
            <w:r>
              <w:rPr>
                <w:rFonts w:hint="eastAsia"/>
                <w:b/>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8" w:hRule="atLeast"/>
        </w:trPr>
        <w:tc>
          <w:tcPr>
            <w:tcW w:w="508" w:type="pct"/>
            <w:vAlign w:val="center"/>
          </w:tcPr>
          <w:p>
            <w:pPr>
              <w:widowControl/>
              <w:tabs>
                <w:tab w:val="left" w:pos="420"/>
              </w:tabs>
              <w:jc w:val="center"/>
              <w:outlineLvl w:val="0"/>
              <w:rPr>
                <w:sz w:val="24"/>
              </w:rPr>
            </w:pPr>
            <w:r>
              <w:rPr>
                <w:sz w:val="24"/>
              </w:rPr>
              <w:t>1</w:t>
            </w:r>
          </w:p>
        </w:tc>
        <w:tc>
          <w:tcPr>
            <w:tcW w:w="1870" w:type="pct"/>
            <w:shd w:val="clear" w:color="auto" w:fill="auto"/>
            <w:vAlign w:val="center"/>
          </w:tcPr>
          <w:p>
            <w:pPr>
              <w:widowControl/>
              <w:tabs>
                <w:tab w:val="left" w:pos="420"/>
              </w:tabs>
              <w:spacing w:line="360" w:lineRule="auto"/>
              <w:jc w:val="left"/>
              <w:outlineLvl w:val="0"/>
              <w:rPr>
                <w:sz w:val="24"/>
              </w:rPr>
            </w:pPr>
            <w:r>
              <w:rPr>
                <w:rFonts w:hint="eastAsia"/>
                <w:sz w:val="24"/>
              </w:rPr>
              <w:t>县区级疾控中心职业病危害监测能力提升项目</w:t>
            </w:r>
          </w:p>
        </w:tc>
        <w:tc>
          <w:tcPr>
            <w:tcW w:w="1186" w:type="pct"/>
            <w:vAlign w:val="center"/>
          </w:tcPr>
          <w:p>
            <w:pPr>
              <w:widowControl/>
              <w:tabs>
                <w:tab w:val="left" w:pos="420"/>
              </w:tabs>
              <w:jc w:val="center"/>
              <w:outlineLvl w:val="0"/>
              <w:rPr>
                <w:sz w:val="24"/>
              </w:rPr>
            </w:pPr>
            <w:r>
              <w:rPr>
                <w:rFonts w:hint="eastAsia"/>
                <w:sz w:val="24"/>
              </w:rPr>
              <w:t>1包、2包、3包</w:t>
            </w:r>
          </w:p>
        </w:tc>
        <w:tc>
          <w:tcPr>
            <w:tcW w:w="1436" w:type="pct"/>
            <w:vAlign w:val="center"/>
          </w:tcPr>
          <w:p>
            <w:pPr>
              <w:widowControl/>
              <w:tabs>
                <w:tab w:val="left" w:pos="420"/>
              </w:tabs>
              <w:outlineLvl w:val="0"/>
              <w:rPr>
                <w:sz w:val="24"/>
              </w:rPr>
            </w:pPr>
            <w:r>
              <w:rPr>
                <w:rFonts w:hint="eastAsia"/>
                <w:sz w:val="24"/>
              </w:rPr>
              <w:t>3个包规格及技术参数详见采购文件</w:t>
            </w:r>
          </w:p>
        </w:tc>
      </w:tr>
    </w:tbl>
    <w:p>
      <w:pPr>
        <w:spacing w:line="360" w:lineRule="auto"/>
        <w:rPr>
          <w:rFonts w:asciiTheme="minorEastAsia" w:hAnsiTheme="minorEastAsia"/>
          <w:sz w:val="24"/>
        </w:rPr>
      </w:pPr>
    </w:p>
    <w:p>
      <w:pPr>
        <w:jc w:val="center"/>
      </w:pPr>
    </w:p>
    <w:p>
      <w:pPr>
        <w:spacing w:line="360" w:lineRule="auto"/>
        <w:rPr>
          <w:rFonts w:asciiTheme="minorEastAsia" w:hAnsiTheme="minorEastAsia"/>
          <w:sz w:val="24"/>
        </w:rPr>
      </w:pPr>
      <w:r>
        <w:rPr>
          <w:rFonts w:hint="eastAsia" w:asciiTheme="minorEastAsia" w:hAnsiTheme="minorEastAsia"/>
          <w:sz w:val="24"/>
        </w:rPr>
        <w:t>六、</w:t>
      </w:r>
      <w:r>
        <w:rPr>
          <w:rFonts w:hint="eastAsia" w:asciiTheme="minorEastAsia" w:hAnsiTheme="minorEastAsia"/>
          <w:b/>
          <w:sz w:val="24"/>
        </w:rPr>
        <w:t>投标人资格要求：</w:t>
      </w:r>
    </w:p>
    <w:p>
      <w:pPr>
        <w:pStyle w:val="44"/>
        <w:spacing w:line="360" w:lineRule="auto"/>
      </w:pPr>
      <w:r>
        <w:rPr>
          <w:rFonts w:hint="eastAsia"/>
        </w:rPr>
        <w:t xml:space="preserve"> 1.满足《中华人民共和国政府采购法》第二十二条规定；</w:t>
      </w:r>
    </w:p>
    <w:p>
      <w:pPr>
        <w:pStyle w:val="44"/>
        <w:spacing w:line="360" w:lineRule="auto"/>
        <w:ind w:firstLine="120" w:firstLineChars="50"/>
      </w:pPr>
      <w:r>
        <w:rPr>
          <w:rFonts w:hint="eastAsia"/>
        </w:rPr>
        <w:t>2.落实政府采购政策需满足的资格要求：《政府采购促进中小企业发展暂行办法》、《财政部 民政部 中国残疾人联合会关于促进残疾人就业政府采购政策的通知》（财库【2017】141号）、财政部、司法部关于政府采购支持监狱企业发展有关问题的通知（财库[2014]68号）文、冀财采【2019】7号文和财库【2019】9号文</w:t>
      </w:r>
    </w:p>
    <w:p>
      <w:pPr>
        <w:pStyle w:val="44"/>
        <w:spacing w:line="360" w:lineRule="auto"/>
      </w:pPr>
      <w:r>
        <w:rPr>
          <w:rFonts w:hint="eastAsia"/>
        </w:rPr>
        <w:t>3.本项目的特定资格要求：</w:t>
      </w:r>
    </w:p>
    <w:p>
      <w:pPr>
        <w:pStyle w:val="44"/>
        <w:spacing w:line="360" w:lineRule="auto"/>
      </w:pPr>
      <w:r>
        <w:rPr>
          <w:rFonts w:hint="eastAsia"/>
        </w:rPr>
        <w:t>3.1.投标人应当具备有效的营业执照、开户许可证（取消开户许可证的可提供基本账户存款信息）且具有承担项目所要求的专业队伍、设备、资金等能力；</w:t>
      </w:r>
    </w:p>
    <w:p>
      <w:pPr>
        <w:pStyle w:val="44"/>
        <w:spacing w:line="360" w:lineRule="auto"/>
      </w:pPr>
      <w:r>
        <w:rPr>
          <w:rFonts w:hint="eastAsia"/>
        </w:rPr>
        <w:t>3.2.2019年度经第三方社会中介机构出具的财务审计报告或2020年9月1日后由基本开户银行出具的银行资信证明；</w:t>
      </w:r>
    </w:p>
    <w:p>
      <w:pPr>
        <w:pStyle w:val="44"/>
        <w:spacing w:line="360" w:lineRule="auto"/>
      </w:pPr>
      <w:r>
        <w:rPr>
          <w:rFonts w:hint="eastAsia"/>
        </w:rPr>
        <w:t>3.3.具有2020年1月至今（任意月）依法缴纳的税收相关证明材料（如依法免税或零缴纳的需提供相应证明资料）；</w:t>
      </w:r>
    </w:p>
    <w:p>
      <w:pPr>
        <w:pStyle w:val="44"/>
        <w:spacing w:line="360" w:lineRule="auto"/>
      </w:pPr>
      <w:r>
        <w:rPr>
          <w:rFonts w:hint="eastAsia"/>
        </w:rPr>
        <w:t>3.4.具有2020年1月至今（任意月）社会保障资金缴纳相关证明材料（如依法不需要缴纳社保的，提供相应证明文件）；</w:t>
      </w:r>
    </w:p>
    <w:p>
      <w:pPr>
        <w:pStyle w:val="44"/>
        <w:spacing w:line="360" w:lineRule="auto"/>
      </w:pPr>
      <w:r>
        <w:rPr>
          <w:rFonts w:hint="eastAsia"/>
        </w:rPr>
        <w:t>3.5.供应商参加政府采购活动前3年内在经营活动中没有重大违法记录的书面声明；与采购人存在利害关系可能影响采购公正性的法人、其他组织或者个人，不得参加投标。单位负责人为同一人或者存在控股、管理关系的不同单位，不得参加同一项目投标；信誉要求：供应商在“信用中国（www.creditchina.gov.cn/）”系统中未被列失信被执行人名单，在“中国政府采购网”未被列入政府采购严重违法失信行为记录名单（如供应商不符合以上要求，其投标将被否决，以开标当日采购人现场查询结果为准）。</w:t>
      </w:r>
    </w:p>
    <w:p>
      <w:pPr>
        <w:pStyle w:val="44"/>
        <w:spacing w:line="360" w:lineRule="auto"/>
      </w:pPr>
      <w:r>
        <w:rPr>
          <w:rFonts w:hint="eastAsia"/>
        </w:rPr>
        <w:t>四、本项目不接受联合体投标。</w:t>
      </w:r>
    </w:p>
    <w:p>
      <w:pPr>
        <w:spacing w:line="360" w:lineRule="auto"/>
        <w:rPr>
          <w:rFonts w:ascii="宋体" w:hAnsi="宋体" w:cs="宋体"/>
          <w:kern w:val="0"/>
          <w:sz w:val="24"/>
        </w:rPr>
      </w:pPr>
      <w:r>
        <w:rPr>
          <w:rFonts w:hint="eastAsia" w:ascii="宋体" w:hAnsi="宋体" w:cs="宋体"/>
          <w:kern w:val="0"/>
          <w:sz w:val="24"/>
        </w:rPr>
        <w:t>备注：投标单位应满足（1）-（3）项条件；携带法人授权委托书原件及身份证原件及以上所有资料原件和复印件各3份（复印件加盖公章），并携带原件核查。</w:t>
      </w: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七、报名时间及地点：</w:t>
      </w:r>
      <w:r>
        <w:rPr>
          <w:rFonts w:hint="eastAsia" w:asciiTheme="minorEastAsia" w:hAnsiTheme="minorEastAsia"/>
          <w:sz w:val="24"/>
        </w:rPr>
        <w:t>2020年12月</w:t>
      </w:r>
      <w:r>
        <w:rPr>
          <w:rFonts w:hint="eastAsia" w:asciiTheme="minorEastAsia" w:hAnsiTheme="minorEastAsia"/>
          <w:sz w:val="24"/>
          <w:lang w:val="en-US" w:eastAsia="zh-CN"/>
        </w:rPr>
        <w:t>30</w:t>
      </w:r>
      <w:r>
        <w:rPr>
          <w:rFonts w:hint="eastAsia" w:asciiTheme="minorEastAsia" w:hAnsiTheme="minorEastAsia"/>
          <w:sz w:val="24"/>
        </w:rPr>
        <w:t>日至2021年01月0</w:t>
      </w:r>
      <w:r>
        <w:rPr>
          <w:rFonts w:hint="eastAsia" w:asciiTheme="minorEastAsia" w:hAnsiTheme="minorEastAsia"/>
          <w:sz w:val="24"/>
          <w:lang w:val="en-US" w:eastAsia="zh-CN"/>
        </w:rPr>
        <w:t>7</w:t>
      </w:r>
      <w:r>
        <w:rPr>
          <w:rFonts w:hint="eastAsia" w:ascii="宋体" w:hAnsi="宋体" w:cs="宋体"/>
          <w:kern w:val="0"/>
          <w:sz w:val="24"/>
        </w:rPr>
        <w:t>(北京时间)（每日10：30-13：30，15：30-18：30节假日除外）,新疆谱诚项目管理咨询有限公司（乌鲁木齐市水磨沟区龙盛街898号万科中央公园1栋1804）</w:t>
      </w:r>
    </w:p>
    <w:p>
      <w:pPr>
        <w:spacing w:line="360" w:lineRule="auto"/>
        <w:rPr>
          <w:rFonts w:ascii="宋体" w:hAnsi="宋体" w:cs="宋体"/>
          <w:kern w:val="0"/>
          <w:sz w:val="24"/>
        </w:rPr>
      </w:pPr>
      <w:r>
        <w:rPr>
          <w:rFonts w:hint="eastAsia" w:ascii="宋体" w:hAnsi="宋体" w:cs="宋体"/>
          <w:kern w:val="0"/>
          <w:sz w:val="24"/>
        </w:rPr>
        <w:t>八、招标文件售价：200元/份（标书一经售出概不退还）</w:t>
      </w:r>
    </w:p>
    <w:p>
      <w:pPr>
        <w:spacing w:line="360" w:lineRule="auto"/>
        <w:rPr>
          <w:rFonts w:ascii="宋体" w:hAnsi="宋体" w:cs="宋体"/>
          <w:kern w:val="0"/>
          <w:sz w:val="24"/>
        </w:rPr>
      </w:pPr>
      <w:r>
        <w:rPr>
          <w:rFonts w:hint="eastAsia" w:ascii="宋体" w:hAnsi="宋体" w:cs="宋体"/>
          <w:kern w:val="0"/>
          <w:sz w:val="24"/>
        </w:rPr>
        <w:t>九、投标文件递交截止时间及地点：</w:t>
      </w:r>
    </w:p>
    <w:p>
      <w:pPr>
        <w:spacing w:line="360" w:lineRule="auto"/>
        <w:jc w:val="left"/>
        <w:rPr>
          <w:rFonts w:ascii="宋体" w:hAnsi="宋体" w:cs="宋体"/>
          <w:kern w:val="0"/>
          <w:sz w:val="24"/>
        </w:rPr>
      </w:pPr>
      <w:r>
        <w:rPr>
          <w:rFonts w:hint="eastAsia" w:ascii="宋体" w:hAnsi="宋体" w:cs="宋体"/>
          <w:kern w:val="0"/>
          <w:sz w:val="24"/>
        </w:rPr>
        <w:t>2021年01月1</w:t>
      </w:r>
      <w:r>
        <w:rPr>
          <w:rFonts w:hint="eastAsia" w:ascii="宋体" w:hAnsi="宋体" w:cs="宋体"/>
          <w:kern w:val="0"/>
          <w:sz w:val="24"/>
          <w:lang w:val="en-US" w:eastAsia="zh-CN"/>
        </w:rPr>
        <w:t>9</w:t>
      </w:r>
      <w:r>
        <w:rPr>
          <w:rFonts w:hint="eastAsia" w:ascii="宋体" w:hAnsi="宋体" w:cs="宋体"/>
          <w:kern w:val="0"/>
          <w:sz w:val="24"/>
        </w:rPr>
        <w:t>日上午11 ：00 (北京时间)之前，递交到新疆谱诚项目管理咨询有限公司（乌鲁木齐市水磨沟区龙盛街898号万科中央公园1栋1801）</w:t>
      </w:r>
      <w:r>
        <w:rPr>
          <w:rFonts w:ascii="宋体" w:hAnsi="宋体" w:cs="宋体"/>
          <w:kern w:val="0"/>
          <w:sz w:val="24"/>
        </w:rPr>
        <w:t>，逾期不予办理，取消投标资格</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十、开标时间和地点：2021年01月1</w:t>
      </w:r>
      <w:r>
        <w:rPr>
          <w:rFonts w:hint="eastAsia" w:ascii="宋体" w:hAnsi="宋体" w:cs="宋体"/>
          <w:kern w:val="0"/>
          <w:sz w:val="24"/>
          <w:lang w:val="en-US" w:eastAsia="zh-CN"/>
        </w:rPr>
        <w:t>9</w:t>
      </w:r>
      <w:r>
        <w:rPr>
          <w:rFonts w:hint="eastAsia" w:ascii="宋体" w:hAnsi="宋体" w:cs="宋体"/>
          <w:kern w:val="0"/>
          <w:sz w:val="24"/>
        </w:rPr>
        <w:t>日上午11 ：00 (北京时间)),新疆谱诚项目管理咨询有限公司（乌鲁木齐市水磨沟区龙盛街898号万科中央公园1栋1801）（如有变动另行通知）</w:t>
      </w:r>
    </w:p>
    <w:p>
      <w:pPr>
        <w:spacing w:line="360" w:lineRule="auto"/>
        <w:rPr>
          <w:rFonts w:ascii="宋体" w:hAnsi="宋体" w:cs="宋体"/>
          <w:kern w:val="0"/>
          <w:sz w:val="24"/>
        </w:rPr>
      </w:pPr>
      <w:r>
        <w:rPr>
          <w:rFonts w:hint="eastAsia" w:ascii="宋体" w:hAnsi="宋体" w:cs="宋体"/>
          <w:kern w:val="0"/>
          <w:sz w:val="24"/>
        </w:rPr>
        <w:t>十一、联系方式：</w:t>
      </w:r>
    </w:p>
    <w:p>
      <w:pPr>
        <w:spacing w:line="360" w:lineRule="auto"/>
        <w:rPr>
          <w:rFonts w:ascii="宋体" w:hAnsi="宋体" w:cs="宋体"/>
          <w:kern w:val="0"/>
          <w:sz w:val="24"/>
        </w:rPr>
      </w:pPr>
      <w:r>
        <w:rPr>
          <w:rFonts w:hint="eastAsia" w:ascii="宋体" w:hAnsi="宋体" w:cs="宋体"/>
          <w:kern w:val="0"/>
          <w:sz w:val="24"/>
        </w:rPr>
        <w:t>采购单位：新疆维吾尔自治区卫生健康委员会</w:t>
      </w:r>
    </w:p>
    <w:p>
      <w:pPr>
        <w:spacing w:line="360" w:lineRule="auto"/>
        <w:rPr>
          <w:rFonts w:ascii="宋体" w:hAnsi="宋体" w:cs="宋体"/>
          <w:kern w:val="0"/>
          <w:sz w:val="24"/>
        </w:rPr>
      </w:pPr>
      <w:r>
        <w:rPr>
          <w:rFonts w:hint="eastAsia" w:ascii="宋体" w:hAnsi="宋体" w:cs="宋体"/>
          <w:kern w:val="0"/>
          <w:sz w:val="24"/>
        </w:rPr>
        <w:t>采购单位地址：乌鲁木齐市龙泉街191号</w:t>
      </w:r>
    </w:p>
    <w:p>
      <w:pPr>
        <w:spacing w:line="360" w:lineRule="auto"/>
        <w:rPr>
          <w:rFonts w:ascii="宋体" w:hAnsi="宋体" w:cs="宋体"/>
          <w:kern w:val="0"/>
          <w:sz w:val="24"/>
        </w:rPr>
      </w:pPr>
      <w:r>
        <w:rPr>
          <w:rFonts w:hint="eastAsia" w:ascii="宋体" w:hAnsi="宋体" w:cs="宋体"/>
          <w:kern w:val="0"/>
          <w:sz w:val="24"/>
        </w:rPr>
        <w:t xml:space="preserve">联系人：梁嘉颖   联系电话：0991-8568587    </w:t>
      </w:r>
    </w:p>
    <w:p>
      <w:pPr>
        <w:spacing w:line="360" w:lineRule="auto"/>
        <w:rPr>
          <w:rFonts w:ascii="宋体" w:hAnsi="宋体" w:cs="宋体"/>
          <w:kern w:val="0"/>
          <w:sz w:val="24"/>
        </w:rPr>
      </w:pPr>
      <w:r>
        <w:rPr>
          <w:rFonts w:hint="eastAsia" w:ascii="宋体" w:hAnsi="宋体" w:cs="宋体"/>
          <w:kern w:val="0"/>
          <w:sz w:val="24"/>
        </w:rPr>
        <w:t>招标代理机构：新疆谱诚项目管理咨询有限公司</w:t>
      </w:r>
    </w:p>
    <w:p>
      <w:pPr>
        <w:spacing w:line="360" w:lineRule="auto"/>
        <w:rPr>
          <w:rFonts w:ascii="宋体" w:hAnsi="宋体" w:cs="宋体"/>
          <w:kern w:val="0"/>
          <w:sz w:val="24"/>
        </w:rPr>
      </w:pPr>
      <w:r>
        <w:rPr>
          <w:rFonts w:hint="eastAsia" w:ascii="宋体" w:hAnsi="宋体" w:cs="宋体"/>
          <w:kern w:val="0"/>
          <w:sz w:val="24"/>
        </w:rPr>
        <w:t>招标公司地址：乌鲁木齐市水磨沟区龙盛街898号万科中央公园1栋1804室</w:t>
      </w:r>
    </w:p>
    <w:p>
      <w:pPr>
        <w:spacing w:line="360" w:lineRule="auto"/>
        <w:rPr>
          <w:rFonts w:ascii="宋体" w:hAnsi="宋体" w:cs="宋体"/>
          <w:kern w:val="0"/>
          <w:sz w:val="24"/>
        </w:rPr>
      </w:pPr>
      <w:r>
        <w:rPr>
          <w:rFonts w:hint="eastAsia" w:ascii="宋体" w:hAnsi="宋体" w:cs="宋体"/>
          <w:kern w:val="0"/>
          <w:sz w:val="24"/>
        </w:rPr>
        <w:t>项目联系人：王力  穆嘉文</w:t>
      </w:r>
    </w:p>
    <w:p>
      <w:pPr>
        <w:spacing w:line="360" w:lineRule="auto"/>
        <w:rPr>
          <w:rFonts w:ascii="宋体" w:hAnsi="宋体" w:cs="宋体"/>
          <w:kern w:val="0"/>
          <w:sz w:val="24"/>
        </w:rPr>
      </w:pPr>
      <w:r>
        <w:rPr>
          <w:rFonts w:hint="eastAsia" w:ascii="宋体" w:hAnsi="宋体" w:cs="宋体"/>
          <w:kern w:val="0"/>
          <w:sz w:val="24"/>
        </w:rPr>
        <w:t>联系电话：13999160776   13201305600</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jc w:val="right"/>
        <w:rPr>
          <w:rFonts w:ascii="宋体" w:hAnsi="宋体" w:cs="宋体"/>
          <w:kern w:val="0"/>
          <w:sz w:val="24"/>
        </w:rPr>
      </w:pPr>
      <w:r>
        <w:rPr>
          <w:rFonts w:hint="eastAsia" w:ascii="宋体" w:hAnsi="宋体" w:cs="宋体"/>
          <w:kern w:val="0"/>
          <w:sz w:val="24"/>
        </w:rPr>
        <w:t>新疆谱诚项目管理咨询有限公司</w:t>
      </w:r>
    </w:p>
    <w:p>
      <w:pPr>
        <w:spacing w:line="360" w:lineRule="auto"/>
        <w:rPr>
          <w:rFonts w:ascii="宋体" w:hAnsi="宋体" w:cs="宋体"/>
          <w:kern w:val="0"/>
          <w:sz w:val="24"/>
        </w:rPr>
      </w:pPr>
      <w:r>
        <w:rPr>
          <w:rFonts w:hint="eastAsia" w:ascii="宋体" w:hAnsi="宋体" w:cs="宋体"/>
          <w:kern w:val="0"/>
          <w:sz w:val="24"/>
        </w:rPr>
        <w:t xml:space="preserve">                                                            2020年12月</w:t>
      </w:r>
      <w:r>
        <w:rPr>
          <w:rFonts w:hint="eastAsia" w:ascii="宋体" w:hAnsi="宋体" w:cs="宋体"/>
          <w:kern w:val="0"/>
          <w:sz w:val="24"/>
          <w:lang w:val="en-US" w:eastAsia="zh-CN"/>
        </w:rPr>
        <w:t>30</w:t>
      </w:r>
      <w:r>
        <w:rPr>
          <w:rFonts w:hint="eastAsia" w:ascii="宋体" w:hAnsi="宋体" w:cs="宋体"/>
          <w:kern w:val="0"/>
          <w:sz w:val="24"/>
        </w:rPr>
        <w:t>日</w:t>
      </w:r>
    </w:p>
    <w:p>
      <w:pPr>
        <w:snapToGrid w:val="0"/>
        <w:spacing w:beforeLines="50" w:afterLines="50"/>
        <w:rPr>
          <w:rFonts w:asciiTheme="minorEastAsia" w:hAnsiTheme="minorEastAsia" w:eastAsiaTheme="minorEastAsia"/>
          <w:sz w:val="30"/>
          <w:szCs w:val="30"/>
        </w:rPr>
      </w:pPr>
    </w:p>
    <w:p>
      <w:pPr>
        <w:snapToGrid w:val="0"/>
        <w:spacing w:beforeLines="50" w:afterLines="50"/>
        <w:ind w:firstLine="3162" w:firstLineChars="1050"/>
        <w:rPr>
          <w:rFonts w:asciiTheme="minorEastAsia" w:hAnsiTheme="minorEastAsia" w:eastAsiaTheme="minorEastAsia"/>
          <w:b/>
          <w:bCs/>
          <w:sz w:val="30"/>
          <w:szCs w:val="30"/>
        </w:rPr>
      </w:pPr>
    </w:p>
    <w:p>
      <w:pPr>
        <w:snapToGrid w:val="0"/>
        <w:spacing w:beforeLines="50" w:afterLines="50"/>
        <w:ind w:firstLine="3162" w:firstLineChars="1050"/>
        <w:rPr>
          <w:rFonts w:asciiTheme="minorEastAsia" w:hAnsiTheme="minorEastAsia" w:eastAsiaTheme="minorEastAsia"/>
          <w:b/>
          <w:bCs/>
          <w:sz w:val="30"/>
          <w:szCs w:val="30"/>
        </w:rPr>
      </w:pPr>
    </w:p>
    <w:p>
      <w:pPr>
        <w:snapToGrid w:val="0"/>
        <w:spacing w:beforeLines="50" w:afterLines="50"/>
        <w:ind w:firstLine="3162" w:firstLineChars="1050"/>
        <w:rPr>
          <w:rFonts w:asciiTheme="minorEastAsia" w:hAnsiTheme="minorEastAsia" w:eastAsiaTheme="minorEastAsia"/>
          <w:b/>
          <w:bCs/>
          <w:sz w:val="30"/>
          <w:szCs w:val="30"/>
        </w:rPr>
      </w:pPr>
    </w:p>
    <w:p>
      <w:pPr>
        <w:snapToGrid w:val="0"/>
        <w:spacing w:beforeLines="50" w:afterLines="50"/>
        <w:ind w:firstLine="3162" w:firstLineChars="105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第二章    投标人须知</w:t>
      </w:r>
    </w:p>
    <w:p>
      <w:pPr>
        <w:snapToGrid w:val="0"/>
        <w:jc w:val="center"/>
        <w:outlineLvl w:val="0"/>
        <w:rPr>
          <w:rFonts w:cs="黑体" w:asciiTheme="minorEastAsia" w:hAnsiTheme="minorEastAsia" w:eastAsiaTheme="minorEastAsia"/>
          <w:sz w:val="28"/>
          <w:szCs w:val="28"/>
        </w:rPr>
      </w:pPr>
      <w:r>
        <w:rPr>
          <w:rFonts w:hint="eastAsia" w:cs="黑体" w:asciiTheme="minorEastAsia" w:hAnsiTheme="minorEastAsia" w:eastAsiaTheme="minorEastAsia"/>
          <w:sz w:val="24"/>
          <w:szCs w:val="28"/>
        </w:rPr>
        <w:t>投标人须知前附表</w:t>
      </w:r>
    </w:p>
    <w:tbl>
      <w:tblPr>
        <w:tblStyle w:val="50"/>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9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序号</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项目名称：县区级疾控中心职业病危害监测能力提升项目</w:t>
            </w:r>
          </w:p>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项目标段/包名称：</w:t>
            </w:r>
          </w:p>
          <w:p>
            <w:pPr>
              <w:spacing w:line="360" w:lineRule="auto"/>
              <w:rPr>
                <w:sz w:val="24"/>
              </w:rPr>
            </w:pPr>
            <w:r>
              <w:rPr>
                <w:rFonts w:hint="eastAsia"/>
                <w:sz w:val="24"/>
              </w:rPr>
              <w:t>1、县区级疾控中心职业病危害监测能力提升项目（1包）；</w:t>
            </w:r>
          </w:p>
          <w:p>
            <w:pPr>
              <w:spacing w:line="360" w:lineRule="auto"/>
              <w:rPr>
                <w:sz w:val="24"/>
              </w:rPr>
            </w:pPr>
            <w:r>
              <w:rPr>
                <w:rFonts w:hint="eastAsia"/>
                <w:sz w:val="24"/>
              </w:rPr>
              <w:t>2、县区级疾控中心职业病危害监测能力提升项目（2包）；</w:t>
            </w:r>
          </w:p>
          <w:p>
            <w:pPr>
              <w:spacing w:line="360" w:lineRule="auto"/>
              <w:rPr>
                <w:sz w:val="24"/>
              </w:rPr>
            </w:pPr>
            <w:r>
              <w:rPr>
                <w:rFonts w:hint="eastAsia"/>
                <w:sz w:val="24"/>
              </w:rPr>
              <w:t>3、县区级疾控中心职业病危害监测能力提升项目（3包）；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2</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采购数量及单位：详见第三章内容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3</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投标报价及费用：</w:t>
            </w:r>
          </w:p>
          <w:p>
            <w:pPr>
              <w:numPr>
                <w:ilvl w:val="0"/>
                <w:numId w:val="13"/>
              </w:num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采购预算：</w:t>
            </w:r>
          </w:p>
          <w:p>
            <w:pPr>
              <w:snapToGrid w:val="0"/>
              <w:rPr>
                <w:rFonts w:asciiTheme="minorEastAsia" w:hAnsiTheme="minorEastAsia" w:eastAsiaTheme="minorEastAsia"/>
                <w:color w:val="FF0000"/>
                <w:sz w:val="24"/>
                <w:szCs w:val="20"/>
              </w:rPr>
            </w:pPr>
            <w:r>
              <w:rPr>
                <w:rFonts w:hint="eastAsia"/>
                <w:sz w:val="24"/>
              </w:rPr>
              <w:t>1包：</w:t>
            </w:r>
            <w:r>
              <w:rPr>
                <w:rFonts w:hint="eastAsia" w:asciiTheme="minorEastAsia" w:hAnsiTheme="minorEastAsia" w:eastAsiaTheme="minorEastAsia"/>
                <w:sz w:val="24"/>
                <w:szCs w:val="20"/>
              </w:rPr>
              <w:t>小写：</w:t>
            </w:r>
            <w:r>
              <w:rPr>
                <w:rFonts w:hint="eastAsia" w:asciiTheme="minorEastAsia" w:hAnsiTheme="minorEastAsia" w:eastAsiaTheme="minorEastAsia"/>
                <w:color w:val="FF0000"/>
                <w:sz w:val="24"/>
                <w:szCs w:val="20"/>
              </w:rPr>
              <w:t>1150 万元      大写：壹仟壹佰伍拾万元整</w:t>
            </w:r>
          </w:p>
          <w:p>
            <w:pPr>
              <w:tabs>
                <w:tab w:val="left" w:pos="3157"/>
              </w:tabs>
              <w:spacing w:line="360" w:lineRule="auto"/>
              <w:rPr>
                <w:sz w:val="24"/>
              </w:rPr>
            </w:pPr>
            <w:r>
              <w:rPr>
                <w:rFonts w:hint="eastAsia"/>
                <w:sz w:val="24"/>
              </w:rPr>
              <w:t>2包：</w:t>
            </w:r>
            <w:r>
              <w:rPr>
                <w:rFonts w:hint="eastAsia" w:asciiTheme="minorEastAsia" w:hAnsiTheme="minorEastAsia" w:eastAsiaTheme="minorEastAsia"/>
                <w:sz w:val="24"/>
                <w:szCs w:val="20"/>
              </w:rPr>
              <w:t xml:space="preserve">小写： </w:t>
            </w:r>
            <w:r>
              <w:rPr>
                <w:rFonts w:hint="eastAsia" w:asciiTheme="minorEastAsia" w:hAnsiTheme="minorEastAsia" w:eastAsiaTheme="minorEastAsia"/>
                <w:color w:val="FF0000"/>
                <w:sz w:val="24"/>
                <w:szCs w:val="20"/>
              </w:rPr>
              <w:t>770万元       大写：柒佰柒拾万元整</w:t>
            </w:r>
          </w:p>
          <w:p>
            <w:pPr>
              <w:snapToGrid w:val="0"/>
              <w:rPr>
                <w:rFonts w:asciiTheme="minorEastAsia" w:hAnsiTheme="minorEastAsia" w:eastAsiaTheme="minorEastAsia"/>
                <w:sz w:val="24"/>
                <w:szCs w:val="20"/>
              </w:rPr>
            </w:pPr>
            <w:r>
              <w:rPr>
                <w:rFonts w:hint="eastAsia"/>
                <w:sz w:val="24"/>
              </w:rPr>
              <w:t>3包：</w:t>
            </w:r>
            <w:r>
              <w:rPr>
                <w:rFonts w:hint="eastAsia" w:asciiTheme="minorEastAsia" w:hAnsiTheme="minorEastAsia" w:eastAsiaTheme="minorEastAsia"/>
                <w:sz w:val="24"/>
                <w:szCs w:val="20"/>
              </w:rPr>
              <w:t>小写：</w:t>
            </w:r>
            <w:r>
              <w:rPr>
                <w:rFonts w:hint="eastAsia" w:asciiTheme="minorEastAsia" w:hAnsiTheme="minorEastAsia" w:eastAsiaTheme="minorEastAsia"/>
                <w:color w:val="FF0000"/>
                <w:sz w:val="24"/>
                <w:szCs w:val="20"/>
              </w:rPr>
              <w:t xml:space="preserve"> 200 万元       大写：贰佰万元整</w:t>
            </w:r>
          </w:p>
          <w:p>
            <w:p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2、本项目投标应以人民币报价</w:t>
            </w:r>
          </w:p>
          <w:p>
            <w:p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4</w:t>
            </w:r>
          </w:p>
        </w:tc>
        <w:tc>
          <w:tcPr>
            <w:tcW w:w="9142"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szCs w:val="20"/>
              </w:rPr>
            </w:pPr>
            <w:r>
              <w:rPr>
                <w:rFonts w:hint="eastAsia" w:asciiTheme="minorEastAsia" w:hAnsiTheme="minorEastAsia" w:eastAsiaTheme="minorEastAsia"/>
                <w:sz w:val="24"/>
                <w:szCs w:val="20"/>
              </w:rPr>
              <w:t>投标保证金：</w:t>
            </w:r>
          </w:p>
          <w:p>
            <w:pPr>
              <w:snapToGrid w:val="0"/>
              <w:rPr>
                <w:rFonts w:asciiTheme="minorEastAsia" w:hAnsiTheme="minorEastAsia" w:eastAsiaTheme="minorEastAsia"/>
                <w:color w:val="FF0000"/>
                <w:sz w:val="24"/>
                <w:szCs w:val="20"/>
              </w:rPr>
            </w:pPr>
            <w:r>
              <w:rPr>
                <w:rFonts w:hint="eastAsia"/>
                <w:sz w:val="24"/>
              </w:rPr>
              <w:t>1包：</w:t>
            </w:r>
            <w:r>
              <w:rPr>
                <w:rFonts w:hint="eastAsia" w:asciiTheme="minorEastAsia" w:hAnsiTheme="minorEastAsia" w:eastAsiaTheme="minorEastAsia"/>
                <w:sz w:val="24"/>
                <w:szCs w:val="20"/>
              </w:rPr>
              <w:t>小写：</w:t>
            </w:r>
            <w:r>
              <w:rPr>
                <w:rFonts w:hint="eastAsia" w:asciiTheme="minorEastAsia" w:hAnsiTheme="minorEastAsia" w:eastAsiaTheme="minorEastAsia"/>
                <w:color w:val="FF0000"/>
                <w:sz w:val="24"/>
                <w:szCs w:val="20"/>
              </w:rPr>
              <w:t xml:space="preserve"> 23.00万元；    大写：贰拾叁万元整</w:t>
            </w:r>
          </w:p>
          <w:p>
            <w:pPr>
              <w:spacing w:line="360" w:lineRule="auto"/>
              <w:rPr>
                <w:sz w:val="24"/>
              </w:rPr>
            </w:pPr>
            <w:r>
              <w:rPr>
                <w:rFonts w:hint="eastAsia"/>
                <w:sz w:val="24"/>
              </w:rPr>
              <w:t>2包：</w:t>
            </w:r>
            <w:r>
              <w:rPr>
                <w:rFonts w:hint="eastAsia" w:asciiTheme="minorEastAsia" w:hAnsiTheme="minorEastAsia" w:eastAsiaTheme="minorEastAsia"/>
                <w:sz w:val="24"/>
                <w:szCs w:val="20"/>
              </w:rPr>
              <w:t>小写：</w:t>
            </w:r>
            <w:r>
              <w:rPr>
                <w:rFonts w:hint="eastAsia" w:asciiTheme="minorEastAsia" w:hAnsiTheme="minorEastAsia" w:eastAsiaTheme="minorEastAsia"/>
                <w:color w:val="FF0000"/>
                <w:sz w:val="24"/>
                <w:szCs w:val="20"/>
              </w:rPr>
              <w:t xml:space="preserve"> 15.00万元；    大写：壹拾伍万元整</w:t>
            </w:r>
          </w:p>
          <w:p>
            <w:pPr>
              <w:snapToGrid w:val="0"/>
              <w:rPr>
                <w:rFonts w:asciiTheme="minorEastAsia" w:hAnsiTheme="minorEastAsia" w:eastAsiaTheme="minorEastAsia"/>
                <w:sz w:val="24"/>
                <w:szCs w:val="20"/>
              </w:rPr>
            </w:pPr>
            <w:r>
              <w:rPr>
                <w:rFonts w:hint="eastAsia"/>
                <w:sz w:val="24"/>
              </w:rPr>
              <w:t>3包：</w:t>
            </w:r>
            <w:r>
              <w:rPr>
                <w:rFonts w:hint="eastAsia" w:asciiTheme="minorEastAsia" w:hAnsiTheme="minorEastAsia" w:eastAsiaTheme="minorEastAsia"/>
                <w:sz w:val="24"/>
                <w:szCs w:val="20"/>
              </w:rPr>
              <w:t xml:space="preserve">小写： </w:t>
            </w:r>
            <w:r>
              <w:rPr>
                <w:rFonts w:hint="eastAsia" w:asciiTheme="minorEastAsia" w:hAnsiTheme="minorEastAsia" w:eastAsiaTheme="minorEastAsia"/>
                <w:color w:val="FF0000"/>
                <w:sz w:val="24"/>
                <w:szCs w:val="20"/>
              </w:rPr>
              <w:t>4.00万元；     大写：肆万元整</w:t>
            </w:r>
          </w:p>
          <w:p>
            <w:pPr>
              <w:widowControl/>
              <w:rPr>
                <w:rFonts w:asciiTheme="minorEastAsia" w:hAnsiTheme="minorEastAsia" w:eastAsiaTheme="minorEastAsia"/>
                <w:sz w:val="24"/>
              </w:rPr>
            </w:pPr>
            <w:r>
              <w:rPr>
                <w:rFonts w:hint="eastAsia" w:asciiTheme="minorEastAsia" w:hAnsiTheme="minorEastAsia" w:eastAsiaTheme="minorEastAsia"/>
                <w:sz w:val="24"/>
              </w:rPr>
              <w:t>户单位名称：新疆谱诚项目管理咨询有限公司</w:t>
            </w:r>
          </w:p>
          <w:p>
            <w:pPr>
              <w:widowControl/>
              <w:rPr>
                <w:rFonts w:asciiTheme="minorEastAsia" w:hAnsiTheme="minorEastAsia" w:eastAsiaTheme="minorEastAsia"/>
                <w:sz w:val="24"/>
              </w:rPr>
            </w:pPr>
            <w:r>
              <w:rPr>
                <w:rFonts w:hint="eastAsia" w:asciiTheme="minorEastAsia" w:hAnsiTheme="minorEastAsia" w:eastAsiaTheme="minorEastAsia"/>
                <w:sz w:val="24"/>
              </w:rPr>
              <w:t>开户行：中国农业银行股份有限公司乌鲁木齐南门国际城支行</w:t>
            </w:r>
          </w:p>
          <w:p>
            <w:pPr>
              <w:widowControl/>
              <w:rPr>
                <w:rFonts w:asciiTheme="minorEastAsia" w:hAnsiTheme="minorEastAsia" w:eastAsiaTheme="minorEastAsia"/>
                <w:sz w:val="24"/>
              </w:rPr>
            </w:pPr>
            <w:r>
              <w:rPr>
                <w:rFonts w:hint="eastAsia" w:asciiTheme="minorEastAsia" w:hAnsiTheme="minorEastAsia" w:eastAsiaTheme="minorEastAsia"/>
                <w:sz w:val="24"/>
              </w:rPr>
              <w:t>银行账号：30003101040002928</w:t>
            </w:r>
          </w:p>
          <w:p>
            <w:pPr>
              <w:widowControl/>
              <w:rPr>
                <w:rFonts w:asciiTheme="minorEastAsia" w:hAnsiTheme="minorEastAsia" w:eastAsiaTheme="minorEastAsia"/>
                <w:sz w:val="24"/>
              </w:rPr>
            </w:pPr>
            <w:r>
              <w:rPr>
                <w:rFonts w:hint="eastAsia" w:asciiTheme="minorEastAsia" w:hAnsiTheme="minorEastAsia" w:eastAsiaTheme="minorEastAsia"/>
                <w:sz w:val="24"/>
              </w:rPr>
              <w:t>行    号：103881000316</w:t>
            </w:r>
          </w:p>
          <w:p>
            <w:pPr>
              <w:widowControl/>
              <w:rPr>
                <w:rFonts w:asciiTheme="minorEastAsia" w:hAnsiTheme="minorEastAsia" w:eastAsiaTheme="minorEastAsia"/>
                <w:sz w:val="24"/>
              </w:rPr>
            </w:pPr>
            <w:r>
              <w:rPr>
                <w:rFonts w:hint="eastAsia" w:asciiTheme="minorEastAsia" w:hAnsiTheme="minorEastAsia" w:eastAsiaTheme="minorEastAsia"/>
                <w:sz w:val="24"/>
              </w:rPr>
              <w:t>投标保证金的缴纳形式：投标保证金于</w:t>
            </w:r>
            <w:r>
              <w:rPr>
                <w:rFonts w:hint="eastAsia" w:asciiTheme="minorEastAsia" w:hAnsiTheme="minorEastAsia" w:eastAsiaTheme="minorEastAsia"/>
                <w:color w:val="FF0000"/>
                <w:sz w:val="24"/>
              </w:rPr>
              <w:t>2021年01月</w:t>
            </w:r>
            <w:r>
              <w:rPr>
                <w:rFonts w:hint="eastAsia" w:asciiTheme="minorEastAsia" w:hAnsiTheme="minorEastAsia" w:eastAsiaTheme="minorEastAsia"/>
                <w:color w:val="FF0000"/>
                <w:sz w:val="24"/>
                <w:lang w:val="en-US" w:eastAsia="zh-CN"/>
              </w:rPr>
              <w:t>19</w:t>
            </w:r>
            <w:r>
              <w:rPr>
                <w:rFonts w:hint="eastAsia" w:asciiTheme="minorEastAsia" w:hAnsiTheme="minorEastAsia" w:eastAsiaTheme="minorEastAsia"/>
                <w:color w:val="FF0000"/>
                <w:sz w:val="24"/>
              </w:rPr>
              <w:t>日11时00分</w:t>
            </w:r>
            <w:r>
              <w:rPr>
                <w:rFonts w:hint="eastAsia" w:asciiTheme="minorEastAsia" w:hAnsiTheme="minorEastAsia" w:eastAsiaTheme="minorEastAsia"/>
                <w:sz w:val="24"/>
              </w:rPr>
              <w:t>（北京时间，以到账时间为准)之前从投标人基本账户以银行电汇或网银形式汇至新疆谱诚项目管理咨询有限公司账户，投标人提交投标保证金应充分考虑资金在途时间。若投标人未按照上述规定缴纳投标保证金,投标文件将被拒绝评审。</w:t>
            </w:r>
          </w:p>
          <w:p>
            <w:pPr>
              <w:widowControl/>
              <w:rPr>
                <w:rFonts w:asciiTheme="minorEastAsia" w:hAnsiTheme="minorEastAsia" w:eastAsiaTheme="minorEastAsia"/>
                <w:sz w:val="24"/>
              </w:rPr>
            </w:pPr>
            <w:r>
              <w:rPr>
                <w:rFonts w:hint="eastAsia" w:asciiTheme="minorEastAsia" w:hAnsiTheme="minorEastAsia" w:eastAsiaTheme="minorEastAsia"/>
                <w:sz w:val="24"/>
              </w:rPr>
              <w:t>联系电话：0991-4694560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5</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ind w:left="1"/>
              <w:rPr>
                <w:rFonts w:asciiTheme="minorEastAsia" w:hAnsiTheme="minorEastAsia" w:eastAsiaTheme="minorEastAsia"/>
                <w:sz w:val="24"/>
                <w:szCs w:val="20"/>
              </w:rPr>
            </w:pPr>
            <w:r>
              <w:rPr>
                <w:rFonts w:hint="eastAsia" w:asciiTheme="minorEastAsia" w:hAnsiTheme="minorEastAsia" w:eastAsiaTheme="minorEastAsia"/>
                <w:sz w:val="24"/>
                <w:szCs w:val="20"/>
              </w:rPr>
              <w:t>答疑与澄清：以书面形式向采购人和采购代理机构提出质疑。采购人将于</w:t>
            </w:r>
            <w:r>
              <w:rPr>
                <w:rFonts w:hint="eastAsia" w:asciiTheme="minorEastAsia" w:hAnsiTheme="minorEastAsia" w:eastAsiaTheme="minorEastAsia"/>
                <w:color w:val="FF0000"/>
                <w:sz w:val="24"/>
                <w:szCs w:val="20"/>
                <w:u w:val="single"/>
              </w:rPr>
              <w:t>2021</w:t>
            </w:r>
            <w:r>
              <w:rPr>
                <w:rFonts w:hint="eastAsia" w:asciiTheme="minorEastAsia" w:hAnsiTheme="minorEastAsia" w:eastAsiaTheme="minorEastAsia"/>
                <w:color w:val="FF0000"/>
                <w:sz w:val="24"/>
                <w:szCs w:val="20"/>
              </w:rPr>
              <w:t>年</w:t>
            </w:r>
            <w:r>
              <w:rPr>
                <w:rFonts w:hint="eastAsia" w:asciiTheme="minorEastAsia" w:hAnsiTheme="minorEastAsia" w:eastAsiaTheme="minorEastAsia"/>
                <w:color w:val="FF0000"/>
                <w:sz w:val="24"/>
                <w:szCs w:val="20"/>
                <w:u w:val="single"/>
              </w:rPr>
              <w:t>01</w:t>
            </w:r>
            <w:r>
              <w:rPr>
                <w:rFonts w:hint="eastAsia" w:asciiTheme="minorEastAsia" w:hAnsiTheme="minorEastAsia" w:eastAsiaTheme="minorEastAsia"/>
                <w:color w:val="FF0000"/>
                <w:sz w:val="24"/>
                <w:szCs w:val="20"/>
              </w:rPr>
              <w:t>月</w:t>
            </w:r>
            <w:r>
              <w:rPr>
                <w:rFonts w:hint="eastAsia" w:asciiTheme="minorEastAsia" w:hAnsiTheme="minorEastAsia" w:eastAsiaTheme="minorEastAsia"/>
                <w:color w:val="FF0000"/>
                <w:sz w:val="24"/>
                <w:szCs w:val="20"/>
                <w:u w:val="single"/>
              </w:rPr>
              <w:t>1</w:t>
            </w:r>
            <w:r>
              <w:rPr>
                <w:rFonts w:hint="eastAsia" w:asciiTheme="minorEastAsia" w:hAnsiTheme="minorEastAsia" w:eastAsiaTheme="minorEastAsia"/>
                <w:color w:val="FF0000"/>
                <w:sz w:val="24"/>
                <w:szCs w:val="20"/>
                <w:u w:val="single"/>
                <w:lang w:val="en-US" w:eastAsia="zh-CN"/>
              </w:rPr>
              <w:t>6</w:t>
            </w:r>
            <w:r>
              <w:rPr>
                <w:rFonts w:hint="eastAsia" w:asciiTheme="minorEastAsia" w:hAnsiTheme="minorEastAsia" w:eastAsiaTheme="minorEastAsia"/>
                <w:color w:val="FF0000"/>
                <w:sz w:val="24"/>
                <w:szCs w:val="20"/>
              </w:rPr>
              <w:t>日</w:t>
            </w:r>
            <w:r>
              <w:rPr>
                <w:rFonts w:hint="eastAsia" w:asciiTheme="minorEastAsia" w:hAnsiTheme="minorEastAsia" w:eastAsiaTheme="minorEastAsia"/>
                <w:sz w:val="24"/>
                <w:szCs w:val="20"/>
              </w:rPr>
              <w:t>10</w:t>
            </w:r>
            <w:r>
              <w:rPr>
                <w:rFonts w:hint="eastAsia" w:asciiTheme="minorEastAsia" w:hAnsiTheme="minorEastAsia" w:eastAsiaTheme="minorEastAsia"/>
                <w:sz w:val="24"/>
              </w:rPr>
              <w:t>时00分</w:t>
            </w:r>
            <w:r>
              <w:rPr>
                <w:rFonts w:hint="eastAsia" w:asciiTheme="minorEastAsia" w:hAnsiTheme="minorEastAsia" w:eastAsiaTheme="minorEastAsia"/>
                <w:sz w:val="24"/>
                <w:szCs w:val="20"/>
              </w:rPr>
              <w:t>前回复答疑；答疑内容是招标文件的组成部份，并将以书面形式送达所有已报名的投标人。因其他紧急情况影响本项目正常招标活动的，招标采购单位将于投标截止日期一天前书面通知所有已报名的投标人。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6</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FF0000"/>
                <w:sz w:val="24"/>
                <w:szCs w:val="20"/>
              </w:rPr>
            </w:pPr>
            <w:r>
              <w:rPr>
                <w:rFonts w:hint="eastAsia" w:asciiTheme="minorEastAsia" w:hAnsiTheme="minorEastAsia" w:eastAsiaTheme="minorEastAsia"/>
                <w:color w:val="FF0000"/>
                <w:sz w:val="24"/>
                <w:szCs w:val="20"/>
              </w:rPr>
              <w:t>投标文件组成：由技术内容、商务内容(报价部分)组成,正本1份，副本3份。电子文件一份(U盘,并标注投标人名称)单独密封。</w:t>
            </w:r>
          </w:p>
          <w:p>
            <w:pPr>
              <w:autoSpaceDE w:val="0"/>
              <w:autoSpaceDN w:val="0"/>
              <w:snapToGrid w:val="0"/>
              <w:textAlignment w:val="bottom"/>
              <w:rPr>
                <w:rFonts w:asciiTheme="minorEastAsia" w:hAnsiTheme="minorEastAsia" w:eastAsiaTheme="minorEastAsia"/>
                <w:color w:val="FF0000"/>
                <w:sz w:val="28"/>
                <w:szCs w:val="28"/>
              </w:rPr>
            </w:pPr>
            <w:r>
              <w:rPr>
                <w:rFonts w:hint="eastAsia" w:asciiTheme="minorEastAsia" w:hAnsiTheme="minorEastAsia" w:eastAsiaTheme="minorEastAsia"/>
                <w:color w:val="FF0000"/>
                <w:sz w:val="24"/>
                <w:szCs w:val="20"/>
              </w:rPr>
              <w:t>投标文件按正本和副本分别密封包装(电子文件装入投标文件正本密封袋中)，注明“正本”或“副本”，在封套两端折叠封口处加贴封条，标明项目名称及项目编号，并同时加盖投标人单位行政公章或由法定代表人或其授权的代理人签字,并注明于开标时间截止前不得启封字样，不按此规定装订、密封的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投标截止时间及投标文件递交地点：</w:t>
            </w:r>
            <w:r>
              <w:rPr>
                <w:rFonts w:hint="eastAsia" w:asciiTheme="minorEastAsia" w:hAnsiTheme="minorEastAsia" w:eastAsiaTheme="minorEastAsia"/>
                <w:color w:val="FF0000"/>
                <w:sz w:val="24"/>
              </w:rPr>
              <w:t>2021年01月</w:t>
            </w:r>
            <w:r>
              <w:rPr>
                <w:rFonts w:hint="eastAsia" w:asciiTheme="minorEastAsia" w:hAnsiTheme="minorEastAsia" w:eastAsiaTheme="minorEastAsia"/>
                <w:color w:val="FF0000"/>
                <w:sz w:val="24"/>
                <w:lang w:val="en-US" w:eastAsia="zh-CN"/>
              </w:rPr>
              <w:t>19</w:t>
            </w:r>
            <w:bookmarkStart w:id="13" w:name="_GoBack"/>
            <w:bookmarkEnd w:id="13"/>
            <w:r>
              <w:rPr>
                <w:rFonts w:hint="eastAsia" w:asciiTheme="minorEastAsia" w:hAnsiTheme="minorEastAsia" w:eastAsiaTheme="minorEastAsia"/>
                <w:color w:val="FF0000"/>
                <w:sz w:val="24"/>
              </w:rPr>
              <w:t xml:space="preserve">日上午11 ：00 </w:t>
            </w:r>
            <w:r>
              <w:rPr>
                <w:rFonts w:hint="eastAsia" w:asciiTheme="minorEastAsia" w:hAnsiTheme="minorEastAsia" w:eastAsiaTheme="minorEastAsia"/>
                <w:sz w:val="24"/>
                <w:szCs w:val="20"/>
              </w:rPr>
              <w:t>(北京时间),新疆谱诚项目管理咨询有限公司（乌鲁木齐市水磨沟区龙盛街898号万科中央公园1栋1801）（如有变动另行通知）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0"/>
              </w:rPr>
            </w:pPr>
            <w:r>
              <w:rPr>
                <w:rFonts w:hint="eastAsia" w:asciiTheme="minorEastAsia" w:hAnsiTheme="minorEastAsia" w:eastAsiaTheme="minorEastAsia"/>
                <w:sz w:val="24"/>
                <w:szCs w:val="20"/>
              </w:rPr>
              <w:t>开标时间及地点：</w:t>
            </w:r>
            <w:r>
              <w:rPr>
                <w:rFonts w:hint="eastAsia" w:asciiTheme="minorEastAsia" w:hAnsiTheme="minorEastAsia" w:eastAsiaTheme="minorEastAsia"/>
                <w:color w:val="FF0000"/>
                <w:sz w:val="24"/>
              </w:rPr>
              <w:t>2021年01月1</w:t>
            </w:r>
            <w:r>
              <w:rPr>
                <w:rFonts w:hint="eastAsia" w:asciiTheme="minorEastAsia" w:hAnsiTheme="minorEastAsia" w:eastAsiaTheme="minorEastAsia"/>
                <w:color w:val="FF0000"/>
                <w:sz w:val="24"/>
                <w:lang w:val="en-US" w:eastAsia="zh-CN"/>
              </w:rPr>
              <w:t>9</w:t>
            </w:r>
            <w:r>
              <w:rPr>
                <w:rFonts w:hint="eastAsia" w:asciiTheme="minorEastAsia" w:hAnsiTheme="minorEastAsia" w:eastAsiaTheme="minorEastAsia"/>
                <w:color w:val="FF0000"/>
                <w:sz w:val="24"/>
              </w:rPr>
              <w:t xml:space="preserve">日上午11 ：00 </w:t>
            </w:r>
            <w:r>
              <w:rPr>
                <w:rFonts w:hint="eastAsia" w:asciiTheme="minorEastAsia" w:hAnsiTheme="minorEastAsia" w:eastAsiaTheme="minorEastAsia"/>
                <w:sz w:val="24"/>
                <w:szCs w:val="20"/>
              </w:rPr>
              <w:t>(北京时间),新疆谱诚项目管理咨询有限公司（乌鲁木齐市水磨沟区龙盛街898号万科中央公园1栋1801）（如有变动另行通知）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9</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评标办法及评分标准：本项目采用综合评分法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1</w:t>
            </w:r>
            <w:r>
              <w:rPr>
                <w:rFonts w:hint="eastAsia" w:asciiTheme="minorEastAsia" w:hAnsiTheme="minorEastAsia" w:eastAsiaTheme="minorEastAsia"/>
                <w:sz w:val="24"/>
                <w:szCs w:val="20"/>
              </w:rPr>
              <w:t>0</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Theme="minorEastAsia" w:hAnsiTheme="minorEastAsia" w:eastAsiaTheme="minorEastAsia"/>
                <w:sz w:val="24"/>
                <w:szCs w:val="20"/>
              </w:rPr>
            </w:pPr>
            <w:r>
              <w:rPr>
                <w:rFonts w:asciiTheme="minorEastAsia" w:hAnsiTheme="minorEastAsia" w:eastAsiaTheme="minorEastAsia"/>
                <w:sz w:val="24"/>
                <w:szCs w:val="20"/>
              </w:rPr>
              <w:t>评标委员会推荐中标候选人的人数</w:t>
            </w:r>
            <w:r>
              <w:rPr>
                <w:rFonts w:hint="eastAsia" w:asciiTheme="minorEastAsia" w:hAnsiTheme="minorEastAsia" w:eastAsiaTheme="minorEastAsia"/>
                <w:sz w:val="24"/>
                <w:szCs w:val="20"/>
              </w:rPr>
              <w:t>：</w:t>
            </w:r>
            <w:bookmarkStart w:id="5" w:name="EB60ea124d6ee64fc49d57661b47d244a1"/>
            <w:r>
              <w:rPr>
                <w:rFonts w:hint="eastAsia" w:asciiTheme="minorEastAsia" w:hAnsiTheme="minorEastAsia" w:eastAsiaTheme="minorEastAsia"/>
                <w:sz w:val="24"/>
                <w:szCs w:val="20"/>
              </w:rPr>
              <w:t>3人</w:t>
            </w:r>
            <w:bookmarkEnd w:id="5"/>
          </w:p>
          <w:p>
            <w:pPr>
              <w:autoSpaceDE w:val="0"/>
              <w:autoSpaceDN w:val="0"/>
              <w:snapToGrid w:val="0"/>
              <w:spacing w:line="280" w:lineRule="exact"/>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评标结果公示：评标结束后1天内，评标结果公示于</w:t>
            </w:r>
            <w:r>
              <w:rPr>
                <w:rFonts w:hint="eastAsia" w:cs="Arial" w:asciiTheme="minorEastAsia" w:hAnsiTheme="minorEastAsia" w:eastAsiaTheme="minorEastAsia"/>
                <w:sz w:val="24"/>
                <w:szCs w:val="20"/>
              </w:rPr>
              <w:t>中国政府采购网（http://www.ccgp.gov.cn/）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1</w:t>
            </w:r>
            <w:r>
              <w:rPr>
                <w:rFonts w:hint="eastAsia" w:asciiTheme="minorEastAsia" w:hAnsiTheme="minorEastAsia" w:eastAsiaTheme="minorEastAsia"/>
                <w:sz w:val="24"/>
                <w:szCs w:val="20"/>
              </w:rPr>
              <w:t>1</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中标公告及中标通知书：评标结束后</w:t>
            </w:r>
            <w:r>
              <w:rPr>
                <w:rFonts w:asciiTheme="minorEastAsia" w:hAnsiTheme="minorEastAsia" w:eastAsiaTheme="minorEastAsia"/>
                <w:sz w:val="24"/>
                <w:szCs w:val="20"/>
              </w:rPr>
              <w:t>5</w:t>
            </w:r>
            <w:r>
              <w:rPr>
                <w:rFonts w:hint="eastAsia" w:asciiTheme="minorEastAsia" w:hAnsiTheme="minorEastAsia" w:eastAsiaTheme="minorEastAsia"/>
                <w:sz w:val="24"/>
                <w:szCs w:val="20"/>
              </w:rPr>
              <w:t>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1</w:t>
            </w:r>
            <w:r>
              <w:rPr>
                <w:rFonts w:hint="eastAsia" w:asciiTheme="minorEastAsia" w:hAnsiTheme="minorEastAsia" w:eastAsiaTheme="minorEastAsia"/>
                <w:sz w:val="24"/>
                <w:szCs w:val="20"/>
              </w:rPr>
              <w:t>2</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left"/>
              <w:rPr>
                <w:rFonts w:ascii="宋体"/>
                <w:color w:val="000000"/>
                <w:kern w:val="0"/>
                <w:sz w:val="24"/>
              </w:rPr>
            </w:pPr>
            <w:r>
              <w:rPr>
                <w:rFonts w:hint="eastAsia" w:ascii="宋体" w:hAnsi="宋体"/>
                <w:b/>
                <w:color w:val="FF0000"/>
                <w:sz w:val="24"/>
                <w:szCs w:val="20"/>
              </w:rPr>
              <w:t>交货期:</w:t>
            </w:r>
            <w:r>
              <w:rPr>
                <w:rFonts w:hint="eastAsia" w:ascii="宋体" w:hAnsi="宋体"/>
                <w:color w:val="000000"/>
                <w:kern w:val="0"/>
                <w:sz w:val="24"/>
              </w:rPr>
              <w:t>国产设备为合同签订后</w:t>
            </w:r>
            <w:r>
              <w:rPr>
                <w:rFonts w:ascii="宋体" w:hAnsi="宋体"/>
                <w:color w:val="000000"/>
                <w:kern w:val="0"/>
                <w:sz w:val="24"/>
              </w:rPr>
              <w:t xml:space="preserve"> 30 </w:t>
            </w:r>
            <w:r>
              <w:rPr>
                <w:rFonts w:hint="eastAsia" w:ascii="宋体" w:hAnsi="宋体"/>
                <w:color w:val="000000"/>
                <w:kern w:val="0"/>
                <w:sz w:val="24"/>
              </w:rPr>
              <w:t>个日历日内；进口设备为合同签订后</w:t>
            </w:r>
            <w:r>
              <w:rPr>
                <w:rFonts w:ascii="宋体" w:hAnsi="宋体"/>
                <w:color w:val="000000"/>
                <w:kern w:val="0"/>
                <w:sz w:val="24"/>
              </w:rPr>
              <w:t xml:space="preserve"> </w:t>
            </w:r>
            <w:r>
              <w:rPr>
                <w:rFonts w:hint="eastAsia" w:ascii="宋体" w:hAnsi="宋体"/>
                <w:color w:val="000000"/>
                <w:kern w:val="0"/>
                <w:sz w:val="24"/>
              </w:rPr>
              <w:t>9</w:t>
            </w:r>
            <w:r>
              <w:rPr>
                <w:rFonts w:ascii="宋体" w:hAnsi="宋体"/>
                <w:color w:val="000000"/>
                <w:kern w:val="0"/>
                <w:sz w:val="24"/>
              </w:rPr>
              <w:t xml:space="preserve">0 </w:t>
            </w:r>
            <w:r>
              <w:rPr>
                <w:rFonts w:hint="eastAsia" w:ascii="宋体" w:hAnsi="宋体"/>
                <w:color w:val="000000"/>
                <w:kern w:val="0"/>
                <w:sz w:val="24"/>
              </w:rPr>
              <w:t>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1</w:t>
            </w:r>
            <w:r>
              <w:rPr>
                <w:rFonts w:hint="eastAsia" w:asciiTheme="minorEastAsia" w:hAnsiTheme="minorEastAsia" w:eastAsiaTheme="minorEastAsia"/>
                <w:sz w:val="24"/>
                <w:szCs w:val="20"/>
              </w:rPr>
              <w:t>3</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000000"/>
                <w:kern w:val="0"/>
                <w:sz w:val="24"/>
              </w:rPr>
            </w:pPr>
            <w:r>
              <w:rPr>
                <w:rFonts w:hint="eastAsia" w:ascii="宋体" w:hAnsi="宋体"/>
                <w:b/>
                <w:color w:val="FF0000"/>
              </w:rPr>
              <w:t>付款方式：</w:t>
            </w:r>
            <w:r>
              <w:rPr>
                <w:rFonts w:hint="eastAsia" w:ascii="宋体" w:hAnsi="宋体"/>
                <w:color w:val="000000"/>
                <w:kern w:val="0"/>
                <w:sz w:val="24"/>
              </w:rPr>
              <w:t>卖方与买方签订合同后，卖方缴纳中标金额10%的合同履约保证金，交货验收合格后买方通过财政国库支付给卖方合同总价100%的货款，付款满一年后，无质量问题返还合同履约保证金。上述支付方式最终以中标方与采购单位签订的合同内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1</w:t>
            </w:r>
            <w:r>
              <w:rPr>
                <w:rFonts w:hint="eastAsia" w:asciiTheme="minorEastAsia" w:hAnsiTheme="minorEastAsia" w:eastAsiaTheme="minorEastAsia"/>
                <w:sz w:val="24"/>
                <w:szCs w:val="20"/>
              </w:rPr>
              <w:t>4</w:t>
            </w:r>
          </w:p>
        </w:tc>
        <w:tc>
          <w:tcPr>
            <w:tcW w:w="91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投标文件有效期：</w:t>
            </w:r>
            <w:r>
              <w:rPr>
                <w:rFonts w:hint="eastAsia" w:cs="仿宋" w:eastAsiaTheme="minorEastAsia"/>
                <w:sz w:val="24"/>
              </w:rPr>
              <w:t>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15</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0"/>
              </w:rPr>
            </w:pPr>
            <w:r>
              <w:rPr>
                <w:rFonts w:hint="eastAsia" w:ascii="宋体" w:hAnsi="宋体"/>
                <w:b/>
                <w:color w:val="FF0000"/>
                <w:sz w:val="24"/>
                <w:szCs w:val="20"/>
              </w:rPr>
              <w:t>免费保修期：不低于一年。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asciiTheme="minorEastAsia" w:hAnsiTheme="minorEastAsia" w:eastAsiaTheme="minorEastAsia"/>
                <w:sz w:val="24"/>
                <w:szCs w:val="20"/>
              </w:rPr>
              <w:t>1</w:t>
            </w:r>
            <w:r>
              <w:rPr>
                <w:rFonts w:hint="eastAsia" w:asciiTheme="minorEastAsia" w:hAnsiTheme="minorEastAsia" w:eastAsiaTheme="minorEastAsia"/>
                <w:sz w:val="24"/>
                <w:szCs w:val="20"/>
              </w:rPr>
              <w:t>6</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szCs w:val="20"/>
              </w:rPr>
            </w:pPr>
            <w:r>
              <w:rPr>
                <w:rFonts w:hint="eastAsia" w:asciiTheme="minorEastAsia" w:hAnsiTheme="minorEastAsia" w:eastAsiaTheme="minorEastAsia"/>
                <w:b/>
                <w:sz w:val="24"/>
                <w:szCs w:val="20"/>
              </w:rPr>
              <w:t>质疑：</w:t>
            </w:r>
            <w:r>
              <w:rPr>
                <w:rFonts w:hint="eastAsia" w:asciiTheme="minorEastAsia" w:hAnsiTheme="minorEastAsia" w:eastAsiaTheme="minorEastAsia"/>
                <w:sz w:val="24"/>
                <w:szCs w:val="20"/>
              </w:rPr>
              <w:t>根据《政府采购法》第五十二条的规定，供应商认为采购文件、采购过程和中标、成交结果使自己的权益受到损害的，可以在知道或者应知其权益受到损害之日起七个工作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0"/>
              </w:rPr>
            </w:pPr>
            <w:r>
              <w:rPr>
                <w:rFonts w:hint="eastAsia" w:asciiTheme="minorEastAsia" w:hAnsiTheme="minorEastAsia" w:eastAsiaTheme="minorEastAsia"/>
                <w:sz w:val="24"/>
                <w:szCs w:val="20"/>
              </w:rPr>
              <w:t>17</w:t>
            </w:r>
          </w:p>
        </w:tc>
        <w:tc>
          <w:tcPr>
            <w:tcW w:w="9142" w:type="dxa"/>
            <w:tcBorders>
              <w:top w:val="single" w:color="auto" w:sz="4" w:space="0"/>
              <w:left w:val="single" w:color="auto" w:sz="4" w:space="0"/>
              <w:bottom w:val="single" w:color="auto" w:sz="4" w:space="0"/>
              <w:right w:val="single" w:color="auto" w:sz="4" w:space="0"/>
            </w:tcBorders>
            <w:vAlign w:val="center"/>
          </w:tcPr>
          <w:p>
            <w:pPr>
              <w:pStyle w:val="44"/>
              <w:spacing w:line="360" w:lineRule="auto"/>
              <w:rPr>
                <w:i/>
                <w:iCs/>
                <w:u w:val="single"/>
              </w:rPr>
            </w:pPr>
            <w:r>
              <w:rPr>
                <w:rFonts w:hint="eastAsia"/>
              </w:rPr>
              <w:t>本项目不接受联合体投标。</w:t>
            </w:r>
          </w:p>
        </w:tc>
      </w:tr>
    </w:tbl>
    <w:p>
      <w:pPr>
        <w:snapToGrid w:val="0"/>
        <w:spacing w:beforeLines="50" w:afterLines="5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一、总则</w:t>
      </w:r>
    </w:p>
    <w:p>
      <w:pPr>
        <w:snapToGrid w:val="0"/>
        <w:spacing w:line="360" w:lineRule="auto"/>
        <w:ind w:firstLine="472" w:firstLineChars="196"/>
        <w:jc w:val="left"/>
        <w:outlineLvl w:val="1"/>
        <w:rPr>
          <w:rFonts w:asciiTheme="minorEastAsia" w:hAnsiTheme="minorEastAsia" w:eastAsiaTheme="minorEastAsia"/>
          <w:b/>
          <w:sz w:val="24"/>
          <w:szCs w:val="20"/>
        </w:rPr>
      </w:pPr>
      <w:r>
        <w:rPr>
          <w:rFonts w:hint="eastAsia" w:asciiTheme="minorEastAsia" w:hAnsiTheme="minorEastAsia" w:eastAsiaTheme="minorEastAsia"/>
          <w:b/>
          <w:sz w:val="24"/>
          <w:szCs w:val="20"/>
        </w:rPr>
        <w:t>（一）</w:t>
      </w:r>
      <w:r>
        <w:rPr>
          <w:rFonts w:asciiTheme="minorEastAsia" w:hAnsiTheme="minorEastAsia" w:eastAsiaTheme="minorEastAsia"/>
          <w:b/>
          <w:sz w:val="24"/>
          <w:szCs w:val="20"/>
        </w:rPr>
        <w:t>适用范围</w:t>
      </w:r>
    </w:p>
    <w:p>
      <w:pPr>
        <w:snapToGrid w:val="0"/>
        <w:spacing w:line="360" w:lineRule="auto"/>
        <w:ind w:firstLine="480" w:firstLineChars="200"/>
        <w:jc w:val="left"/>
        <w:rPr>
          <w:rFonts w:asciiTheme="minorEastAsia" w:hAnsiTheme="minorEastAsia" w:eastAsiaTheme="minorEastAsia"/>
          <w:sz w:val="24"/>
          <w:szCs w:val="20"/>
        </w:rPr>
      </w:pPr>
      <w:r>
        <w:rPr>
          <w:rFonts w:hint="eastAsia" w:asciiTheme="minorEastAsia" w:hAnsiTheme="minorEastAsia" w:eastAsiaTheme="minorEastAsia"/>
          <w:sz w:val="24"/>
          <w:szCs w:val="20"/>
        </w:rPr>
        <w:t>本招标文件适用于新疆维吾尔自治区卫生健康委员会的县区级疾控中心职业病危害监测能力提升项目的招标、投标、评标、定标、验收、合同履约、付款等行为（法律、法规另有规定的，从其规定）。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sz w:val="24"/>
          <w:szCs w:val="20"/>
        </w:rPr>
      </w:pPr>
      <w:r>
        <w:rPr>
          <w:rFonts w:hint="eastAsia" w:asciiTheme="minorEastAsia" w:hAnsiTheme="minorEastAsia" w:eastAsiaTheme="minorEastAsia"/>
          <w:b/>
          <w:sz w:val="24"/>
          <w:szCs w:val="20"/>
        </w:rPr>
        <w:t>（二）定义</w:t>
      </w:r>
    </w:p>
    <w:p>
      <w:pPr>
        <w:snapToGrid w:val="0"/>
        <w:spacing w:line="360" w:lineRule="auto"/>
        <w:ind w:firstLine="480" w:firstLineChars="200"/>
        <w:jc w:val="left"/>
        <w:rPr>
          <w:rFonts w:asciiTheme="minorEastAsia" w:hAnsiTheme="minorEastAsia" w:eastAsiaTheme="minorEastAsia"/>
          <w:sz w:val="24"/>
          <w:szCs w:val="20"/>
        </w:rPr>
      </w:pPr>
      <w:r>
        <w:rPr>
          <w:rFonts w:asciiTheme="minorEastAsia" w:hAnsiTheme="minorEastAsia" w:eastAsiaTheme="minorEastAsia"/>
          <w:sz w:val="24"/>
          <w:szCs w:val="20"/>
        </w:rPr>
        <w:t>1</w:t>
      </w:r>
      <w:r>
        <w:rPr>
          <w:rFonts w:hint="eastAsia" w:asciiTheme="minorEastAsia" w:hAnsiTheme="minorEastAsia" w:eastAsiaTheme="minorEastAsia"/>
          <w:sz w:val="24"/>
          <w:szCs w:val="20"/>
        </w:rPr>
        <w:t>.</w:t>
      </w:r>
      <w:r>
        <w:rPr>
          <w:rFonts w:asciiTheme="minorEastAsia" w:hAnsiTheme="minorEastAsia" w:eastAsiaTheme="minorEastAsia"/>
          <w:sz w:val="24"/>
          <w:szCs w:val="20"/>
        </w:rPr>
        <w:t>招标采购单位（“招标人”）系指组织本次招标的代理机构和采购单位。</w:t>
      </w:r>
    </w:p>
    <w:p>
      <w:pPr>
        <w:snapToGrid w:val="0"/>
        <w:spacing w:line="360" w:lineRule="auto"/>
        <w:ind w:firstLine="480" w:firstLineChars="200"/>
        <w:jc w:val="left"/>
        <w:rPr>
          <w:rFonts w:asciiTheme="minorEastAsia" w:hAnsiTheme="minorEastAsia" w:eastAsiaTheme="minorEastAsia"/>
          <w:sz w:val="24"/>
          <w:szCs w:val="20"/>
        </w:rPr>
      </w:pPr>
      <w:r>
        <w:rPr>
          <w:rFonts w:asciiTheme="minorEastAsia" w:hAnsiTheme="minorEastAsia" w:eastAsiaTheme="minorEastAsia"/>
          <w:sz w:val="24"/>
          <w:szCs w:val="20"/>
        </w:rPr>
        <w:t>2</w:t>
      </w:r>
      <w:r>
        <w:rPr>
          <w:rFonts w:hint="eastAsia" w:asciiTheme="minorEastAsia" w:hAnsiTheme="minorEastAsia" w:eastAsiaTheme="minorEastAsia"/>
          <w:sz w:val="24"/>
          <w:szCs w:val="20"/>
        </w:rPr>
        <w:t>.“</w:t>
      </w:r>
      <w:r>
        <w:rPr>
          <w:rFonts w:asciiTheme="minorEastAsia" w:hAnsiTheme="minorEastAsia" w:eastAsiaTheme="minorEastAsia"/>
          <w:sz w:val="24"/>
          <w:szCs w:val="20"/>
        </w:rPr>
        <w:t>投标人”系指向招标方提交投标文件的单位或个人。</w:t>
      </w:r>
    </w:p>
    <w:p>
      <w:pPr>
        <w:snapToGrid w:val="0"/>
        <w:spacing w:line="360" w:lineRule="auto"/>
        <w:ind w:firstLine="480" w:firstLineChars="200"/>
        <w:jc w:val="left"/>
        <w:rPr>
          <w:rFonts w:asciiTheme="minorEastAsia" w:hAnsiTheme="minorEastAsia" w:eastAsiaTheme="minorEastAsia"/>
          <w:sz w:val="24"/>
          <w:szCs w:val="20"/>
        </w:rPr>
      </w:pPr>
      <w:r>
        <w:rPr>
          <w:rFonts w:asciiTheme="minorEastAsia" w:hAnsiTheme="minorEastAsia" w:eastAsiaTheme="minorEastAsia"/>
          <w:sz w:val="24"/>
          <w:szCs w:val="20"/>
        </w:rPr>
        <w:t>3</w:t>
      </w:r>
      <w:r>
        <w:rPr>
          <w:rFonts w:hint="eastAsia" w:asciiTheme="minorEastAsia" w:hAnsiTheme="minorEastAsia" w:eastAsiaTheme="minorEastAsia"/>
          <w:sz w:val="24"/>
          <w:szCs w:val="20"/>
        </w:rPr>
        <w:t>.</w:t>
      </w:r>
      <w:r>
        <w:rPr>
          <w:rFonts w:asciiTheme="minorEastAsia" w:hAnsiTheme="minorEastAsia" w:eastAsiaTheme="minorEastAsia"/>
          <w:sz w:val="24"/>
          <w:szCs w:val="20"/>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Theme="minorEastAsia" w:hAnsiTheme="minorEastAsia" w:eastAsiaTheme="minorEastAsia"/>
          <w:sz w:val="24"/>
          <w:szCs w:val="20"/>
        </w:rPr>
      </w:pPr>
      <w:r>
        <w:rPr>
          <w:rFonts w:asciiTheme="minorEastAsia" w:hAnsiTheme="minorEastAsia" w:eastAsiaTheme="minorEastAsia"/>
          <w:sz w:val="24"/>
          <w:szCs w:val="20"/>
        </w:rPr>
        <w:t>4</w:t>
      </w:r>
      <w:r>
        <w:rPr>
          <w:rFonts w:hint="eastAsia" w:asciiTheme="minorEastAsia" w:hAnsiTheme="minorEastAsia" w:eastAsiaTheme="minorEastAsia"/>
          <w:sz w:val="24"/>
          <w:szCs w:val="20"/>
        </w:rPr>
        <w:t>.</w:t>
      </w:r>
      <w:r>
        <w:rPr>
          <w:rFonts w:asciiTheme="minorEastAsia" w:hAnsiTheme="minorEastAsia" w:eastAsiaTheme="minorEastAsia"/>
          <w:sz w:val="24"/>
          <w:szCs w:val="20"/>
        </w:rPr>
        <w:t>“服务”系指招标文件规定投标人须承担的安装、调试、技术协助、校准、培训、技术指导以及其他类似的义务。</w:t>
      </w:r>
    </w:p>
    <w:p>
      <w:pPr>
        <w:snapToGrid w:val="0"/>
        <w:spacing w:line="360" w:lineRule="auto"/>
        <w:ind w:firstLine="480" w:firstLineChars="200"/>
        <w:jc w:val="left"/>
        <w:rPr>
          <w:rFonts w:asciiTheme="minorEastAsia" w:hAnsiTheme="minorEastAsia" w:eastAsiaTheme="minorEastAsia"/>
          <w:sz w:val="24"/>
          <w:szCs w:val="20"/>
        </w:rPr>
      </w:pPr>
      <w:r>
        <w:rPr>
          <w:rFonts w:asciiTheme="minorEastAsia" w:hAnsiTheme="minorEastAsia" w:eastAsiaTheme="minorEastAsia"/>
          <w:sz w:val="24"/>
          <w:szCs w:val="20"/>
        </w:rPr>
        <w:t>5</w:t>
      </w:r>
      <w:r>
        <w:rPr>
          <w:rFonts w:hint="eastAsia" w:asciiTheme="minorEastAsia" w:hAnsiTheme="minorEastAsia" w:eastAsiaTheme="minorEastAsia"/>
          <w:sz w:val="24"/>
          <w:szCs w:val="20"/>
        </w:rPr>
        <w:t>.</w:t>
      </w:r>
      <w:r>
        <w:rPr>
          <w:rFonts w:asciiTheme="minorEastAsia" w:hAnsiTheme="minorEastAsia" w:eastAsiaTheme="minorEastAsia"/>
          <w:sz w:val="24"/>
          <w:szCs w:val="20"/>
        </w:rPr>
        <w:t>“项目”系指投标人按招标文件规定向采购人提供的产品和服务。</w:t>
      </w:r>
    </w:p>
    <w:p>
      <w:pPr>
        <w:snapToGrid w:val="0"/>
        <w:spacing w:line="360" w:lineRule="auto"/>
        <w:ind w:firstLine="480" w:firstLineChars="200"/>
        <w:jc w:val="left"/>
        <w:rPr>
          <w:rFonts w:asciiTheme="minorEastAsia" w:hAnsiTheme="minorEastAsia" w:eastAsiaTheme="minorEastAsia"/>
          <w:sz w:val="24"/>
          <w:szCs w:val="20"/>
        </w:rPr>
      </w:pPr>
      <w:r>
        <w:rPr>
          <w:rFonts w:asciiTheme="minorEastAsia" w:hAnsiTheme="minorEastAsia" w:eastAsiaTheme="minorEastAsia"/>
          <w:sz w:val="24"/>
          <w:szCs w:val="20"/>
        </w:rPr>
        <w:t>6</w:t>
      </w:r>
      <w:r>
        <w:rPr>
          <w:rFonts w:hint="eastAsia" w:asciiTheme="minorEastAsia" w:hAnsiTheme="minorEastAsia" w:eastAsiaTheme="minorEastAsia"/>
          <w:sz w:val="24"/>
          <w:szCs w:val="20"/>
        </w:rPr>
        <w:t>.</w:t>
      </w:r>
      <w:r>
        <w:rPr>
          <w:rFonts w:asciiTheme="minorEastAsia" w:hAnsiTheme="minorEastAsia" w:eastAsiaTheme="minorEastAsia"/>
          <w:sz w:val="24"/>
          <w:szCs w:val="20"/>
        </w:rPr>
        <w:t>“书面形式”包括信函、传真、电报</w:t>
      </w:r>
      <w:r>
        <w:rPr>
          <w:rFonts w:hint="eastAsia" w:asciiTheme="minorEastAsia" w:hAnsiTheme="minorEastAsia" w:eastAsiaTheme="minorEastAsia"/>
          <w:sz w:val="24"/>
          <w:szCs w:val="20"/>
        </w:rPr>
        <w:t>、电子邮件</w:t>
      </w:r>
      <w:r>
        <w:rPr>
          <w:rFonts w:asciiTheme="minorEastAsia" w:hAnsiTheme="minorEastAsia" w:eastAsiaTheme="minorEastAsia"/>
          <w:sz w:val="24"/>
          <w:szCs w:val="20"/>
        </w:rPr>
        <w:t>等。</w:t>
      </w:r>
    </w:p>
    <w:p>
      <w:pPr>
        <w:snapToGrid w:val="0"/>
        <w:spacing w:beforeLines="50" w:line="360" w:lineRule="auto"/>
        <w:ind w:firstLine="472" w:firstLineChars="196"/>
        <w:jc w:val="left"/>
        <w:outlineLvl w:val="1"/>
        <w:rPr>
          <w:rFonts w:asciiTheme="minorEastAsia" w:hAnsiTheme="minorEastAsia" w:eastAsiaTheme="minorEastAsia"/>
          <w:b/>
          <w:sz w:val="24"/>
          <w:szCs w:val="20"/>
        </w:rPr>
      </w:pPr>
      <w:r>
        <w:rPr>
          <w:rFonts w:hint="eastAsia" w:asciiTheme="minorEastAsia" w:hAnsiTheme="minorEastAsia" w:eastAsiaTheme="minorEastAsia"/>
          <w:b/>
          <w:sz w:val="24"/>
          <w:szCs w:val="20"/>
        </w:rPr>
        <w:t>（三）招标方式</w:t>
      </w:r>
    </w:p>
    <w:p>
      <w:pPr>
        <w:snapToGrid w:val="0"/>
        <w:spacing w:line="360" w:lineRule="auto"/>
        <w:ind w:firstLine="480" w:firstLineChars="200"/>
        <w:jc w:val="left"/>
        <w:rPr>
          <w:rFonts w:asciiTheme="minorEastAsia" w:hAnsiTheme="minorEastAsia" w:eastAsiaTheme="minorEastAsia"/>
          <w:sz w:val="24"/>
          <w:szCs w:val="20"/>
        </w:rPr>
      </w:pPr>
      <w:r>
        <w:rPr>
          <w:rFonts w:asciiTheme="minorEastAsia" w:hAnsiTheme="minorEastAsia" w:eastAsiaTheme="minorEastAsia"/>
          <w:sz w:val="24"/>
          <w:szCs w:val="20"/>
        </w:rPr>
        <w:t>本次招标采用公开招标方式进行。</w:t>
      </w:r>
    </w:p>
    <w:p>
      <w:pPr>
        <w:snapToGrid w:val="0"/>
        <w:spacing w:beforeLines="50" w:line="360" w:lineRule="auto"/>
        <w:ind w:firstLine="472" w:firstLineChars="196"/>
        <w:jc w:val="left"/>
        <w:outlineLvl w:val="1"/>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（四）投标委托</w:t>
      </w:r>
    </w:p>
    <w:p>
      <w:pPr>
        <w:snapToGrid w:val="0"/>
        <w:spacing w:line="360" w:lineRule="auto"/>
        <w:ind w:firstLine="464" w:firstLineChars="200"/>
        <w:jc w:val="left"/>
        <w:rPr>
          <w:rFonts w:asciiTheme="minorEastAsia" w:hAnsiTheme="minorEastAsia" w:eastAsiaTheme="minorEastAsia"/>
          <w:spacing w:val="-4"/>
          <w:sz w:val="24"/>
        </w:rPr>
      </w:pPr>
      <w:r>
        <w:rPr>
          <w:rFonts w:asciiTheme="minorEastAsia" w:hAnsiTheme="minorEastAsia" w:eastAsiaTheme="minorEastAsia"/>
          <w:spacing w:val="-4"/>
          <w:sz w:val="24"/>
        </w:rPr>
        <w:t>投标人代表须携带身份证。如投标人代表不是法定代表人，须有法定代表人出具的授权委托书（正本用原件，副本用复印件，格式见第四部分）。</w:t>
      </w:r>
    </w:p>
    <w:p>
      <w:pPr>
        <w:snapToGrid w:val="0"/>
        <w:spacing w:beforeLines="50" w:line="360" w:lineRule="auto"/>
        <w:ind w:firstLine="472" w:firstLineChars="196"/>
        <w:jc w:val="left"/>
        <w:outlineLvl w:val="1"/>
        <w:rPr>
          <w:rFonts w:asciiTheme="minorEastAsia" w:hAnsiTheme="minorEastAsia" w:eastAsiaTheme="minorEastAsia"/>
          <w:b/>
          <w:sz w:val="24"/>
          <w:szCs w:val="20"/>
        </w:rPr>
      </w:pPr>
      <w:r>
        <w:rPr>
          <w:rFonts w:hint="eastAsia" w:asciiTheme="minorEastAsia" w:hAnsiTheme="minorEastAsia" w:eastAsiaTheme="minorEastAsia"/>
          <w:b/>
          <w:sz w:val="24"/>
          <w:szCs w:val="20"/>
        </w:rPr>
        <w:t>（五）投标费用</w:t>
      </w:r>
    </w:p>
    <w:p>
      <w:pPr>
        <w:snapToGrid w:val="0"/>
        <w:spacing w:line="360" w:lineRule="auto"/>
        <w:ind w:firstLine="480" w:firstLineChars="200"/>
        <w:jc w:val="left"/>
        <w:rPr>
          <w:rFonts w:asciiTheme="minorEastAsia" w:hAnsiTheme="minorEastAsia" w:eastAsiaTheme="minorEastAsia"/>
          <w:sz w:val="24"/>
          <w:szCs w:val="20"/>
        </w:rPr>
      </w:pPr>
      <w:r>
        <w:rPr>
          <w:rFonts w:hint="eastAsia" w:asciiTheme="minorEastAsia" w:hAnsiTheme="minorEastAsia" w:eastAsiaTheme="minorEastAsia"/>
          <w:sz w:val="24"/>
          <w:szCs w:val="20"/>
        </w:rPr>
        <w:t>不论投标结果如何，投标人均应自行承担所有与投标有关的全部费用（招标文件有相反规定除外）。</w:t>
      </w:r>
    </w:p>
    <w:p>
      <w:pPr>
        <w:snapToGrid w:val="0"/>
        <w:spacing w:beforeLines="50" w:line="360" w:lineRule="auto"/>
        <w:ind w:firstLine="472" w:firstLineChars="196"/>
        <w:jc w:val="left"/>
        <w:rPr>
          <w:rFonts w:asciiTheme="minorEastAsia" w:hAnsiTheme="minorEastAsia" w:eastAsiaTheme="minorEastAsia"/>
          <w:b/>
          <w:sz w:val="24"/>
          <w:szCs w:val="20"/>
        </w:rPr>
      </w:pPr>
      <w:r>
        <w:rPr>
          <w:rFonts w:hint="eastAsia" w:asciiTheme="minorEastAsia" w:hAnsiTheme="minorEastAsia" w:eastAsiaTheme="minorEastAsia"/>
          <w:b/>
          <w:sz w:val="24"/>
          <w:szCs w:val="20"/>
        </w:rPr>
        <w:t>（六）联合体投标</w:t>
      </w:r>
    </w:p>
    <w:p>
      <w:pPr>
        <w:snapToGrid w:val="0"/>
        <w:spacing w:line="360" w:lineRule="auto"/>
        <w:ind w:firstLine="720" w:firstLineChars="300"/>
        <w:jc w:val="left"/>
        <w:rPr>
          <w:rFonts w:cs="Arial" w:asciiTheme="minorEastAsia" w:hAnsiTheme="minorEastAsia" w:eastAsiaTheme="minorEastAsia"/>
          <w:sz w:val="24"/>
          <w:szCs w:val="20"/>
        </w:rPr>
      </w:pPr>
      <w:r>
        <w:rPr>
          <w:rFonts w:hint="eastAsia" w:cs="Arial" w:asciiTheme="minorEastAsia" w:hAnsiTheme="minorEastAsia" w:eastAsiaTheme="minorEastAsia"/>
          <w:sz w:val="24"/>
          <w:szCs w:val="20"/>
        </w:rPr>
        <w:t>本项目不接受联合体投标。</w:t>
      </w:r>
    </w:p>
    <w:p>
      <w:pPr>
        <w:snapToGrid w:val="0"/>
        <w:spacing w:beforeLines="50" w:line="360" w:lineRule="auto"/>
        <w:ind w:firstLine="472" w:firstLineChars="196"/>
        <w:rPr>
          <w:rFonts w:cs="宋体" w:asciiTheme="minorEastAsia" w:hAnsiTheme="minorEastAsia" w:eastAsiaTheme="minorEastAsia"/>
          <w:b/>
          <w:kern w:val="0"/>
          <w:sz w:val="24"/>
          <w:szCs w:val="20"/>
        </w:rPr>
      </w:pPr>
      <w:r>
        <w:rPr>
          <w:rFonts w:hint="eastAsia" w:asciiTheme="minorEastAsia" w:hAnsiTheme="minorEastAsia" w:eastAsiaTheme="minorEastAsia"/>
          <w:b/>
          <w:sz w:val="24"/>
          <w:szCs w:val="20"/>
        </w:rPr>
        <w:t>（七）</w:t>
      </w:r>
      <w:r>
        <w:rPr>
          <w:rFonts w:hint="eastAsia" w:cs="宋体" w:asciiTheme="minorEastAsia" w:hAnsiTheme="minorEastAsia" w:eastAsiaTheme="minorEastAsia"/>
          <w:b/>
          <w:kern w:val="0"/>
          <w:sz w:val="24"/>
          <w:szCs w:val="20"/>
        </w:rPr>
        <w:t>转包与分包</w:t>
      </w:r>
    </w:p>
    <w:p>
      <w:pPr>
        <w:snapToGrid w:val="0"/>
        <w:spacing w:line="360" w:lineRule="auto"/>
        <w:ind w:firstLine="480" w:firstLineChars="200"/>
        <w:rPr>
          <w:rFonts w:cs="宋体" w:asciiTheme="minorEastAsia" w:hAnsiTheme="minorEastAsia" w:eastAsiaTheme="minorEastAsia"/>
          <w:kern w:val="0"/>
          <w:sz w:val="24"/>
          <w:szCs w:val="20"/>
        </w:rPr>
      </w:pPr>
      <w:r>
        <w:rPr>
          <w:rFonts w:cs="宋体" w:asciiTheme="minorEastAsia" w:hAnsiTheme="minorEastAsia" w:eastAsiaTheme="minorEastAsia"/>
          <w:kern w:val="0"/>
          <w:sz w:val="24"/>
          <w:szCs w:val="20"/>
        </w:rPr>
        <w:t>1</w:t>
      </w:r>
      <w:r>
        <w:rPr>
          <w:rFonts w:hint="eastAsia" w:cs="宋体" w:asciiTheme="minorEastAsia" w:hAnsiTheme="minorEastAsia" w:eastAsiaTheme="minorEastAsia"/>
          <w:kern w:val="0"/>
          <w:sz w:val="24"/>
          <w:szCs w:val="20"/>
        </w:rPr>
        <w:t>.</w:t>
      </w:r>
      <w:r>
        <w:rPr>
          <w:rFonts w:cs="宋体" w:asciiTheme="minorEastAsia" w:hAnsiTheme="minorEastAsia" w:eastAsiaTheme="minorEastAsia"/>
          <w:kern w:val="0"/>
          <w:sz w:val="24"/>
          <w:szCs w:val="20"/>
        </w:rPr>
        <w:t>本项目不允许转包。</w:t>
      </w:r>
    </w:p>
    <w:p>
      <w:pPr>
        <w:snapToGrid w:val="0"/>
        <w:spacing w:line="360" w:lineRule="auto"/>
        <w:ind w:firstLine="480" w:firstLineChars="200"/>
        <w:rPr>
          <w:rFonts w:asciiTheme="minorEastAsia" w:hAnsiTheme="minorEastAsia" w:eastAsiaTheme="minorEastAsia"/>
          <w:sz w:val="24"/>
          <w:szCs w:val="20"/>
        </w:rPr>
      </w:pPr>
      <w:r>
        <w:rPr>
          <w:rFonts w:cs="宋体" w:asciiTheme="minorEastAsia" w:hAnsiTheme="minorEastAsia" w:eastAsiaTheme="minorEastAsia"/>
          <w:kern w:val="0"/>
          <w:sz w:val="24"/>
          <w:szCs w:val="20"/>
        </w:rPr>
        <w:t>2</w:t>
      </w:r>
      <w:r>
        <w:rPr>
          <w:rFonts w:hint="eastAsia" w:cs="宋体" w:asciiTheme="minorEastAsia" w:hAnsiTheme="minorEastAsia" w:eastAsiaTheme="minorEastAsia"/>
          <w:kern w:val="0"/>
          <w:sz w:val="24"/>
          <w:szCs w:val="20"/>
        </w:rPr>
        <w:t>.</w:t>
      </w:r>
      <w:r>
        <w:rPr>
          <w:rFonts w:cs="宋体" w:asciiTheme="minorEastAsia" w:hAnsiTheme="minorEastAsia" w:eastAsiaTheme="minorEastAsia"/>
          <w:kern w:val="0"/>
          <w:sz w:val="24"/>
          <w:szCs w:val="20"/>
        </w:rPr>
        <w:t>本项目不可以分包</w:t>
      </w:r>
      <w:r>
        <w:rPr>
          <w:rFonts w:hint="eastAsia" w:cs="宋体" w:asciiTheme="minorEastAsia" w:hAnsiTheme="minorEastAsia" w:eastAsiaTheme="minorEastAsia"/>
          <w:kern w:val="0"/>
          <w:sz w:val="24"/>
          <w:szCs w:val="20"/>
        </w:rPr>
        <w:t>。</w:t>
      </w:r>
    </w:p>
    <w:p>
      <w:pPr>
        <w:snapToGrid w:val="0"/>
        <w:spacing w:beforeLines="50" w:line="360" w:lineRule="auto"/>
        <w:ind w:firstLine="472" w:firstLineChars="196"/>
        <w:jc w:val="left"/>
        <w:outlineLvl w:val="1"/>
        <w:rPr>
          <w:rFonts w:asciiTheme="minorEastAsia" w:hAnsiTheme="minorEastAsia" w:eastAsiaTheme="minorEastAsia"/>
          <w:b/>
          <w:sz w:val="24"/>
          <w:szCs w:val="20"/>
        </w:rPr>
      </w:pPr>
      <w:r>
        <w:rPr>
          <w:rFonts w:hint="eastAsia" w:asciiTheme="minorEastAsia" w:hAnsiTheme="minorEastAsia" w:eastAsiaTheme="minorEastAsia"/>
          <w:b/>
          <w:sz w:val="24"/>
          <w:szCs w:val="20"/>
        </w:rPr>
        <w:t>（八）特别说明：</w:t>
      </w:r>
    </w:p>
    <w:p>
      <w:pPr>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w:t>
      </w:r>
      <w:r>
        <w:rPr>
          <w:rFonts w:hint="eastAsia" w:asciiTheme="minorEastAsia" w:hAnsiTheme="minorEastAsia" w:eastAsiaTheme="minorEastAsia"/>
          <w:sz w:val="24"/>
        </w:rPr>
        <w:t>企业</w:t>
      </w:r>
      <w:r>
        <w:rPr>
          <w:rFonts w:asciiTheme="minorEastAsia" w:hAnsiTheme="minorEastAsia" w:eastAsiaTheme="minorEastAsia"/>
          <w:sz w:val="24"/>
        </w:rPr>
        <w:t>所拥有。</w:t>
      </w:r>
      <w:r>
        <w:rPr>
          <w:rFonts w:hint="eastAsia" w:asciiTheme="minorEastAsia" w:hAnsiTheme="minorEastAsia" w:eastAsiaTheme="minorEastAsia"/>
          <w:sz w:val="24"/>
        </w:rPr>
        <w:t>在组织商务技术评审或资格性审查时，不得将属于供应商母公司（总机构）或者同一母公司下属的其他子公司（同一总机构下属的其他分支机构）的人员、业绩、荣誉、知识产权、项目案例等，作为该供应商的资信文件予以确认或审查通过。</w:t>
      </w:r>
    </w:p>
    <w:p>
      <w:pPr>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投标人应仔细阅读招标文件的所有内容，按照招标文件的要求提交投标文件，并对所提供的全部资料的真实性承担法律责任。</w:t>
      </w:r>
    </w:p>
    <w:p>
      <w:pPr>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投标人在投标活动中提供任何虚假材料,其投标无效，并报监管部门查处</w:t>
      </w:r>
      <w:r>
        <w:rPr>
          <w:rFonts w:hint="eastAsia" w:asciiTheme="minorEastAsia" w:hAnsiTheme="minorEastAsia" w:eastAsiaTheme="minorEastAsia"/>
          <w:sz w:val="24"/>
        </w:rPr>
        <w:t>。</w:t>
      </w:r>
      <w:r>
        <w:rPr>
          <w:rFonts w:asciiTheme="minorEastAsia" w:hAnsiTheme="minorEastAsia" w:eastAsiaTheme="minorEastAsia"/>
          <w:sz w:val="24"/>
        </w:rPr>
        <w:t>中标后发现的,</w:t>
      </w:r>
      <w:r>
        <w:rPr>
          <w:rFonts w:hint="eastAsia" w:asciiTheme="minorEastAsia" w:hAnsiTheme="minorEastAsia" w:eastAsiaTheme="minorEastAsia"/>
          <w:sz w:val="24"/>
        </w:rPr>
        <w:t>将没收中标人保证金，造成其他损失的须赔偿相应损失，</w:t>
      </w:r>
      <w:r>
        <w:rPr>
          <w:rFonts w:asciiTheme="minorEastAsia" w:hAnsiTheme="minorEastAsia" w:eastAsiaTheme="minorEastAsia"/>
          <w:sz w:val="24"/>
        </w:rPr>
        <w:t>且民事赔偿并不免除违法投标人的行政与刑事责任。</w:t>
      </w:r>
    </w:p>
    <w:p>
      <w:pPr>
        <w:snapToGrid w:val="0"/>
        <w:spacing w:line="360" w:lineRule="auto"/>
        <w:ind w:left="2" w:leftChars="1" w:firstLine="480" w:firstLineChars="200"/>
        <w:rPr>
          <w:rFonts w:asciiTheme="minorEastAsia" w:hAnsiTheme="minorEastAsia" w:eastAsiaTheme="minorEastAsia"/>
          <w:b/>
          <w:sz w:val="24"/>
        </w:rPr>
      </w:pPr>
      <w:r>
        <w:rPr>
          <w:rFonts w:hint="eastAsia" w:asciiTheme="minorEastAsia" w:hAnsiTheme="minorEastAsia" w:eastAsiaTheme="minorEastAsia"/>
          <w:sz w:val="24"/>
        </w:rPr>
        <w:t>4.</w:t>
      </w:r>
      <w:r>
        <w:rPr>
          <w:rFonts w:hint="eastAsia" w:asciiTheme="minorEastAsia" w:hAnsiTheme="minorEastAsia" w:eastAsiaTheme="minorEastAsia"/>
          <w:b/>
          <w:sz w:val="24"/>
        </w:rPr>
        <w:t>根据财政部、国家发展改革委《关于调整公布第二十三期节能产品政府采购清单的通知》的规定，节能清单中的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以“★”标注）。采购人需购买的产品属于政府强制采购节能产品范围，但在节能清单中无对应细化分类且节能清单中的产品确实无法满足工作需要的，允许在节能清单之外采购。</w:t>
      </w:r>
    </w:p>
    <w:p>
      <w:pPr>
        <w:snapToGrid w:val="0"/>
        <w:spacing w:line="360" w:lineRule="auto"/>
        <w:ind w:left="2" w:leftChars="1" w:firstLine="482" w:firstLineChars="200"/>
        <w:rPr>
          <w:rFonts w:asciiTheme="minorEastAsia" w:hAnsiTheme="minorEastAsia" w:eastAsiaTheme="minorEastAsia"/>
          <w:b/>
          <w:sz w:val="24"/>
        </w:rPr>
      </w:pPr>
      <w:r>
        <w:rPr>
          <w:rFonts w:hint="eastAsia" w:asciiTheme="minorEastAsia" w:hAnsiTheme="minorEastAsia" w:eastAsiaTheme="minorEastAsia"/>
          <w:b/>
          <w:sz w:val="24"/>
        </w:rPr>
        <w:t>若投标人所投产品在《第二十三期节能产品政府采购清单》内，则投标人须在投标文件中提供所投产品在《第二十三期节能产品政府采购清单》中所处的页码、截图等证明材料。</w:t>
      </w:r>
    </w:p>
    <w:p>
      <w:pPr>
        <w:snapToGrid w:val="0"/>
        <w:spacing w:line="360" w:lineRule="auto"/>
        <w:ind w:firstLine="472" w:firstLineChars="196"/>
        <w:rPr>
          <w:rFonts w:asciiTheme="minorEastAsia" w:hAnsiTheme="minorEastAsia" w:eastAsiaTheme="minorEastAsia"/>
          <w:b/>
          <w:sz w:val="24"/>
          <w:szCs w:val="20"/>
        </w:rPr>
      </w:pPr>
      <w:r>
        <w:rPr>
          <w:rFonts w:hint="eastAsia" w:asciiTheme="minorEastAsia" w:hAnsiTheme="minorEastAsia" w:eastAsiaTheme="minorEastAsia"/>
          <w:b/>
          <w:sz w:val="24"/>
        </w:rPr>
        <w:t>5.</w:t>
      </w:r>
      <w:r>
        <w:rPr>
          <w:rFonts w:hint="eastAsia" w:asciiTheme="minorEastAsia" w:hAnsiTheme="minorEastAsia" w:eastAsiaTheme="minorEastAsia"/>
          <w:b/>
          <w:sz w:val="24"/>
          <w:szCs w:val="20"/>
        </w:rPr>
        <w:t xml:space="preserve"> 根据</w:t>
      </w:r>
      <w:r>
        <w:rPr>
          <w:rFonts w:asciiTheme="minorEastAsia" w:hAnsiTheme="minorEastAsia" w:eastAsiaTheme="minorEastAsia"/>
          <w:b/>
          <w:sz w:val="24"/>
          <w:szCs w:val="20"/>
        </w:rPr>
        <w:t>《政府采购货物和服务招标投标管理办法》（财政部令第</w:t>
      </w:r>
      <w:r>
        <w:rPr>
          <w:rFonts w:hint="eastAsia" w:asciiTheme="minorEastAsia" w:hAnsiTheme="minorEastAsia" w:eastAsiaTheme="minorEastAsia"/>
          <w:b/>
          <w:sz w:val="24"/>
          <w:szCs w:val="20"/>
        </w:rPr>
        <w:t>87</w:t>
      </w:r>
      <w:r>
        <w:rPr>
          <w:rFonts w:asciiTheme="minorEastAsia" w:hAnsiTheme="minorEastAsia" w:eastAsiaTheme="minorEastAsia"/>
          <w:b/>
          <w:sz w:val="24"/>
          <w:szCs w:val="20"/>
        </w:rPr>
        <w:t>号）</w:t>
      </w:r>
      <w:r>
        <w:rPr>
          <w:rFonts w:hint="eastAsia" w:asciiTheme="minorEastAsia" w:hAnsiTheme="minorEastAsia" w:eastAsiaTheme="minorEastAsia"/>
          <w:b/>
          <w:sz w:val="24"/>
          <w:szCs w:val="20"/>
        </w:rPr>
        <w:t>的规定。</w:t>
      </w:r>
      <w:r>
        <w:rPr>
          <w:rFonts w:asciiTheme="minorEastAsia" w:hAnsiTheme="minorEastAsia" w:eastAsiaTheme="minorEastAsia"/>
          <w:b/>
          <w:sz w:val="24"/>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472" w:firstLineChars="196"/>
        <w:rPr>
          <w:rFonts w:asciiTheme="minorEastAsia" w:hAnsiTheme="minorEastAsia" w:eastAsiaTheme="minorEastAsia"/>
          <w:b/>
          <w:sz w:val="24"/>
          <w:szCs w:val="20"/>
        </w:rPr>
      </w:pPr>
      <w:r>
        <w:rPr>
          <w:rFonts w:hint="eastAsia" w:asciiTheme="minorEastAsia" w:hAnsiTheme="minorEastAsia" w:eastAsiaTheme="minorEastAsia"/>
          <w:b/>
          <w:sz w:val="24"/>
          <w:szCs w:val="20"/>
        </w:rPr>
        <w:t>非单一产品采购项目，采购人应当根据采购项目技术构成、产品价格比重等合理确定核心产品，并在招标文件中载明。多家投标人提供的核心产品品牌相同的，按前两款规定处理。</w:t>
      </w:r>
    </w:p>
    <w:p>
      <w:pPr>
        <w:snapToGrid w:val="0"/>
        <w:spacing w:beforeLines="50" w:line="360" w:lineRule="auto"/>
        <w:jc w:val="left"/>
        <w:outlineLvl w:val="1"/>
        <w:rPr>
          <w:rFonts w:asciiTheme="minorEastAsia" w:hAnsiTheme="minorEastAsia" w:eastAsiaTheme="minorEastAsia"/>
          <w:b/>
          <w:sz w:val="24"/>
          <w:szCs w:val="20"/>
        </w:rPr>
      </w:pPr>
      <w:r>
        <w:rPr>
          <w:rFonts w:hint="eastAsia" w:asciiTheme="minorEastAsia" w:hAnsiTheme="minorEastAsia" w:eastAsiaTheme="minorEastAsia"/>
          <w:b/>
          <w:sz w:val="24"/>
          <w:szCs w:val="20"/>
        </w:rPr>
        <w:t>（九）知识产权</w:t>
      </w:r>
    </w:p>
    <w:p>
      <w:pPr>
        <w:snapToGrid w:val="0"/>
        <w:spacing w:line="360" w:lineRule="auto"/>
        <w:ind w:firstLine="480" w:firstLineChars="200"/>
        <w:rPr>
          <w:rFonts w:asciiTheme="minorEastAsia" w:hAnsiTheme="minorEastAsia" w:eastAsiaTheme="minorEastAsia"/>
          <w:bCs/>
          <w:sz w:val="24"/>
          <w:lang w:val="en-GB"/>
        </w:rPr>
      </w:pPr>
      <w:r>
        <w:rPr>
          <w:rFonts w:hint="eastAsia" w:asciiTheme="minorEastAsia" w:hAnsiTheme="minorEastAsia" w:eastAsiaTheme="minorEastAsia"/>
          <w:bCs/>
          <w:sz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2.投标报价应包含所有应向所有权人支付的专利权、商标权或其它知识产权的一切相关费用。</w:t>
      </w:r>
    </w:p>
    <w:p>
      <w:pPr>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3.系统软件、通用软件必须是具有在中国境内的合法使用权或版权的正版软件，涉及到第三方提出侵权或知识产权的起诉及支付版税等费用由投标人承担所有责任及费用。</w:t>
      </w:r>
    </w:p>
    <w:p>
      <w:pPr>
        <w:snapToGrid w:val="0"/>
        <w:spacing w:line="360" w:lineRule="auto"/>
        <w:ind w:firstLine="482" w:firstLineChars="200"/>
        <w:rPr>
          <w:rFonts w:asciiTheme="minorEastAsia" w:hAnsiTheme="minorEastAsia" w:eastAsiaTheme="minorEastAsia"/>
          <w:bCs/>
          <w:sz w:val="24"/>
        </w:rPr>
      </w:pPr>
      <w:r>
        <w:rPr>
          <w:rFonts w:asciiTheme="minorEastAsia" w:hAnsiTheme="minorEastAsia" w:eastAsiaTheme="minorEastAsia"/>
          <w:b/>
          <w:bCs/>
          <w:sz w:val="24"/>
        </w:rPr>
        <w:t>（</w:t>
      </w:r>
      <w:r>
        <w:rPr>
          <w:rFonts w:hint="eastAsia" w:asciiTheme="minorEastAsia" w:hAnsiTheme="minorEastAsia" w:eastAsiaTheme="minorEastAsia"/>
          <w:b/>
          <w:bCs/>
          <w:sz w:val="24"/>
        </w:rPr>
        <w:t>十</w:t>
      </w:r>
      <w:r>
        <w:rPr>
          <w:rFonts w:asciiTheme="minorEastAsia" w:hAnsiTheme="minorEastAsia" w:eastAsiaTheme="minorEastAsia"/>
          <w:b/>
          <w:bCs/>
          <w:sz w:val="24"/>
        </w:rPr>
        <w:t>）</w:t>
      </w:r>
      <w:r>
        <w:rPr>
          <w:rFonts w:asciiTheme="minorEastAsia" w:hAnsiTheme="minorEastAsia" w:eastAsiaTheme="minorEastAsia"/>
          <w:b/>
          <w:sz w:val="24"/>
        </w:rPr>
        <w:t>质疑</w:t>
      </w:r>
    </w:p>
    <w:p>
      <w:pPr>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投标供应商认为招标文件、采购过程和中标结果使自己的权益受到损害的，以书面形式向采购人或采购代理机构书面提出质疑：</w:t>
      </w:r>
    </w:p>
    <w:p>
      <w:pPr>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1）采购文件在指定的政府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 xml:space="preserve">2）投标供应商认为采购过程和中标结果使自己的权益受到损害的，对采购过程提出质疑的，为各采购程序环节结束之日起7个工作日内提出质疑；对中标结果提出质疑的，为中标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ab/>
      </w:r>
      <w:r>
        <w:rPr>
          <w:rFonts w:asciiTheme="minorEastAsia" w:hAnsiTheme="minorEastAsia" w:eastAsiaTheme="minorEastAsia"/>
          <w:bCs/>
          <w:sz w:val="24"/>
        </w:rPr>
        <w:t>采购人或采购代理机构在收到投标供应商的书面质疑后7个工作日内作出答复，并以书面形式通知质疑投标供应商和其他有关投标供应商，但答复内容不涉及商业秘密。质疑投标供应商须提供相关证明材料，包括但不限于权益受损害的情况说明及受损害的原因、证据内容等，并对质疑内容的真实性承担责任。</w:t>
      </w:r>
    </w:p>
    <w:p>
      <w:pPr>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w:t>
      </w:r>
      <w:r>
        <w:rPr>
          <w:rFonts w:asciiTheme="minorEastAsia" w:hAnsiTheme="minorEastAsia" w:eastAsiaTheme="minorEastAsia"/>
          <w:bCs/>
          <w:sz w:val="24"/>
        </w:rPr>
        <w:t>质疑联系人：</w:t>
      </w:r>
      <w:r>
        <w:rPr>
          <w:rFonts w:hint="eastAsia" w:asciiTheme="minorEastAsia" w:hAnsiTheme="minorEastAsia" w:eastAsiaTheme="minorEastAsia"/>
          <w:bCs/>
          <w:sz w:val="24"/>
        </w:rPr>
        <w:t>王力     新疆谱诚项目管理咨询有限公司</w:t>
      </w:r>
    </w:p>
    <w:p>
      <w:pPr>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bCs/>
          <w:sz w:val="24"/>
        </w:rPr>
        <w:t>电话：</w:t>
      </w:r>
      <w:r>
        <w:rPr>
          <w:rFonts w:hint="eastAsia" w:asciiTheme="minorEastAsia" w:hAnsiTheme="minorEastAsia" w:eastAsiaTheme="minorEastAsia"/>
          <w:bCs/>
          <w:sz w:val="24"/>
        </w:rPr>
        <w:t>0991-8828891   13999160776</w:t>
      </w:r>
      <w:r>
        <w:rPr>
          <w:rFonts w:asciiTheme="minorEastAsia" w:hAnsiTheme="minorEastAsia" w:eastAsiaTheme="minorEastAsia"/>
          <w:bCs/>
          <w:sz w:val="24"/>
        </w:rPr>
        <w:t>；</w:t>
      </w:r>
      <w:r>
        <w:rPr>
          <w:rFonts w:hint="eastAsia" w:asciiTheme="minorEastAsia" w:hAnsiTheme="minorEastAsia" w:eastAsiaTheme="minorEastAsia"/>
          <w:bCs/>
          <w:sz w:val="24"/>
        </w:rPr>
        <w:t xml:space="preserve">      </w:t>
      </w:r>
      <w:r>
        <w:rPr>
          <w:rFonts w:asciiTheme="minorEastAsia" w:hAnsiTheme="minorEastAsia" w:eastAsiaTheme="minorEastAsia"/>
          <w:bCs/>
          <w:sz w:val="24"/>
        </w:rPr>
        <w:t>传真：</w:t>
      </w:r>
      <w:r>
        <w:rPr>
          <w:rFonts w:hint="eastAsia" w:asciiTheme="minorEastAsia" w:hAnsiTheme="minorEastAsia" w:eastAsiaTheme="minorEastAsia"/>
          <w:sz w:val="24"/>
        </w:rPr>
        <w:t>0991-8828891</w:t>
      </w:r>
    </w:p>
    <w:p>
      <w:pPr>
        <w:snapToGrid w:val="0"/>
        <w:spacing w:line="360" w:lineRule="auto"/>
        <w:ind w:firstLine="480" w:firstLineChars="200"/>
        <w:jc w:val="left"/>
        <w:rPr>
          <w:rFonts w:asciiTheme="minorEastAsia" w:hAnsiTheme="minorEastAsia" w:eastAsiaTheme="minorEastAsia"/>
          <w:sz w:val="24"/>
        </w:rPr>
      </w:pP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（十一）投标人的资格要求</w:t>
      </w:r>
    </w:p>
    <w:p>
      <w:pPr>
        <w:pStyle w:val="44"/>
        <w:spacing w:line="360" w:lineRule="auto"/>
      </w:pPr>
      <w:r>
        <w:rPr>
          <w:rFonts w:hint="eastAsia" w:asciiTheme="minorEastAsia" w:hAnsiTheme="minorEastAsia" w:eastAsiaTheme="minorEastAsia"/>
        </w:rPr>
        <w:t xml:space="preserve"> </w:t>
      </w:r>
      <w:r>
        <w:rPr>
          <w:rFonts w:hint="eastAsia"/>
        </w:rPr>
        <w:t>1.满足《中华人民共和国政府采购法》第二十二条规定；</w:t>
      </w:r>
    </w:p>
    <w:p>
      <w:pPr>
        <w:pStyle w:val="44"/>
        <w:spacing w:line="360" w:lineRule="auto"/>
        <w:ind w:firstLine="120" w:firstLineChars="50"/>
      </w:pPr>
      <w:r>
        <w:rPr>
          <w:rFonts w:hint="eastAsia"/>
        </w:rPr>
        <w:t>2.落实政府采购政策需满足的资格要求：《政府采购促进中小企业发展暂行办法》、《财政部 民政部 中国残疾人联合会关于促进残疾人就业政府采购政策的通知》（财库【2017】141号）、财政部、司法部关于政府采购支持监狱企业发展有关问题的通知（财库[2014]68号）文、冀财采【2019】7号文和财库【2019】9号文</w:t>
      </w:r>
    </w:p>
    <w:p>
      <w:pPr>
        <w:pStyle w:val="44"/>
        <w:spacing w:line="360" w:lineRule="auto"/>
      </w:pPr>
      <w:r>
        <w:rPr>
          <w:rFonts w:hint="eastAsia"/>
        </w:rPr>
        <w:t>3.本项目的特定资格要求：</w:t>
      </w:r>
    </w:p>
    <w:p>
      <w:pPr>
        <w:pStyle w:val="44"/>
        <w:spacing w:line="360" w:lineRule="auto"/>
      </w:pPr>
      <w:r>
        <w:rPr>
          <w:rFonts w:hint="eastAsia"/>
        </w:rPr>
        <w:t>3.1.投标人应当具备有效的营业执照、开户许可证（取消开户许可证的可提供基本账户存款信息）且具有承担项目所要求的专业队伍、设备、资金等能力；</w:t>
      </w:r>
    </w:p>
    <w:p>
      <w:pPr>
        <w:pStyle w:val="44"/>
        <w:spacing w:line="360" w:lineRule="auto"/>
      </w:pPr>
      <w:r>
        <w:rPr>
          <w:rFonts w:hint="eastAsia"/>
        </w:rPr>
        <w:t>3.2.2019年度经第三方社会中介机构出具的财务审计报告或2020年9月1日后由基本开户银行出具的银行资信证明；</w:t>
      </w:r>
    </w:p>
    <w:p>
      <w:pPr>
        <w:pStyle w:val="44"/>
        <w:spacing w:line="360" w:lineRule="auto"/>
      </w:pPr>
      <w:r>
        <w:rPr>
          <w:rFonts w:hint="eastAsia"/>
        </w:rPr>
        <w:t>3.3.具有2020年1月至今（任意月）依法缴纳的税收相关证明材料（如依法免税或零缴纳的需提供相应证明资料）；</w:t>
      </w:r>
    </w:p>
    <w:p>
      <w:pPr>
        <w:pStyle w:val="44"/>
        <w:spacing w:line="360" w:lineRule="auto"/>
      </w:pPr>
      <w:r>
        <w:rPr>
          <w:rFonts w:hint="eastAsia"/>
        </w:rPr>
        <w:t>3.4.具有2020年1月至今（任意月）社会保障资金缴纳相关证明材料（如依法不需要缴纳社保的，提供相应证明文件）；</w:t>
      </w:r>
    </w:p>
    <w:p>
      <w:pPr>
        <w:pStyle w:val="44"/>
        <w:spacing w:line="360" w:lineRule="auto"/>
      </w:pPr>
      <w:r>
        <w:rPr>
          <w:rFonts w:hint="eastAsia"/>
        </w:rPr>
        <w:t>3.5.供应商参加政府采购活动前3年内在经营活动中没有重大违法记录的书面声明；与采购人存在利害关系可能影响采购公正性的法人、其他组织或者个人，不得参加投标。单位负责人为同一人或者存在控股、管理关系的不同单位，不得参加同一项目投标；信誉要求：供应商在“信用中国（www.creditchina.gov.cn/）”系统中未被列失信被执行人名单，在“中国政府采购网”未被列入政府采购严重违法失信行为记录名单（如供应商不符合以上要求，其投标将被否决，以开标当日采购人现场查询结果为准）。</w:t>
      </w:r>
    </w:p>
    <w:p>
      <w:pPr>
        <w:snapToGrid w:val="0"/>
        <w:spacing w:line="360" w:lineRule="auto"/>
        <w:jc w:val="left"/>
        <w:outlineLvl w:val="0"/>
        <w:rPr>
          <w:rFonts w:asciiTheme="minorEastAsia" w:hAnsiTheme="minorEastAsia" w:eastAsiaTheme="minorEastAsia"/>
          <w:sz w:val="24"/>
        </w:rPr>
      </w:pPr>
      <w:r>
        <w:rPr>
          <w:rFonts w:hint="eastAsia" w:asciiTheme="minorEastAsia" w:hAnsiTheme="minorEastAsia" w:eastAsiaTheme="minorEastAsia"/>
          <w:sz w:val="24"/>
        </w:rPr>
        <w:t>4、本项目不接受联合体投标。</w:t>
      </w:r>
    </w:p>
    <w:p>
      <w:pPr>
        <w:snapToGrid w:val="0"/>
        <w:spacing w:line="360" w:lineRule="auto"/>
        <w:jc w:val="center"/>
        <w:outlineLvl w:val="0"/>
        <w:rPr>
          <w:rFonts w:asciiTheme="minorEastAsia" w:hAnsiTheme="minorEastAsia" w:eastAsiaTheme="minorEastAsia"/>
          <w:b/>
          <w:sz w:val="24"/>
        </w:rPr>
      </w:pPr>
      <w:r>
        <w:rPr>
          <w:rFonts w:asciiTheme="minorEastAsia" w:hAnsiTheme="minorEastAsia" w:eastAsiaTheme="minorEastAsia"/>
          <w:b/>
          <w:sz w:val="24"/>
        </w:rPr>
        <w:t>二</w:t>
      </w:r>
      <w:r>
        <w:rPr>
          <w:rFonts w:hint="eastAsia" w:asciiTheme="minorEastAsia" w:hAnsiTheme="minorEastAsia" w:eastAsiaTheme="minorEastAsia"/>
          <w:b/>
          <w:sz w:val="24"/>
        </w:rPr>
        <w:t>、</w:t>
      </w:r>
      <w:r>
        <w:rPr>
          <w:rFonts w:asciiTheme="minorEastAsia" w:hAnsiTheme="minorEastAsia" w:eastAsiaTheme="minorEastAsia"/>
          <w:b/>
          <w:sz w:val="24"/>
        </w:rPr>
        <w:t>招标文件</w:t>
      </w:r>
    </w:p>
    <w:p>
      <w:pPr>
        <w:snapToGrid w:val="0"/>
        <w:spacing w:line="360" w:lineRule="auto"/>
        <w:ind w:firstLine="472" w:firstLineChars="196"/>
        <w:jc w:val="left"/>
        <w:rPr>
          <w:rFonts w:asciiTheme="minorEastAsia" w:hAnsiTheme="minorEastAsia" w:eastAsiaTheme="minorEastAsia"/>
          <w:b/>
          <w:sz w:val="24"/>
        </w:rPr>
      </w:pPr>
      <w:r>
        <w:rPr>
          <w:rFonts w:hint="eastAsia" w:asciiTheme="minorEastAsia" w:hAnsiTheme="minorEastAsia" w:eastAsiaTheme="minorEastAsia"/>
          <w:b/>
          <w:sz w:val="24"/>
        </w:rPr>
        <w:t>（一）招标文件的构成。本招标文件由以下部份组成：</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1：投标须知</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2：评标方法及标准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3：政府采购合同格式条款</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4：政府采购合同协议书</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5：投标文件的组成</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6：投标人须知前附表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7：投标邀请</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8：技术规格、参数及要求</w:t>
      </w:r>
    </w:p>
    <w:p>
      <w:pPr>
        <w:snapToGrid w:val="0"/>
        <w:spacing w:beforeLines="50" w:line="360" w:lineRule="auto"/>
        <w:ind w:firstLine="472" w:firstLineChars="196"/>
        <w:jc w:val="left"/>
        <w:rPr>
          <w:rFonts w:asciiTheme="minorEastAsia" w:hAnsiTheme="minorEastAsia" w:eastAsiaTheme="minorEastAsia"/>
          <w:b/>
          <w:sz w:val="24"/>
        </w:rPr>
      </w:pPr>
      <w:r>
        <w:rPr>
          <w:rFonts w:hint="eastAsia" w:asciiTheme="minorEastAsia" w:hAnsiTheme="minorEastAsia" w:eastAsiaTheme="minorEastAsia"/>
          <w:b/>
          <w:sz w:val="24"/>
        </w:rPr>
        <w:t>（二）投标人的风险</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投标人没有按照招标文件要求提供全部资料，或者投标人没有对招标文件在各方面作出实质性响应是投标人的风险，并可能导致其投标被拒绝。</w:t>
      </w:r>
    </w:p>
    <w:p>
      <w:pPr>
        <w:tabs>
          <w:tab w:val="left" w:pos="454"/>
          <w:tab w:val="left" w:pos="720"/>
        </w:tabs>
        <w:snapToGrid w:val="0"/>
        <w:spacing w:beforeLines="50" w:line="360" w:lineRule="auto"/>
        <w:ind w:firstLine="472" w:firstLineChars="196"/>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（三）招标文件的澄清与修改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1.在投标截止时间前，</w:t>
      </w:r>
      <w:r>
        <w:rPr>
          <w:rFonts w:asciiTheme="minorEastAsia" w:hAnsiTheme="minorEastAsia" w:eastAsiaTheme="minorEastAsia"/>
          <w:sz w:val="24"/>
        </w:rPr>
        <w:t>采购代理机构</w:t>
      </w:r>
      <w:r>
        <w:rPr>
          <w:rFonts w:hint="eastAsia" w:asciiTheme="minorEastAsia" w:hAnsiTheme="minorEastAsia" w:eastAsiaTheme="minorEastAsia"/>
          <w:sz w:val="24"/>
        </w:rPr>
        <w:t>对已发出的招标文件进行必要澄清或者修改时，将依法在财政部门指定的政府采购信息发布媒体上发布更正公告，并以书面形式通知所有招标文件收受人，</w:t>
      </w:r>
      <w:r>
        <w:rPr>
          <w:rFonts w:asciiTheme="minorEastAsia" w:hAnsiTheme="minorEastAsia" w:eastAsiaTheme="minorEastAsia"/>
          <w:sz w:val="24"/>
        </w:rPr>
        <w:t>除书面答复以外的其他澄清方式及澄清内容均无效。</w:t>
      </w:r>
      <w:r>
        <w:rPr>
          <w:rFonts w:hint="eastAsia" w:asciiTheme="minorEastAsia" w:hAnsiTheme="minorEastAsia" w:eastAsiaTheme="minorEastAsia"/>
          <w:sz w:val="24"/>
        </w:rPr>
        <w:t>该澄清或者修改的内容为招标文件的组成部分，对所有投标人有约束力。投标人在收到招标文件的澄清修改函后，应以书面形式予以确认。</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 采购代理机构</w:t>
      </w:r>
      <w:r>
        <w:rPr>
          <w:rFonts w:hint="eastAsia" w:asciiTheme="minorEastAsia" w:hAnsiTheme="minorEastAsia" w:eastAsiaTheme="minorEastAsia"/>
          <w:sz w:val="24"/>
        </w:rPr>
        <w:t>可以视采购具体情况，延长投标截止时间和开标时间，并依法在招标文件要求提交投标文件的截至时间三日前，将变更时间书面通知所有招标文件收受人，并在财政部门指定的政府采购信息发布媒体上发布变更公告。</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招标文件澄清、答复、修改、补充的内容为招标文件的组成部分。当招标文件与招标文件的答复、澄清、修改、补充通知就同一内容的表述不一致时，以最后发出的书面文件为准。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招标文件的澄清、答复、修改或补充都应该通过本代理机构以法定形式发布，采购人非通过本机构，不得擅自澄清、答复、修改或补充招标文件。</w:t>
      </w:r>
    </w:p>
    <w:p>
      <w:pPr>
        <w:snapToGrid w:val="0"/>
        <w:outlineLvl w:val="1"/>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投标文件的编制</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1、投标语言</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投标人提交的投标文件及投标人与采购代理机构就有关投标的所有来往函电均使用中文。投标人可以提交其他它语言的资料，但应附有中文注释，有差异时以中文为准。</w:t>
      </w:r>
    </w:p>
    <w:p>
      <w:pPr>
        <w:adjustRightInd w:val="0"/>
        <w:snapToGrid w:val="0"/>
        <w:spacing w:before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2、计量单位</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所有计量均采用中华人民共和国法定计量单位。</w:t>
      </w:r>
    </w:p>
    <w:p>
      <w:pPr>
        <w:adjustRightInd w:val="0"/>
        <w:snapToGrid w:val="0"/>
        <w:spacing w:beforeLines="50" w:line="360" w:lineRule="auto"/>
        <w:jc w:val="left"/>
        <w:rPr>
          <w:rFonts w:asciiTheme="minorEastAsia" w:hAnsiTheme="minorEastAsia" w:eastAsiaTheme="minorEastAsia"/>
          <w:sz w:val="24"/>
        </w:rPr>
      </w:pPr>
      <w:r>
        <w:rPr>
          <w:rFonts w:hint="eastAsia" w:asciiTheme="minorEastAsia" w:hAnsiTheme="minorEastAsia" w:eastAsiaTheme="minorEastAsia"/>
          <w:b/>
          <w:bCs/>
          <w:sz w:val="24"/>
        </w:rPr>
        <w:t>3、投标文件的组成</w:t>
      </w:r>
    </w:p>
    <w:p>
      <w:pPr>
        <w:snapToGrid w:val="0"/>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注：投标人应保证所提供文件资料的真实性，所有文件资料必须是针对本次投标的。如发现投标人提供了虚假文件资料，其投标将被拒绝，并自行承担相应的法律责任。</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3.1投标文件由商务内容、技术内容两部分组成。内容如下：</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一、投标函</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二、开标一览表</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三、投标分项价格表</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四、商务条款响应/偏离表</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五、投标保证金</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六、制造商出具的授权函</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七、投标人具备投标资格的证明文件</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八、提供享受政府采购政策优惠的证明资料和清单表</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九、货物说明一览表</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十、技术规格、参数响应/偏离表</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十一、投标货物符合招标文件规定的证明文件</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十二、政府采购履约担保函</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十三、投 标 承 诺 书</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3.2 投标文件内容及题目的编排顺序和编号按本章第3.1</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sz w:val="24"/>
        </w:rPr>
        <w:t>要求的结构。</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3.3 根据《政府采购法》第四十二条的规定，投标人无论中标与否，其投标文件不予退还。</w:t>
      </w:r>
    </w:p>
    <w:p>
      <w:pPr>
        <w:adjustRightInd w:val="0"/>
        <w:snapToGrid w:val="0"/>
        <w:spacing w:beforeLines="50" w:line="276" w:lineRule="auto"/>
        <w:ind w:firstLine="480" w:firstLineChars="200"/>
        <w:jc w:val="left"/>
        <w:rPr>
          <w:rFonts w:asciiTheme="minorEastAsia" w:hAnsiTheme="minorEastAsia" w:eastAsiaTheme="minorEastAsia"/>
          <w:b/>
          <w:bCs/>
          <w:sz w:val="24"/>
        </w:rPr>
      </w:pPr>
      <w:r>
        <w:rPr>
          <w:rFonts w:hint="eastAsia" w:asciiTheme="minorEastAsia" w:hAnsiTheme="minorEastAsia" w:eastAsiaTheme="minorEastAsia"/>
          <w:sz w:val="24"/>
        </w:rPr>
        <w:t>3.4投标人如有投标优惠，涉及价格的，应当直接在开标一览表的投标报价中给出(即投标报价中己包含价格折扣)；涉及商务、技术内容的，应当在商务条款响应/偏离表或技术规格、参数响应/偏离表中填写。</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4、投标报价</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4.1 投标人应按招标文件规定的供货及服务要求、责任范围和合同条件，以人民币进行报价。</w:t>
      </w:r>
    </w:p>
    <w:p>
      <w:pPr>
        <w:tabs>
          <w:tab w:val="left" w:pos="0"/>
          <w:tab w:val="left" w:pos="7560"/>
          <w:tab w:val="left" w:pos="7740"/>
          <w:tab w:val="left" w:pos="7920"/>
        </w:tabs>
        <w:adjustRightInd w:val="0"/>
        <w:snapToGrid w:val="0"/>
        <w:spacing w:beforeLines="50" w:line="360" w:lineRule="auto"/>
        <w:ind w:right="17" w:rightChars="8" w:firstLine="480" w:firstLineChars="200"/>
        <w:rPr>
          <w:rFonts w:asciiTheme="minorEastAsia" w:hAnsiTheme="minorEastAsia" w:eastAsiaTheme="minorEastAsia"/>
          <w:sz w:val="24"/>
        </w:rPr>
      </w:pPr>
      <w:r>
        <w:rPr>
          <w:rFonts w:hint="eastAsia" w:asciiTheme="minorEastAsia" w:hAnsiTheme="minorEastAsia" w:eastAsiaTheme="minorEastAsia"/>
          <w:sz w:val="24"/>
        </w:rPr>
        <w:t>4.2 投标人应按开标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4.3除</w:t>
      </w:r>
      <w:r>
        <w:rPr>
          <w:rFonts w:hint="eastAsia" w:asciiTheme="minorEastAsia" w:hAnsiTheme="minorEastAsia" w:eastAsiaTheme="minorEastAsia"/>
          <w:b/>
          <w:sz w:val="24"/>
          <w:szCs w:val="24"/>
        </w:rPr>
        <w:t>投标人须知前附表</w:t>
      </w:r>
      <w:r>
        <w:rPr>
          <w:rFonts w:hint="eastAsia" w:asciiTheme="minorEastAsia" w:hAnsiTheme="minorEastAsia" w:eastAsiaTheme="minorEastAsia"/>
          <w:sz w:val="24"/>
          <w:szCs w:val="24"/>
        </w:rPr>
        <w:t>允许提交备选方案外，投标人对每种货物及服务只允许有一个报价，不接受选择性报价，否则，在评标时将其视为无效投标。</w:t>
      </w:r>
    </w:p>
    <w:p>
      <w:pPr>
        <w:tabs>
          <w:tab w:val="left" w:pos="525"/>
          <w:tab w:val="left" w:pos="7560"/>
          <w:tab w:val="left" w:pos="8280"/>
        </w:tabs>
        <w:adjustRightInd w:val="0"/>
        <w:snapToGrid w:val="0"/>
        <w:spacing w:beforeLines="50" w:line="360" w:lineRule="auto"/>
        <w:ind w:right="31" w:rightChars="15"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4.4投标人的投标报价不得超过采购项目预算。采购项目预算见</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4.5 投标文件中标明的价格在合同执行过程中是固定不变的，不得以任何理由予以变更。任何包含价格调整要求和条件的投标，在评标时将其视为无效投标。</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4.6投标人的价格折扣（价格变更声明</w:t>
      </w:r>
      <w:r>
        <w:rPr>
          <w:rFonts w:asciiTheme="minorEastAsia" w:hAnsiTheme="minorEastAsia" w:eastAsiaTheme="minorEastAsia"/>
          <w:sz w:val="24"/>
          <w:szCs w:val="24"/>
        </w:rPr>
        <w:t>）</w:t>
      </w:r>
      <w:r>
        <w:rPr>
          <w:rFonts w:hint="eastAsia" w:asciiTheme="minorEastAsia" w:hAnsiTheme="minorEastAsia" w:eastAsiaTheme="minorEastAsia"/>
          <w:sz w:val="24"/>
          <w:szCs w:val="24"/>
        </w:rPr>
        <w:t>应当直接在开标一览表的投标报价中给出。</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5、投标人的资格证明文件</w:t>
      </w:r>
    </w:p>
    <w:p>
      <w:pPr>
        <w:tabs>
          <w:tab w:val="left" w:pos="7560"/>
          <w:tab w:val="left" w:pos="7740"/>
          <w:tab w:val="left" w:pos="7920"/>
        </w:tabs>
        <w:adjustRightInd w:val="0"/>
        <w:snapToGrid w:val="0"/>
        <w:spacing w:beforeLines="50" w:line="360" w:lineRule="auto"/>
        <w:ind w:right="17" w:rightChars="8" w:firstLine="480" w:firstLineChars="200"/>
        <w:rPr>
          <w:rFonts w:asciiTheme="minorEastAsia" w:hAnsiTheme="minorEastAsia" w:eastAsiaTheme="minorEastAsia"/>
          <w:sz w:val="24"/>
        </w:rPr>
      </w:pPr>
      <w:r>
        <w:rPr>
          <w:rFonts w:hint="eastAsia" w:asciiTheme="minorEastAsia" w:hAnsiTheme="minorEastAsia" w:eastAsiaTheme="minorEastAsia"/>
          <w:sz w:val="24"/>
        </w:rPr>
        <w:t>5.1投标人应提交满足本章第3.1</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sz w:val="24"/>
        </w:rPr>
        <w:t>规定的资格条件要求的证明文件,该证明文件作为投标文件的一部分。</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5.2除</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另有规定外，投标人提供的货物及服务不是投标人制造或拥有的</w:t>
      </w:r>
      <w:r>
        <w:rPr>
          <w:rFonts w:asciiTheme="minorEastAsia" w:hAnsiTheme="minorEastAsia" w:eastAsiaTheme="minorEastAsia"/>
          <w:sz w:val="24"/>
        </w:rPr>
        <w:t>,</w:t>
      </w:r>
      <w:r>
        <w:rPr>
          <w:rFonts w:hint="eastAsia" w:asciiTheme="minorEastAsia" w:hAnsiTheme="minorEastAsia" w:eastAsiaTheme="minorEastAsia"/>
          <w:sz w:val="24"/>
        </w:rPr>
        <w:t>则应当提供经销、或代理投标货物、或为投标货物提供售后服务的证明文件。否则，在评标时将其视为无效投标。</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6、投标货物符合招标文件规定的证明文件</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6.1 投标人应当提交其拟供的合同项下货物及其服务符合招标文件规定的证明文件,该证明文件作为投标文件的一部分。</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6.2 投标人在货物说明一览表中应当说明货物的品牌型号、规格参数、制造商及原产地等，交货时应出具原产地证明及出厂合格证明。</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6.3 上述证明文件可以是文字资料、图纸和数据，并须提供：</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（1）货物主要性能和参数的详细说明； </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（2）对照招标文件技术规格，逐条说明所提供货物和服务对招标文件的技术规格条文的响应与偏离。对有具体参数要求的指标，投标人应提供具体参数值。</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6.4 </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规定投标人在投标时提供样品的，投标人</w:t>
      </w:r>
      <w:r>
        <w:rPr>
          <w:rFonts w:asciiTheme="minorEastAsia" w:hAnsiTheme="minorEastAsia" w:eastAsiaTheme="minorEastAsia"/>
          <w:sz w:val="24"/>
        </w:rPr>
        <w:t>有以下情形之一的</w:t>
      </w:r>
      <w:r>
        <w:rPr>
          <w:rFonts w:hint="eastAsia" w:asciiTheme="minorEastAsia" w:hAnsiTheme="minorEastAsia" w:eastAsiaTheme="minorEastAsia"/>
          <w:sz w:val="24"/>
        </w:rPr>
        <w:t>，在评标时将其视为无效投标。</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（1）未在</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规定的提交时间、地点提交</w:t>
      </w:r>
      <w:r>
        <w:rPr>
          <w:rFonts w:asciiTheme="minorEastAsia" w:hAnsiTheme="minorEastAsia" w:eastAsiaTheme="minorEastAsia"/>
          <w:sz w:val="24"/>
        </w:rPr>
        <w:t>的</w:t>
      </w:r>
      <w:r>
        <w:rPr>
          <w:rFonts w:hint="eastAsia" w:asciiTheme="minorEastAsia" w:hAnsiTheme="minorEastAsia" w:eastAsiaTheme="minorEastAsia"/>
          <w:sz w:val="24"/>
        </w:rPr>
        <w:t>；</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（2）投标人提供的样品与投标文件提供样品的规格、型号不一致</w:t>
      </w:r>
      <w:r>
        <w:rPr>
          <w:rFonts w:asciiTheme="minorEastAsia" w:hAnsiTheme="minorEastAsia" w:eastAsiaTheme="minorEastAsia"/>
          <w:sz w:val="24"/>
        </w:rPr>
        <w:t>的</w:t>
      </w:r>
      <w:r>
        <w:rPr>
          <w:rFonts w:hint="eastAsia" w:asciiTheme="minorEastAsia" w:hAnsiTheme="minorEastAsia" w:eastAsiaTheme="minorEastAsia"/>
          <w:sz w:val="24"/>
        </w:rPr>
        <w:t>。</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sz w:val="24"/>
        </w:rPr>
        <w:t>5、</w:t>
      </w:r>
      <w:r>
        <w:rPr>
          <w:rFonts w:hint="eastAsia" w:asciiTheme="minorEastAsia" w:hAnsiTheme="minorEastAsia" w:eastAsiaTheme="minorEastAsia"/>
          <w:b/>
          <w:bCs/>
          <w:sz w:val="24"/>
        </w:rPr>
        <w:t>投标保证金</w:t>
      </w:r>
    </w:p>
    <w:p>
      <w:pPr>
        <w:adjustRightInd w:val="0"/>
        <w:snapToGrid w:val="0"/>
        <w:spacing w:beforeLines="50" w:line="276"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sz w:val="24"/>
        </w:rPr>
        <w:t>5.1</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规定缴纳</w:t>
      </w:r>
      <w:r>
        <w:rPr>
          <w:rFonts w:hint="eastAsia" w:asciiTheme="minorEastAsia" w:hAnsiTheme="minorEastAsia" w:eastAsiaTheme="minorEastAsia"/>
          <w:bCs/>
          <w:sz w:val="24"/>
        </w:rPr>
        <w:t>投标保证金的</w:t>
      </w:r>
      <w:r>
        <w:rPr>
          <w:rFonts w:hint="eastAsia" w:asciiTheme="minorEastAsia" w:hAnsiTheme="minorEastAsia" w:eastAsiaTheme="minorEastAsia"/>
          <w:sz w:val="24"/>
        </w:rPr>
        <w:t>，</w:t>
      </w:r>
      <w:r>
        <w:rPr>
          <w:rFonts w:hint="eastAsia" w:asciiTheme="minorEastAsia" w:hAnsiTheme="minorEastAsia" w:eastAsiaTheme="minorEastAsia"/>
          <w:bCs/>
          <w:sz w:val="24"/>
        </w:rPr>
        <w:t>投标人应按</w:t>
      </w:r>
      <w:r>
        <w:rPr>
          <w:rFonts w:hint="eastAsia" w:asciiTheme="minorEastAsia" w:hAnsiTheme="minorEastAsia" w:eastAsiaTheme="minorEastAsia"/>
          <w:b/>
          <w:bCs/>
          <w:sz w:val="24"/>
        </w:rPr>
        <w:t>投标人须知前附表</w:t>
      </w:r>
      <w:r>
        <w:rPr>
          <w:rFonts w:hint="eastAsia" w:asciiTheme="minorEastAsia" w:hAnsiTheme="minorEastAsia" w:eastAsiaTheme="minorEastAsia"/>
          <w:sz w:val="24"/>
        </w:rPr>
        <w:t>规定的要求</w:t>
      </w:r>
      <w:r>
        <w:rPr>
          <w:rFonts w:hint="eastAsia" w:asciiTheme="minorEastAsia" w:hAnsiTheme="minorEastAsia" w:eastAsiaTheme="minorEastAsia"/>
          <w:bCs/>
          <w:sz w:val="24"/>
        </w:rPr>
        <w:t>提交保证金</w:t>
      </w:r>
      <w:r>
        <w:rPr>
          <w:rFonts w:hint="eastAsia" w:asciiTheme="minorEastAsia" w:hAnsiTheme="minorEastAsia" w:eastAsiaTheme="minorEastAsia"/>
          <w:sz w:val="24"/>
        </w:rPr>
        <w:t>，</w:t>
      </w:r>
      <w:r>
        <w:rPr>
          <w:rFonts w:hint="eastAsia" w:asciiTheme="minorEastAsia" w:hAnsiTheme="minorEastAsia" w:eastAsiaTheme="minorEastAsia"/>
          <w:bCs/>
          <w:sz w:val="24"/>
        </w:rPr>
        <w:t>投标保证金有效期应与</w:t>
      </w:r>
      <w:r>
        <w:rPr>
          <w:rFonts w:hint="eastAsia" w:asciiTheme="minorEastAsia" w:hAnsiTheme="minorEastAsia" w:eastAsiaTheme="minorEastAsia"/>
          <w:sz w:val="24"/>
        </w:rPr>
        <w:t>本章第6.1</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sz w:val="24"/>
        </w:rPr>
        <w:t>规定</w:t>
      </w:r>
      <w:r>
        <w:rPr>
          <w:rFonts w:hint="eastAsia" w:asciiTheme="minorEastAsia" w:hAnsiTheme="minorEastAsia" w:eastAsiaTheme="minorEastAsia"/>
          <w:bCs/>
          <w:sz w:val="24"/>
        </w:rPr>
        <w:t>的投标有效期一致。投标人</w:t>
      </w:r>
      <w:r>
        <w:rPr>
          <w:rFonts w:hint="eastAsia" w:asciiTheme="minorEastAsia" w:hAnsiTheme="minorEastAsia" w:eastAsiaTheme="minorEastAsia"/>
          <w:sz w:val="24"/>
        </w:rPr>
        <w:t>未按照招标文件要求提交投标保证金的，</w:t>
      </w:r>
      <w:r>
        <w:rPr>
          <w:rFonts w:hint="eastAsia" w:asciiTheme="minorEastAsia" w:hAnsiTheme="minorEastAsia" w:eastAsiaTheme="minorEastAsia"/>
          <w:bCs/>
          <w:sz w:val="24"/>
        </w:rPr>
        <w:t>采购代理机构</w:t>
      </w:r>
      <w:r>
        <w:rPr>
          <w:rFonts w:hint="eastAsia" w:asciiTheme="minorEastAsia" w:hAnsiTheme="minorEastAsia" w:eastAsiaTheme="minorEastAsia"/>
          <w:sz w:val="24"/>
        </w:rPr>
        <w:t>应当拒绝接收投标人的投标文件或评标委员会在评标时将其视为无效投标。</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5.2 未中标的投标人的投标保证金，将在中标通知书发出后五个工作日内无息退还。</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5.3中标的投标人的投标保证金，将在政府采购合同签订后五个工作日内无息退还。</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5.4有以下情形之一的，投标保证金将不予退还：</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（1）投标人在本章第21.1</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bCs/>
          <w:sz w:val="24"/>
        </w:rPr>
        <w:t>规定的</w:t>
      </w:r>
      <w:r>
        <w:rPr>
          <w:rFonts w:hint="eastAsia" w:asciiTheme="minorEastAsia" w:hAnsiTheme="minorEastAsia" w:eastAsiaTheme="minorEastAsia"/>
          <w:sz w:val="24"/>
        </w:rPr>
        <w:t xml:space="preserve">投标有效期内撤回或修改投标文件； </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（2）投标提供虚假材料谋取中标的；</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（3）确定为中标供应商后，中标人无正当理由放弃中标资格的；</w:t>
      </w:r>
    </w:p>
    <w:p>
      <w:pPr>
        <w:adjustRightInd w:val="0"/>
        <w:snapToGrid w:val="0"/>
        <w:spacing w:beforeLines="50" w:line="276"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rPr>
        <w:t>（4）中标后，无正当理由不签订合同或转让、分包项目以及拒绝履行合同义务的；</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（5）法律法规或招标文件规定的其他情形。</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6、投标有效期</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6.1投标有效期见</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，在此期间投标文件对投标人具有法律约束力，以保证采购人有足够的时间完成评标、定标以及签订合同。投标有效期</w:t>
      </w:r>
      <w:r>
        <w:rPr>
          <w:rFonts w:hint="eastAsia" w:cs="Arial" w:asciiTheme="minorEastAsia" w:hAnsiTheme="minorEastAsia" w:eastAsiaTheme="minorEastAsia"/>
          <w:sz w:val="24"/>
        </w:rPr>
        <w:t>从</w:t>
      </w:r>
      <w:r>
        <w:rPr>
          <w:rFonts w:hint="eastAsia" w:asciiTheme="minorEastAsia" w:hAnsiTheme="minorEastAsia" w:eastAsiaTheme="minorEastAsia"/>
          <w:sz w:val="24"/>
        </w:rPr>
        <w:t>本章规定的</w:t>
      </w:r>
      <w:r>
        <w:rPr>
          <w:rFonts w:hint="eastAsia" w:cs="Arial" w:asciiTheme="minorEastAsia" w:hAnsiTheme="minorEastAsia" w:eastAsiaTheme="minorEastAsia"/>
          <w:sz w:val="24"/>
        </w:rPr>
        <w:t>投标截止之日起</w:t>
      </w:r>
      <w:r>
        <w:rPr>
          <w:rFonts w:hint="eastAsia" w:asciiTheme="minorEastAsia" w:hAnsiTheme="minorEastAsia" w:eastAsiaTheme="minorEastAsia"/>
          <w:sz w:val="24"/>
        </w:rPr>
        <w:t>计</w:t>
      </w:r>
      <w:r>
        <w:rPr>
          <w:rFonts w:hint="eastAsia" w:cs="Arial" w:asciiTheme="minorEastAsia" w:hAnsiTheme="minorEastAsia" w:eastAsiaTheme="minorEastAsia"/>
          <w:sz w:val="24"/>
        </w:rPr>
        <w:t>算。</w:t>
      </w:r>
      <w:r>
        <w:rPr>
          <w:rFonts w:hint="eastAsia" w:asciiTheme="minorEastAsia" w:hAnsiTheme="minorEastAsia" w:eastAsiaTheme="minorEastAsia"/>
          <w:sz w:val="24"/>
        </w:rPr>
        <w:t>投标有效期不足的，在评标时将其视为无效投标。</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6.2 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7、投标文件的签署</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7.1投标文件正本一份,电子文件一份(U盘,并标注投标人名称)，副本三份</w:t>
      </w:r>
      <w:r>
        <w:rPr>
          <w:rFonts w:hint="eastAsia" w:asciiTheme="minorEastAsia" w:hAnsiTheme="minorEastAsia" w:eastAsiaTheme="minorEastAsia"/>
          <w:b/>
          <w:sz w:val="24"/>
        </w:rPr>
        <w:t>。</w:t>
      </w:r>
      <w:r>
        <w:rPr>
          <w:rFonts w:hint="eastAsia" w:asciiTheme="minorEastAsia" w:hAnsiTheme="minorEastAsia" w:eastAsiaTheme="minorEastAsia"/>
          <w:sz w:val="24"/>
        </w:rPr>
        <w:t>正本和副本的封面应注明“正本”或“副本”的字样，当正本和副本不一致时，以正本为准。</w:t>
      </w:r>
    </w:p>
    <w:p>
      <w:pPr>
        <w:tabs>
          <w:tab w:val="left" w:pos="570"/>
          <w:tab w:val="left" w:pos="8280"/>
        </w:tabs>
        <w:adjustRightInd w:val="0"/>
        <w:snapToGrid w:val="0"/>
        <w:spacing w:beforeLines="50" w:line="360" w:lineRule="auto"/>
        <w:ind w:right="31" w:rightChars="15"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7.2 投标文件应用不褪色的材料打印或书写，并在</w:t>
      </w:r>
      <w:r>
        <w:rPr>
          <w:rFonts w:hint="eastAsia" w:asciiTheme="minorEastAsia" w:hAnsiTheme="minorEastAsia" w:eastAsiaTheme="minorEastAsia"/>
          <w:bCs/>
          <w:sz w:val="24"/>
        </w:rPr>
        <w:t>招标</w:t>
      </w:r>
      <w:r>
        <w:rPr>
          <w:rFonts w:hint="eastAsia" w:asciiTheme="minorEastAsia" w:hAnsiTheme="minorEastAsia" w:eastAsiaTheme="minorEastAsia"/>
          <w:sz w:val="24"/>
        </w:rPr>
        <w:t>文件要求签字、盖章处盖投标单位行政公章和由法定代表人或其委托代理人签字。投标文件中的任何行间插字、涂改和增删，改动之处应加盖单位行政公章或由投标人的法定代表人或其授权的代理人签字确认。不按上述要求盖章和签字的，在评标时将其视为无效投标。</w:t>
      </w:r>
    </w:p>
    <w:p>
      <w:pPr>
        <w:adjustRightInd w:val="0"/>
        <w:snapToGrid w:val="0"/>
        <w:spacing w:before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8、投标文件的递交</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9、投标文件的密封和标记</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9.1投标文件按正本和副本分别密封包装(电子文件装入投标文件正本密封袋中)，注明“正本”或“副本”，在封套两端折叠封口处加贴封条，标明项目名称及项目编号，并同时加盖投标人单位行政公章或由法定代表人或其授权的代理人签字,并注明于开标时间截止前不得启封字样，不按此规定装订、密封的按无效标处理。</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9.2投标文件封套或外包装上应载明的内容见</w:t>
      </w:r>
      <w:r>
        <w:rPr>
          <w:rFonts w:hint="eastAsia" w:asciiTheme="minorEastAsia" w:hAnsiTheme="minorEastAsia" w:eastAsiaTheme="minorEastAsia"/>
          <w:b/>
          <w:sz w:val="24"/>
        </w:rPr>
        <w:t>投标人须知前附表。</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9.3投标文件如果未按上述规定密封和标记，采购代理机构应当拒绝接收。</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10、投标文件的递交</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10.1 投标文件应在本章第11.2</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sz w:val="24"/>
        </w:rPr>
        <w:t>规定的投标截止时间之前送达</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指定的地点。</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10.2 逾期送达或未送达指定地点的投标文件，采购代理机构应当拒绝接收。</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10.3投标人应将招标文件中第五章投标文件的组成“政府采购招标文件（商务文件）二、</w:t>
      </w:r>
      <w:r>
        <w:rPr>
          <w:rFonts w:hint="eastAsia" w:asciiTheme="minorEastAsia" w:hAnsiTheme="minorEastAsia" w:eastAsiaTheme="minorEastAsia"/>
          <w:b/>
          <w:sz w:val="24"/>
        </w:rPr>
        <w:t>《开标一览表》</w:t>
      </w:r>
      <w:r>
        <w:rPr>
          <w:rFonts w:hint="eastAsia" w:asciiTheme="minorEastAsia" w:hAnsiTheme="minorEastAsia" w:eastAsiaTheme="minorEastAsia"/>
          <w:sz w:val="24"/>
        </w:rPr>
        <w:t>和三、</w:t>
      </w:r>
      <w:r>
        <w:rPr>
          <w:rFonts w:hint="eastAsia" w:asciiTheme="minorEastAsia" w:hAnsiTheme="minorEastAsia" w:eastAsiaTheme="minorEastAsia"/>
          <w:b/>
          <w:sz w:val="24"/>
        </w:rPr>
        <w:t>《分项价格表》”</w:t>
      </w:r>
      <w:r>
        <w:rPr>
          <w:rFonts w:hint="eastAsia" w:asciiTheme="minorEastAsia" w:hAnsiTheme="minorEastAsia" w:eastAsiaTheme="minorEastAsia"/>
          <w:sz w:val="24"/>
        </w:rPr>
        <w:t>另备一份单独密封，与项目投标文件同时递交，否则视为自动放弃投标；单独密封递交的</w:t>
      </w:r>
      <w:r>
        <w:rPr>
          <w:rFonts w:hint="eastAsia" w:asciiTheme="minorEastAsia" w:hAnsiTheme="minorEastAsia" w:eastAsiaTheme="minorEastAsia"/>
          <w:b/>
          <w:sz w:val="24"/>
        </w:rPr>
        <w:t>《开标一览表》</w:t>
      </w:r>
      <w:r>
        <w:rPr>
          <w:rFonts w:hint="eastAsia" w:asciiTheme="minorEastAsia" w:hAnsiTheme="minorEastAsia" w:eastAsiaTheme="minorEastAsia"/>
          <w:sz w:val="24"/>
        </w:rPr>
        <w:t>和</w:t>
      </w:r>
      <w:r>
        <w:rPr>
          <w:rFonts w:hint="eastAsia" w:asciiTheme="minorEastAsia" w:hAnsiTheme="minorEastAsia" w:eastAsiaTheme="minorEastAsia"/>
          <w:b/>
          <w:sz w:val="24"/>
        </w:rPr>
        <w:t>《分项价格表》与投标文件中的表格内容不一致的，视为无效投标。</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11、投标文件的修改和撤回</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11.1在本章第11.2</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sz w:val="24"/>
        </w:rPr>
        <w:t>规定的投标截止时间前，投标人可以书面形式修改、补充或撤回己递交的投标文件，但应以书面形式通知采购代理机构。</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11.2修改、补充的内容为投标文件的组成部分。修改、补充的投标文件应按本章第</w:t>
      </w:r>
      <w:r>
        <w:rPr>
          <w:rFonts w:hint="eastAsia" w:asciiTheme="minorEastAsia" w:hAnsiTheme="minorEastAsia" w:eastAsiaTheme="minorEastAsia"/>
          <w:bCs/>
          <w:sz w:val="24"/>
        </w:rPr>
        <w:t>22、23、24项</w:t>
      </w:r>
      <w:r>
        <w:rPr>
          <w:rFonts w:hint="eastAsia" w:asciiTheme="minorEastAsia" w:hAnsiTheme="minorEastAsia" w:eastAsiaTheme="minorEastAsia"/>
          <w:sz w:val="24"/>
        </w:rPr>
        <w:t>规定编制、</w:t>
      </w:r>
      <w:r>
        <w:rPr>
          <w:rFonts w:hint="eastAsia" w:asciiTheme="minorEastAsia" w:hAnsiTheme="minorEastAsia" w:eastAsiaTheme="minorEastAsia"/>
          <w:bCs/>
          <w:sz w:val="24"/>
        </w:rPr>
        <w:t>签署、</w:t>
      </w:r>
      <w:r>
        <w:rPr>
          <w:rFonts w:hint="eastAsia" w:asciiTheme="minorEastAsia" w:hAnsiTheme="minorEastAsia" w:eastAsiaTheme="minorEastAsia"/>
          <w:sz w:val="24"/>
        </w:rPr>
        <w:t>密封、标记和递交，并标明“修改、补充”字样。</w:t>
      </w:r>
    </w:p>
    <w:p>
      <w:pPr>
        <w:adjustRightInd w:val="0"/>
        <w:snapToGrid w:val="0"/>
        <w:spacing w:beforeLines="50" w:line="276"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11.3投标人撤回投标文件的，采购代理机构自收到投标人书面撤回通知之日起五日内退还已收取的投标保证金。</w:t>
      </w:r>
    </w:p>
    <w:p>
      <w:pPr>
        <w:pStyle w:val="44"/>
        <w:adjustRightInd w:val="0"/>
        <w:snapToGrid w:val="0"/>
        <w:spacing w:beforeLines="50" w:beforeAutospacing="0" w:after="0" w:afterAutospacing="0" w:line="276" w:lineRule="auto"/>
        <w:rPr>
          <w:rFonts w:cs="Arial" w:asciiTheme="minorEastAsia" w:hAnsiTheme="minorEastAsia" w:eastAsiaTheme="minorEastAsia"/>
          <w:b/>
        </w:rPr>
      </w:pPr>
      <w:r>
        <w:rPr>
          <w:rStyle w:val="55"/>
          <w:rFonts w:hint="eastAsia" w:cs="Arial" w:asciiTheme="minorEastAsia" w:hAnsiTheme="minorEastAsia" w:eastAsiaTheme="minorEastAsia"/>
        </w:rPr>
        <w:t>12、</w:t>
      </w:r>
      <w:r>
        <w:rPr>
          <w:rFonts w:cs="Arial" w:asciiTheme="minorEastAsia" w:hAnsiTheme="minorEastAsia" w:eastAsiaTheme="minorEastAsia"/>
          <w:b/>
        </w:rPr>
        <w:t>串通</w:t>
      </w:r>
      <w:r>
        <w:rPr>
          <w:rFonts w:asciiTheme="minorEastAsia" w:hAnsiTheme="minorEastAsia" w:eastAsiaTheme="minorEastAsia"/>
          <w:b/>
        </w:rPr>
        <w:t>投标行为</w:t>
      </w:r>
    </w:p>
    <w:p>
      <w:pPr>
        <w:pStyle w:val="44"/>
        <w:adjustRightInd w:val="0"/>
        <w:snapToGrid w:val="0"/>
        <w:spacing w:beforeLines="50" w:beforeAutospacing="0" w:after="0" w:afterAutospacing="0" w:line="276" w:lineRule="auto"/>
        <w:ind w:firstLine="456" w:firstLineChars="200"/>
        <w:rPr>
          <w:rFonts w:asciiTheme="minorEastAsia" w:hAnsiTheme="minorEastAsia" w:eastAsiaTheme="minorEastAsia"/>
        </w:rPr>
      </w:pPr>
      <w:r>
        <w:rPr>
          <w:rFonts w:hint="eastAsia" w:asciiTheme="minorEastAsia" w:hAnsiTheme="minorEastAsia" w:eastAsiaTheme="minorEastAsia"/>
          <w:spacing w:val="-6"/>
        </w:rPr>
        <w:t>12</w:t>
      </w:r>
      <w:r>
        <w:rPr>
          <w:rFonts w:asciiTheme="minorEastAsia" w:hAnsiTheme="minorEastAsia" w:eastAsiaTheme="minorEastAsia"/>
          <w:spacing w:val="-6"/>
        </w:rPr>
        <w:t>.1</w:t>
      </w:r>
      <w:r>
        <w:rPr>
          <w:rFonts w:asciiTheme="minorEastAsia" w:hAnsiTheme="minorEastAsia" w:eastAsiaTheme="minorEastAsia"/>
        </w:rPr>
        <w:t>投标人有以下情形之一的，可认定其有串通投标行为，中标无效：</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（1）投标人之间协商投标报价等投标文件的实质性内容；</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（2）投标人之间约定中标人；</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（3）投标人之间约定部分投标人放弃投标或者中标；</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（4）属于同一集团、协会、商会等组织成员的投标人按照该组织要求协同投标；</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（5）投标人之间为谋取中标或者排斥特定投标人而采取的其他联合行动；</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（6）不同投标人的投标文件由同一单位或者个人编制；</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（7）不同投标人委托同一单位或者个人办理投标事宜；</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（8）不同投标人的投标文件载明的项目管理成员为同一人；</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（9）不同投标人的投标文件异常一致或者投标报价呈规律性差异；</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（10）不同投标人的投标文件相互混装；</w:t>
      </w:r>
    </w:p>
    <w:p>
      <w:pPr>
        <w:pStyle w:val="44"/>
        <w:adjustRightInd w:val="0"/>
        <w:snapToGrid w:val="0"/>
        <w:spacing w:beforeLines="50" w:beforeAutospacing="0" w:after="0" w:afterAutospacing="0" w:line="276" w:lineRule="auto"/>
        <w:ind w:firstLine="480" w:firstLineChars="200"/>
        <w:rPr>
          <w:rFonts w:cs="Arial" w:asciiTheme="minorEastAsia" w:hAnsiTheme="minorEastAsia" w:eastAsiaTheme="minorEastAsia"/>
        </w:rPr>
      </w:pPr>
      <w:r>
        <w:rPr>
          <w:rFonts w:cs="Arial" w:asciiTheme="minorEastAsia" w:hAnsiTheme="minorEastAsia" w:eastAsiaTheme="minorEastAsia"/>
        </w:rPr>
        <w:t>（11）不同投标人的投标保证金从同一单位或者个人的账户转出；</w:t>
      </w:r>
    </w:p>
    <w:p>
      <w:pPr>
        <w:pStyle w:val="44"/>
        <w:adjustRightInd w:val="0"/>
        <w:snapToGrid w:val="0"/>
        <w:spacing w:beforeLines="50" w:beforeAutospacing="0" w:after="0" w:afterAutospacing="0" w:line="276" w:lineRule="auto"/>
        <w:ind w:firstLine="480" w:firstLineChars="200"/>
        <w:rPr>
          <w:rFonts w:asciiTheme="minorEastAsia" w:hAnsiTheme="minorEastAsia" w:eastAsiaTheme="minorEastAsia"/>
        </w:rPr>
      </w:pPr>
      <w:r>
        <w:rPr>
          <w:rFonts w:cs="Arial" w:asciiTheme="minorEastAsia" w:hAnsiTheme="minorEastAsia" w:eastAsiaTheme="minorEastAsia"/>
        </w:rPr>
        <w:t>（12）</w:t>
      </w:r>
      <w:r>
        <w:rPr>
          <w:rFonts w:asciiTheme="minorEastAsia" w:hAnsiTheme="minorEastAsia" w:eastAsiaTheme="minorEastAsia"/>
        </w:rPr>
        <w:t>法律、法规或规章规定的其他串通投标行为。</w:t>
      </w:r>
    </w:p>
    <w:p>
      <w:pPr>
        <w:pStyle w:val="44"/>
        <w:adjustRightInd w:val="0"/>
        <w:snapToGrid w:val="0"/>
        <w:spacing w:beforeLines="50" w:beforeAutospacing="0" w:after="0" w:afterAutospacing="0" w:line="360" w:lineRule="auto"/>
        <w:rPr>
          <w:rFonts w:asciiTheme="minorEastAsia" w:hAnsiTheme="minorEastAsia" w:eastAsiaTheme="minorEastAsia"/>
          <w:b/>
        </w:rPr>
      </w:pPr>
      <w:r>
        <w:rPr>
          <w:rFonts w:asciiTheme="minorEastAsia" w:hAnsiTheme="minorEastAsia" w:eastAsiaTheme="minorEastAsia"/>
          <w:b/>
        </w:rPr>
        <w:t>五、开标</w:t>
      </w:r>
    </w:p>
    <w:p>
      <w:pPr>
        <w:pStyle w:val="44"/>
        <w:adjustRightInd w:val="0"/>
        <w:snapToGrid w:val="0"/>
        <w:spacing w:beforeLines="50" w:beforeAutospacing="0" w:after="0" w:afterAutospacing="0" w:line="360" w:lineRule="auto"/>
        <w:rPr>
          <w:rStyle w:val="55"/>
          <w:rFonts w:cs="Arial" w:asciiTheme="minorEastAsia" w:hAnsiTheme="minorEastAsia" w:eastAsiaTheme="minorEastAsia"/>
        </w:rPr>
      </w:pPr>
      <w:r>
        <w:rPr>
          <w:rStyle w:val="55"/>
          <w:rFonts w:hint="eastAsia" w:cs="Arial" w:asciiTheme="minorEastAsia" w:hAnsiTheme="minorEastAsia" w:eastAsiaTheme="minorEastAsia"/>
        </w:rPr>
        <w:t>13、开标</w:t>
      </w:r>
    </w:p>
    <w:p>
      <w:pPr>
        <w:adjustRightInd w:val="0"/>
        <w:snapToGrid w:val="0"/>
        <w:spacing w:beforeLines="50"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sz w:val="24"/>
        </w:rPr>
        <w:t>13.1</w:t>
      </w:r>
      <w:r>
        <w:rPr>
          <w:rFonts w:hint="eastAsia" w:asciiTheme="minorEastAsia" w:hAnsiTheme="minorEastAsia" w:eastAsiaTheme="minorEastAsia"/>
          <w:b/>
          <w:bCs/>
          <w:sz w:val="24"/>
        </w:rPr>
        <w:t>开标仪式由招标代理机构组织，采购人代表(需提供单位授权函)、监管代表、投标人代表等参加。有关行政监督部门的工作人员将对投标人进行资格审查，如缺项将导致失去投标资格或废标。投标人开标时需携带：营业执照原件、法人授权书或法定代表人证明书原件、被授权人身份证或法人代表身份证原件、信用中国查询函（加盖公章）、中国政府采购网查询函（加盖公章）、投标保证金收据原件、资格审查含：</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1.满足《中华人民共和国政府采购法》第二十二条规定；</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2.落实政府采购政策需满足的资格要求：《政府采购促进中小企业发展暂行办法》、《财政部 民政部 中国残疾人联合会关于促进残疾人就业政府采购政策的通知》（财库【2017】141号）、财政部、司法部关于政府采购支持监狱企业发展有关问题的通知（财库[2014]68号）文、冀财采【2019】7号文和财库【2019】9号文</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3.本项目的特定资格要求：</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3.1.投标人应当具备有效的营业执照、开户许可证（取消开户许可证的可提供基本账户存款信息）且具有承担项目所要求的专业队伍、设备、资金等能力；</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3.2.2019年度经第三方社会中介机构出具的财务审计报告或2020年9月1日后由基本开户银行出具的银行资信证明；</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3.3.具有2020年1月至今（任意月）依法缴纳的税收相关证明材料（如依法免税或零缴纳的需提供相应证明资料）；</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3.4.具有2020年1月至今（任意月）社会保障资金缴纳相关证明材料（如依法不需要缴纳社保的，提供相应证明文件）；</w:t>
      </w:r>
    </w:p>
    <w:p>
      <w:pPr>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3.5.供应商参加政府采购活动前3年内在经营活动中没有重大违法记录的书面声明；与采购人存在利害关系可能影响采购公正性的法人、其他组织或者个人，不得参加投标。单位负责人为同一人或者存在控股、管理关系的不同单位，不得参加同一项目投标；信誉要求：供应商在“信用中国（www.creditchina.gov.cn/）”系统中未被列失信被执行人名单，在“中国政府采购网”未被列入政府采购严重违法失信行为记录名单（如供应商不符合以上要求，其投标将被否决，以开标当日采购人现场查询结果为准）。</w:t>
      </w:r>
    </w:p>
    <w:p>
      <w:pPr>
        <w:adjustRightInd w:val="0"/>
        <w:snapToGrid w:val="0"/>
        <w:spacing w:beforeLines="50"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13.2本次招标按招标文件中投标邀请规定的时间地点进行开标，将邀请投标商的法定代表人或其授权委托人准时参加开标会。</w:t>
      </w:r>
    </w:p>
    <w:p>
      <w:pPr>
        <w:adjustRightInd w:val="0"/>
        <w:snapToGrid w:val="0"/>
        <w:spacing w:beforeLines="50"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13.3宣布投标文件开启顺序。</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bCs/>
          <w:sz w:val="24"/>
        </w:rPr>
        <w:t>13.4开标时检查投标文件密封情况，确认无误后拆封唱标，唱正本</w:t>
      </w:r>
      <w:r>
        <w:rPr>
          <w:rFonts w:hint="eastAsia" w:asciiTheme="minorEastAsia" w:hAnsiTheme="minorEastAsia" w:eastAsiaTheme="minorEastAsia"/>
          <w:sz w:val="24"/>
        </w:rPr>
        <w:t>“开标一览表”内容，以及招标代理机构认为合适的其他内容并记录。</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13.5评标原则在开标会议上宣布。</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13.6 对招标人的纪律要求</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招标人不得泄露招标投标活动中应当保密的情况和资料，不得与投标人串通损害国家利益、社会公共利益或者他人合法权益。</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13.7对投标人的纪律要求</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13.8 对与评标活动有关的工作人员的纪律要求</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13.9对评标委员会成员要求评标纪律</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13.9.1评委会应当依照有关法律法规的规定，按照招标文件确定的评标标准和办法客观、公正的对投标文件提出评审意见。招标文件设有规定的评标标准和方法不得作为评标依据。</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13.9.2评标委员会成员不得私下接触投标人，不得收受投标人给予的财务或者其他好处，不得向招标人征询确定中标人意向。</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13.9.3不得接受任何单位或个人明示或暗示提出的倾向或排斥特定投标人的要求。</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13.9.4不得有其他不客观，不公正履行职务的行为。</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13.10无效投标条款和废标条款</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13.10.1无效投标条款</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13.10.2未按要求交纳投标保证金的；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13.10.3未按照招标文件规定要求密封、签署、盖章的；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13.10.4投标人在报价时采用选择性报价；</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13.10.5投标人不具备招标文件中规定资格要求的；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13.10.6投标人的报价超过了采购预算的；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13.10.7未通过符合性检查的；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13.10.8不符合招标文件中规定的其他实质性要求和条件的；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13.10.9投标人串通投标；</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13.10.10其他法律、法规及本招标文件规定的属无效投标的情形。</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13.11废标条款：                                                                                                                                                                                                                                                                                                                                                                                                                                                                                                                                                                                                                                                                                                                                                                                                                                                                                                                                                                                                                                                                                                                                                                                                                                                                                                                                                                                                                                                                         </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13.11.1符合专业条件的供应商或者对招标文件作实质响应的供应商不足三家的；30.2.2出现影响采购公正的违法、违规行为的；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13.11.2因重大变故，采购任务取消的；</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13.11.3评标委员会认定招标文件存在歧义、 重大缺陷导致评审工作无法进行。</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13.11.4 投标截止时间结束后参加投标的供应商不足三家的处理：</w:t>
      </w:r>
    </w:p>
    <w:p>
      <w:pPr>
        <w:pStyle w:val="277"/>
        <w:adjustRightInd w:val="0"/>
        <w:snapToGrid w:val="0"/>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13.11.5如出现投标截止时间结束后参加投标的供应商或者在评标期间对招标文件做出实质响应的供应商不足三家情况，按财政部第八十七号令第四十三条的规定执行。</w:t>
      </w:r>
    </w:p>
    <w:p>
      <w:pPr>
        <w:pStyle w:val="277"/>
        <w:adjustRightInd w:val="0"/>
        <w:snapToGrid w:val="0"/>
        <w:spacing w:line="360" w:lineRule="auto"/>
        <w:ind w:firstLineChars="0"/>
        <w:rPr>
          <w:rFonts w:asciiTheme="minorEastAsia" w:hAnsiTheme="minorEastAsia" w:eastAsiaTheme="minorEastAsia"/>
          <w:sz w:val="24"/>
          <w:szCs w:val="24"/>
        </w:rPr>
      </w:pPr>
    </w:p>
    <w:p>
      <w:pPr>
        <w:adjustRightInd w:val="0"/>
        <w:snapToGrid w:val="0"/>
        <w:spacing w:before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六、中标信息公布与投标人</w:t>
      </w:r>
      <w:r>
        <w:rPr>
          <w:rFonts w:hint="eastAsia" w:asciiTheme="minorEastAsia" w:hAnsiTheme="minorEastAsia" w:eastAsiaTheme="minorEastAsia"/>
          <w:b/>
          <w:bCs/>
          <w:sz w:val="24"/>
        </w:rPr>
        <w:t>质疑</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14.中标信息公布</w:t>
      </w:r>
    </w:p>
    <w:p>
      <w:pPr>
        <w:autoSpaceDE w:val="0"/>
        <w:autoSpaceDN w:val="0"/>
        <w:adjustRightInd w:val="0"/>
        <w:snapToGrid w:val="0"/>
        <w:spacing w:beforeLines="50" w:line="360"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14.1确定中标供应商后，中标信息将在本章指定的媒体上同步发布。</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15.</w:t>
      </w:r>
      <w:r>
        <w:rPr>
          <w:rFonts w:hint="eastAsia" w:asciiTheme="minorEastAsia" w:hAnsiTheme="minorEastAsia" w:eastAsiaTheme="minorEastAsia"/>
          <w:b/>
          <w:sz w:val="24"/>
        </w:rPr>
        <w:t>投标人</w:t>
      </w:r>
      <w:r>
        <w:rPr>
          <w:rFonts w:hint="eastAsia" w:asciiTheme="minorEastAsia" w:hAnsiTheme="minorEastAsia" w:eastAsiaTheme="minorEastAsia"/>
          <w:b/>
          <w:bCs/>
          <w:sz w:val="24"/>
        </w:rPr>
        <w:t>质疑</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15.1投标人对政府采购活动事项有疑问的，可以向采购人或采购代理机构提出询问。采购人或采购代理机构将在三个工作日内做出答复。</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15. 2投标人若认为采购过程和中标结果使自己的权益受到损害，应当在下列时间内以书面形式向采购人或采购代理机构提出：</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（1）关于采购过程的质疑，应当在采购程序环节结束之日起七个工作日内提出。</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（2）关于中标结果的质疑，应当在知道或者应知其权益受到损害之日起7个工作日内提出。</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15.3投标人提出质疑的，应提供质疑书原件。采购人或采购代理机构应当向质疑供应商签收回执。</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15.4质疑书应当包括下列内容：</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（1）质疑供应商的名称、地址及有效联系方式；</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（2）质疑事项；</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（3）事实依据及相关证明材料；</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（4）相关请求及主张。</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15.5 质疑书应当由投标人法定代表人或其授权的代理人签字并加盖投标人单位行政公章，质疑书由授权的代理人签字的应附投标人法定代表人授权委托书。</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15.6 采购人或采购代理机构将在签收回执之日起七个工作日内做出书面答复，并以书面形式通知质疑投标人和其他有关的投标人。</w:t>
      </w:r>
    </w:p>
    <w:p>
      <w:pPr>
        <w:adjustRightInd w:val="0"/>
        <w:snapToGrid w:val="0"/>
        <w:spacing w:beforeLines="5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15.7 投标人对采购人或采购代理机构无正当理由拒绝受理质疑的，投标人可书面向政府采购行政监管部门反映情况；投标人对采购人或采购代理机构的答复不满意，或采购人或采购代理机构未在规定的期限做出答复的，可在答复期满后十五个工作日内，按政府采购相关法律法规规章的规定及程序，向同级财政部门提出投诉。</w:t>
      </w:r>
    </w:p>
    <w:p>
      <w:pPr>
        <w:adjustRightInd w:val="0"/>
        <w:snapToGrid w:val="0"/>
        <w:spacing w:line="320" w:lineRule="exact"/>
        <w:jc w:val="left"/>
        <w:rPr>
          <w:rFonts w:asciiTheme="minorEastAsia" w:hAnsiTheme="minorEastAsia" w:eastAsiaTheme="minorEastAsia"/>
          <w:b/>
          <w:sz w:val="24"/>
        </w:rPr>
      </w:pPr>
      <w:r>
        <w:rPr>
          <w:rFonts w:hint="eastAsia" w:asciiTheme="minorEastAsia" w:hAnsiTheme="minorEastAsia" w:eastAsiaTheme="minorEastAsia"/>
          <w:b/>
          <w:sz w:val="24"/>
        </w:rPr>
        <w:t>七、合同签订</w:t>
      </w:r>
    </w:p>
    <w:p>
      <w:pPr>
        <w:adjustRightInd w:val="0"/>
        <w:snapToGrid w:val="0"/>
        <w:spacing w:line="320" w:lineRule="exact"/>
        <w:jc w:val="left"/>
        <w:rPr>
          <w:rFonts w:asciiTheme="minorEastAsia" w:hAnsiTheme="minorEastAsia" w:eastAsiaTheme="minorEastAsia"/>
          <w:b/>
          <w:bCs/>
          <w:sz w:val="24"/>
        </w:rPr>
      </w:pPr>
      <w:r>
        <w:rPr>
          <w:rFonts w:hint="eastAsia" w:asciiTheme="minorEastAsia" w:hAnsiTheme="minorEastAsia" w:eastAsiaTheme="minorEastAsia"/>
          <w:b/>
          <w:bCs/>
          <w:sz w:val="24"/>
        </w:rPr>
        <w:t>16.中标结果通知</w:t>
      </w:r>
    </w:p>
    <w:p>
      <w:pPr>
        <w:adjustRightInd w:val="0"/>
        <w:snapToGrid w:val="0"/>
        <w:spacing w:line="3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16.1 在本章规定的投标有效期内，采购代理机构将以书面形式向中标供应商发出《中标通知书》。中标通知书对采购人和中标供应商具有同等法律效力。  </w:t>
      </w:r>
    </w:p>
    <w:p>
      <w:pPr>
        <w:adjustRightInd w:val="0"/>
        <w:snapToGrid w:val="0"/>
        <w:spacing w:line="320" w:lineRule="exac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17、履约担保</w:t>
      </w:r>
    </w:p>
    <w:p>
      <w:pPr>
        <w:adjustRightInd w:val="0"/>
        <w:snapToGrid w:val="0"/>
        <w:spacing w:line="3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17.1</w:t>
      </w:r>
      <w:r>
        <w:rPr>
          <w:rFonts w:hint="eastAsia" w:asciiTheme="minorEastAsia" w:hAnsiTheme="minorEastAsia" w:eastAsiaTheme="minorEastAsia"/>
          <w:sz w:val="24"/>
        </w:rPr>
        <w:t>中标供应商在收到采购代理机构的《中标通知书》后十日内，需向采购人提交履约担保的，应按照</w:t>
      </w:r>
      <w:r>
        <w:rPr>
          <w:rFonts w:hint="eastAsia" w:asciiTheme="minorEastAsia" w:hAnsiTheme="minorEastAsia" w:eastAsiaTheme="minorEastAsia"/>
          <w:b/>
          <w:sz w:val="24"/>
        </w:rPr>
        <w:t>投标人须知前附表</w:t>
      </w:r>
      <w:r>
        <w:rPr>
          <w:rFonts w:hint="eastAsia" w:asciiTheme="minorEastAsia" w:hAnsiTheme="minorEastAsia" w:eastAsiaTheme="minorEastAsia"/>
          <w:sz w:val="24"/>
        </w:rPr>
        <w:t>的规定提交。</w:t>
      </w:r>
    </w:p>
    <w:p>
      <w:pPr>
        <w:adjustRightInd w:val="0"/>
        <w:snapToGrid w:val="0"/>
        <w:spacing w:line="3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17.2 中标供应商</w:t>
      </w:r>
      <w:r>
        <w:rPr>
          <w:rFonts w:hint="eastAsia" w:asciiTheme="minorEastAsia" w:hAnsiTheme="minorEastAsia" w:eastAsiaTheme="minorEastAsia"/>
          <w:spacing w:val="4"/>
          <w:sz w:val="24"/>
        </w:rPr>
        <w:t>没有按照本章第33.1</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spacing w:val="4"/>
          <w:sz w:val="24"/>
        </w:rPr>
        <w:t>规定</w:t>
      </w:r>
      <w:r>
        <w:rPr>
          <w:rFonts w:hint="eastAsia" w:asciiTheme="minorEastAsia" w:hAnsiTheme="minorEastAsia" w:eastAsiaTheme="minorEastAsia"/>
          <w:sz w:val="24"/>
        </w:rPr>
        <w:t>提交履约担保的</w:t>
      </w:r>
      <w:r>
        <w:rPr>
          <w:rFonts w:hint="eastAsia" w:asciiTheme="minorEastAsia" w:hAnsiTheme="minorEastAsia" w:eastAsiaTheme="minorEastAsia"/>
          <w:spacing w:val="4"/>
          <w:sz w:val="24"/>
        </w:rPr>
        <w:t>，视为放弃中标，</w:t>
      </w:r>
      <w:r>
        <w:rPr>
          <w:rFonts w:hint="eastAsia" w:asciiTheme="minorEastAsia" w:hAnsiTheme="minorEastAsia" w:eastAsiaTheme="minorEastAsia"/>
          <w:spacing w:val="2"/>
          <w:sz w:val="24"/>
        </w:rPr>
        <w:t>其投标保证金不予退还。</w:t>
      </w:r>
    </w:p>
    <w:p>
      <w:pPr>
        <w:adjustRightInd w:val="0"/>
        <w:snapToGrid w:val="0"/>
        <w:spacing w:line="320" w:lineRule="exact"/>
        <w:jc w:val="left"/>
        <w:rPr>
          <w:rFonts w:asciiTheme="minorEastAsia" w:hAnsiTheme="minorEastAsia" w:eastAsiaTheme="minorEastAsia"/>
          <w:b/>
          <w:bCs/>
          <w:sz w:val="24"/>
        </w:rPr>
      </w:pPr>
      <w:r>
        <w:rPr>
          <w:rFonts w:hint="eastAsia" w:asciiTheme="minorEastAsia" w:hAnsiTheme="minorEastAsia" w:eastAsiaTheme="minorEastAsia"/>
          <w:b/>
          <w:bCs/>
          <w:sz w:val="24"/>
        </w:rPr>
        <w:t>18、签订合同</w:t>
      </w:r>
    </w:p>
    <w:p>
      <w:pPr>
        <w:adjustRightInd w:val="0"/>
        <w:snapToGrid w:val="0"/>
        <w:spacing w:line="3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18.1 采购人应自中标通知书发出之日起七日内，按指定的时间、地点与中标供应商签订政府采购合同。</w:t>
      </w:r>
    </w:p>
    <w:p>
      <w:pPr>
        <w:adjustRightInd w:val="0"/>
        <w:snapToGrid w:val="0"/>
        <w:spacing w:line="3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18.2 招标文件、中标供应商的投标文件均为签订合同的依据。</w:t>
      </w:r>
    </w:p>
    <w:p>
      <w:pPr>
        <w:adjustRightInd w:val="0"/>
        <w:snapToGrid w:val="0"/>
        <w:spacing w:line="320" w:lineRule="exact"/>
        <w:ind w:firstLine="480" w:firstLineChars="200"/>
        <w:jc w:val="left"/>
        <w:rPr>
          <w:rFonts w:asciiTheme="minorEastAsia" w:hAnsiTheme="minorEastAsia" w:eastAsiaTheme="minorEastAsia"/>
          <w:bCs/>
          <w:sz w:val="24"/>
        </w:rPr>
      </w:pPr>
      <w:r>
        <w:rPr>
          <w:rFonts w:hint="eastAsia" w:asciiTheme="minorEastAsia" w:hAnsiTheme="minorEastAsia" w:eastAsiaTheme="minorEastAsia"/>
          <w:sz w:val="24"/>
        </w:rPr>
        <w:t>18.3 中标供应商</w:t>
      </w:r>
      <w:r>
        <w:rPr>
          <w:rFonts w:hint="eastAsia" w:asciiTheme="minorEastAsia" w:hAnsiTheme="minorEastAsia" w:eastAsiaTheme="minorEastAsia"/>
          <w:bCs/>
          <w:sz w:val="24"/>
        </w:rPr>
        <w:t>应当按照合同约定履行义务。</w:t>
      </w:r>
      <w:r>
        <w:rPr>
          <w:rFonts w:hint="eastAsia" w:asciiTheme="minorEastAsia" w:hAnsiTheme="minorEastAsia" w:eastAsiaTheme="minorEastAsia"/>
          <w:sz w:val="24"/>
        </w:rPr>
        <w:t>中标人</w:t>
      </w:r>
      <w:r>
        <w:rPr>
          <w:rFonts w:hint="eastAsia" w:asciiTheme="minorEastAsia" w:hAnsiTheme="minorEastAsia" w:eastAsiaTheme="minorEastAsia"/>
          <w:bCs/>
          <w:sz w:val="24"/>
        </w:rPr>
        <w:t>不得向他人分包中标项目（</w:t>
      </w:r>
      <w:r>
        <w:rPr>
          <w:rFonts w:hint="eastAsia" w:asciiTheme="minorEastAsia" w:hAnsiTheme="minorEastAsia" w:eastAsiaTheme="minorEastAsia"/>
          <w:sz w:val="24"/>
        </w:rPr>
        <w:t>政府采购支持中小企业发展等政策规定的除外</w:t>
      </w:r>
      <w:r>
        <w:rPr>
          <w:rFonts w:hint="eastAsia" w:asciiTheme="minorEastAsia" w:hAnsiTheme="minorEastAsia" w:eastAsiaTheme="minorEastAsia"/>
          <w:bCs/>
          <w:sz w:val="24"/>
        </w:rPr>
        <w:t>）。</w:t>
      </w:r>
    </w:p>
    <w:p>
      <w:pPr>
        <w:adjustRightInd w:val="0"/>
        <w:snapToGrid w:val="0"/>
        <w:spacing w:beforeLines="50"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19、</w:t>
      </w:r>
      <w:r>
        <w:rPr>
          <w:rFonts w:hint="eastAsia" w:asciiTheme="minorEastAsia" w:hAnsiTheme="minorEastAsia" w:eastAsiaTheme="minorEastAsia"/>
          <w:b/>
          <w:sz w:val="24"/>
        </w:rPr>
        <w:t xml:space="preserve"> 政府采购合同履行中</w:t>
      </w:r>
      <w:r>
        <w:rPr>
          <w:rFonts w:hint="eastAsia" w:asciiTheme="minorEastAsia" w:hAnsiTheme="minorEastAsia" w:eastAsiaTheme="minorEastAsia"/>
          <w:b/>
          <w:bCs/>
          <w:sz w:val="24"/>
        </w:rPr>
        <w:t>数量的变更</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19.1政府采购合同履行中，采购人需追加与合同标的相同的货物服务的，在不改变合同其他条款的前提下，可以与中标供应商协商签订补充合同，但所有补充合同的采购金额不得超过原合同采购金额的百分之十。</w:t>
      </w:r>
    </w:p>
    <w:p>
      <w:pPr>
        <w:pStyle w:val="28"/>
        <w:adjustRightInd w:val="0"/>
        <w:snapToGrid w:val="0"/>
        <w:spacing w:beforeLines="50"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八.其他规定</w:t>
      </w:r>
    </w:p>
    <w:p>
      <w:pPr>
        <w:tabs>
          <w:tab w:val="left" w:pos="690"/>
          <w:tab w:val="left" w:pos="7560"/>
          <w:tab w:val="left" w:pos="7740"/>
          <w:tab w:val="left" w:pos="7920"/>
        </w:tabs>
        <w:adjustRightInd w:val="0"/>
        <w:snapToGrid w:val="0"/>
        <w:spacing w:beforeLines="50" w:line="360" w:lineRule="auto"/>
        <w:ind w:right="384" w:rightChars="183"/>
        <w:rPr>
          <w:rFonts w:asciiTheme="minorEastAsia" w:hAnsiTheme="minorEastAsia" w:eastAsiaTheme="minorEastAsia"/>
          <w:b/>
          <w:sz w:val="24"/>
        </w:rPr>
      </w:pPr>
      <w:r>
        <w:rPr>
          <w:rFonts w:hint="eastAsia" w:asciiTheme="minorEastAsia" w:hAnsiTheme="minorEastAsia" w:eastAsiaTheme="minorEastAsia"/>
          <w:b/>
          <w:sz w:val="24"/>
        </w:rPr>
        <w:t>20、招标代理服务费</w:t>
      </w:r>
    </w:p>
    <w:p>
      <w:pPr>
        <w:tabs>
          <w:tab w:val="left" w:pos="420"/>
          <w:tab w:val="left" w:pos="7560"/>
          <w:tab w:val="left" w:pos="7740"/>
          <w:tab w:val="left" w:pos="7920"/>
        </w:tabs>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20.1参照原国家计委《招标代理服务收费管理暂行办法的通知》（计价格［2002］1980号）文件、《国家发展改革委办公厅关于招标代理服务收费有关问题的通知》（发改办价格[2003]857号 ）中规定的收费标准计取。由每个标段/包中标人支付。</w:t>
      </w:r>
    </w:p>
    <w:p>
      <w:pPr>
        <w:tabs>
          <w:tab w:val="left" w:pos="420"/>
          <w:tab w:val="left" w:pos="7560"/>
          <w:tab w:val="left" w:pos="7740"/>
          <w:tab w:val="left" w:pos="7920"/>
        </w:tabs>
        <w:adjustRightInd w:val="0"/>
        <w:snapToGrid w:val="0"/>
        <w:spacing w:beforeLines="50" w:line="360" w:lineRule="auto"/>
        <w:rPr>
          <w:rFonts w:asciiTheme="minorEastAsia" w:hAnsiTheme="minorEastAsia" w:eastAsiaTheme="minorEastAsia"/>
          <w:b/>
          <w:sz w:val="24"/>
        </w:rPr>
      </w:pPr>
      <w:r>
        <w:rPr>
          <w:rFonts w:hint="eastAsia" w:asciiTheme="minorEastAsia" w:hAnsiTheme="minorEastAsia" w:eastAsiaTheme="minorEastAsia"/>
          <w:b/>
          <w:sz w:val="24"/>
        </w:rPr>
        <w:t>21. 其他规定</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21.1招标文件的其他规定见</w:t>
      </w:r>
      <w:r>
        <w:rPr>
          <w:rFonts w:hint="eastAsia" w:asciiTheme="minorEastAsia" w:hAnsiTheme="minorEastAsia" w:eastAsiaTheme="minorEastAsia"/>
          <w:b/>
          <w:sz w:val="24"/>
          <w:szCs w:val="24"/>
        </w:rPr>
        <w:t>投标人须知前附表</w:t>
      </w:r>
      <w:r>
        <w:rPr>
          <w:rFonts w:hint="eastAsia" w:asciiTheme="minorEastAsia" w:hAnsiTheme="minorEastAsia" w:eastAsiaTheme="minorEastAsia"/>
          <w:sz w:val="24"/>
          <w:szCs w:val="24"/>
        </w:rPr>
        <w:t>。</w:t>
      </w:r>
    </w:p>
    <w:p>
      <w:pPr>
        <w:pStyle w:val="28"/>
        <w:adjustRightInd w:val="0"/>
        <w:snapToGrid w:val="0"/>
        <w:spacing w:beforeLines="5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21.2采购人或采购代理机构可在中标人签订采购合同前通过“信用中国”网站、中国政府采购网、国家企业信用信息公示等渠道查询相关中标人及其主体的信用记录，对中标人被列入失信被执行人、重大税收违法案件当事人名单、政府采购严重违法失信行为记录名单及其他不符合《中华人民共和国政府采购法》第二十二条规定条件的供应商，采购人有权随时取消其中标资格和终止其合同签订及其履行。</w:t>
      </w:r>
    </w:p>
    <w:p>
      <w:pPr>
        <w:snapToGrid w:val="0"/>
        <w:outlineLvl w:val="1"/>
        <w:rPr>
          <w:rFonts w:asciiTheme="minorEastAsia" w:hAnsiTheme="minorEastAsia" w:eastAsiaTheme="minorEastAsia"/>
          <w:b/>
          <w:sz w:val="24"/>
        </w:rPr>
      </w:pPr>
      <w:r>
        <w:rPr>
          <w:rFonts w:hint="eastAsia" w:asciiTheme="minorEastAsia" w:hAnsiTheme="minorEastAsia" w:eastAsiaTheme="minorEastAsia"/>
          <w:b/>
          <w:sz w:val="24"/>
        </w:rPr>
        <w:t>评标</w:t>
      </w:r>
    </w:p>
    <w:p>
      <w:pPr>
        <w:spacing w:line="40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根据《中华人民共和国政府采购法》、《政府采购货物和服务招标投标管理办法》（财政部令第18号）》及有关规定，评标坚持公正、公平、公开及科学、择优的原则。采用百分制记分方法，根据排名先后确定中标供应商。</w:t>
      </w:r>
    </w:p>
    <w:p>
      <w:pPr>
        <w:pStyle w:val="277"/>
        <w:adjustRightInd w:val="0"/>
        <w:snapToGrid w:val="0"/>
        <w:spacing w:line="360" w:lineRule="auto"/>
        <w:ind w:firstLine="426" w:firstLineChars="177"/>
        <w:rPr>
          <w:rFonts w:asciiTheme="minorEastAsia" w:hAnsiTheme="minorEastAsia" w:eastAsiaTheme="minorEastAsia"/>
          <w:bCs/>
          <w:sz w:val="24"/>
          <w:szCs w:val="24"/>
        </w:rPr>
      </w:pPr>
      <w:r>
        <w:rPr>
          <w:rFonts w:asciiTheme="minorEastAsia" w:hAnsiTheme="minorEastAsia" w:eastAsiaTheme="minorEastAsia"/>
          <w:b/>
          <w:bCs/>
          <w:sz w:val="24"/>
          <w:szCs w:val="24"/>
        </w:rPr>
        <w:t>采用最低评标价法的采购项目</w:t>
      </w:r>
      <w:r>
        <w:rPr>
          <w:rFonts w:asciiTheme="minorEastAsia" w:hAnsiTheme="minorEastAsia" w:eastAsiaTheme="minorEastAsia"/>
          <w:bCs/>
          <w:sz w:val="24"/>
          <w:szCs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77"/>
        <w:adjustRightInd w:val="0"/>
        <w:snapToGrid w:val="0"/>
        <w:spacing w:line="360" w:lineRule="auto"/>
        <w:ind w:firstLine="426" w:firstLineChars="177"/>
        <w:rPr>
          <w:rFonts w:asciiTheme="minorEastAsia" w:hAnsiTheme="minorEastAsia" w:eastAsiaTheme="minorEastAsia"/>
          <w:bCs/>
          <w:sz w:val="24"/>
          <w:szCs w:val="24"/>
        </w:rPr>
      </w:pPr>
      <w:r>
        <w:rPr>
          <w:rFonts w:asciiTheme="minorEastAsia" w:hAnsiTheme="minorEastAsia" w:eastAsiaTheme="minorEastAsia"/>
          <w:b/>
          <w:bCs/>
          <w:sz w:val="24"/>
          <w:szCs w:val="24"/>
        </w:rPr>
        <w:t>使用综合评分法的采购项目</w:t>
      </w:r>
      <w:r>
        <w:rPr>
          <w:rFonts w:asciiTheme="minorEastAsia" w:hAnsiTheme="minorEastAsia" w:eastAsiaTheme="minor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7"/>
        <w:adjustRightInd w:val="0"/>
        <w:snapToGrid w:val="0"/>
        <w:spacing w:line="360" w:lineRule="auto"/>
        <w:ind w:firstLine="426" w:firstLineChars="177"/>
        <w:rPr>
          <w:rFonts w:asciiTheme="minorEastAsia" w:hAnsiTheme="minorEastAsia" w:eastAsiaTheme="minorEastAsia"/>
          <w:bCs/>
          <w:sz w:val="24"/>
          <w:szCs w:val="24"/>
        </w:rPr>
      </w:pPr>
      <w:r>
        <w:rPr>
          <w:rFonts w:asciiTheme="minorEastAsia" w:hAnsiTheme="minorEastAsia" w:eastAsiaTheme="minorEastAsia"/>
          <w:b/>
          <w:bCs/>
          <w:sz w:val="24"/>
          <w:szCs w:val="24"/>
        </w:rPr>
        <w:t>非单一产品采购项目</w:t>
      </w:r>
      <w:r>
        <w:rPr>
          <w:rFonts w:asciiTheme="minorEastAsia" w:hAnsiTheme="minorEastAsia" w:eastAsiaTheme="minorEastAsia"/>
          <w:bCs/>
          <w:sz w:val="24"/>
          <w:szCs w:val="24"/>
        </w:rPr>
        <w:t>，采购人应当根据采购项目技术构成、产品价格比重等合理确定核心产品，并在招标文件中载明。多家投标人提供的核心产品品牌相同的，按前两款规定处理</w:t>
      </w:r>
      <w:r>
        <w:rPr>
          <w:rFonts w:hint="eastAsia" w:asciiTheme="minorEastAsia" w:hAnsiTheme="minorEastAsia" w:eastAsiaTheme="minorEastAsia"/>
          <w:bCs/>
          <w:sz w:val="24"/>
          <w:szCs w:val="24"/>
        </w:rPr>
        <w:t>。(87号令第31条)</w:t>
      </w:r>
    </w:p>
    <w:p>
      <w:pPr>
        <w:pStyle w:val="277"/>
        <w:adjustRightInd w:val="0"/>
        <w:snapToGrid w:val="0"/>
        <w:spacing w:line="360" w:lineRule="auto"/>
        <w:ind w:firstLine="424" w:firstLineChars="177"/>
        <w:rPr>
          <w:rFonts w:asciiTheme="minorEastAsia" w:hAnsiTheme="minorEastAsia" w:eastAsiaTheme="minorEastAsia"/>
          <w:bCs/>
          <w:sz w:val="24"/>
          <w:szCs w:val="24"/>
        </w:rPr>
      </w:pPr>
      <w:r>
        <w:rPr>
          <w:rFonts w:asciiTheme="minorEastAsia" w:hAnsiTheme="minorEastAsia" w:eastAsiaTheme="minorEastAsia"/>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Theme="minorEastAsia" w:hAnsiTheme="minorEastAsia" w:eastAsiaTheme="minorEastAsia"/>
          <w:bCs/>
          <w:sz w:val="24"/>
          <w:szCs w:val="24"/>
        </w:rPr>
        <w:t>(87号令第60条)</w:t>
      </w:r>
    </w:p>
    <w:p>
      <w:pPr>
        <w:snapToGrid w:val="0"/>
        <w:spacing w:beforeLines="50" w:afterLines="50"/>
        <w:jc w:val="center"/>
        <w:rPr>
          <w:rFonts w:asciiTheme="minorEastAsia" w:hAnsiTheme="minorEastAsia" w:eastAsiaTheme="minorEastAsia"/>
          <w:b/>
          <w:sz w:val="30"/>
          <w:szCs w:val="30"/>
        </w:rPr>
      </w:pPr>
    </w:p>
    <w:p>
      <w:pPr>
        <w:snapToGrid w:val="0"/>
        <w:spacing w:beforeLines="50" w:afterLines="50"/>
        <w:jc w:val="center"/>
        <w:rPr>
          <w:rFonts w:asciiTheme="minorEastAsia" w:hAnsiTheme="minorEastAsia" w:eastAsiaTheme="minorEastAsia"/>
          <w:b/>
          <w:sz w:val="30"/>
          <w:szCs w:val="30"/>
        </w:rPr>
      </w:pPr>
    </w:p>
    <w:p>
      <w:pPr>
        <w:snapToGrid w:val="0"/>
        <w:spacing w:beforeLines="50" w:afterLines="50"/>
        <w:rPr>
          <w:rFonts w:asciiTheme="minorEastAsia" w:hAnsiTheme="minorEastAsia" w:eastAsiaTheme="minorEastAsia"/>
          <w:b/>
          <w:sz w:val="30"/>
          <w:szCs w:val="30"/>
        </w:rPr>
        <w:sectPr>
          <w:headerReference r:id="rId5" w:type="first"/>
          <w:headerReference r:id="rId3" w:type="default"/>
          <w:footerReference r:id="rId6" w:type="default"/>
          <w:headerReference r:id="rId4" w:type="even"/>
          <w:pgSz w:w="11906" w:h="16838"/>
          <w:pgMar w:top="1531" w:right="1133" w:bottom="1531" w:left="1531" w:header="851" w:footer="992" w:gutter="0"/>
          <w:cols w:space="720" w:num="1"/>
          <w:docGrid w:type="lines" w:linePitch="312" w:charSpace="0"/>
        </w:sectPr>
      </w:pPr>
    </w:p>
    <w:p>
      <w:pPr>
        <w:snapToGrid w:val="0"/>
        <w:spacing w:beforeLines="50" w:afterLines="50"/>
        <w:rPr>
          <w:rFonts w:asciiTheme="minorEastAsia" w:hAnsiTheme="minorEastAsia" w:eastAsiaTheme="minorEastAsia"/>
          <w:b/>
          <w:sz w:val="30"/>
          <w:szCs w:val="30"/>
        </w:rPr>
      </w:pPr>
    </w:p>
    <w:p>
      <w:pPr>
        <w:numPr>
          <w:ilvl w:val="0"/>
          <w:numId w:val="14"/>
        </w:numPr>
        <w:snapToGrid w:val="0"/>
        <w:spacing w:beforeLines="50" w:afterLines="5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bCs/>
          <w:sz w:val="30"/>
          <w:szCs w:val="30"/>
        </w:rPr>
        <w:t>采购</w:t>
      </w:r>
      <w:r>
        <w:rPr>
          <w:rFonts w:hint="eastAsia" w:asciiTheme="minorEastAsia" w:hAnsiTheme="minorEastAsia" w:eastAsiaTheme="minorEastAsia"/>
          <w:b/>
          <w:sz w:val="30"/>
          <w:szCs w:val="30"/>
        </w:rPr>
        <w:t>需求</w:t>
      </w:r>
    </w:p>
    <w:p>
      <w:pPr>
        <w:snapToGrid w:val="0"/>
        <w:spacing w:beforeLines="50" w:afterLines="50"/>
        <w:jc w:val="center"/>
        <w:rPr>
          <w:rFonts w:asciiTheme="minorEastAsia" w:hAnsiTheme="minorEastAsia" w:eastAsiaTheme="minorEastAsia"/>
          <w:b/>
          <w:sz w:val="30"/>
          <w:szCs w:val="30"/>
        </w:rPr>
      </w:pPr>
      <w:r>
        <w:rPr>
          <w:rFonts w:hint="eastAsia" w:ascii="黑体" w:hAnsi="宋体" w:eastAsia="黑体" w:cs="黑体"/>
          <w:color w:val="000000"/>
          <w:kern w:val="0"/>
          <w:sz w:val="30"/>
          <w:szCs w:val="30"/>
        </w:rPr>
        <w:t>县区级疾控中心职业病危害监测能力提升项目设备参数（1包）</w:t>
      </w:r>
    </w:p>
    <w:tbl>
      <w:tblPr>
        <w:tblStyle w:val="50"/>
        <w:tblpPr w:leftFromText="180" w:rightFromText="180" w:vertAnchor="text" w:horzAnchor="page" w:tblpX="823" w:tblpY="657"/>
        <w:tblOverlap w:val="never"/>
        <w:tblW w:w="15179" w:type="dxa"/>
        <w:tblInd w:w="0" w:type="dxa"/>
        <w:tblLayout w:type="fixed"/>
        <w:tblCellMar>
          <w:top w:w="0" w:type="dxa"/>
          <w:left w:w="0" w:type="dxa"/>
          <w:bottom w:w="0" w:type="dxa"/>
          <w:right w:w="0" w:type="dxa"/>
        </w:tblCellMar>
      </w:tblPr>
      <w:tblGrid>
        <w:gridCol w:w="464"/>
        <w:gridCol w:w="2294"/>
        <w:gridCol w:w="10437"/>
        <w:gridCol w:w="992"/>
        <w:gridCol w:w="992"/>
      </w:tblGrid>
      <w:tr>
        <w:tblPrEx>
          <w:tblCellMar>
            <w:top w:w="0" w:type="dxa"/>
            <w:left w:w="0" w:type="dxa"/>
            <w:bottom w:w="0" w:type="dxa"/>
            <w:right w:w="0" w:type="dxa"/>
          </w:tblCellMar>
        </w:tblPrEx>
        <w:trPr>
          <w:trHeight w:val="589"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设备名称</w:t>
            </w:r>
          </w:p>
        </w:tc>
        <w:tc>
          <w:tcPr>
            <w:tcW w:w="104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技术参数</w:t>
            </w:r>
          </w:p>
          <w:p>
            <w:pPr>
              <w:rPr>
                <w:rFonts w:cs="仿宋" w:asciiTheme="minorEastAsia" w:hAnsiTheme="minorEastAsia" w:eastAsiaTheme="minorEastAsia"/>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315" w:firstLineChars="150"/>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总量</w:t>
            </w:r>
          </w:p>
          <w:p>
            <w:pPr>
              <w:widowControl/>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（台、套）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10" w:firstLineChars="100"/>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备注</w:t>
            </w:r>
          </w:p>
        </w:tc>
      </w:tr>
      <w:tr>
        <w:tblPrEx>
          <w:tblCellMar>
            <w:top w:w="0" w:type="dxa"/>
            <w:left w:w="0" w:type="dxa"/>
            <w:bottom w:w="0" w:type="dxa"/>
            <w:right w:w="0" w:type="dxa"/>
          </w:tblCellMar>
        </w:tblPrEx>
        <w:trPr>
          <w:trHeight w:val="269"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高流量大气采样器（包括防爆和个体，流量范围覆盖1-5L/min）4个本质安全型，1个煤安型</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1、流量范围：（1000-5000）mL/min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2、流量精度控制：电子式数显恒流，示值误差不超过±2.5%</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3、电池：2L/min负载10kPa下连续运行时间≥10小时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4、抗阻力能力：2L/min流量和15KPa阻力下，流量误差≤±2.5%</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5、显示内容：采样流量、采样时间，采样体积，温度大气压等数据</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6、数据储存：≥20个事件记录</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7、实时温度压力补偿：采样时每秒采样体积转换为标准体积（20℃/101.3KPa），累加得到总标准体积</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8、采样模式：手动、定时，循环，定容等采样模式</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9、流量显示：数字显示</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10、工作定时：(1-999) 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11、电池：锂电池，电池容量≥2000mAh</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12、调节分辨率：0.5L/min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13、支持键盘锁功能，可防止误操作，LCD背光功能，方便夜间使用</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14、持多种采样方式，腰间携带采样，三角架连接采样，双路组合采样，四路组合采样等</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15、主要配置：</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每台采样泵需要配置电池、带变压器的标准充电基座、滤膜匣固定器、活性碳管固定器、操作手册、铝制旋风分离器及固定器、活性碳管夹（80mm）、采样泵固定底座及支架、便携箱</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16、每台设备均需提供当年的检定或校准证书，满足GBZ159-2004采样规范要求</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17、使用环境温度-20℃-50℃</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18、防爆等级：具有相关作业场所防爆等级，提供具有CMA资质第三方机构出具的符合相关作业场所防爆等级合格证复印件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19、提供当年计量检定或校准证书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480</w:t>
            </w:r>
          </w:p>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（384个本质安全型、96个煤安型）</w:t>
            </w:r>
          </w:p>
        </w:tc>
        <w:tc>
          <w:tcPr>
            <w:tcW w:w="9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1包设备要求1包中标人发货至设备仪器使用单位（全疆96个县市区疾病预防控制中心）。</w:t>
            </w:r>
          </w:p>
        </w:tc>
      </w:tr>
      <w:tr>
        <w:tblPrEx>
          <w:tblCellMar>
            <w:top w:w="0" w:type="dxa"/>
            <w:left w:w="0" w:type="dxa"/>
            <w:bottom w:w="0" w:type="dxa"/>
            <w:right w:w="0" w:type="dxa"/>
          </w:tblCellMar>
        </w:tblPrEx>
        <w:trPr>
          <w:trHeight w:val="4455"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2</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大流量采样器（包括防爆，流量范围覆盖5-25L/min）</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技术性能指标：</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1流量范围：5~30L/min；</w:t>
            </w:r>
          </w:p>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2.分标率 0.1L/min;3.流量模式：恒流恒压模式采样</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3.流量显示精度：不超过设定流量的±5％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4.大容量电池供电：电路采用过压，过流，过温，过充，过放，短路等多种保护以确保电池用电安全，可满足8小时以上恒流采样</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5.多重防护：整机具有过压、过流、过热等自保护及普通应用场所防爆功能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6.温度范围：操作温度：0℃-50℃，存储温度：-20℃-50℃；充电温度：5℃-50℃</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7.带载能力：15L/min流量时或负载能力10kPa下，流量误差≤±5％ 。工作定时：(1-999) 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8.实时时钟：内置高精度时钟，与实际时间保持一致，计时误优于±0.2%</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9.配备全尘、呼尘采样头；不锈钢三角架自由调整高度与角度</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10.超强负载：空心杯无刷泵机，克服微孔滤膜甚至聚四氟乙烯滤膜的采样阻力</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11.多种采样设置：可实现定容、定时、间隔采样</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12.流量自校：采样流量可以进行自主校正</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13.采集呼尘：仪器配置呼尘采样头，20L/min采样时满足BMRC曲线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14.防爆等级：具有相关作业场所防爆等级，提供具有CMA资质第三方机构出具的符合相关作业场所防爆等级合格证复印件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15.提供当年计量检定或校准证书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192</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180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冲击式呼尘采样头</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配滤膜直径：φ40mm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全尘滤膜夹：φ43.5*4.5mm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玻璃捕集板：φ25×1mm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呼尘预捕集器尺寸：φ54×93.7mm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采样头气密性：1000 Pa压力保持1min,压力变化不超过100Pa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配套40mm滤膜2盒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192</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165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4</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旋风式呼尘采样头</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滤膜直径：φ37mm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全尘滤膜夹：φ44*16mm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全尘预捕集器尺寸：φ55×52.5mm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采样头气密性：1000 Pa压力保持1min,压力变化不超过100Pa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配套37mm滤膜2盒</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480</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291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5</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高流量校准仪5-30L/min</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1、测量范围：（5-35）L/min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2、精确度：≤1.5%读数+0.2%满量程</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3、测量方式：电子数显</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4、流量分辨率：0.01L/min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5、使用环境：-10～50℃；≤95%RH；</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6、环境参数测量范围：温度（-20℃ - +85℃）大气压（60kPa-110kPa）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7、电池续航时间：≥36小时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8、显示内容：提供流量、运行时间、电池电量、报警参数等各种信息</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9、置环境参数测量传感器，自动换算标况、工况流量，流量体积计算</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273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6</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中流量校准计（1级精度，校准流量范围一般为0.05-5.0L/min）</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1、测量范围：（100-5500）mL/min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2、精确度：≤1.5%读数+0.2%满量程</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3、测量方式：电子数显</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4、流量分辨率：0.1mL/min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5、使用环境：-10～50℃；≤95%RH</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6、环境参数测量范围：温度（-20℃ - +85℃）大气压（60kPa-110kPa）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7、电池续航时间：≥48小时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8、显示内容：提供流量、运行时间、电池电量、报警参数等各种信息</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413"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7</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噪声测定仪（防爆）</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1、适用标准：IEC61672-1:2003 Class 2, ANSI S1.4: 1983 Type2</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2、测量参数：SPL, MaxL</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3、测量范围：30dB至130dB  4、线性范围：60dB   5、频率测量范围：31.5 Hz至8KHz  6、频率计权：A及C、Z</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7、时间计权：快速、慢速、峰值保持   8、麦克风：电容式麦克风</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9、测量档位：5档每10-dB 间隔: 30-90dB, 40-100dB. 50-110dB.60 –120dB, 70 ~ 130dB</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10、测量指标：LXYp、LXeq,T、LXYmax、LXYmin、LN、SEL、Lex8h、LAVG、TWA、DOSE、SD、Lpeak等</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注：X为频率计权A、C、Z；Y为时间计权F、S、I;N为1-99</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11、数位显示：4位数LCD, 0.1dB解析度,每秒更新一次</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12、类比指示：1-dB间隔, 60dB显示范围,每1/8秒更新一次</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13、类比AC/DC输出：2Vrms (满刻度值), 10mVDC/dB</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14、电源：4只1.5V LR-6/AA尺寸电池、交流转换器</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15、电池续航：约24小时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16、操作温湿度：-20℃至50℃, R.H. &lt;90%未凝結下</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17、重量：便于携带</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18、配备噪声升压输出：94db和114db（正玄波1KHz）声级计校准器</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19、防爆等级：具有相关作业场所防爆等级，提供具有CMA资质第三方机构出具的符合相关作业场所防爆等级合格证复印件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20、计量检定：提供当年计量检定或校准证书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557"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8</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个体噪声剂量计（防爆）</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1 测量范围:63-140dBA，68-140 dBC，73-140 dBZ</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峰值C声级测量范围：80～143 dB  声暴露测量范围：0.01 Pa2h到99.99 Pa2h  噪声剂量测量范围:0 %～9999 %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 传声器：预极化1/4”自由场型测试电容传声器</w:t>
            </w:r>
          </w:p>
          <w:p>
            <w:pPr>
              <w:widowControl/>
              <w:jc w:val="left"/>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3频率范围：20Hz～12.5 kHz   4 频率计权：A、C、Z分别可选</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 时间计权：并行F、S、I、Peak   6 积分时间：10秒到24小时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 检波特性：真有效值数字检波</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8测量指标：LXYp、LXeq,T、LXYmax、LXYmin、LN、SEL、Lex8h、LAVG、TWA、DOSE、SD、Lpeak等</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注：X为频率计权A、C、Z；Y为时间计权F、S、I;N为1-99</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 显示器：128×64点阵主动发光液晶显示</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 数据存贮：192kB Flash RAM</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11 输出接口:Mini USB接口，无需驱动程序，可将仪器转为U盘。</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12 预置功能：预留数字记录功能，可升级实时记录</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13 电源：内置可充电镍氢电池组，充满电可连续使用12小时以上。</w:t>
            </w:r>
          </w:p>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14防爆等级：具有相关作业场所防爆等级，提供具有CMA资质第三方机构出具的符合相关作业场所防爆等级合格证复印件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15 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192</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5055"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中流量大气采样器（包括防爆和个体，流量范围覆盖0.1-1.5L/min）</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1、流量范围：(100-1500)mL/min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2、流量精度控制：优于设定值的±2.5%；恒流式采样</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3、电池续航：在1L采样流量及15KPa阻力下连续运行时间≥10小时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4、显示内容：采样流量、采样时间，采样体积，温度，大气压等</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5、数据储存：≥20个事件记录</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6、实时温度压力补偿：采样时每秒采样体积转换为标准体积（20℃/101.3KPa），累加得到总标准体积</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7、采样模式：手动、定时，循环，定容等采样模式</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8、流量显示：数字显示</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9、支持键盘锁功能，可防止误操作，LCD背光功能，方便夜间使用</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10、持多种采样方式，腰间携带采样，三角架连接采样，双路组合采样，四路组合采样等</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11、工作定时：(1-999) min</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12、防护等级：IP54，抗跌落≥1m（提供具有CMA资质的第三方机构出具相关报告证书复印件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13、防爆等级：具有相关作业场所防爆等级，提供具有CMA资质第三方机构出具的符合相关作业场所防爆等级合格证复印件 </w:t>
            </w:r>
          </w:p>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14.主要配置：</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每台采样泵需要配置电池、带变压器的标准充电基座、滤膜匣固定器、活性碳管固定器、操作手册、铝制旋风分离器及固定器、活性碳管夹（80mm）、采样泵固定底座及支架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15.操作环境：温度范围：-20 ℃ ~ +50 ℃  满足GBZ159-2004采样规范要求</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16、提供当年计量检定或校准证书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192</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345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10</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微风测定仪</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1、检测方法：风速计法和皮托管法，完全符合标准方法要求</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2、插拔式风速弯探头，固化在陶瓷芯上，坚固耐用</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3、固定风速探头的伸缩杆标有刻度，能准确定位</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5、量程：风量：0～50m/s与管道截面积的乘积（直接显示风量）；风速：0～50m/s；温度：-20～50℃；湿度：0～95%RH；差压：-3735～+3735 Pa（皮托管法检测风量）</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6、分辨率：不低于0.01m/s</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7、带数据分析软件，统计功能、瞬时、平均，最大和最小值显示；</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8、数据储存：≥26500个数据点</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9、可使用皮托管进行风速风量检测</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10、蓝牙通讯传输数据或远传</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11、防爆等级：具有相关作业场所防爆等级，提供具有CMA资质第三方机构出具的符合相关作业场所防爆等级合格证复印件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12、提供当年计量检定或校准证书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2025"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11</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气压计</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1.测量范围：800～1064hpa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2.使用温度范围：-20～+50℃</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3.经过温度、示度和补充正后的测量误差不大于2.0hpa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4.示度盘最小分值：1hpa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5.附温表最小分值：1℃</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6.仪器重量不大于1.5Kg</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335"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12</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温湿度计</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1、探头类型：NTC探头/电容湿度探头</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2、温度范围：-35℃ ~ +85℃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3、湿度范围：0~ +100% RH</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4、精度±1数位：温度: ±0.1℃、湿度: ±2.5% RH (+5~ +95%RH)</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5、分辨力：0.1℃ /0.1%RH</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8、电池类型：碱性电池</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9、电池寿命：≥70小时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10、重量：便携式</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11、防爆等级：具有相关作业场所防爆等级，提供具有CMA资质第三方机构出具的符合相关作业场所防爆等级合格证复印件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12、提供当年计量检定或校准证书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3435"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13</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WBGT测定仪</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1.测量范围及精度：</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空气温度传感器：测量范围:10～60℃精度0.5℃</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黑球温度传感器：测量范围20～120℃精度:0.5℃</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湿球温度传感器：测量范围5～40℃精度:0.5℃</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2.测量功能：定时测量功能，连续测量功能，梯度测量功能；测量方式：常规测试、标准测试、梯度测试三种模式；</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3.防护等级：IP54，抗跌落≥1m，需提供具有CMA资质的第三方机构出具防护检测报告；</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4.具有本质安全认证，提供有CMA资质检测机构的认证证书；</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5.内置标准：内置GB/T 189.10-2007标准的劳动强度等级与劳动时限指示，可评价当前的工作条件；</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6.数据存储：SD卡存储/U盘，可导出数据。</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 xml:space="preserve">7.防爆等级：具有相关作业场所防爆等级，提供具有CMA资质第三方机构出具的符合相关作业场所防爆等级合格证复印件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8.提供当年计量检定或校准证书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269"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14</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便携式非分光红外一氧化碳（CO）/二氧化碳（CO）测定仪</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spacing w:after="220"/>
              <w:jc w:val="left"/>
              <w:textAlignment w:val="top"/>
              <w:rPr>
                <w:rFonts w:cs="仿宋" w:asciiTheme="minorEastAsia" w:hAnsiTheme="minorEastAsia" w:eastAsiaTheme="minorEastAsia"/>
                <w:color w:val="000000"/>
                <w:szCs w:val="21"/>
              </w:rPr>
            </w:pPr>
            <w:r>
              <w:rPr>
                <w:rStyle w:val="396"/>
                <w:rFonts w:hint="default" w:asciiTheme="minorEastAsia" w:hAnsiTheme="minorEastAsia" w:eastAsiaTheme="minorEastAsia"/>
                <w:sz w:val="21"/>
                <w:szCs w:val="21"/>
              </w:rPr>
              <w:t>1测量原理：不分光红外分析法/非分散红外法（NDIR）2、采样方式：内置泵吸式</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3、测量范围：0~50.0×10-6CO，0~0.500%CO2或0~200.0×10-6CO，0~1.000%CO</w:t>
            </w:r>
            <w:r>
              <w:rPr>
                <w:rStyle w:val="397"/>
                <w:rFonts w:hint="default" w:asciiTheme="minorEastAsia" w:hAnsiTheme="minorEastAsia" w:eastAsiaTheme="minorEastAsia"/>
                <w:sz w:val="21"/>
                <w:szCs w:val="21"/>
              </w:rPr>
              <w:t>2</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4、分 辨 率：0.1×10-6 CO；0.001% CO</w:t>
            </w:r>
            <w:r>
              <w:rPr>
                <w:rStyle w:val="397"/>
                <w:rFonts w:hint="default" w:asciiTheme="minorEastAsia" w:hAnsiTheme="minorEastAsia" w:eastAsiaTheme="minorEastAsia"/>
                <w:sz w:val="21"/>
                <w:szCs w:val="21"/>
              </w:rPr>
              <w:t>2</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5、重 复 性：≤1% 满刻度</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6、零点漂移：≤±2% 满刻度/h；7、跨度漂移：≤±2% 满刻度/3h；8、线性偏差：≤±2% 满刻度</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9、温度附加误差：（在10℃～45℃）≤±2% 满刻度/10℃</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10、一氧化碳干扰：1250mg/m3CO≤±0.3% 满刻度</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11、预热时间：≤30min</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12、响应时间：CO：t0～t90≤45S；CO</w:t>
            </w:r>
            <w:r>
              <w:rPr>
                <w:rStyle w:val="397"/>
                <w:rFonts w:hint="default" w:asciiTheme="minorEastAsia" w:hAnsiTheme="minorEastAsia" w:eastAsiaTheme="minorEastAsia"/>
                <w:sz w:val="21"/>
                <w:szCs w:val="21"/>
              </w:rPr>
              <w:t>2</w:t>
            </w:r>
            <w:r>
              <w:rPr>
                <w:rStyle w:val="396"/>
                <w:rFonts w:hint="default" w:asciiTheme="minorEastAsia" w:hAnsiTheme="minorEastAsia" w:eastAsiaTheme="minorEastAsia"/>
                <w:sz w:val="21"/>
                <w:szCs w:val="21"/>
              </w:rPr>
              <w:t>：t0～t90≤15S</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13、温度范围：-20 ℃ ~ +50 ℃</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14、流量范围：（0.5-1.2）L/min</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15、标准配置：主机、取样器、电池、充电器、技术文件、便携箱,供电电源：交直流两用，220AVC（±10%）或机内充电电池。</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16、具备ppm与mg/m3相互转换功能</w:t>
            </w:r>
            <w:r>
              <w:rPr>
                <w:rStyle w:val="396"/>
                <w:rFonts w:hint="default" w:asciiTheme="minorEastAsia" w:hAnsiTheme="minorEastAsia" w:eastAsiaTheme="minorEastAsia"/>
                <w:sz w:val="21"/>
                <w:szCs w:val="21"/>
              </w:rPr>
              <w:br w:type="textWrapping"/>
            </w:r>
            <w:r>
              <w:rPr>
                <w:rStyle w:val="396"/>
                <w:rFonts w:hint="default" w:asciiTheme="minorEastAsia" w:hAnsiTheme="minorEastAsia" w:eastAsiaTheme="minorEastAsia"/>
                <w:sz w:val="21"/>
                <w:szCs w:val="21"/>
              </w:rPr>
              <w:t xml:space="preserve">17 </w:t>
            </w:r>
            <w:r>
              <w:rPr>
                <w:rFonts w:hint="eastAsia" w:cs="仿宋" w:asciiTheme="minorEastAsia" w:hAnsiTheme="minorEastAsia" w:eastAsiaTheme="minorEastAsia"/>
                <w:color w:val="000000"/>
                <w:kern w:val="0"/>
                <w:szCs w:val="21"/>
              </w:rPr>
              <w:t xml:space="preserve">防爆等级：具有相关作业场所防爆等级，提供具有CMA资质第三方机构出具的符合相关作业场所防爆等级合格证复印件 </w:t>
            </w:r>
            <w:r>
              <w:rPr>
                <w:rStyle w:val="396"/>
                <w:rFonts w:hint="default" w:asciiTheme="minorEastAsia" w:hAnsiTheme="minorEastAsia" w:eastAsiaTheme="minorEastAsia"/>
                <w:sz w:val="21"/>
                <w:szCs w:val="21"/>
              </w:rPr>
              <w:t xml:space="preserve">                       18、提供当年计量检定或校准证书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405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15</w:t>
            </w:r>
          </w:p>
        </w:tc>
        <w:tc>
          <w:tcPr>
            <w:tcW w:w="2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照度计</w:t>
            </w:r>
          </w:p>
        </w:tc>
        <w:tc>
          <w:tcPr>
            <w:tcW w:w="10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1.显示器 31/2位液晶显示</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2.测量范围 20/200/2000/20000Lux</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(1330alsoFootcandlefor1334A)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200/2000/20000/200000Lux(1332A)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20000lux-readingx10;</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200000lux-readingx100</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3.分辨率 0.01Lux(1330A,1334A)&amp;0.1Lux(1332A)</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4.准确度 ±3%rdg±0.5%f.s.(＜10,000lux) ±4%rdg±10dgts(＞10,000lux) (以色温2856K标准平面灯校正)</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5.重复测试 ±2%</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6.温度特性 ±0.1%/℃</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7、温度范围：-20 ℃ ~ +50 ℃</w:t>
            </w:r>
            <w:r>
              <w:rPr>
                <w:rFonts w:hint="eastAsia" w:cs="仿宋" w:asciiTheme="minorEastAsia" w:hAnsiTheme="minorEastAsia" w:eastAsiaTheme="minorEastAsia"/>
                <w:color w:val="000000"/>
                <w:kern w:val="0"/>
                <w:szCs w:val="21"/>
              </w:rPr>
              <w:br w:type="textWrapping"/>
            </w:r>
            <w:r>
              <w:rPr>
                <w:rFonts w:hint="eastAsia" w:cs="仿宋" w:asciiTheme="minorEastAsia" w:hAnsiTheme="minorEastAsia" w:eastAsiaTheme="minorEastAsia"/>
                <w:color w:val="000000"/>
                <w:kern w:val="0"/>
                <w:szCs w:val="21"/>
              </w:rPr>
              <w:t>7.取样率 Approx.2times/sec.</w:t>
            </w:r>
          </w:p>
          <w:p>
            <w:pPr>
              <w:widowControl/>
              <w:jc w:val="left"/>
              <w:textAlignment w:val="center"/>
              <w:rPr>
                <w:rFonts w:cs="仿宋" w:asciiTheme="minorEastAsia" w:hAnsiTheme="minorEastAsia" w:eastAsiaTheme="minorEastAsia"/>
                <w:color w:val="000000"/>
                <w:kern w:val="0"/>
                <w:szCs w:val="21"/>
              </w:rPr>
            </w:pPr>
            <w:r>
              <w:rPr>
                <w:rFonts w:hint="eastAsia" w:cs="仿宋" w:asciiTheme="minorEastAsia" w:hAnsiTheme="minorEastAsia" w:eastAsiaTheme="minorEastAsia"/>
                <w:color w:val="000000"/>
                <w:kern w:val="0"/>
                <w:szCs w:val="21"/>
              </w:rPr>
              <w:t>8.防爆等级：具有相关作业场所防爆等级，提供具有CMA资质第三方机构出具的符合相关作业场所防爆等级合格证复印件</w:t>
            </w:r>
          </w:p>
          <w:p>
            <w:pPr>
              <w:widowControl/>
              <w:jc w:val="left"/>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10.提供当年计量检定或校准证书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kern w:val="0"/>
                <w:szCs w:val="21"/>
              </w:rPr>
              <w:t>96</w:t>
            </w:r>
          </w:p>
        </w:tc>
        <w:tc>
          <w:tcPr>
            <w:tcW w:w="99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仿宋" w:asciiTheme="minorEastAsia" w:hAnsiTheme="minorEastAsia" w:eastAsiaTheme="minorEastAsia"/>
                <w:color w:val="000000"/>
                <w:kern w:val="0"/>
                <w:szCs w:val="21"/>
              </w:rPr>
            </w:pPr>
          </w:p>
        </w:tc>
      </w:tr>
    </w:tbl>
    <w:p>
      <w:pPr>
        <w:snapToGrid w:val="0"/>
        <w:spacing w:beforeLines="50" w:afterLines="50"/>
        <w:rPr>
          <w:rFonts w:asciiTheme="minorEastAsia" w:hAnsiTheme="minorEastAsia" w:eastAsiaTheme="minorEastAsia"/>
          <w:b/>
          <w:sz w:val="30"/>
          <w:szCs w:val="30"/>
        </w:rPr>
      </w:pPr>
    </w:p>
    <w:p>
      <w:pPr>
        <w:snapToGrid w:val="0"/>
        <w:spacing w:beforeLines="50" w:afterLines="50"/>
        <w:jc w:val="center"/>
        <w:rPr>
          <w:rFonts w:asciiTheme="minorEastAsia" w:hAnsiTheme="minorEastAsia" w:eastAsiaTheme="minorEastAsia"/>
          <w:sz w:val="30"/>
          <w:szCs w:val="30"/>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531" w:firstLineChars="177"/>
        <w:jc w:val="center"/>
        <w:rPr>
          <w:rFonts w:asciiTheme="minorEastAsia" w:hAnsiTheme="minorEastAsia" w:eastAsiaTheme="minorEastAsia"/>
          <w:b/>
          <w:bCs/>
          <w:sz w:val="30"/>
          <w:szCs w:val="30"/>
        </w:rPr>
      </w:pPr>
      <w:r>
        <w:rPr>
          <w:rFonts w:hint="eastAsia" w:ascii="黑体" w:hAnsi="宋体" w:eastAsia="黑体" w:cs="黑体"/>
          <w:color w:val="000000"/>
          <w:kern w:val="0"/>
          <w:sz w:val="30"/>
          <w:szCs w:val="30"/>
        </w:rPr>
        <w:t>县区级疾控中心职业病危害监测能力提升项目设备参数 （2包）</w:t>
      </w:r>
    </w:p>
    <w:tbl>
      <w:tblPr>
        <w:tblStyle w:val="50"/>
        <w:tblW w:w="14580" w:type="dxa"/>
        <w:tblInd w:w="-726" w:type="dxa"/>
        <w:tblLayout w:type="fixed"/>
        <w:tblCellMar>
          <w:top w:w="0" w:type="dxa"/>
          <w:left w:w="0" w:type="dxa"/>
          <w:bottom w:w="0" w:type="dxa"/>
          <w:right w:w="0" w:type="dxa"/>
        </w:tblCellMar>
      </w:tblPr>
      <w:tblGrid>
        <w:gridCol w:w="696"/>
        <w:gridCol w:w="1176"/>
        <w:gridCol w:w="9948"/>
        <w:gridCol w:w="1380"/>
        <w:gridCol w:w="1380"/>
      </w:tblGrid>
      <w:tr>
        <w:tblPrEx>
          <w:tblCellMar>
            <w:top w:w="0" w:type="dxa"/>
            <w:left w:w="0" w:type="dxa"/>
            <w:bottom w:w="0" w:type="dxa"/>
            <w:right w:w="0" w:type="dxa"/>
          </w:tblCellMar>
        </w:tblPrEx>
        <w:trPr>
          <w:trHeight w:val="44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设备名称</w:t>
            </w:r>
          </w:p>
        </w:tc>
        <w:tc>
          <w:tcPr>
            <w:tcW w:w="9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技术参数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总量（台、套）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备注</w:t>
            </w:r>
          </w:p>
        </w:tc>
      </w:tr>
      <w:tr>
        <w:tblPrEx>
          <w:tblCellMar>
            <w:top w:w="0" w:type="dxa"/>
            <w:left w:w="0" w:type="dxa"/>
            <w:bottom w:w="0" w:type="dxa"/>
            <w:right w:w="0" w:type="dxa"/>
          </w:tblCellMar>
        </w:tblPrEx>
        <w:trPr>
          <w:trHeight w:val="382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紫外/可见分光光度计</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1.范围：190~1100nm ；波长设定:自动设定波长，波长分辨率 0.1nm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2.波长准确度±0.8nm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3.波长重复性≤0.2nm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4.光度范围:0~200%T, -0.3~3A, 0~9999C, 0~9999F</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5.光度准确度±0.002A (0~0.5A), ±0.004A (0.5~1A), ±0.3%T (0~100%T)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6.杂散光:≤0.1%T (220/360nm)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7.检测器 进口硅光电二极管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8.光源 进口长寿命钨灯和氘灯(免光学调试)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9.数据接口 USB 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10.打印输出 微型打印机；PC 打印机(联机用)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11.自动波长校准，自动暗电流和空白校正，自动切换光源和滤光片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12.提供当年计量检定或校准证书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380"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r>
              <w:rPr>
                <w:rFonts w:hint="eastAsia" w:cs="仿宋" w:asciiTheme="minorEastAsia" w:hAnsiTheme="minorEastAsia" w:eastAsiaTheme="minorEastAsia"/>
                <w:color w:val="000000"/>
                <w:kern w:val="0"/>
                <w:szCs w:val="21"/>
              </w:rPr>
              <w:t>2包设备要求2包中标人发货至设备仪器使用单位（全疆96个县市区疾病预防控制中心）。</w:t>
            </w:r>
          </w:p>
        </w:tc>
      </w:tr>
      <w:tr>
        <w:tblPrEx>
          <w:tblCellMar>
            <w:top w:w="0" w:type="dxa"/>
            <w:left w:w="0" w:type="dxa"/>
            <w:bottom w:w="0" w:type="dxa"/>
            <w:right w:w="0" w:type="dxa"/>
          </w:tblCellMar>
        </w:tblPrEx>
        <w:trPr>
          <w:trHeight w:val="47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分析天平(十万分之一）</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十万分之一天平：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1.称量范围最大值220g/51g ； 可读性 (d)  0.01mg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2.重复性    ±0.05mg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3.线性    ±0.05mg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4.稳定时间   ≤15秒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5.计件称量的最小称重 0.1 mg;秤盘（不锈钢）</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6.可允许的环境条件 +10℃~ +30℃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7.环境湿度范围 20 ~ 85 % 相对 (非冷凝)</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8.后置式电磁力传感器；量程指示白光大屏幕液晶显示器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9.高灵敏度轻触按键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10.内藏式下称吊钩；独立清零、去皮按键 双向通讯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11.四级防震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12.全量程范围去皮 自动零位跟踪可调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13.自动故障诊断 传感器过载保护；内置砝码一键式校准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14.提供当年计量检定或校准证书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380"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p>
        </w:tc>
      </w:tr>
      <w:tr>
        <w:tblPrEx>
          <w:tblCellMar>
            <w:top w:w="0" w:type="dxa"/>
            <w:left w:w="0" w:type="dxa"/>
            <w:bottom w:w="0" w:type="dxa"/>
            <w:right w:w="0" w:type="dxa"/>
          </w:tblCellMar>
        </w:tblPrEx>
        <w:trPr>
          <w:trHeight w:val="287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马弗炉</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1.封闭式硅酸铝炉膛，平行测开式炉门，PID微电脑控仪与精密传感器结合</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2.额度温度1200 ℃，220 炉膛尺寸≥200×300×120 mm  容积≥7L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3.程序模式 无字母：单段程序运行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4.温度设定方式  轻触四按键运作，双数码显示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5.传感器 1000-1200℃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6.运行功能 定值运行、程序运行、定时运行、自动停止</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7.较正功能、菜单按键锁定、停电补偿、停电记忆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8.安全装置 过升报警、过流保护开关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9.提供当年计量检定或校准证书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380"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p>
        </w:tc>
      </w:tr>
      <w:tr>
        <w:tblPrEx>
          <w:tblCellMar>
            <w:top w:w="0" w:type="dxa"/>
            <w:left w:w="0" w:type="dxa"/>
            <w:bottom w:w="0" w:type="dxa"/>
            <w:right w:w="0" w:type="dxa"/>
          </w:tblCellMar>
        </w:tblPrEx>
        <w:trPr>
          <w:trHeight w:val="664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智能电热板消解仪</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智能电热板技术参数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1.加热输出功率：1500W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2.板上测温，加热温度范围：室温-500℃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3.温度控制：PID数显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4.加热温度控制精准度：±0.1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5.板面各点温差：±2℃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6.加热速度：6.9秒/℃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7.加热板材质：碳化硅、硬度大于维氏20（耐各种酸碱及腐蚀性空气，无损坏可重复使用）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8.两个热区：主加热区：≥200*200（mm）；副热区：≥320*60*2+200*60*2（mm）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9.电压：220V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10.工作频率：50Hz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11.如遇故障自动断电、报警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12.安全：多层绝缘保护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调压电热板技术参数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(1)、结构：金属框架，防腐蚀喷涂，进口陶瓷纤维保温材料，高铝组合发热板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(2).操作灵活方便、升温快，梯度控温，峰值温度500℃。 安全可靠，绝缘保护，不露丝，无明火，无火灾隐患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(3).功率（KW) 不小于1.8；工作电压 220（V）；工作电流不低于8.5（A）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(4).峰值温度可以达到 500（℃）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13.满足GBZ/T 192.4—2007《工作场所空气中粉尘测定第 4 部分：游离二氧化硅含量》国标方法样品前处理的要求。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14.提供当年计量检定或校准证书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380"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p>
        </w:tc>
      </w:tr>
      <w:tr>
        <w:tblPrEx>
          <w:tblCellMar>
            <w:top w:w="0" w:type="dxa"/>
            <w:left w:w="0" w:type="dxa"/>
            <w:bottom w:w="0" w:type="dxa"/>
            <w:right w:w="0" w:type="dxa"/>
          </w:tblCellMar>
        </w:tblPrEx>
        <w:trPr>
          <w:trHeight w:val="445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防护级X、γ剂量率仪</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1.探测器类型：Nal(T1)探测器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2.剂量率范围：剂量率0.01-3000.00μSv/h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3.累计计量范围：0.00μSv-9999.99μSv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4.能量范围：30keV～3MeV  5.能量响应：30keV～3MeV≤±30%（相对于137Cs）  6.灵敏度要求：1µSv/h≥350cps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7.数据存储空间要求：内置大于100组剂量率存储数据，可随时查看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8.报警项目：超阈值报警、探测器故障报警、低电报警、超量程报警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9.阈值设定：0.25、2.5、10、20（μSv/h）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10.测量相对基本误差：≤±10%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11.显示单位;剂 量 率：nSv/h、nGy/h、nR/h可选择、累计剂量：µSv、计数率：cps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12.数据显示：低能耗背光液晶屏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13.供电方式：采用一号电池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14.报警方式：声、光报警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15.提供当年检定或标准证书。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380"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p>
        </w:tc>
      </w:tr>
      <w:tr>
        <w:tblPrEx>
          <w:tblCellMar>
            <w:top w:w="0" w:type="dxa"/>
            <w:left w:w="0" w:type="dxa"/>
            <w:bottom w:w="0" w:type="dxa"/>
            <w:right w:w="0" w:type="dxa"/>
          </w:tblCellMar>
        </w:tblPrEx>
        <w:trPr>
          <w:trHeight w:val="540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环境级X、γ剂量率仪</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 测量对象：χ射线、γ射线剂量率检测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 探测器类型：主探测器：碘化钠晶体闪烁体探测器+PMT；副探测器：GM管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3.灵敏度：≥400cps/μSv/h （Cs-137）</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4.能量响应：20KeV～3.0MeV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5.主探测器剂量率范围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连续辐射场：1nSv/h～1.2mSv/h；脉冲辐射场：10nSv/h～12mSv/h；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6.副探测器剂量率范围：0.1μSv/h～150mSv/h；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7.累积剂量范围：1nSv～999Sv  8.相对固有误差：≤10%  9.重复性：小于等于±5%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10.检测频率：自1秒钟开始连续可调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11.报警阈值：自0.25μSv/h开始连续可调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12.探测响应时间：50ms脉冲时间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13.工作模式：正常模式、脉冲模式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14.温度范围：-20 ℃ ~ +50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15.供电方式：大容量充电锂电池，充电器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16.电池连续使用时间：≥12小时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17.具有数据存储功能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18.提供当年检定或校准证书（χ射线、γ射线）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380"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p>
        </w:tc>
      </w:tr>
      <w:tr>
        <w:tblPrEx>
          <w:tblCellMar>
            <w:top w:w="0" w:type="dxa"/>
            <w:left w:w="0" w:type="dxa"/>
            <w:bottom w:w="0" w:type="dxa"/>
            <w:right w:w="0" w:type="dxa"/>
          </w:tblCellMar>
        </w:tblPrEx>
        <w:trPr>
          <w:trHeight w:val="48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α、β表面污染仪</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1.检测射线类型：α、β射线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2.探测器面积：≥60cm</w:t>
            </w:r>
            <w:r>
              <w:rPr>
                <w:rFonts w:hint="eastAsia" w:ascii="仿宋" w:hAnsi="仿宋" w:eastAsia="仿宋" w:cs="仿宋"/>
                <w:color w:val="000000"/>
                <w:kern w:val="0"/>
                <w:sz w:val="22"/>
                <w:szCs w:val="22"/>
                <w:vertAlign w:val="superscript"/>
              </w:rPr>
              <w:t xml:space="preserve"> 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3.测量范围：α： 0.02～4000 Bq/cm</w:t>
            </w:r>
            <w:r>
              <w:rPr>
                <w:rFonts w:hint="eastAsia" w:ascii="仿宋" w:hAnsi="仿宋" w:eastAsia="仿宋" w:cs="仿宋"/>
                <w:color w:val="000000"/>
                <w:kern w:val="0"/>
                <w:sz w:val="22"/>
                <w:szCs w:val="22"/>
                <w:vertAlign w:val="superscript"/>
              </w:rPr>
              <w:t xml:space="preserve"> 2  </w:t>
            </w:r>
            <w:r>
              <w:rPr>
                <w:rFonts w:hint="eastAsia" w:ascii="仿宋" w:hAnsi="仿宋" w:eastAsia="仿宋" w:cs="仿宋"/>
                <w:color w:val="000000"/>
                <w:kern w:val="0"/>
                <w:sz w:val="22"/>
                <w:szCs w:val="22"/>
              </w:rPr>
              <w:t xml:space="preserve"> β：0.20～12000 Bq/cm</w:t>
            </w:r>
            <w:r>
              <w:rPr>
                <w:rFonts w:hint="eastAsia" w:ascii="仿宋" w:hAnsi="仿宋" w:eastAsia="仿宋" w:cs="仿宋"/>
                <w:color w:val="000000"/>
                <w:kern w:val="0"/>
                <w:sz w:val="22"/>
                <w:szCs w:val="22"/>
                <w:vertAlign w:val="superscript"/>
              </w:rPr>
              <w:t xml:space="preserve"> 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4.本底计数： α≤1cps，β≤10cps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5.探测效率：α≥25%（</w:t>
            </w:r>
            <w:r>
              <w:rPr>
                <w:rFonts w:hint="eastAsia" w:ascii="仿宋" w:hAnsi="仿宋" w:eastAsia="仿宋" w:cs="仿宋"/>
                <w:color w:val="000000"/>
                <w:kern w:val="0"/>
                <w:sz w:val="22"/>
                <w:szCs w:val="22"/>
                <w:vertAlign w:val="superscript"/>
              </w:rPr>
              <w:t>241</w:t>
            </w:r>
            <w:r>
              <w:rPr>
                <w:rFonts w:hint="eastAsia" w:ascii="仿宋" w:hAnsi="仿宋" w:eastAsia="仿宋" w:cs="仿宋"/>
                <w:color w:val="000000"/>
                <w:kern w:val="0"/>
                <w:sz w:val="22"/>
                <w:szCs w:val="22"/>
              </w:rPr>
              <w:t>Am ），β≥25%（</w:t>
            </w:r>
            <w:r>
              <w:rPr>
                <w:rFonts w:hint="eastAsia" w:ascii="仿宋" w:hAnsi="仿宋" w:eastAsia="仿宋" w:cs="仿宋"/>
                <w:color w:val="000000"/>
                <w:kern w:val="0"/>
                <w:sz w:val="22"/>
                <w:szCs w:val="22"/>
                <w:vertAlign w:val="superscript"/>
              </w:rPr>
              <w:t xml:space="preserve"> 36</w:t>
            </w:r>
            <w:r>
              <w:rPr>
                <w:rFonts w:hint="eastAsia" w:ascii="仿宋" w:hAnsi="仿宋" w:eastAsia="仿宋" w:cs="仿宋"/>
                <w:color w:val="000000"/>
                <w:kern w:val="0"/>
                <w:sz w:val="22"/>
                <w:szCs w:val="22"/>
              </w:rPr>
              <w:t>Cl）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6.显示单位：CPM、CPS、Bq/cm</w:t>
            </w:r>
            <w:r>
              <w:rPr>
                <w:rFonts w:hint="eastAsia" w:ascii="仿宋" w:hAnsi="仿宋" w:eastAsia="仿宋" w:cs="仿宋"/>
                <w:color w:val="000000"/>
                <w:kern w:val="0"/>
                <w:sz w:val="22"/>
                <w:szCs w:val="22"/>
                <w:vertAlign w:val="superscript"/>
              </w:rPr>
              <w:t>2</w:t>
            </w:r>
            <w:r>
              <w:rPr>
                <w:rFonts w:hint="eastAsia" w:ascii="仿宋" w:hAnsi="仿宋" w:eastAsia="仿宋" w:cs="仿宋"/>
                <w:color w:val="000000"/>
                <w:kern w:val="0"/>
                <w:sz w:val="22"/>
                <w:szCs w:val="22"/>
              </w:rPr>
              <w:t>、mSv、μGy/h、mGy/h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7.相对基本误差：≤±10%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8.供电电源： 可充电锂电池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9.显示：带背光功能的液晶显示屏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10.工作温度范围：-20℃～+50℃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11.说明书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12.提供当年计量检定或校准证书（α、β）</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380"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p>
        </w:tc>
      </w:tr>
      <w:tr>
        <w:tblPrEx>
          <w:tblCellMar>
            <w:top w:w="0" w:type="dxa"/>
            <w:left w:w="0" w:type="dxa"/>
            <w:bottom w:w="0" w:type="dxa"/>
            <w:right w:w="0" w:type="dxa"/>
          </w:tblCellMar>
        </w:tblPrEx>
        <w:trPr>
          <w:trHeight w:val="510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个人剂量报警仪</w:t>
            </w:r>
          </w:p>
        </w:tc>
        <w:tc>
          <w:tcPr>
            <w:tcW w:w="9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 探测器种类：GM管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 剂量率范围：0.01 µSv/h～150mSv/h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 累积剂量范围：0.00 µSv ～9999mSv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 能量范围：40keV～3.0MeV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 能量响应误差：≤±30%（相对于</w:t>
            </w:r>
            <w:r>
              <w:rPr>
                <w:rFonts w:hint="eastAsia" w:ascii="仿宋" w:hAnsi="仿宋" w:eastAsia="仿宋" w:cs="仿宋"/>
                <w:color w:val="000000"/>
                <w:kern w:val="0"/>
                <w:sz w:val="22"/>
                <w:szCs w:val="22"/>
                <w:vertAlign w:val="superscript"/>
              </w:rPr>
              <w:t>137</w:t>
            </w:r>
            <w:r>
              <w:rPr>
                <w:rFonts w:hint="eastAsia" w:ascii="仿宋" w:hAnsi="仿宋" w:eastAsia="仿宋" w:cs="仿宋"/>
                <w:color w:val="000000"/>
                <w:kern w:val="0"/>
                <w:sz w:val="22"/>
                <w:szCs w:val="22"/>
              </w:rPr>
              <w:t>Cs）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 相对基本误差：≤±15%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 测量时间：测量时间根据射线强度自动选择，响应速度更快（可测量环境本底）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 防护报警响应时间：＜2秒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9. 剂量率报警阈值可调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 可设置剂量率和累积剂量报警阈值，超阈值皆可报警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 显示单位：剂量率(µSv/h或mSv/h或Sv/h)和累积剂量(µSv或mSv或Sv)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 供电方式：使用一次电池，工作时间&gt;20天</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 报警方式：声、光、震动及组合报警方式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 工作温度范围：-20℃～+50℃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 设备自检：内置故障检测、剂量率过载报警及保护功能组件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16.提供当年计量检定或校准证书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192</w:t>
            </w:r>
          </w:p>
        </w:tc>
        <w:tc>
          <w:tcPr>
            <w:tcW w:w="1380"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p>
        </w:tc>
      </w:tr>
    </w:tbl>
    <w:p>
      <w:pPr>
        <w:pStyle w:val="277"/>
        <w:adjustRightInd w:val="0"/>
        <w:snapToGrid w:val="0"/>
        <w:ind w:firstLine="0" w:firstLineChars="0"/>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ind w:firstLine="426" w:firstLineChars="177"/>
        <w:jc w:val="center"/>
        <w:rPr>
          <w:rFonts w:asciiTheme="minorEastAsia" w:hAnsiTheme="minorEastAsia" w:eastAsiaTheme="minorEastAsia"/>
          <w:b/>
          <w:bCs/>
          <w:sz w:val="24"/>
        </w:rPr>
      </w:pPr>
    </w:p>
    <w:p>
      <w:pPr>
        <w:pStyle w:val="277"/>
        <w:adjustRightInd w:val="0"/>
        <w:snapToGrid w:val="0"/>
        <w:ind w:firstLine="426" w:firstLineChars="177"/>
        <w:jc w:val="center"/>
        <w:rPr>
          <w:rFonts w:asciiTheme="minorEastAsia" w:hAnsiTheme="minorEastAsia" w:eastAsiaTheme="minorEastAsia"/>
          <w:b/>
          <w:bCs/>
          <w:sz w:val="24"/>
        </w:rPr>
      </w:pPr>
    </w:p>
    <w:p>
      <w:pPr>
        <w:pStyle w:val="277"/>
        <w:adjustRightInd w:val="0"/>
        <w:snapToGrid w:val="0"/>
        <w:ind w:firstLine="426" w:firstLineChars="177"/>
        <w:jc w:val="center"/>
        <w:rPr>
          <w:rFonts w:asciiTheme="minorEastAsia" w:hAnsiTheme="minorEastAsia" w:eastAsiaTheme="minorEastAsia"/>
          <w:b/>
          <w:bCs/>
          <w:sz w:val="24"/>
        </w:rPr>
      </w:pPr>
    </w:p>
    <w:p>
      <w:pPr>
        <w:pStyle w:val="277"/>
        <w:adjustRightInd w:val="0"/>
        <w:snapToGrid w:val="0"/>
        <w:ind w:firstLine="426" w:firstLineChars="177"/>
        <w:jc w:val="center"/>
        <w:rPr>
          <w:rFonts w:asciiTheme="minorEastAsia" w:hAnsiTheme="minorEastAsia" w:eastAsiaTheme="minorEastAsia"/>
          <w:b/>
          <w:bCs/>
          <w:sz w:val="24"/>
        </w:rPr>
      </w:pPr>
    </w:p>
    <w:p>
      <w:pPr>
        <w:pStyle w:val="277"/>
        <w:adjustRightInd w:val="0"/>
        <w:snapToGrid w:val="0"/>
        <w:ind w:firstLine="426" w:firstLineChars="177"/>
        <w:jc w:val="center"/>
        <w:rPr>
          <w:rFonts w:asciiTheme="minorEastAsia" w:hAnsiTheme="minorEastAsia" w:eastAsiaTheme="minorEastAsia"/>
          <w:b/>
          <w:bCs/>
          <w:sz w:val="24"/>
        </w:rPr>
      </w:pPr>
    </w:p>
    <w:p>
      <w:pPr>
        <w:pStyle w:val="277"/>
        <w:adjustRightInd w:val="0"/>
        <w:snapToGrid w:val="0"/>
        <w:ind w:firstLine="426" w:firstLineChars="177"/>
        <w:jc w:val="center"/>
        <w:rPr>
          <w:rFonts w:asciiTheme="minorEastAsia" w:hAnsiTheme="minorEastAsia" w:eastAsiaTheme="minorEastAsia"/>
          <w:b/>
          <w:bCs/>
          <w:sz w:val="24"/>
        </w:rPr>
      </w:pPr>
    </w:p>
    <w:p>
      <w:pPr>
        <w:pStyle w:val="277"/>
        <w:adjustRightInd w:val="0"/>
        <w:snapToGrid w:val="0"/>
        <w:ind w:firstLine="531" w:firstLineChars="177"/>
        <w:jc w:val="center"/>
        <w:rPr>
          <w:rFonts w:ascii="黑体" w:hAnsi="宋体" w:eastAsia="黑体" w:cs="黑体"/>
          <w:color w:val="000000"/>
          <w:kern w:val="0"/>
          <w:sz w:val="30"/>
          <w:szCs w:val="30"/>
        </w:rPr>
      </w:pPr>
    </w:p>
    <w:p>
      <w:pPr>
        <w:pStyle w:val="277"/>
        <w:adjustRightInd w:val="0"/>
        <w:snapToGrid w:val="0"/>
        <w:ind w:firstLine="531" w:firstLineChars="177"/>
        <w:jc w:val="center"/>
        <w:rPr>
          <w:rFonts w:ascii="黑体" w:hAnsi="宋体" w:eastAsia="黑体" w:cs="黑体"/>
          <w:color w:val="000000"/>
          <w:kern w:val="0"/>
          <w:sz w:val="30"/>
          <w:szCs w:val="30"/>
        </w:rPr>
      </w:pPr>
      <w:r>
        <w:rPr>
          <w:rFonts w:hint="eastAsia" w:ascii="黑体" w:hAnsi="宋体" w:eastAsia="黑体" w:cs="黑体"/>
          <w:color w:val="000000"/>
          <w:kern w:val="0"/>
          <w:sz w:val="30"/>
          <w:szCs w:val="30"/>
        </w:rPr>
        <w:t>县区级疾控中心职业病危害监测能力提升项目设备参数 （3包）</w:t>
      </w:r>
    </w:p>
    <w:tbl>
      <w:tblPr>
        <w:tblStyle w:val="50"/>
        <w:tblpPr w:leftFromText="180" w:rightFromText="180" w:vertAnchor="page" w:horzAnchor="margin" w:tblpX="-533" w:tblpY="2026"/>
        <w:tblW w:w="15012" w:type="dxa"/>
        <w:tblInd w:w="0" w:type="dxa"/>
        <w:tblLayout w:type="fixed"/>
        <w:tblCellMar>
          <w:top w:w="0" w:type="dxa"/>
          <w:left w:w="0" w:type="dxa"/>
          <w:bottom w:w="0" w:type="dxa"/>
          <w:right w:w="0" w:type="dxa"/>
        </w:tblCellMar>
      </w:tblPr>
      <w:tblGrid>
        <w:gridCol w:w="708"/>
        <w:gridCol w:w="1224"/>
        <w:gridCol w:w="10872"/>
        <w:gridCol w:w="1104"/>
        <w:gridCol w:w="1104"/>
      </w:tblGrid>
      <w:tr>
        <w:tblPrEx>
          <w:tblCellMar>
            <w:top w:w="0" w:type="dxa"/>
            <w:left w:w="0" w:type="dxa"/>
            <w:bottom w:w="0" w:type="dxa"/>
            <w:right w:w="0" w:type="dxa"/>
          </w:tblCellMar>
        </w:tblPrEx>
        <w:trPr>
          <w:trHeight w:val="4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等线" w:hAnsi="等线" w:eastAsia="等线" w:cs="等线"/>
                <w:color w:val="000000"/>
                <w:kern w:val="0"/>
                <w:szCs w:val="21"/>
              </w:rPr>
            </w:pPr>
            <w:r>
              <w:rPr>
                <w:rFonts w:hint="eastAsia" w:ascii="等线" w:hAnsi="等线" w:eastAsia="等线" w:cs="等线"/>
                <w:color w:val="000000"/>
                <w:kern w:val="0"/>
                <w:szCs w:val="21"/>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等线" w:hAnsi="等线" w:eastAsia="等线" w:cs="等线"/>
                <w:color w:val="000000"/>
                <w:kern w:val="0"/>
                <w:szCs w:val="21"/>
              </w:rPr>
            </w:pPr>
            <w:r>
              <w:rPr>
                <w:rFonts w:hint="eastAsia" w:ascii="等线" w:hAnsi="等线" w:eastAsia="等线" w:cs="等线"/>
                <w:color w:val="000000"/>
                <w:kern w:val="0"/>
                <w:szCs w:val="21"/>
              </w:rPr>
              <w:t>设备名称</w:t>
            </w:r>
          </w:p>
        </w:tc>
        <w:tc>
          <w:tcPr>
            <w:tcW w:w="10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等线" w:hAnsi="等线" w:eastAsia="等线" w:cs="等线"/>
                <w:color w:val="000000"/>
                <w:szCs w:val="21"/>
              </w:rPr>
            </w:pPr>
            <w:r>
              <w:rPr>
                <w:rFonts w:hint="eastAsia" w:ascii="等线" w:hAnsi="等线" w:eastAsia="等线" w:cs="等线"/>
                <w:color w:val="000000"/>
                <w:kern w:val="0"/>
                <w:szCs w:val="21"/>
              </w:rPr>
              <w:t>技术参数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数量</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（台、套）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备注</w:t>
            </w:r>
          </w:p>
        </w:tc>
      </w:tr>
      <w:tr>
        <w:tblPrEx>
          <w:tblCellMar>
            <w:top w:w="0" w:type="dxa"/>
            <w:left w:w="0" w:type="dxa"/>
            <w:bottom w:w="0" w:type="dxa"/>
            <w:right w:w="0" w:type="dxa"/>
          </w:tblCellMar>
        </w:tblPrEx>
        <w:trPr>
          <w:trHeight w:val="777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气相色谱-质谱联用仪（单四极杆）</w:t>
            </w:r>
          </w:p>
          <w:p>
            <w:pPr>
              <w:widowControl/>
              <w:textAlignment w:val="center"/>
              <w:rPr>
                <w:rFonts w:ascii="仿宋" w:hAnsi="仿宋" w:eastAsia="仿宋" w:cs="仿宋"/>
                <w:color w:val="000000"/>
                <w:kern w:val="0"/>
                <w:sz w:val="22"/>
                <w:szCs w:val="22"/>
              </w:rPr>
            </w:pPr>
          </w:p>
          <w:p>
            <w:pPr>
              <w:widowControl/>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注：本设备为进口产品。</w:t>
            </w:r>
          </w:p>
        </w:tc>
        <w:tc>
          <w:tcPr>
            <w:tcW w:w="10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1.气相色谱-质谱联用仪能够与商用热脱附仪、吹扫捕集仪、顶空等前处理设备联接,同时软件和硬件兼容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1.2质谱仪质量数范围包含1.5-1000u的范围。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1.3质谱仪灵敏度EI scan(1pg,八氟萘OFN,m/z272)信噪比S/N高于1900.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1.4质谱仪质量稳定性≤±0.1u/48小时。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1.5质谱仪最大扫描速度≥20000 u/sec (专利ASSPTM功能配合).</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1.6质谱仪标配EI离子源,可选配NCI源及CI源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1.7离子源采用双灯丝设计,离子化能量高能量≥100ev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1.8质量分析器为配备预四级杆的高精度全金属单四级杆或石英镀金单四级杆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1.9扫描功能:支持全扫描模式(Scan)、选择离子扫描模式(SIM)以及Scan/SIM同时扫描模式。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1.10在SIM模式下,至少支持最大支持64通道 x 128 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1.11检测系统: 二次倍管动态范≥106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1.12 真空系统:涡轮分子泵排气系统≥290L/s.机械泵≥1.5m3/hour.配备真空规可在线检测。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1.13可支持氦气、氢气、氮气作为载气。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1.14配置更换色谱柱不卸真空功能。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1.15气相色谱仪柱温箱范围包含:室温以上5℃-450℃,控温准确性0.01℃,冷却速度:从450降到50℃低于4min.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1.16相色谱仪配置分流/不分流毛细管进样口,全程压力控制精度优于0.001psi.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1.17液体自动进样器样品位超过150位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1.18配置NIST谱库。操作软件人性化,报告格式方便编辑。</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1.19保留时间重现性优于0.01%,峰面积重现性优于1%。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1.20色谱耗材包括但不仅限于以下项目: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进样口隔垫一包/石墨密封垫(0.25mm和0.32mm规格,包括进样口端和检测器端)各一包/检测器端螺母、进样口端螺母各一包/自动进样针2支分流衬管1包/补管密封圈一包/水氧烃捕集附一套、色谱专用工具</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毛细管柱: -5柱(0.25mm,30m) 2根: 624柱(0.25mm,60m) 1根。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1.21 电脑及打印机   1.22 高纯氦气钢瓶及阀   1.23 UPS电源一套；  1.24 电子天平：0.1mg   1.25 氢气发生器一台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0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kern w:val="0"/>
                <w:sz w:val="22"/>
                <w:szCs w:val="22"/>
              </w:rPr>
            </w:pPr>
            <w:r>
              <w:rPr>
                <w:rFonts w:hint="eastAsia" w:cs="仿宋" w:asciiTheme="minorEastAsia" w:hAnsiTheme="minorEastAsia" w:eastAsiaTheme="minorEastAsia"/>
                <w:color w:val="000000"/>
                <w:kern w:val="0"/>
                <w:szCs w:val="21"/>
              </w:rPr>
              <w:t>3包设备要求3包中标人发货至仪器设备使用单位（自治区职业病防治院）</w:t>
            </w:r>
          </w:p>
        </w:tc>
      </w:tr>
      <w:tr>
        <w:tblPrEx>
          <w:tblCellMar>
            <w:top w:w="0" w:type="dxa"/>
            <w:left w:w="0" w:type="dxa"/>
            <w:bottom w:w="0" w:type="dxa"/>
            <w:right w:w="0" w:type="dxa"/>
          </w:tblCellMar>
        </w:tblPrEx>
        <w:trPr>
          <w:trHeight w:val="777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高效液相色谱仪</w:t>
            </w:r>
          </w:p>
          <w:p>
            <w:pPr>
              <w:widowControl/>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注：本设备为进口产品。</w:t>
            </w:r>
          </w:p>
        </w:tc>
        <w:tc>
          <w:tcPr>
            <w:tcW w:w="10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1.1高压恒流泵基本技术指标: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流量范围: 0.001~9.999ml/min以0.001ml/min步长调节流量  流量稳定性误差Sr:小于0.3%  流量设定值误差Ss:小于±2%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最高工作压力: 42MPa(0.001~9.999ml/min)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压力线性和准确度:显示压力误差小于±0.5 MPa(0~42MPa)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压力脉动:小于0.1MPa(流量1ml/min,压力5~10MPa)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泵的密封性:压力为42MPa,时间为10min,压力降小于0.5MPa.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1.2紫外检测器基本技术指标: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波长范围: 190~680nm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基线噪声:≤ 2x10-5AU峰-峰 (甲醇, 1ml/min, 254nm. 20℃) 基线噪音: ≤±0.25x10-5AU (空池,响应时间1秒, 20℃):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基线漂移：≤2x10-4AU/hr (甲醇, 1ml/min, 254nm, 20℃) 基线漂移: ≤0.4x10-4AU/hr (空池,响应时间1秒, 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最小检测量: ≤5x10-9g/m(萘/甲醇溶液)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1.3 荧光检测器基本技术指标  波长范围：200~600nm  波长准确度：±2nm  波长精度：±0.2nm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检测池：体积12μL，最大耐压2Mpa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操作温度范围：4~35℃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1.4柱恒温箱主要技术指标: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温度控制范围:室温下10℃~80℃  温度设定范围: 10℃~80℃(1℃步进量)  温度控制精度：±0.1℃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1.5自动进样器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线性：&gt;0.9999%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样品数量：150位(1.5mL/2mL样品瓶)     样品数量扩展：最多可扩展至16000个样品   交叉污染： &lt;0.0005%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针外壁送液清洗：可扩展支持两路清洗液   针内壁清洗：可扩展支持3路清洗液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双进样模式：可扩展为支持两条独立流路同时分析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支持多种自动前处理功能：样品稀释、添加、混合、Co-injection功能、自动衍生等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1.6电脑及打印机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0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580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离子色谱仪</w:t>
            </w:r>
          </w:p>
          <w:p>
            <w:pPr>
              <w:widowControl/>
              <w:jc w:val="center"/>
              <w:textAlignment w:val="center"/>
              <w:rPr>
                <w:rFonts w:ascii="仿宋" w:hAnsi="仿宋" w:eastAsia="仿宋" w:cs="仿宋"/>
                <w:color w:val="000000"/>
                <w:kern w:val="0"/>
                <w:sz w:val="24"/>
              </w:rPr>
            </w:pPr>
          </w:p>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2"/>
                <w:szCs w:val="22"/>
              </w:rPr>
              <w:t>注：本设备为进口产品。</w:t>
            </w:r>
          </w:p>
        </w:tc>
        <w:tc>
          <w:tcPr>
            <w:tcW w:w="10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仿宋" w:hAnsi="仿宋" w:eastAsia="仿宋" w:cs="仿宋"/>
                <w:color w:val="000000"/>
                <w:sz w:val="24"/>
              </w:rPr>
            </w:pPr>
            <w:r>
              <w:rPr>
                <w:rFonts w:hint="eastAsia" w:ascii="仿宋" w:hAnsi="仿宋" w:eastAsia="仿宋" w:cs="仿宋"/>
                <w:color w:val="000000"/>
                <w:kern w:val="0"/>
                <w:sz w:val="24"/>
              </w:rPr>
              <w:t>1.1泵化学惰性的非金属PEEK材料的无阻尼泵头,适合于pH为0-14的水相淋洗液以及各种反相淋洗液体系。</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流量精密度: &lt;0. 1%   量精确度: &lt;0. 1%</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色谱柱色谱泵具有智能芯片，可兼容脉冲安培电化学检测器1.2色谱分析柱</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色谱柱耐酸碱范围: pH 0-14配备阴、阳离子色谱柱及相应保护柱</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1.2 抑制器:连续再生阴离子抑制器,抑制后背景电导为水电导:阳离子抑制器采用电子抑制</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1.3 自进样器  样品瓶位:物理位数≥50位,可随即选择样品位,样品瓶体积2-10mL各种规均可</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1.4 淋洗液发生器  采用在线线稀释方式或自配方式产生所需浓度淋洗液。梯度产生区为高压区避免由于压力过低而产生气泡泡,梯度泵方式需配备溶剂组织器    梯度精度≤0.2%,梯度准确度≤0.15%</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1.5 电导检测器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全量程输出范围:数字式0-15000    分辨率: ≤0.005nS    电子噪音：&lt;0.2nS</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1.6 色谱控制分析软件</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可编制分析方式和顺序,色谱图积分和分析报告产生。通过网络方式和电脑进行数字信号传输,可以通过电脑直接控制仪器的运行。</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1.7计算机系统:品牌电脑和打印机,主流配置</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2、配置要求   2.1主机一台   2.2淋洗液发生器   2.3阴、阳离子抑制器各一套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2.4阴离子、有机酸、阳离子分析柱和保护柱各一套  2.5自动进样器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 xml:space="preserve">2.6品牌主流配置电脑和打印机各一台   2.7氮气钢瓶两个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0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kern w:val="0"/>
                <w:sz w:val="22"/>
                <w:szCs w:val="22"/>
              </w:rPr>
            </w:pPr>
          </w:p>
        </w:tc>
      </w:tr>
      <w:tr>
        <w:tblPrEx>
          <w:tblCellMar>
            <w:top w:w="0" w:type="dxa"/>
            <w:left w:w="0" w:type="dxa"/>
            <w:bottom w:w="0" w:type="dxa"/>
            <w:right w:w="0" w:type="dxa"/>
          </w:tblCellMar>
        </w:tblPrEx>
        <w:trPr>
          <w:trHeight w:val="260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粉尘分散度测定仪</w:t>
            </w:r>
          </w:p>
        </w:tc>
        <w:tc>
          <w:tcPr>
            <w:tcW w:w="108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1.粉尘粒度分布测定范围：0～150µm。测定粉尘累积质量筛上分布，粉尘粒度分级为150、100、80、60、50、40、30、20、10、8、7、6、5、4、3、2、1µm。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2.测定误差：d&lt;40µm时，粉尘粒度分布重复测定误差≤10%，粉尘粒度测量误差（用GBW（E）120004a微粒标准物质为试验粉尘）：d50=10μm～13μm。                                                                                                            3.售后服务与技术支持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4.安装、调试和培训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5.提供具有CMA资质的第三方机构出具的检定报告。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6.提供计量器具型式批准证书（CPA）。</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04"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kern w:val="0"/>
                <w:sz w:val="22"/>
                <w:szCs w:val="22"/>
              </w:rPr>
            </w:pPr>
          </w:p>
        </w:tc>
      </w:tr>
    </w:tbl>
    <w:p>
      <w:pPr>
        <w:pStyle w:val="277"/>
        <w:adjustRightInd w:val="0"/>
        <w:snapToGrid w:val="0"/>
        <w:ind w:firstLine="533" w:firstLineChars="177"/>
        <w:jc w:val="center"/>
        <w:rPr>
          <w:rFonts w:asciiTheme="minorEastAsia" w:hAnsiTheme="minorEastAsia" w:eastAsiaTheme="minorEastAsia"/>
          <w:b/>
          <w:bCs/>
          <w:sz w:val="30"/>
          <w:szCs w:val="30"/>
        </w:rPr>
      </w:pPr>
    </w:p>
    <w:p>
      <w:pPr>
        <w:pStyle w:val="277"/>
        <w:adjustRightInd w:val="0"/>
        <w:snapToGrid w:val="0"/>
        <w:ind w:firstLine="426" w:firstLineChars="177"/>
        <w:rPr>
          <w:rFonts w:asciiTheme="minorEastAsia" w:hAnsiTheme="minorEastAsia" w:eastAsiaTheme="minorEastAsia"/>
          <w:b/>
          <w:bCs/>
          <w:sz w:val="24"/>
        </w:rPr>
      </w:pPr>
    </w:p>
    <w:p>
      <w:pPr>
        <w:pStyle w:val="277"/>
        <w:adjustRightInd w:val="0"/>
        <w:snapToGrid w:val="0"/>
        <w:spacing w:line="360" w:lineRule="auto"/>
        <w:ind w:firstLine="0" w:firstLineChars="0"/>
        <w:rPr>
          <w:rFonts w:asciiTheme="minorEastAsia" w:hAnsiTheme="minorEastAsia" w:eastAsiaTheme="minorEastAsia"/>
          <w:bCs/>
          <w:sz w:val="24"/>
        </w:rPr>
      </w:pPr>
      <w:r>
        <w:rPr>
          <w:rFonts w:hint="eastAsia" w:asciiTheme="minorEastAsia" w:hAnsiTheme="minorEastAsia" w:eastAsiaTheme="minorEastAsia"/>
          <w:b/>
          <w:bCs/>
          <w:sz w:val="24"/>
        </w:rPr>
        <w:t>其他</w:t>
      </w:r>
    </w:p>
    <w:p>
      <w:pPr>
        <w:pStyle w:val="277"/>
        <w:adjustRightInd w:val="0"/>
        <w:snapToGrid w:val="0"/>
        <w:ind w:firstLine="424" w:firstLineChars="177"/>
        <w:rPr>
          <w:rFonts w:asciiTheme="minorEastAsia" w:hAnsiTheme="minorEastAsia" w:eastAsiaTheme="minorEastAsia"/>
          <w:bCs/>
          <w:sz w:val="24"/>
          <w:szCs w:val="24"/>
        </w:rPr>
      </w:pPr>
      <w:r>
        <w:rPr>
          <w:rFonts w:hint="eastAsia" w:asciiTheme="minorEastAsia" w:hAnsiTheme="minorEastAsia" w:eastAsiaTheme="minorEastAsia"/>
          <w:bCs/>
          <w:sz w:val="24"/>
          <w:szCs w:val="24"/>
        </w:rPr>
        <w:t>中标单位在与业主签订合同时，同时要与业主签订保密协议，双方必须对合作过程中涉及的工作秘密、业务需求、协议、系统设计、技术成果等内容和相关事务保密。</w:t>
      </w:r>
    </w:p>
    <w:p>
      <w:pPr>
        <w:pStyle w:val="277"/>
        <w:adjustRightInd w:val="0"/>
        <w:snapToGrid w:val="0"/>
        <w:ind w:firstLine="424" w:firstLineChars="177"/>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人在参与投标前应对招标内容进行仔细阅读，作为投标人应该有足够的技术水平能充分理解上述内容并能对上述内容中技术方案的正确性、可行性、合理性作出判断，发现不合理或者不明确的地方要及时与招标方沟通、调整。否则，出现错误、不可行、无法达到预定指标的情况由中标单位承担责任。</w:t>
      </w:r>
    </w:p>
    <w:p>
      <w:pPr>
        <w:pStyle w:val="277"/>
        <w:adjustRightInd w:val="0"/>
        <w:snapToGrid w:val="0"/>
        <w:spacing w:line="360" w:lineRule="auto"/>
        <w:ind w:firstLine="424" w:firstLineChars="177"/>
        <w:rPr>
          <w:rFonts w:asciiTheme="minorEastAsia" w:hAnsiTheme="minorEastAsia" w:eastAsiaTheme="minorEastAsia"/>
          <w:bCs/>
          <w:sz w:val="24"/>
          <w:szCs w:val="24"/>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2190" w:firstLineChars="727"/>
        <w:rPr>
          <w:rFonts w:asciiTheme="minorEastAsia" w:hAnsiTheme="minorEastAsia" w:eastAsiaTheme="minorEastAsia"/>
          <w:b/>
          <w:bCs/>
          <w:sz w:val="30"/>
          <w:szCs w:val="30"/>
        </w:rPr>
      </w:pPr>
    </w:p>
    <w:p>
      <w:pPr>
        <w:pStyle w:val="277"/>
        <w:adjustRightInd w:val="0"/>
        <w:snapToGrid w:val="0"/>
        <w:spacing w:line="360" w:lineRule="auto"/>
        <w:ind w:firstLine="0" w:firstLineChars="0"/>
        <w:rPr>
          <w:rFonts w:asciiTheme="minorEastAsia" w:hAnsiTheme="minorEastAsia" w:eastAsiaTheme="minorEastAsia"/>
          <w:b/>
          <w:bCs/>
          <w:sz w:val="30"/>
          <w:szCs w:val="30"/>
        </w:rPr>
        <w:sectPr>
          <w:pgSz w:w="16838" w:h="11905" w:orient="landscape"/>
          <w:pgMar w:top="1531" w:right="1531" w:bottom="1134" w:left="1531" w:header="851" w:footer="992" w:gutter="0"/>
          <w:cols w:space="0" w:num="1"/>
          <w:docGrid w:type="lines" w:linePitch="318" w:charSpace="0"/>
        </w:sectPr>
      </w:pPr>
    </w:p>
    <w:p>
      <w:pPr>
        <w:pStyle w:val="277"/>
        <w:adjustRightInd w:val="0"/>
        <w:snapToGrid w:val="0"/>
        <w:spacing w:line="360" w:lineRule="auto"/>
        <w:ind w:firstLine="2711" w:firstLineChars="9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第四章  评标办法及评分标准</w:t>
      </w:r>
    </w:p>
    <w:p>
      <w:pPr>
        <w:spacing w:line="400" w:lineRule="atLeast"/>
        <w:ind w:left="600" w:hanging="600" w:hangingChars="250"/>
        <w:rPr>
          <w:rFonts w:asciiTheme="minorEastAsia" w:hAnsiTheme="minorEastAsia" w:eastAsiaTheme="minorEastAsia"/>
          <w:b/>
          <w:sz w:val="24"/>
        </w:rPr>
      </w:pPr>
      <w:r>
        <w:rPr>
          <w:rFonts w:hint="eastAsia" w:cs="Arial" w:asciiTheme="minorEastAsia" w:hAnsiTheme="minorEastAsia" w:eastAsiaTheme="minorEastAsia"/>
          <w:sz w:val="24"/>
        </w:rPr>
        <w:t xml:space="preserve">  </w:t>
      </w:r>
      <w:r>
        <w:rPr>
          <w:rFonts w:asciiTheme="minorEastAsia" w:hAnsiTheme="minorEastAsia" w:eastAsiaTheme="minorEastAsia"/>
          <w:b/>
          <w:sz w:val="24"/>
        </w:rPr>
        <w:t>组建评审委员会</w:t>
      </w:r>
    </w:p>
    <w:p>
      <w:pPr>
        <w:pStyle w:val="28"/>
        <w:snapToGri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评标由依法组成的评标委员会负责。</w:t>
      </w:r>
    </w:p>
    <w:p>
      <w:pPr>
        <w:numPr>
          <w:ilvl w:val="0"/>
          <w:numId w:val="15"/>
        </w:numPr>
        <w:spacing w:line="400" w:lineRule="atLeast"/>
        <w:ind w:firstLine="420"/>
        <w:rPr>
          <w:rFonts w:cs="Arial" w:asciiTheme="minorEastAsia" w:hAnsiTheme="minorEastAsia" w:eastAsiaTheme="minorEastAsia"/>
          <w:sz w:val="24"/>
        </w:rPr>
      </w:pPr>
      <w:r>
        <w:rPr>
          <w:rFonts w:hint="eastAsia" w:cs="Arial" w:asciiTheme="minorEastAsia" w:hAnsiTheme="minorEastAsia" w:eastAsiaTheme="minorEastAsia"/>
          <w:sz w:val="24"/>
        </w:rPr>
        <w:t>评标的依据为招标文件和投标文件。</w:t>
      </w:r>
    </w:p>
    <w:p>
      <w:pPr>
        <w:numPr>
          <w:ilvl w:val="0"/>
          <w:numId w:val="15"/>
        </w:numPr>
        <w:spacing w:line="400" w:lineRule="atLeast"/>
        <w:ind w:firstLine="420"/>
        <w:rPr>
          <w:rFonts w:cs="Arial" w:asciiTheme="minorEastAsia" w:hAnsiTheme="minorEastAsia" w:eastAsiaTheme="minorEastAsia"/>
          <w:sz w:val="24"/>
        </w:rPr>
      </w:pPr>
      <w:r>
        <w:rPr>
          <w:rFonts w:hint="eastAsia" w:cs="Arial" w:asciiTheme="minorEastAsia" w:hAnsiTheme="minorEastAsia" w:eastAsiaTheme="minorEastAsia"/>
          <w:sz w:val="24"/>
        </w:rPr>
        <w:t>开标后评委会将组织审查投标文件是否完整，是否有计算错误，要求的保证金是否提供，文件是否恰当地签署。</w:t>
      </w:r>
    </w:p>
    <w:p>
      <w:pPr>
        <w:numPr>
          <w:ilvl w:val="0"/>
          <w:numId w:val="15"/>
        </w:numPr>
        <w:spacing w:line="400" w:lineRule="atLeast"/>
        <w:ind w:firstLine="420"/>
        <w:rPr>
          <w:rFonts w:cs="Arial" w:asciiTheme="minorEastAsia" w:hAnsiTheme="minorEastAsia" w:eastAsiaTheme="minorEastAsia"/>
          <w:sz w:val="24"/>
        </w:rPr>
      </w:pPr>
      <w:r>
        <w:rPr>
          <w:rFonts w:hint="eastAsia" w:cs="Arial" w:asciiTheme="minorEastAsia" w:hAnsiTheme="minorEastAsia" w:eastAsiaTheme="minorEastAsia"/>
          <w:sz w:val="24"/>
        </w:rPr>
        <w:t>在对投标文件进行详细评估之前，评委会将依据投标商提供的资格证明文件审查投标商的财务、技术和生产能力。如果确定投标商无资格履行合同，其投标将被拒绝。</w:t>
      </w:r>
    </w:p>
    <w:p>
      <w:pPr>
        <w:pStyle w:val="6"/>
        <w:spacing w:before="252"/>
        <w:ind w:left="1096"/>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一、资格审查</w:t>
      </w:r>
    </w:p>
    <w:p>
      <w:pPr>
        <w:pStyle w:val="20"/>
        <w:spacing w:before="40" w:line="268" w:lineRule="auto"/>
        <w:ind w:left="611" w:right="751" w:firstLine="523"/>
        <w:rPr>
          <w:rFonts w:cs="Arial" w:asciiTheme="minorEastAsia" w:hAnsiTheme="minorEastAsia" w:eastAsiaTheme="minorEastAsia"/>
          <w:szCs w:val="24"/>
        </w:rPr>
      </w:pPr>
      <w:r>
        <w:rPr>
          <w:rFonts w:cs="Arial" w:asciiTheme="minorEastAsia" w:hAnsiTheme="minorEastAsia" w:eastAsiaTheme="minorEastAsia"/>
          <w:szCs w:val="24"/>
        </w:rPr>
        <mc:AlternateContent>
          <mc:Choice Requires="wps">
            <w:drawing>
              <wp:anchor distT="0" distB="0" distL="114300" distR="114300" simplePos="0" relativeHeight="251659264" behindDoc="0" locked="0" layoutInCell="1" allowOverlap="1">
                <wp:simplePos x="0" y="0"/>
                <wp:positionH relativeFrom="page">
                  <wp:posOffset>941070</wp:posOffset>
                </wp:positionH>
                <wp:positionV relativeFrom="paragraph">
                  <wp:posOffset>509270</wp:posOffset>
                </wp:positionV>
                <wp:extent cx="6399530" cy="62922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6399530" cy="6292215"/>
                        </a:xfrm>
                        <a:prstGeom prst="rect">
                          <a:avLst/>
                        </a:prstGeom>
                        <a:noFill/>
                        <a:ln>
                          <a:noFill/>
                        </a:ln>
                      </wps:spPr>
                      <wps:txbx>
                        <w:txbxContent>
                          <w:tbl>
                            <w:tblPr>
                              <w:tblStyle w:val="50"/>
                              <w:tblW w:w="95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8"/>
                              <w:gridCol w:w="1277"/>
                              <w:gridCol w:w="1274"/>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9571" w:type="dxa"/>
                                  <w:gridSpan w:val="4"/>
                                </w:tcPr>
                                <w:p>
                                  <w:pPr>
                                    <w:pStyle w:val="183"/>
                                    <w:spacing w:before="87" w:line="351" w:lineRule="exact"/>
                                    <w:ind w:left="4151" w:right="3689"/>
                                    <w:jc w:val="center"/>
                                    <w:rPr>
                                      <w:sz w:val="28"/>
                                    </w:rPr>
                                  </w:pPr>
                                  <w:r>
                                    <w:rPr>
                                      <w:sz w:val="28"/>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6488" w:type="dxa"/>
                                </w:tcPr>
                                <w:p>
                                  <w:pPr>
                                    <w:pStyle w:val="183"/>
                                    <w:spacing w:before="89" w:line="351" w:lineRule="exact"/>
                                    <w:ind w:left="2475" w:right="1995"/>
                                    <w:jc w:val="center"/>
                                    <w:rPr>
                                      <w:b/>
                                      <w:sz w:val="28"/>
                                    </w:rPr>
                                  </w:pPr>
                                  <w:r>
                                    <w:rPr>
                                      <w:b/>
                                      <w:sz w:val="28"/>
                                    </w:rPr>
                                    <w:t>资格性审查项目</w:t>
                                  </w:r>
                                </w:p>
                              </w:tc>
                              <w:tc>
                                <w:tcPr>
                                  <w:tcW w:w="1277" w:type="dxa"/>
                                </w:tcPr>
                                <w:p>
                                  <w:pPr>
                                    <w:pStyle w:val="183"/>
                                    <w:spacing w:before="89" w:line="351" w:lineRule="exact"/>
                                    <w:ind w:left="107"/>
                                    <w:rPr>
                                      <w:b/>
                                      <w:sz w:val="28"/>
                                    </w:rPr>
                                  </w:pPr>
                                  <w:r>
                                    <w:rPr>
                                      <w:b/>
                                      <w:sz w:val="28"/>
                                    </w:rPr>
                                    <w:t>投标人A</w:t>
                                  </w:r>
                                </w:p>
                              </w:tc>
                              <w:tc>
                                <w:tcPr>
                                  <w:tcW w:w="1274" w:type="dxa"/>
                                </w:tcPr>
                                <w:p>
                                  <w:pPr>
                                    <w:pStyle w:val="183"/>
                                    <w:spacing w:before="89" w:line="351" w:lineRule="exact"/>
                                    <w:ind w:left="105"/>
                                    <w:rPr>
                                      <w:b/>
                                      <w:sz w:val="28"/>
                                    </w:rPr>
                                  </w:pPr>
                                  <w:r>
                                    <w:rPr>
                                      <w:b/>
                                      <w:sz w:val="28"/>
                                    </w:rPr>
                                    <w:t>投标人B</w:t>
                                  </w: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488" w:type="dxa"/>
                                </w:tcPr>
                                <w:p>
                                  <w:pPr>
                                    <w:pStyle w:val="6"/>
                                    <w:spacing w:before="252"/>
                                    <w:ind w:left="15" w:hanging="15" w:hangingChars="7"/>
                                    <w:jc w:val="left"/>
                                  </w:pPr>
                                  <w:r>
                                    <w:t>1、投标人须提供具有合法有效的营业执照(副本） 或事业单位法人证书，以上复印件加盖投标企业公章，真实性</w:t>
                                  </w:r>
                                  <w:r>
                                    <w:rPr>
                                      <w:rFonts w:hint="eastAsia"/>
                                    </w:rPr>
                                    <w:t>由投标人自行负责并承担相应责任</w:t>
                                  </w:r>
                                  <w:r>
                                    <w:t>；</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88" w:type="dxa"/>
                                </w:tcPr>
                                <w:p>
                                  <w:pPr>
                                    <w:pStyle w:val="6"/>
                                    <w:spacing w:before="252"/>
                                  </w:pPr>
                                  <w:r>
                                    <w:t>2、投标人须提供2019年度经审计的财务审计报告、前6个月(2020年4月至2020年9月)缴纳税收证明材料及缴纳社保证明材料；注：缴纳社会保障资金的证明材料，应当包括缴纳专用收据和清单。清单显示的供应商法人、法人授权代表、项目负责人、项目其他人员的社会保险缴纳期限， 应当为参加政府采购活动前本单位至少前6个月。依法不需要缴纳社会保障资金的供应商，应当提供相应文件证明。</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6488" w:type="dxa"/>
                                </w:tcPr>
                                <w:p>
                                  <w:pPr>
                                    <w:pStyle w:val="183"/>
                                    <w:spacing w:before="87"/>
                                    <w:rPr>
                                      <w:rFonts w:ascii="Times New Roman" w:hAnsi="Times New Roman" w:cs="Times New Roman"/>
                                      <w:sz w:val="22"/>
                                      <w:szCs w:val="20"/>
                                      <w:lang w:val="en-US" w:bidi="ar-SA"/>
                                    </w:rPr>
                                  </w:pPr>
                                  <w:r>
                                    <w:rPr>
                                      <w:rFonts w:ascii="Times New Roman" w:hAnsi="Times New Roman" w:cs="Times New Roman"/>
                                      <w:sz w:val="22"/>
                                      <w:szCs w:val="20"/>
                                      <w:lang w:val="en-US" w:bidi="ar-SA"/>
                                    </w:rPr>
                                    <w:t>3、投标人须提供法定代表人身份证原件或法定代表人身份证复印件、法定代表人授权函原件及被授权人身份证原件；</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488" w:type="dxa"/>
                                </w:tcPr>
                                <w:p>
                                  <w:pPr>
                                    <w:pStyle w:val="183"/>
                                    <w:spacing w:before="3" w:line="458" w:lineRule="exact"/>
                                    <w:ind w:right="85"/>
                                    <w:rPr>
                                      <w:rFonts w:ascii="Times New Roman" w:hAnsi="Times New Roman" w:cs="Times New Roman"/>
                                      <w:sz w:val="22"/>
                                      <w:szCs w:val="20"/>
                                      <w:lang w:val="en-US" w:bidi="ar-SA"/>
                                    </w:rPr>
                                  </w:pPr>
                                  <w:r>
                                    <w:rPr>
                                      <w:rFonts w:ascii="Times New Roman" w:hAnsi="Times New Roman" w:cs="Times New Roman"/>
                                      <w:sz w:val="22"/>
                                      <w:szCs w:val="20"/>
                                      <w:lang w:val="en-US" w:bidi="ar-SA"/>
                                    </w:rPr>
                                    <w:t>4、投标人须提供</w:t>
                                  </w:r>
                                  <w:r>
                                    <w:rPr>
                                      <w:rFonts w:hint="eastAsia" w:ascii="Times New Roman" w:hAnsi="Times New Roman" w:cs="Times New Roman"/>
                                      <w:sz w:val="22"/>
                                      <w:szCs w:val="20"/>
                                      <w:lang w:val="en-US" w:bidi="ar-SA"/>
                                    </w:rPr>
                                    <w:t>乌鲁木齐</w:t>
                                  </w:r>
                                  <w:r>
                                    <w:rPr>
                                      <w:rFonts w:ascii="Times New Roman" w:hAnsi="Times New Roman" w:cs="Times New Roman"/>
                                      <w:sz w:val="22"/>
                                      <w:szCs w:val="20"/>
                                      <w:lang w:val="en-US" w:bidi="ar-SA"/>
                                    </w:rPr>
                                    <w:t>市政府采购供应商诚信承诺书；（见格式文件）</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9" w:hRule="atLeast"/>
                              </w:trPr>
                              <w:tc>
                                <w:tcPr>
                                  <w:tcW w:w="6488" w:type="dxa"/>
                                </w:tcPr>
                                <w:p>
                                  <w:pPr>
                                    <w:pStyle w:val="183"/>
                                    <w:spacing w:before="87" w:line="307" w:lineRule="auto"/>
                                    <w:ind w:right="73"/>
                                    <w:rPr>
                                      <w:rFonts w:ascii="Times New Roman" w:hAnsi="Times New Roman" w:cs="Times New Roman"/>
                                      <w:sz w:val="22"/>
                                      <w:szCs w:val="20"/>
                                      <w:lang w:val="en-US" w:bidi="ar-SA"/>
                                    </w:rPr>
                                  </w:pPr>
                                  <w:r>
                                    <w:rPr>
                                      <w:rFonts w:ascii="Times New Roman" w:hAnsi="Times New Roman" w:cs="Times New Roman"/>
                                      <w:sz w:val="22"/>
                                      <w:szCs w:val="20"/>
                                      <w:lang w:val="en-US" w:bidi="ar-SA"/>
                                    </w:rPr>
                                    <w:t>5、参加政府采购活动前三年内，在经营活动中没有重大违法记录，投标人提供书面声明（见格式文件）； 投标人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6488" w:type="dxa"/>
                                </w:tcPr>
                                <w:p>
                                  <w:pPr>
                                    <w:pStyle w:val="183"/>
                                    <w:spacing w:before="87"/>
                                    <w:rPr>
                                      <w:sz w:val="28"/>
                                    </w:rPr>
                                  </w:pPr>
                                  <w:r>
                                    <w:rPr>
                                      <w:rFonts w:ascii="Times New Roman" w:hAnsi="Times New Roman" w:cs="Times New Roman"/>
                                      <w:sz w:val="22"/>
                                      <w:szCs w:val="20"/>
                                      <w:lang w:val="en-US" w:bidi="ar-SA"/>
                                    </w:rPr>
                                    <w:t>6、保证金缴纳有效</w:t>
                                  </w:r>
                                  <w:r>
                                    <w:rPr>
                                      <w:rFonts w:hint="eastAsia" w:ascii="Times New Roman" w:hAnsi="Times New Roman" w:cs="Times New Roman"/>
                                      <w:sz w:val="22"/>
                                      <w:szCs w:val="20"/>
                                      <w:lang w:val="en-US" w:bidi="ar-SA"/>
                                    </w:rPr>
                                    <w:t>。</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bl>
                          <w:p>
                            <w:pPr>
                              <w:pStyle w:val="20"/>
                            </w:pPr>
                          </w:p>
                        </w:txbxContent>
                      </wps:txbx>
                      <wps:bodyPr lIns="0" tIns="0" rIns="0" bIns="0" upright="1"/>
                    </wps:wsp>
                  </a:graphicData>
                </a:graphic>
              </wp:anchor>
            </w:drawing>
          </mc:Choice>
          <mc:Fallback>
            <w:pict>
              <v:shape id="文本框 2" o:spid="_x0000_s1026" o:spt="202" type="#_x0000_t202" style="position:absolute;left:0pt;margin-left:74.1pt;margin-top:40.1pt;height:495.45pt;width:503.9pt;mso-position-horizontal-relative:page;z-index:251659264;mso-width-relative:page;mso-height-relative:page;" filled="f" stroked="f" coordsize="21600,21600" o:gfxdata="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7rI9tkAAAAMAQAADwAAAAAAAAABACAAAAAiAAAAZHJzL2Rvd25yZXYueG1sUEsB&#10;AhQAFAAAAAgAh07iQKSUPL27AQAAcwMAAA4AAAAAAAAAAQAgAAAAKAEAAGRycy9lMm9Eb2MueG1s&#10;UEsFBgAAAAAGAAYAWQEAAFUFAAAAAA==&#10;">
                <v:fill on="f" focussize="0,0"/>
                <v:stroke on="f"/>
                <v:imagedata o:title=""/>
                <o:lock v:ext="edit" aspectratio="f"/>
                <v:textbox inset="0mm,0mm,0mm,0mm">
                  <w:txbxContent>
                    <w:tbl>
                      <w:tblPr>
                        <w:tblStyle w:val="50"/>
                        <w:tblW w:w="95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8"/>
                        <w:gridCol w:w="1277"/>
                        <w:gridCol w:w="1274"/>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9571" w:type="dxa"/>
                            <w:gridSpan w:val="4"/>
                          </w:tcPr>
                          <w:p>
                            <w:pPr>
                              <w:pStyle w:val="183"/>
                              <w:spacing w:before="87" w:line="351" w:lineRule="exact"/>
                              <w:ind w:left="4151" w:right="3689"/>
                              <w:jc w:val="center"/>
                              <w:rPr>
                                <w:sz w:val="28"/>
                              </w:rPr>
                            </w:pPr>
                            <w:r>
                              <w:rPr>
                                <w:sz w:val="28"/>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6488" w:type="dxa"/>
                          </w:tcPr>
                          <w:p>
                            <w:pPr>
                              <w:pStyle w:val="183"/>
                              <w:spacing w:before="89" w:line="351" w:lineRule="exact"/>
                              <w:ind w:left="2475" w:right="1995"/>
                              <w:jc w:val="center"/>
                              <w:rPr>
                                <w:b/>
                                <w:sz w:val="28"/>
                              </w:rPr>
                            </w:pPr>
                            <w:r>
                              <w:rPr>
                                <w:b/>
                                <w:sz w:val="28"/>
                              </w:rPr>
                              <w:t>资格性审查项目</w:t>
                            </w:r>
                          </w:p>
                        </w:tc>
                        <w:tc>
                          <w:tcPr>
                            <w:tcW w:w="1277" w:type="dxa"/>
                          </w:tcPr>
                          <w:p>
                            <w:pPr>
                              <w:pStyle w:val="183"/>
                              <w:spacing w:before="89" w:line="351" w:lineRule="exact"/>
                              <w:ind w:left="107"/>
                              <w:rPr>
                                <w:b/>
                                <w:sz w:val="28"/>
                              </w:rPr>
                            </w:pPr>
                            <w:r>
                              <w:rPr>
                                <w:b/>
                                <w:sz w:val="28"/>
                              </w:rPr>
                              <w:t>投标人A</w:t>
                            </w:r>
                          </w:p>
                        </w:tc>
                        <w:tc>
                          <w:tcPr>
                            <w:tcW w:w="1274" w:type="dxa"/>
                          </w:tcPr>
                          <w:p>
                            <w:pPr>
                              <w:pStyle w:val="183"/>
                              <w:spacing w:before="89" w:line="351" w:lineRule="exact"/>
                              <w:ind w:left="105"/>
                              <w:rPr>
                                <w:b/>
                                <w:sz w:val="28"/>
                              </w:rPr>
                            </w:pPr>
                            <w:r>
                              <w:rPr>
                                <w:b/>
                                <w:sz w:val="28"/>
                              </w:rPr>
                              <w:t>投标人B</w:t>
                            </w: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488" w:type="dxa"/>
                          </w:tcPr>
                          <w:p>
                            <w:pPr>
                              <w:pStyle w:val="6"/>
                              <w:spacing w:before="252"/>
                              <w:ind w:left="15" w:hanging="15" w:hangingChars="7"/>
                              <w:jc w:val="left"/>
                            </w:pPr>
                            <w:r>
                              <w:t>1、投标人须提供具有合法有效的营业执照(副本） 或事业单位法人证书，以上复印件加盖投标企业公章，真实性</w:t>
                            </w:r>
                            <w:r>
                              <w:rPr>
                                <w:rFonts w:hint="eastAsia"/>
                              </w:rPr>
                              <w:t>由投标人自行负责并承担相应责任</w:t>
                            </w:r>
                            <w:r>
                              <w:t>；</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88" w:type="dxa"/>
                          </w:tcPr>
                          <w:p>
                            <w:pPr>
                              <w:pStyle w:val="6"/>
                              <w:spacing w:before="252"/>
                            </w:pPr>
                            <w:r>
                              <w:t>2、投标人须提供2019年度经审计的财务审计报告、前6个月(2020年4月至2020年9月)缴纳税收证明材料及缴纳社保证明材料；注：缴纳社会保障资金的证明材料，应当包括缴纳专用收据和清单。清单显示的供应商法人、法人授权代表、项目负责人、项目其他人员的社会保险缴纳期限， 应当为参加政府采购活动前本单位至少前6个月。依法不需要缴纳社会保障资金的供应商，应当提供相应文件证明。</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6488" w:type="dxa"/>
                          </w:tcPr>
                          <w:p>
                            <w:pPr>
                              <w:pStyle w:val="183"/>
                              <w:spacing w:before="87"/>
                              <w:rPr>
                                <w:rFonts w:ascii="Times New Roman" w:hAnsi="Times New Roman" w:cs="Times New Roman"/>
                                <w:sz w:val="22"/>
                                <w:szCs w:val="20"/>
                                <w:lang w:val="en-US" w:bidi="ar-SA"/>
                              </w:rPr>
                            </w:pPr>
                            <w:r>
                              <w:rPr>
                                <w:rFonts w:ascii="Times New Roman" w:hAnsi="Times New Roman" w:cs="Times New Roman"/>
                                <w:sz w:val="22"/>
                                <w:szCs w:val="20"/>
                                <w:lang w:val="en-US" w:bidi="ar-SA"/>
                              </w:rPr>
                              <w:t>3、投标人须提供法定代表人身份证原件或法定代表人身份证复印件、法定代表人授权函原件及被授权人身份证原件；</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488" w:type="dxa"/>
                          </w:tcPr>
                          <w:p>
                            <w:pPr>
                              <w:pStyle w:val="183"/>
                              <w:spacing w:before="3" w:line="458" w:lineRule="exact"/>
                              <w:ind w:right="85"/>
                              <w:rPr>
                                <w:rFonts w:ascii="Times New Roman" w:hAnsi="Times New Roman" w:cs="Times New Roman"/>
                                <w:sz w:val="22"/>
                                <w:szCs w:val="20"/>
                                <w:lang w:val="en-US" w:bidi="ar-SA"/>
                              </w:rPr>
                            </w:pPr>
                            <w:r>
                              <w:rPr>
                                <w:rFonts w:ascii="Times New Roman" w:hAnsi="Times New Roman" w:cs="Times New Roman"/>
                                <w:sz w:val="22"/>
                                <w:szCs w:val="20"/>
                                <w:lang w:val="en-US" w:bidi="ar-SA"/>
                              </w:rPr>
                              <w:t>4、投标人须提供</w:t>
                            </w:r>
                            <w:r>
                              <w:rPr>
                                <w:rFonts w:hint="eastAsia" w:ascii="Times New Roman" w:hAnsi="Times New Roman" w:cs="Times New Roman"/>
                                <w:sz w:val="22"/>
                                <w:szCs w:val="20"/>
                                <w:lang w:val="en-US" w:bidi="ar-SA"/>
                              </w:rPr>
                              <w:t>乌鲁木齐</w:t>
                            </w:r>
                            <w:r>
                              <w:rPr>
                                <w:rFonts w:ascii="Times New Roman" w:hAnsi="Times New Roman" w:cs="Times New Roman"/>
                                <w:sz w:val="22"/>
                                <w:szCs w:val="20"/>
                                <w:lang w:val="en-US" w:bidi="ar-SA"/>
                              </w:rPr>
                              <w:t>市政府采购供应商诚信承诺书；（见格式文件）</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9" w:hRule="atLeast"/>
                        </w:trPr>
                        <w:tc>
                          <w:tcPr>
                            <w:tcW w:w="6488" w:type="dxa"/>
                          </w:tcPr>
                          <w:p>
                            <w:pPr>
                              <w:pStyle w:val="183"/>
                              <w:spacing w:before="87" w:line="307" w:lineRule="auto"/>
                              <w:ind w:right="73"/>
                              <w:rPr>
                                <w:rFonts w:ascii="Times New Roman" w:hAnsi="Times New Roman" w:cs="Times New Roman"/>
                                <w:sz w:val="22"/>
                                <w:szCs w:val="20"/>
                                <w:lang w:val="en-US" w:bidi="ar-SA"/>
                              </w:rPr>
                            </w:pPr>
                            <w:r>
                              <w:rPr>
                                <w:rFonts w:ascii="Times New Roman" w:hAnsi="Times New Roman" w:cs="Times New Roman"/>
                                <w:sz w:val="22"/>
                                <w:szCs w:val="20"/>
                                <w:lang w:val="en-US" w:bidi="ar-SA"/>
                              </w:rPr>
                              <w:t>5、参加政府采购活动前三年内，在经营活动中没有重大违法记录，投标人提供书面声明（见格式文件）； 投标人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6488" w:type="dxa"/>
                          </w:tcPr>
                          <w:p>
                            <w:pPr>
                              <w:pStyle w:val="183"/>
                              <w:spacing w:before="87"/>
                              <w:rPr>
                                <w:sz w:val="28"/>
                              </w:rPr>
                            </w:pPr>
                            <w:r>
                              <w:rPr>
                                <w:rFonts w:ascii="Times New Roman" w:hAnsi="Times New Roman" w:cs="Times New Roman"/>
                                <w:sz w:val="22"/>
                                <w:szCs w:val="20"/>
                                <w:lang w:val="en-US" w:bidi="ar-SA"/>
                              </w:rPr>
                              <w:t>6、保证金缴纳有效</w:t>
                            </w:r>
                            <w:r>
                              <w:rPr>
                                <w:rFonts w:hint="eastAsia" w:ascii="Times New Roman" w:hAnsi="Times New Roman" w:cs="Times New Roman"/>
                                <w:sz w:val="22"/>
                                <w:szCs w:val="20"/>
                                <w:lang w:val="en-US" w:bidi="ar-SA"/>
                              </w:rPr>
                              <w:t>。</w:t>
                            </w:r>
                          </w:p>
                        </w:tc>
                        <w:tc>
                          <w:tcPr>
                            <w:tcW w:w="1277" w:type="dxa"/>
                          </w:tcPr>
                          <w:p>
                            <w:pPr>
                              <w:pStyle w:val="183"/>
                              <w:rPr>
                                <w:rFonts w:ascii="Times New Roman"/>
                                <w:sz w:val="28"/>
                              </w:rPr>
                            </w:pPr>
                          </w:p>
                        </w:tc>
                        <w:tc>
                          <w:tcPr>
                            <w:tcW w:w="1274" w:type="dxa"/>
                          </w:tcPr>
                          <w:p>
                            <w:pPr>
                              <w:pStyle w:val="183"/>
                              <w:rPr>
                                <w:rFonts w:ascii="Times New Roman"/>
                                <w:sz w:val="28"/>
                              </w:rPr>
                            </w:pPr>
                          </w:p>
                        </w:tc>
                        <w:tc>
                          <w:tcPr>
                            <w:tcW w:w="532" w:type="dxa"/>
                          </w:tcPr>
                          <w:p>
                            <w:pPr>
                              <w:pStyle w:val="183"/>
                              <w:rPr>
                                <w:rFonts w:ascii="Times New Roman"/>
                                <w:sz w:val="28"/>
                              </w:rPr>
                            </w:pPr>
                          </w:p>
                        </w:tc>
                      </w:tr>
                    </w:tbl>
                    <w:p>
                      <w:pPr>
                        <w:pStyle w:val="20"/>
                      </w:pPr>
                    </w:p>
                  </w:txbxContent>
                </v:textbox>
              </v:shape>
            </w:pict>
          </mc:Fallback>
        </mc:AlternateContent>
      </w:r>
      <w:r>
        <w:rPr>
          <w:rFonts w:hint="eastAsia" w:cs="Arial" w:asciiTheme="minorEastAsia" w:hAnsiTheme="minorEastAsia" w:eastAsiaTheme="minorEastAsia"/>
          <w:szCs w:val="24"/>
        </w:rPr>
        <w:t>依据政府采购相关法律法规规定,由采购人或采购代理机构对投标文件中的资格证明文件进行审查。资格审查资料表如下：</w:t>
      </w:r>
    </w:p>
    <w:p>
      <w:pPr>
        <w:spacing w:line="268" w:lineRule="auto"/>
        <w:rPr>
          <w:rFonts w:cs="Arial" w:asciiTheme="minorEastAsia" w:hAnsiTheme="minorEastAsia" w:eastAsiaTheme="minorEastAsia"/>
          <w:sz w:val="24"/>
        </w:rPr>
        <w:sectPr>
          <w:pgSz w:w="11910" w:h="16850"/>
          <w:pgMar w:top="1260" w:right="640" w:bottom="1020" w:left="920" w:header="0" w:footer="753" w:gutter="0"/>
          <w:cols w:space="720" w:num="1"/>
        </w:sectPr>
      </w:pPr>
    </w:p>
    <w:p>
      <w:pPr>
        <w:pStyle w:val="20"/>
        <w:spacing w:before="41" w:line="340" w:lineRule="exact"/>
        <w:ind w:left="498"/>
        <w:rPr>
          <w:rFonts w:cs="Arial" w:asciiTheme="minorEastAsia" w:hAnsiTheme="minorEastAsia" w:eastAsiaTheme="minorEastAsia"/>
          <w:szCs w:val="24"/>
        </w:rPr>
      </w:pPr>
      <w:r>
        <w:rPr>
          <w:rFonts w:hint="eastAsia" w:cs="Arial" w:asciiTheme="minorEastAsia" w:hAnsiTheme="minorEastAsia" w:eastAsiaTheme="minorEastAsia"/>
          <w:szCs w:val="24"/>
        </w:rPr>
        <w:t>注：</w:t>
      </w:r>
    </w:p>
    <w:p>
      <w:pPr>
        <w:pStyle w:val="20"/>
        <w:spacing w:before="7" w:line="223" w:lineRule="auto"/>
        <w:ind w:left="498" w:right="863" w:firstLine="523"/>
        <w:rPr>
          <w:rFonts w:cs="Arial" w:asciiTheme="minorEastAsia" w:hAnsiTheme="minorEastAsia" w:eastAsiaTheme="minorEastAsia"/>
          <w:szCs w:val="24"/>
        </w:rPr>
      </w:pPr>
      <w:r>
        <w:rPr>
          <w:rFonts w:hint="eastAsia" w:cs="Arial" w:asciiTheme="minorEastAsia" w:hAnsiTheme="minorEastAsia" w:eastAsiaTheme="minorEastAsia"/>
          <w:szCs w:val="24"/>
        </w:rPr>
        <w:t>○1 投标人按“三证合一”登记制度办理营业执照的，组织机构代码证、税务登记证（副本）以投标人所提供的营业执照（副本）复印件为准。投标人按“五证合一”登记制度办理营业执照的，组织机构代码证、税务登记证（副本） 和社会保险登记证以投标人所提供的营业执照（副本）复印件为准。</w:t>
      </w:r>
    </w:p>
    <w:p>
      <w:pPr>
        <w:pStyle w:val="20"/>
        <w:spacing w:line="414" w:lineRule="exact"/>
        <w:ind w:left="1022"/>
        <w:rPr>
          <w:rFonts w:cs="Arial" w:asciiTheme="minorEastAsia" w:hAnsiTheme="minorEastAsia" w:eastAsiaTheme="minorEastAsia"/>
          <w:szCs w:val="24"/>
        </w:rPr>
      </w:pPr>
      <w:r>
        <w:rPr>
          <w:rFonts w:hint="eastAsia" w:cs="Arial" w:asciiTheme="minorEastAsia" w:hAnsiTheme="minorEastAsia" w:eastAsiaTheme="minorEastAsia"/>
          <w:szCs w:val="24"/>
        </w:rPr>
        <w:t>○2 根据《中华人民共和国政府采购法实施条例》第十九条“参加政府采购</w:t>
      </w:r>
    </w:p>
    <w:p>
      <w:pPr>
        <w:pStyle w:val="20"/>
        <w:spacing w:line="342" w:lineRule="exact"/>
        <w:ind w:left="498"/>
        <w:rPr>
          <w:rFonts w:cs="Arial" w:asciiTheme="minorEastAsia" w:hAnsiTheme="minorEastAsia" w:eastAsiaTheme="minorEastAsia"/>
          <w:szCs w:val="24"/>
        </w:rPr>
      </w:pPr>
      <w:r>
        <w:rPr>
          <w:rFonts w:hint="eastAsia" w:cs="Arial" w:asciiTheme="minorEastAsia" w:hAnsiTheme="minorEastAsia" w:eastAsiaTheme="minorEastAsia"/>
          <w:szCs w:val="24"/>
        </w:rPr>
        <w:t>活动前三年内，在经营活动中没有重大违法记录”中“重大违法记录”，是指</w:t>
      </w:r>
    </w:p>
    <w:p>
      <w:pPr>
        <w:pStyle w:val="20"/>
        <w:spacing w:before="42" w:line="266" w:lineRule="auto"/>
        <w:ind w:left="498" w:right="884"/>
        <w:rPr>
          <w:rFonts w:cs="Arial" w:asciiTheme="minorEastAsia" w:hAnsiTheme="minorEastAsia" w:eastAsiaTheme="minorEastAsia"/>
          <w:szCs w:val="24"/>
        </w:rPr>
      </w:pPr>
      <w:r>
        <w:rPr>
          <w:rFonts w:hint="eastAsia" w:cs="Arial" w:asciiTheme="minorEastAsia" w:hAnsiTheme="minorEastAsia" w:eastAsiaTheme="minorEastAsia"/>
          <w:szCs w:val="24"/>
        </w:rPr>
        <w:t>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400" w:lineRule="atLeast"/>
        <w:ind w:left="420"/>
        <w:rPr>
          <w:rFonts w:cs="Arial" w:asciiTheme="minorEastAsia" w:hAnsiTheme="minorEastAsia" w:eastAsiaTheme="minorEastAsia"/>
          <w:sz w:val="24"/>
        </w:rPr>
      </w:pPr>
    </w:p>
    <w:p>
      <w:pPr>
        <w:ind w:firstLine="3514" w:firstLineChars="1250"/>
        <w:rPr>
          <w:rFonts w:asciiTheme="minorEastAsia" w:hAnsiTheme="minorEastAsia" w:eastAsiaTheme="minorEastAsia"/>
          <w:b/>
          <w:kern w:val="0"/>
          <w:sz w:val="28"/>
        </w:rPr>
      </w:pPr>
      <w:r>
        <w:rPr>
          <w:rFonts w:hint="eastAsia" w:asciiTheme="minorEastAsia" w:hAnsiTheme="minorEastAsia" w:eastAsiaTheme="minorEastAsia"/>
          <w:b/>
          <w:kern w:val="0"/>
          <w:sz w:val="28"/>
        </w:rPr>
        <w:t>投标文件符合性审查表</w:t>
      </w:r>
    </w:p>
    <w:tbl>
      <w:tblPr>
        <w:tblStyle w:val="50"/>
        <w:tblpPr w:leftFromText="180" w:rightFromText="180" w:vertAnchor="text" w:horzAnchor="page" w:tblpX="1294" w:tblpY="116"/>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1701"/>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widowControl/>
              <w:jc w:val="left"/>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3827" w:type="dxa"/>
            <w:vAlign w:val="center"/>
          </w:tcPr>
          <w:p>
            <w:pPr>
              <w:widowControl/>
              <w:jc w:val="left"/>
              <w:rPr>
                <w:rFonts w:asciiTheme="minorEastAsia" w:hAnsiTheme="minorEastAsia" w:eastAsiaTheme="minorEastAsia"/>
                <w:kern w:val="0"/>
                <w:sz w:val="24"/>
              </w:rPr>
            </w:pPr>
            <w:r>
              <w:rPr>
                <w:rFonts w:hint="eastAsia" w:asciiTheme="minorEastAsia" w:hAnsiTheme="minorEastAsia" w:eastAsiaTheme="minorEastAsia"/>
                <w:kern w:val="0"/>
                <w:sz w:val="24"/>
              </w:rPr>
              <w:t>评审内容</w:t>
            </w:r>
          </w:p>
        </w:tc>
        <w:tc>
          <w:tcPr>
            <w:tcW w:w="1701"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供应商</w:t>
            </w:r>
            <w:r>
              <w:rPr>
                <w:rFonts w:asciiTheme="minorEastAsia" w:hAnsiTheme="minorEastAsia" w:eastAsiaTheme="minorEastAsia"/>
                <w:kern w:val="0"/>
                <w:sz w:val="24"/>
              </w:rPr>
              <w:t>1</w:t>
            </w:r>
          </w:p>
        </w:tc>
        <w:tc>
          <w:tcPr>
            <w:tcW w:w="1560"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供应商</w:t>
            </w:r>
            <w:r>
              <w:rPr>
                <w:rFonts w:asciiTheme="minorEastAsia" w:hAnsiTheme="minorEastAsia" w:eastAsiaTheme="minorEastAsia"/>
                <w:kern w:val="0"/>
                <w:sz w:val="24"/>
              </w:rPr>
              <w:t>2</w:t>
            </w:r>
          </w:p>
        </w:tc>
        <w:tc>
          <w:tcPr>
            <w:tcW w:w="155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供应商</w:t>
            </w:r>
            <w:r>
              <w:rPr>
                <w:rFonts w:asciiTheme="minorEastAsia" w:hAnsiTheme="minorEastAsia" w:eastAsiaTheme="minorEastAsia"/>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1</w:t>
            </w:r>
          </w:p>
        </w:tc>
        <w:tc>
          <w:tcPr>
            <w:tcW w:w="3827"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供应商是否交纳投标保证金；</w:t>
            </w:r>
          </w:p>
        </w:tc>
        <w:tc>
          <w:tcPr>
            <w:tcW w:w="1701" w:type="dxa"/>
          </w:tcPr>
          <w:p>
            <w:pPr>
              <w:ind w:firstLine="240" w:firstLineChars="100"/>
              <w:rPr>
                <w:rFonts w:asciiTheme="minorEastAsia" w:hAnsiTheme="minorEastAsia" w:eastAsiaTheme="minorEastAsia"/>
                <w:kern w:val="0"/>
                <w:sz w:val="24"/>
              </w:rPr>
            </w:pPr>
          </w:p>
        </w:tc>
        <w:tc>
          <w:tcPr>
            <w:tcW w:w="1560" w:type="dxa"/>
          </w:tcPr>
          <w:p>
            <w:pPr>
              <w:ind w:firstLine="240" w:firstLineChars="100"/>
              <w:rPr>
                <w:rFonts w:asciiTheme="minorEastAsia" w:hAnsiTheme="minorEastAsia" w:eastAsiaTheme="minorEastAsia"/>
                <w:kern w:val="0"/>
                <w:sz w:val="24"/>
              </w:rPr>
            </w:pPr>
          </w:p>
        </w:tc>
        <w:tc>
          <w:tcPr>
            <w:tcW w:w="1559" w:type="dxa"/>
          </w:tcPr>
          <w:p>
            <w:pPr>
              <w:ind w:firstLine="240" w:firstLineChars="100"/>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7"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2</w:t>
            </w:r>
          </w:p>
        </w:tc>
        <w:tc>
          <w:tcPr>
            <w:tcW w:w="3827"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供应商资格证明文件是否满足招标文件要求；</w:t>
            </w:r>
          </w:p>
        </w:tc>
        <w:tc>
          <w:tcPr>
            <w:tcW w:w="1701" w:type="dxa"/>
          </w:tcPr>
          <w:p>
            <w:pPr>
              <w:rPr>
                <w:rFonts w:asciiTheme="minorEastAsia" w:hAnsiTheme="minorEastAsia" w:eastAsiaTheme="minorEastAsia"/>
                <w:kern w:val="0"/>
                <w:sz w:val="24"/>
              </w:rPr>
            </w:pPr>
          </w:p>
        </w:tc>
        <w:tc>
          <w:tcPr>
            <w:tcW w:w="1560"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3</w:t>
            </w:r>
          </w:p>
        </w:tc>
        <w:tc>
          <w:tcPr>
            <w:tcW w:w="3827"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投标文件是否按照招标文件规定要求密封、签署、盖章；</w:t>
            </w:r>
          </w:p>
        </w:tc>
        <w:tc>
          <w:tcPr>
            <w:tcW w:w="1701" w:type="dxa"/>
          </w:tcPr>
          <w:p>
            <w:pPr>
              <w:rPr>
                <w:rFonts w:asciiTheme="minorEastAsia" w:hAnsiTheme="minorEastAsia" w:eastAsiaTheme="minorEastAsia"/>
                <w:kern w:val="0"/>
                <w:sz w:val="24"/>
              </w:rPr>
            </w:pPr>
          </w:p>
        </w:tc>
        <w:tc>
          <w:tcPr>
            <w:tcW w:w="1560"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4</w:t>
            </w:r>
          </w:p>
        </w:tc>
        <w:tc>
          <w:tcPr>
            <w:tcW w:w="3827"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供应商的投标报价未超过采购预算价；</w:t>
            </w:r>
          </w:p>
        </w:tc>
        <w:tc>
          <w:tcPr>
            <w:tcW w:w="1701" w:type="dxa"/>
          </w:tcPr>
          <w:p>
            <w:pPr>
              <w:rPr>
                <w:rFonts w:asciiTheme="minorEastAsia" w:hAnsiTheme="minorEastAsia" w:eastAsiaTheme="minorEastAsia"/>
                <w:kern w:val="0"/>
                <w:sz w:val="24"/>
              </w:rPr>
            </w:pPr>
          </w:p>
        </w:tc>
        <w:tc>
          <w:tcPr>
            <w:tcW w:w="1560"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7"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5</w:t>
            </w:r>
          </w:p>
        </w:tc>
        <w:tc>
          <w:tcPr>
            <w:tcW w:w="3827"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供应商是否符合法律、法规和招标文件中规定的其他实质性要求；</w:t>
            </w:r>
          </w:p>
        </w:tc>
        <w:tc>
          <w:tcPr>
            <w:tcW w:w="1701" w:type="dxa"/>
          </w:tcPr>
          <w:p>
            <w:pPr>
              <w:rPr>
                <w:rFonts w:asciiTheme="minorEastAsia" w:hAnsiTheme="minorEastAsia" w:eastAsiaTheme="minorEastAsia"/>
                <w:kern w:val="0"/>
                <w:sz w:val="24"/>
              </w:rPr>
            </w:pPr>
          </w:p>
        </w:tc>
        <w:tc>
          <w:tcPr>
            <w:tcW w:w="1560"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7"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6</w:t>
            </w:r>
          </w:p>
        </w:tc>
        <w:tc>
          <w:tcPr>
            <w:tcW w:w="3827"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投标文件的有效性、完整性是否响应招标文件要求，是否对招标文件的实质性要求作出响应。</w:t>
            </w:r>
          </w:p>
        </w:tc>
        <w:tc>
          <w:tcPr>
            <w:tcW w:w="1701" w:type="dxa"/>
          </w:tcPr>
          <w:p>
            <w:pPr>
              <w:ind w:firstLine="360" w:firstLineChars="150"/>
              <w:rPr>
                <w:rFonts w:asciiTheme="minorEastAsia" w:hAnsiTheme="minorEastAsia" w:eastAsiaTheme="minorEastAsia"/>
                <w:kern w:val="0"/>
                <w:sz w:val="24"/>
              </w:rPr>
            </w:pPr>
          </w:p>
        </w:tc>
        <w:tc>
          <w:tcPr>
            <w:tcW w:w="1560" w:type="dxa"/>
          </w:tcPr>
          <w:p>
            <w:pPr>
              <w:ind w:firstLine="360" w:firstLineChars="150"/>
              <w:rPr>
                <w:rFonts w:asciiTheme="minorEastAsia" w:hAnsiTheme="minorEastAsia" w:eastAsiaTheme="minorEastAsia"/>
                <w:kern w:val="0"/>
                <w:sz w:val="24"/>
              </w:rPr>
            </w:pPr>
          </w:p>
        </w:tc>
        <w:tc>
          <w:tcPr>
            <w:tcW w:w="1559" w:type="dxa"/>
          </w:tcPr>
          <w:p>
            <w:pPr>
              <w:ind w:firstLine="360" w:firstLineChars="150"/>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644" w:type="dxa"/>
            <w:gridSpan w:val="2"/>
            <w:vAlign w:val="center"/>
          </w:tcPr>
          <w:p>
            <w:pPr>
              <w:spacing w:line="360" w:lineRule="auto"/>
              <w:rPr>
                <w:rFonts w:cs="宋体" w:asciiTheme="minorEastAsia" w:hAnsiTheme="minorEastAsia" w:eastAsiaTheme="minorEastAsia"/>
                <w:kern w:val="0"/>
                <w:sz w:val="24"/>
              </w:rPr>
            </w:pPr>
            <w:r>
              <w:rPr>
                <w:rFonts w:hint="eastAsia" w:asciiTheme="minorEastAsia" w:hAnsiTheme="minorEastAsia" w:eastAsiaTheme="minorEastAsia"/>
                <w:kern w:val="0"/>
                <w:sz w:val="24"/>
              </w:rPr>
              <w:t>结论:（</w:t>
            </w:r>
            <w:r>
              <w:rPr>
                <w:rFonts w:asciiTheme="minorEastAsia" w:hAnsiTheme="minorEastAsia" w:eastAsiaTheme="minorEastAsia"/>
                <w:kern w:val="0"/>
                <w:sz w:val="24"/>
              </w:rPr>
              <w:t>1</w:t>
            </w:r>
            <w:r>
              <w:rPr>
                <w:rFonts w:hint="eastAsia" w:asciiTheme="minorEastAsia" w:hAnsiTheme="minorEastAsia" w:eastAsiaTheme="minorEastAsia"/>
                <w:kern w:val="0"/>
                <w:sz w:val="24"/>
              </w:rPr>
              <w:t>）合格用“√”表示；（</w:t>
            </w:r>
            <w:r>
              <w:rPr>
                <w:rFonts w:asciiTheme="minorEastAsia" w:hAnsiTheme="minorEastAsia" w:eastAsiaTheme="minorEastAsia"/>
                <w:kern w:val="0"/>
                <w:sz w:val="24"/>
              </w:rPr>
              <w:t>2</w:t>
            </w:r>
            <w:r>
              <w:rPr>
                <w:rFonts w:hint="eastAsia" w:asciiTheme="minorEastAsia" w:hAnsiTheme="minorEastAsia" w:eastAsiaTheme="minorEastAsia"/>
                <w:kern w:val="0"/>
                <w:sz w:val="24"/>
              </w:rPr>
              <w:t>）不合格用“×”表示。</w:t>
            </w:r>
          </w:p>
        </w:tc>
        <w:tc>
          <w:tcPr>
            <w:tcW w:w="1701" w:type="dxa"/>
          </w:tcPr>
          <w:p>
            <w:pPr>
              <w:ind w:firstLine="360" w:firstLineChars="150"/>
              <w:rPr>
                <w:rFonts w:asciiTheme="minorEastAsia" w:hAnsiTheme="minorEastAsia" w:eastAsiaTheme="minorEastAsia"/>
                <w:kern w:val="0"/>
                <w:sz w:val="24"/>
              </w:rPr>
            </w:pPr>
          </w:p>
        </w:tc>
        <w:tc>
          <w:tcPr>
            <w:tcW w:w="1560" w:type="dxa"/>
          </w:tcPr>
          <w:p>
            <w:pPr>
              <w:ind w:firstLine="360" w:firstLineChars="150"/>
              <w:rPr>
                <w:rFonts w:asciiTheme="minorEastAsia" w:hAnsiTheme="minorEastAsia" w:eastAsiaTheme="minorEastAsia"/>
                <w:kern w:val="0"/>
                <w:sz w:val="24"/>
              </w:rPr>
            </w:pPr>
          </w:p>
        </w:tc>
        <w:tc>
          <w:tcPr>
            <w:tcW w:w="1559" w:type="dxa"/>
          </w:tcPr>
          <w:p>
            <w:pPr>
              <w:ind w:firstLine="360" w:firstLineChars="150"/>
              <w:rPr>
                <w:rFonts w:asciiTheme="minorEastAsia" w:hAnsiTheme="minorEastAsia" w:eastAsiaTheme="minorEastAsia"/>
                <w:kern w:val="0"/>
                <w:sz w:val="24"/>
              </w:rPr>
            </w:pPr>
          </w:p>
        </w:tc>
      </w:tr>
    </w:tbl>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asciiTheme="minorEastAsia" w:hAnsiTheme="minorEastAsia" w:eastAsiaTheme="minorEastAsia"/>
          <w:b/>
          <w:kern w:val="0"/>
          <w:sz w:val="24"/>
        </w:rPr>
      </w:pPr>
    </w:p>
    <w:p>
      <w:pPr>
        <w:spacing w:line="360" w:lineRule="auto"/>
        <w:ind w:firstLine="482" w:firstLineChars="200"/>
        <w:rPr>
          <w:rFonts w:cs="宋体" w:asciiTheme="minorEastAsia" w:hAnsiTheme="minorEastAsia" w:eastAsiaTheme="minorEastAsia"/>
          <w:kern w:val="0"/>
          <w:sz w:val="24"/>
        </w:rPr>
      </w:pPr>
      <w:r>
        <w:rPr>
          <w:rFonts w:hint="eastAsia" w:asciiTheme="minorEastAsia" w:hAnsiTheme="minorEastAsia" w:eastAsiaTheme="minorEastAsia"/>
          <w:b/>
          <w:kern w:val="0"/>
          <w:sz w:val="24"/>
        </w:rPr>
        <w:t>备注：</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如果投标文件中有一项未通过上述审查标准，评标委员会将认定整个投标文件未响应招标文件而予以废标处理。</w:t>
      </w: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表中所述分项评审结果分两种：（</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）合格用“√”表示；（</w:t>
      </w: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）不合格用“×”表示</w:t>
      </w:r>
      <w:r>
        <w:rPr>
          <w:rFonts w:hint="eastAsia" w:cs="宋体" w:asciiTheme="minorEastAsia" w:hAnsiTheme="minorEastAsia" w:eastAsiaTheme="minorEastAsia"/>
          <w:kern w:val="0"/>
          <w:sz w:val="24"/>
        </w:rPr>
        <w:t>。</w:t>
      </w:r>
    </w:p>
    <w:p>
      <w:pPr>
        <w:spacing w:line="400" w:lineRule="atLeast"/>
        <w:ind w:left="420"/>
        <w:rPr>
          <w:rFonts w:cs="Arial" w:asciiTheme="minorEastAsia" w:hAnsiTheme="minorEastAsia" w:eastAsiaTheme="minorEastAsia"/>
          <w:sz w:val="24"/>
        </w:rPr>
      </w:pPr>
    </w:p>
    <w:p>
      <w:pPr>
        <w:numPr>
          <w:ilvl w:val="0"/>
          <w:numId w:val="15"/>
        </w:numPr>
        <w:spacing w:line="360" w:lineRule="auto"/>
        <w:ind w:firstLine="420"/>
        <w:rPr>
          <w:rFonts w:cs="Arial" w:asciiTheme="minorEastAsia" w:hAnsiTheme="minorEastAsia" w:eastAsiaTheme="minorEastAsia"/>
          <w:sz w:val="24"/>
        </w:rPr>
      </w:pPr>
      <w:r>
        <w:rPr>
          <w:rFonts w:hint="eastAsia" w:cs="Arial" w:asciiTheme="minorEastAsia" w:hAnsiTheme="minorEastAsia" w:eastAsiaTheme="minorEastAsia"/>
          <w:sz w:val="24"/>
        </w:rPr>
        <w:t>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投标商的义务的规定，而纠正这些偏离将影响到其他提交实质性响应投标的投标商的公平竞争地位。其中，供应商的报价超出采购预算的、供应商未按招标文件要求提供完整资料的，均视为未实质性响应招标文件的要求，</w:t>
      </w:r>
      <w:r>
        <w:rPr>
          <w:rFonts w:hint="eastAsia" w:cs="宋体" w:asciiTheme="minorEastAsia" w:hAnsiTheme="minorEastAsia" w:eastAsiaTheme="minorEastAsia"/>
          <w:sz w:val="24"/>
        </w:rPr>
        <w:t>其投标文件可能被拒绝或导致废标</w:t>
      </w:r>
      <w:r>
        <w:rPr>
          <w:rFonts w:hint="eastAsia" w:cs="Arial" w:asciiTheme="minorEastAsia" w:hAnsiTheme="minorEastAsia" w:eastAsiaTheme="minorEastAsia"/>
          <w:sz w:val="24"/>
        </w:rPr>
        <w:t>。</w:t>
      </w:r>
    </w:p>
    <w:p>
      <w:pPr>
        <w:numPr>
          <w:ilvl w:val="0"/>
          <w:numId w:val="15"/>
        </w:numPr>
        <w:spacing w:line="400" w:lineRule="atLeast"/>
        <w:rPr>
          <w:rFonts w:cs="Arial" w:asciiTheme="minorEastAsia" w:hAnsiTheme="minorEastAsia" w:eastAsiaTheme="minorEastAsia"/>
          <w:sz w:val="24"/>
        </w:rPr>
      </w:pPr>
      <w:r>
        <w:rPr>
          <w:rFonts w:hint="eastAsia" w:cs="Arial" w:asciiTheme="minorEastAsia" w:hAnsiTheme="minorEastAsia" w:eastAsiaTheme="minorEastAsia"/>
          <w:sz w:val="24"/>
        </w:rPr>
        <w:t>对投标文件的评估和比较</w:t>
      </w:r>
    </w:p>
    <w:p>
      <w:pPr>
        <w:spacing w:line="360" w:lineRule="auto"/>
        <w:ind w:firstLine="480" w:firstLineChars="200"/>
        <w:rPr>
          <w:rFonts w:cs="Arial" w:asciiTheme="minorEastAsia" w:hAnsiTheme="minorEastAsia" w:eastAsiaTheme="minorEastAsia"/>
          <w:bCs/>
          <w:sz w:val="24"/>
        </w:rPr>
      </w:pPr>
      <w:r>
        <w:rPr>
          <w:rFonts w:hint="eastAsia" w:cs="Arial" w:asciiTheme="minorEastAsia" w:hAnsiTheme="minorEastAsia" w:eastAsiaTheme="minorEastAsia"/>
          <w:bCs/>
          <w:sz w:val="24"/>
        </w:rPr>
        <w:t>对投标文件的评估和比较分为两步进行，评标委员会按照招标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w:t>
      </w:r>
    </w:p>
    <w:p>
      <w:pPr>
        <w:spacing w:line="360" w:lineRule="auto"/>
        <w:rPr>
          <w:rFonts w:asciiTheme="minorEastAsia" w:hAnsiTheme="minorEastAsia" w:eastAsiaTheme="minorEastAsia"/>
        </w:rPr>
      </w:pPr>
      <w:r>
        <w:rPr>
          <w:rFonts w:hint="eastAsia" w:asciiTheme="minorEastAsia" w:hAnsiTheme="minorEastAsia" w:eastAsiaTheme="minorEastAsia"/>
        </w:rPr>
        <w:t>评价指标及权重：</w:t>
      </w:r>
    </w:p>
    <w:tbl>
      <w:tblPr>
        <w:tblStyle w:val="50"/>
        <w:tblW w:w="9212" w:type="dxa"/>
        <w:jc w:val="center"/>
        <w:tblLayout w:type="fixed"/>
        <w:tblCellMar>
          <w:top w:w="0" w:type="dxa"/>
          <w:left w:w="0" w:type="dxa"/>
          <w:bottom w:w="0" w:type="dxa"/>
          <w:right w:w="0" w:type="dxa"/>
        </w:tblCellMar>
      </w:tblPr>
      <w:tblGrid>
        <w:gridCol w:w="2537"/>
        <w:gridCol w:w="2614"/>
        <w:gridCol w:w="1728"/>
        <w:gridCol w:w="2333"/>
      </w:tblGrid>
      <w:tr>
        <w:tblPrEx>
          <w:tblCellMar>
            <w:top w:w="0" w:type="dxa"/>
            <w:left w:w="0" w:type="dxa"/>
            <w:bottom w:w="0" w:type="dxa"/>
            <w:right w:w="0" w:type="dxa"/>
          </w:tblCellMar>
        </w:tblPrEx>
        <w:trPr>
          <w:trHeight w:val="382" w:hRule="atLeast"/>
          <w:jc w:val="center"/>
        </w:trPr>
        <w:tc>
          <w:tcPr>
            <w:tcW w:w="25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asciiTheme="minorEastAsia" w:hAnsiTheme="minorEastAsia" w:eastAsiaTheme="minorEastAsia"/>
                <w:b/>
                <w:bCs/>
                <w:color w:val="FF0000"/>
                <w:kern w:val="0"/>
                <w:szCs w:val="21"/>
              </w:rPr>
              <w:t>评分项目</w:t>
            </w:r>
          </w:p>
        </w:tc>
        <w:tc>
          <w:tcPr>
            <w:tcW w:w="26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asciiTheme="minorEastAsia" w:hAnsiTheme="minorEastAsia" w:eastAsiaTheme="minorEastAsia"/>
                <w:b/>
                <w:bCs/>
                <w:color w:val="FF0000"/>
                <w:kern w:val="0"/>
                <w:szCs w:val="21"/>
              </w:rPr>
              <w:t>技术评分</w:t>
            </w:r>
          </w:p>
        </w:tc>
        <w:tc>
          <w:tcPr>
            <w:tcW w:w="1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asciiTheme="minorEastAsia" w:hAnsiTheme="minorEastAsia" w:eastAsiaTheme="minorEastAsia"/>
                <w:b/>
                <w:bCs/>
                <w:color w:val="FF0000"/>
                <w:kern w:val="0"/>
                <w:szCs w:val="21"/>
              </w:rPr>
              <w:t>商务评分</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asciiTheme="minorEastAsia" w:hAnsiTheme="minorEastAsia" w:eastAsiaTheme="minorEastAsia"/>
                <w:b/>
                <w:bCs/>
                <w:color w:val="FF0000"/>
                <w:kern w:val="0"/>
                <w:szCs w:val="21"/>
              </w:rPr>
              <w:t>价格评分</w:t>
            </w:r>
          </w:p>
        </w:tc>
      </w:tr>
      <w:tr>
        <w:tblPrEx>
          <w:tblCellMar>
            <w:top w:w="0" w:type="dxa"/>
            <w:left w:w="0" w:type="dxa"/>
            <w:bottom w:w="0" w:type="dxa"/>
            <w:right w:w="0" w:type="dxa"/>
          </w:tblCellMar>
        </w:tblPrEx>
        <w:trPr>
          <w:trHeight w:val="402" w:hRule="atLeast"/>
          <w:jc w:val="center"/>
        </w:trPr>
        <w:tc>
          <w:tcPr>
            <w:tcW w:w="25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asciiTheme="minorEastAsia" w:hAnsiTheme="minorEastAsia" w:eastAsiaTheme="minorEastAsia"/>
                <w:b/>
                <w:bCs/>
                <w:color w:val="FF0000"/>
                <w:kern w:val="0"/>
                <w:szCs w:val="21"/>
              </w:rPr>
              <w:t>分值</w:t>
            </w:r>
          </w:p>
        </w:tc>
        <w:tc>
          <w:tcPr>
            <w:tcW w:w="26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hint="eastAsia" w:asciiTheme="minorEastAsia" w:hAnsiTheme="minorEastAsia" w:eastAsiaTheme="minorEastAsia"/>
                <w:b/>
                <w:bCs/>
                <w:color w:val="FF0000"/>
                <w:kern w:val="0"/>
                <w:szCs w:val="21"/>
              </w:rPr>
              <w:t>50</w:t>
            </w:r>
            <w:r>
              <w:rPr>
                <w:rFonts w:asciiTheme="minorEastAsia" w:hAnsiTheme="minorEastAsia" w:eastAsiaTheme="minorEastAsia"/>
                <w:b/>
                <w:bCs/>
                <w:color w:val="FF0000"/>
                <w:kern w:val="0"/>
                <w:szCs w:val="21"/>
              </w:rPr>
              <w:t>分</w:t>
            </w:r>
          </w:p>
        </w:tc>
        <w:tc>
          <w:tcPr>
            <w:tcW w:w="1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hint="eastAsia" w:asciiTheme="minorEastAsia" w:hAnsiTheme="minorEastAsia" w:eastAsiaTheme="minorEastAsia"/>
                <w:b/>
                <w:bCs/>
                <w:color w:val="FF0000"/>
                <w:kern w:val="0"/>
                <w:szCs w:val="21"/>
              </w:rPr>
              <w:t>20</w:t>
            </w:r>
            <w:r>
              <w:rPr>
                <w:rFonts w:asciiTheme="minorEastAsia" w:hAnsiTheme="minorEastAsia" w:eastAsiaTheme="minorEastAsia"/>
                <w:b/>
                <w:bCs/>
                <w:color w:val="FF0000"/>
                <w:kern w:val="0"/>
                <w:szCs w:val="21"/>
              </w:rPr>
              <w:t>分</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b/>
                <w:bCs/>
                <w:color w:val="FF0000"/>
                <w:kern w:val="0"/>
                <w:szCs w:val="21"/>
              </w:rPr>
            </w:pPr>
            <w:r>
              <w:rPr>
                <w:rFonts w:asciiTheme="minorEastAsia" w:hAnsiTheme="minorEastAsia" w:eastAsiaTheme="minorEastAsia"/>
                <w:b/>
                <w:bCs/>
                <w:color w:val="FF0000"/>
                <w:kern w:val="0"/>
                <w:szCs w:val="21"/>
              </w:rPr>
              <w:t>30分</w:t>
            </w:r>
          </w:p>
        </w:tc>
      </w:tr>
    </w:tbl>
    <w:p>
      <w:pPr>
        <w:rPr>
          <w:rFonts w:ascii="黑体" w:hAnsi="黑体" w:eastAsia="黑体" w:cs="黑体"/>
          <w:sz w:val="28"/>
          <w:szCs w:val="28"/>
        </w:rPr>
      </w:pPr>
      <w:r>
        <w:rPr>
          <w:rFonts w:hint="eastAsia" w:ascii="黑体" w:hAnsi="黑体" w:eastAsia="黑体" w:cs="黑体"/>
          <w:sz w:val="28"/>
          <w:szCs w:val="28"/>
        </w:rPr>
        <w:t>价格部分（</w:t>
      </w:r>
      <w:r>
        <w:rPr>
          <w:rFonts w:ascii="黑体" w:hAnsi="黑体" w:eastAsia="黑体" w:cs="黑体"/>
          <w:sz w:val="28"/>
          <w:szCs w:val="28"/>
        </w:rPr>
        <w:t>30</w:t>
      </w:r>
      <w:r>
        <w:rPr>
          <w:rFonts w:hint="eastAsia" w:ascii="黑体" w:hAnsi="黑体" w:eastAsia="黑体" w:cs="黑体"/>
          <w:sz w:val="28"/>
          <w:szCs w:val="28"/>
        </w:rPr>
        <w:t>分）</w:t>
      </w:r>
    </w:p>
    <w:p>
      <w:pPr>
        <w:pStyle w:val="317"/>
        <w:spacing w:line="360" w:lineRule="auto"/>
        <w:ind w:left="480" w:firstLine="0" w:firstLineChars="0"/>
        <w:rPr>
          <w:rFonts w:asciiTheme="minorEastAsia" w:hAnsiTheme="minorEastAsia"/>
          <w:b/>
          <w:sz w:val="24"/>
          <w:szCs w:val="24"/>
        </w:rPr>
      </w:pPr>
      <w:r>
        <w:rPr>
          <w:rFonts w:hint="eastAsia" w:cs="宋体" w:asciiTheme="minorEastAsia" w:hAnsiTheme="minorEastAsia" w:eastAsiaTheme="minorEastAsia"/>
          <w:b/>
          <w:sz w:val="24"/>
        </w:rPr>
        <w:t>投标报价的初步评审（本项目控制价为</w:t>
      </w:r>
      <w:r>
        <w:rPr>
          <w:rFonts w:hint="eastAsia" w:asciiTheme="minorEastAsia" w:hAnsiTheme="minorEastAsia"/>
          <w:b/>
          <w:sz w:val="24"/>
          <w:szCs w:val="24"/>
        </w:rPr>
        <w:t>1包：小写：1150 万元,大写：壹仟壹佰伍拾万元整;</w:t>
      </w:r>
    </w:p>
    <w:p>
      <w:pPr>
        <w:pStyle w:val="317"/>
        <w:spacing w:line="360" w:lineRule="auto"/>
        <w:ind w:left="480" w:firstLine="0" w:firstLineChars="0"/>
        <w:rPr>
          <w:rFonts w:asciiTheme="minorEastAsia" w:hAnsiTheme="minorEastAsia"/>
          <w:sz w:val="24"/>
          <w:szCs w:val="24"/>
        </w:rPr>
      </w:pPr>
      <w:r>
        <w:rPr>
          <w:rFonts w:hint="eastAsia" w:asciiTheme="minorEastAsia" w:hAnsiTheme="minorEastAsia"/>
          <w:b/>
          <w:sz w:val="24"/>
          <w:szCs w:val="24"/>
        </w:rPr>
        <w:t>2包：小写： 770万元,大写：柒佰柒拾万元整;3包：小写： 200 万元,大写：贰佰万元整</w:t>
      </w:r>
      <w:r>
        <w:rPr>
          <w:rFonts w:hint="eastAsia" w:cs="宋体" w:asciiTheme="minorEastAsia" w:hAnsiTheme="minorEastAsia" w:eastAsiaTheme="minorEastAsia"/>
          <w:b/>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依据《中华人民共和国招投标法》第33条、第41条及财政部令第87号（以下简称87号令）第六十条、《反不正当竞争法》中相关法律条款的内容规定。投标人须积极响应相关法律条文规定。</w:t>
      </w:r>
    </w:p>
    <w:p>
      <w:pPr>
        <w:spacing w:line="360" w:lineRule="auto"/>
        <w:ind w:firstLine="480" w:firstLineChars="200"/>
        <w:rPr>
          <w:rFonts w:cs="Arial" w:asciiTheme="minorEastAsia" w:hAnsiTheme="minorEastAsia" w:eastAsiaTheme="minorEastAsia"/>
          <w:sz w:val="24"/>
        </w:rPr>
      </w:pPr>
      <w:r>
        <w:rPr>
          <w:rFonts w:hint="eastAsia" w:cs="宋体" w:asciiTheme="minorEastAsia" w:hAnsiTheme="minorEastAsia" w:eastAsiaTheme="minorEastAsia"/>
          <w:sz w:val="24"/>
        </w:rPr>
        <w:t>当投标报价明显低于其他投标报价时，评标委员会将对其进行重点评审。评标委员会认为低于成本价的，应当要求该投标人作出书面说明并提供证明不低于其研发、生产、制造成本的证明材料（要求：①证明材料必须能符合或优于本项目所采购货物的实际情况；②证明材料必须以扫描件的形式插入投标文件相关章节中；③证明材料的原件开标时须携带备查；④提供证明材料的期限为竞标当日评标开始至评标结束，逾期不作任何解释；⑤证明材料的真实性必须有依据，以备当场核查）。投标人不能合理说明或者不能提供相关证明材料的，由评标委员会认定该投标人以低于成本报价竞价，应当否决其投标。</w:t>
      </w:r>
    </w:p>
    <w:p>
      <w:pPr>
        <w:spacing w:line="360" w:lineRule="auto"/>
        <w:rPr>
          <w:rFonts w:cs="Arial" w:asciiTheme="minorEastAsia" w:hAnsiTheme="minorEastAsia" w:eastAsiaTheme="minorEastAsia"/>
          <w:b/>
          <w:sz w:val="24"/>
        </w:rPr>
      </w:pPr>
      <w:r>
        <w:rPr>
          <w:rFonts w:hint="eastAsia" w:cs="Arial" w:asciiTheme="minorEastAsia" w:hAnsiTheme="minorEastAsia" w:eastAsiaTheme="minorEastAsia"/>
          <w:b/>
          <w:sz w:val="24"/>
        </w:rPr>
        <w:t>投标报价得分的评分方法：</w:t>
      </w:r>
    </w:p>
    <w:p>
      <w:pPr>
        <w:widowControl/>
        <w:spacing w:line="360" w:lineRule="auto"/>
        <w:ind w:firstLine="544" w:firstLineChars="227"/>
        <w:jc w:val="left"/>
        <w:rPr>
          <w:rFonts w:cs="黑体" w:asciiTheme="minorEastAsia" w:hAnsiTheme="minorEastAsia" w:eastAsiaTheme="minorEastAsia"/>
          <w:sz w:val="24"/>
        </w:rPr>
      </w:pPr>
      <w:r>
        <w:rPr>
          <w:rFonts w:hint="eastAsia" w:cs="黑体" w:asciiTheme="minorEastAsia" w:hAnsiTheme="minorEastAsia" w:eastAsiaTheme="minorEastAsia"/>
          <w:sz w:val="24"/>
        </w:rPr>
        <w:t>只对通过评标委员会对投标报价的初步评审的投标企业进入价格得分计算；</w:t>
      </w:r>
    </w:p>
    <w:p>
      <w:pPr>
        <w:widowControl/>
        <w:spacing w:line="360" w:lineRule="auto"/>
        <w:ind w:firstLine="544" w:firstLineChars="227"/>
        <w:jc w:val="left"/>
        <w:rPr>
          <w:rFonts w:cs="黑体" w:asciiTheme="minorEastAsia" w:hAnsiTheme="minorEastAsia" w:eastAsiaTheme="minorEastAsia"/>
          <w:sz w:val="24"/>
        </w:rPr>
      </w:pPr>
      <w:r>
        <w:rPr>
          <w:rFonts w:hint="eastAsia" w:cs="黑体" w:asciiTheme="minorEastAsia" w:hAnsiTheme="minorEastAsia" w:eastAsiaTheme="minorEastAsia"/>
          <w:sz w:val="24"/>
        </w:rPr>
        <w:t>采用低价优先法计算，即满足招标文件要求且经评审的投标价格最低的投标报价为评标基准价，其价格得分为满分。其他投标人的价格得分统一按照下列公式计算：价格得分</w:t>
      </w:r>
      <w:r>
        <w:rPr>
          <w:rFonts w:cs="黑体" w:asciiTheme="minorEastAsia" w:hAnsiTheme="minorEastAsia" w:eastAsiaTheme="minorEastAsia"/>
          <w:sz w:val="24"/>
        </w:rPr>
        <w:t>=</w:t>
      </w:r>
      <w:r>
        <w:rPr>
          <w:rFonts w:hint="eastAsia" w:cs="黑体" w:asciiTheme="minorEastAsia" w:hAnsiTheme="minorEastAsia" w:eastAsiaTheme="minorEastAsia"/>
          <w:sz w:val="24"/>
        </w:rPr>
        <w:t>（评标基准价</w:t>
      </w:r>
      <w:r>
        <w:rPr>
          <w:rFonts w:cs="黑体" w:asciiTheme="minorEastAsia" w:hAnsiTheme="minorEastAsia" w:eastAsiaTheme="minorEastAsia"/>
          <w:sz w:val="24"/>
        </w:rPr>
        <w:t>/</w:t>
      </w:r>
      <w:r>
        <w:rPr>
          <w:rFonts w:hint="eastAsia" w:cs="黑体" w:asciiTheme="minorEastAsia" w:hAnsiTheme="minorEastAsia" w:eastAsiaTheme="minorEastAsia"/>
          <w:sz w:val="24"/>
        </w:rPr>
        <w:t>投标报价）×</w:t>
      </w:r>
      <w:r>
        <w:rPr>
          <w:rFonts w:cs="黑体" w:asciiTheme="minorEastAsia" w:hAnsiTheme="minorEastAsia" w:eastAsiaTheme="minorEastAsia"/>
          <w:sz w:val="24"/>
        </w:rPr>
        <w:t>30%</w:t>
      </w:r>
      <w:r>
        <w:rPr>
          <w:rFonts w:hint="eastAsia" w:cs="黑体" w:asciiTheme="minorEastAsia" w:hAnsiTheme="minorEastAsia" w:eastAsiaTheme="minorEastAsia"/>
          <w:sz w:val="24"/>
        </w:rPr>
        <w:t>×</w:t>
      </w:r>
      <w:r>
        <w:rPr>
          <w:rFonts w:cs="黑体" w:asciiTheme="minorEastAsia" w:hAnsiTheme="minorEastAsia" w:eastAsiaTheme="minorEastAsia"/>
          <w:sz w:val="24"/>
        </w:rPr>
        <w:t>100</w:t>
      </w:r>
      <w:r>
        <w:rPr>
          <w:rFonts w:hint="eastAsia" w:cs="黑体" w:asciiTheme="minorEastAsia" w:hAnsiTheme="minorEastAsia" w:eastAsiaTheme="minorEastAsia"/>
          <w:sz w:val="24"/>
        </w:rPr>
        <w:t>，如此类推，算出所有投标供应商的价格得分。</w:t>
      </w:r>
    </w:p>
    <w:p>
      <w:pPr>
        <w:widowControl/>
        <w:spacing w:line="360" w:lineRule="auto"/>
        <w:ind w:firstLine="544" w:firstLineChars="227"/>
        <w:jc w:val="left"/>
        <w:rPr>
          <w:rFonts w:cs="宋体" w:asciiTheme="minorEastAsia" w:hAnsiTheme="minorEastAsia" w:eastAsiaTheme="minorEastAsia"/>
          <w:sz w:val="24"/>
        </w:rPr>
      </w:pPr>
    </w:p>
    <w:p>
      <w:pPr>
        <w:widowControl/>
        <w:spacing w:line="360" w:lineRule="auto"/>
        <w:ind w:firstLine="544" w:firstLineChars="227"/>
        <w:jc w:val="left"/>
        <w:rPr>
          <w:rFonts w:asciiTheme="minorEastAsia" w:hAnsiTheme="minorEastAsia" w:eastAsiaTheme="minorEastAsia"/>
          <w:sz w:val="24"/>
        </w:rPr>
      </w:pPr>
      <w:r>
        <w:rPr>
          <w:rFonts w:hint="eastAsia" w:cs="宋体" w:asciiTheme="minorEastAsia" w:hAnsiTheme="minorEastAsia" w:eastAsiaTheme="minorEastAsia"/>
          <w:sz w:val="24"/>
        </w:rPr>
        <w:t>法律、法规、规章和省级以上财政部门涉及政府采购政策功能及其他规定，见投标人须知前附表。评委会应根据招标文件规定，优先推荐节能环保产品，优先考虑中小企业。</w:t>
      </w:r>
    </w:p>
    <w:p>
      <w:pPr>
        <w:widowControl/>
        <w:spacing w:line="360" w:lineRule="auto"/>
        <w:ind w:firstLine="544" w:firstLineChars="227"/>
        <w:jc w:val="left"/>
        <w:rPr>
          <w:rFonts w:asciiTheme="minorEastAsia" w:hAnsiTheme="minorEastAsia" w:eastAsiaTheme="minorEastAsia"/>
          <w:sz w:val="24"/>
        </w:rPr>
      </w:pPr>
      <w:r>
        <w:rPr>
          <w:rFonts w:hint="eastAsia" w:cs="宋体" w:asciiTheme="minorEastAsia" w:hAnsiTheme="minorEastAsia" w:eastAsiaTheme="minorEastAsia"/>
          <w:sz w:val="24"/>
        </w:rPr>
        <w:t>投标人获得相应政府采购政策优惠的，应提供相关证明材料。</w:t>
      </w:r>
    </w:p>
    <w:p>
      <w:pPr>
        <w:widowControl/>
        <w:spacing w:line="360" w:lineRule="auto"/>
        <w:ind w:firstLine="544" w:firstLineChars="227"/>
        <w:jc w:val="left"/>
        <w:rPr>
          <w:rFonts w:cs="宋体" w:asciiTheme="minorEastAsia" w:hAnsiTheme="minorEastAsia" w:eastAsiaTheme="minorEastAsia"/>
          <w:sz w:val="24"/>
        </w:rPr>
      </w:pPr>
      <w:r>
        <w:rPr>
          <w:rFonts w:hint="eastAsia" w:cs="宋体" w:asciiTheme="minorEastAsia" w:hAnsiTheme="minorEastAsia" w:eastAsiaTheme="minorEastAsia"/>
          <w:sz w:val="24"/>
        </w:rPr>
        <w:t>对中小微企业执行财库〔</w:t>
      </w:r>
      <w:r>
        <w:rPr>
          <w:rFonts w:asciiTheme="minorEastAsia" w:hAnsiTheme="minorEastAsia" w:eastAsiaTheme="minorEastAsia"/>
          <w:sz w:val="24"/>
        </w:rPr>
        <w:t>2011</w:t>
      </w:r>
      <w:r>
        <w:rPr>
          <w:rFonts w:hint="eastAsia" w:cs="宋体" w:asciiTheme="minorEastAsia" w:hAnsiTheme="minorEastAsia" w:eastAsiaTheme="minorEastAsia"/>
          <w:sz w:val="24"/>
        </w:rPr>
        <w:t>〕</w:t>
      </w:r>
      <w:r>
        <w:rPr>
          <w:rFonts w:asciiTheme="minorEastAsia" w:hAnsiTheme="minorEastAsia" w:eastAsiaTheme="minorEastAsia"/>
          <w:sz w:val="24"/>
        </w:rPr>
        <w:t>181</w:t>
      </w:r>
      <w:r>
        <w:rPr>
          <w:rFonts w:hint="eastAsia" w:cs="宋体" w:asciiTheme="minorEastAsia" w:hAnsiTheme="minorEastAsia" w:eastAsiaTheme="minorEastAsia"/>
          <w:sz w:val="24"/>
        </w:rPr>
        <w:t>号文件的规定，对其投标报价按</w:t>
      </w:r>
      <w:r>
        <w:rPr>
          <w:rFonts w:asciiTheme="minorEastAsia" w:hAnsiTheme="minorEastAsia" w:eastAsiaTheme="minorEastAsia"/>
          <w:sz w:val="24"/>
        </w:rPr>
        <w:t>6%</w:t>
      </w:r>
      <w:r>
        <w:rPr>
          <w:rFonts w:hint="eastAsia" w:cs="宋体" w:asciiTheme="minorEastAsia" w:hAnsiTheme="minorEastAsia" w:eastAsiaTheme="minorEastAsia"/>
          <w:sz w:val="24"/>
        </w:rPr>
        <w:t>扣除后的价格作为其评标价。不符合财库〔</w:t>
      </w:r>
      <w:r>
        <w:rPr>
          <w:rFonts w:asciiTheme="minorEastAsia" w:hAnsiTheme="minorEastAsia" w:eastAsiaTheme="minorEastAsia"/>
          <w:sz w:val="24"/>
        </w:rPr>
        <w:t>2011</w:t>
      </w:r>
      <w:r>
        <w:rPr>
          <w:rFonts w:hint="eastAsia" w:cs="宋体" w:asciiTheme="minorEastAsia" w:hAnsiTheme="minorEastAsia" w:eastAsiaTheme="minorEastAsia"/>
          <w:sz w:val="24"/>
        </w:rPr>
        <w:t>〕</w:t>
      </w:r>
      <w:r>
        <w:rPr>
          <w:rFonts w:asciiTheme="minorEastAsia" w:hAnsiTheme="minorEastAsia" w:eastAsiaTheme="minorEastAsia"/>
          <w:sz w:val="24"/>
        </w:rPr>
        <w:t>181</w:t>
      </w:r>
      <w:r>
        <w:rPr>
          <w:rFonts w:hint="eastAsia" w:cs="宋体" w:asciiTheme="minorEastAsia" w:hAnsiTheme="minorEastAsia" w:eastAsiaTheme="minorEastAsia"/>
          <w:sz w:val="24"/>
        </w:rPr>
        <w:t>号文件的规定企业的产品价格不予扣除，其投标报价即为评标价。</w:t>
      </w:r>
    </w:p>
    <w:p>
      <w:pPr>
        <w:spacing w:line="353" w:lineRule="exact"/>
        <w:ind w:left="1022"/>
        <w:jc w:val="left"/>
        <w:rPr>
          <w:sz w:val="28"/>
        </w:rPr>
      </w:pPr>
    </w:p>
    <w:p>
      <w:pPr>
        <w:spacing w:line="353" w:lineRule="exact"/>
        <w:ind w:left="1022"/>
        <w:jc w:val="left"/>
        <w:rPr>
          <w:sz w:val="28"/>
        </w:rPr>
      </w:pPr>
    </w:p>
    <w:p>
      <w:pPr>
        <w:spacing w:line="353" w:lineRule="exact"/>
        <w:ind w:left="1022"/>
        <w:jc w:val="left"/>
        <w:rPr>
          <w:b/>
          <w:sz w:val="28"/>
        </w:rPr>
      </w:pPr>
      <w:r>
        <w:rPr>
          <w:sz w:val="28"/>
        </w:rPr>
        <w:t>评标标准</w:t>
      </w:r>
      <w:r>
        <w:rPr>
          <w:b/>
          <w:sz w:val="28"/>
        </w:rPr>
        <w:t>（综合评分法：）</w:t>
      </w:r>
    </w:p>
    <w:tbl>
      <w:tblPr>
        <w:tblStyle w:val="50"/>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76"/>
        <w:gridCol w:w="1187"/>
        <w:gridCol w:w="6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74" w:type="dxa"/>
            <w:vAlign w:val="center"/>
          </w:tcPr>
          <w:p>
            <w:pPr>
              <w:widowControl/>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276" w:type="dxa"/>
            <w:vAlign w:val="center"/>
          </w:tcPr>
          <w:p>
            <w:pPr>
              <w:widowControl/>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评审项目</w:t>
            </w:r>
          </w:p>
        </w:tc>
        <w:tc>
          <w:tcPr>
            <w:tcW w:w="1187" w:type="dxa"/>
            <w:vAlign w:val="center"/>
          </w:tcPr>
          <w:p>
            <w:pPr>
              <w:widowControl/>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内容</w:t>
            </w:r>
          </w:p>
        </w:tc>
        <w:tc>
          <w:tcPr>
            <w:tcW w:w="6325" w:type="dxa"/>
            <w:vAlign w:val="center"/>
          </w:tcPr>
          <w:p>
            <w:pPr>
              <w:widowControl/>
              <w:spacing w:line="360" w:lineRule="auto"/>
              <w:ind w:firstLine="2640" w:firstLineChars="1100"/>
              <w:rPr>
                <w:rFonts w:cs="宋体" w:asciiTheme="minorEastAsia" w:hAnsiTheme="minorEastAsia" w:eastAsiaTheme="minorEastAsia"/>
                <w:sz w:val="24"/>
              </w:rPr>
            </w:pPr>
            <w:r>
              <w:rPr>
                <w:rFonts w:hint="eastAsia" w:cs="宋体" w:asciiTheme="minorEastAsia" w:hAnsiTheme="minorEastAsia" w:eastAsiaTheme="minorEastAsia"/>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674" w:type="dxa"/>
            <w:vMerge w:val="restart"/>
          </w:tcPr>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ind w:firstLine="240" w:firstLineChars="100"/>
              <w:rPr>
                <w:rFonts w:cs="宋体" w:asciiTheme="minorEastAsia" w:hAnsiTheme="minorEastAsia" w:eastAsiaTheme="minorEastAsia"/>
                <w:sz w:val="24"/>
              </w:rPr>
            </w:pPr>
          </w:p>
          <w:p>
            <w:pPr>
              <w:widowControl/>
              <w:spacing w:line="360" w:lineRule="auto"/>
              <w:ind w:firstLine="240" w:firstLineChars="100"/>
              <w:rPr>
                <w:rFonts w:cs="宋体" w:asciiTheme="minorEastAsia" w:hAnsiTheme="minorEastAsia" w:eastAsiaTheme="minorEastAsia"/>
                <w:sz w:val="24"/>
              </w:rPr>
            </w:pPr>
          </w:p>
          <w:p>
            <w:pPr>
              <w:widowControl/>
              <w:spacing w:line="360" w:lineRule="auto"/>
              <w:ind w:firstLine="240" w:firstLineChars="100"/>
              <w:rPr>
                <w:rFonts w:cs="宋体" w:asciiTheme="minorEastAsia" w:hAnsiTheme="minorEastAsia" w:eastAsiaTheme="minorEastAsia"/>
                <w:sz w:val="24"/>
              </w:rPr>
            </w:pPr>
          </w:p>
          <w:p>
            <w:pPr>
              <w:widowControl/>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276" w:type="dxa"/>
            <w:vMerge w:val="restart"/>
            <w:vAlign w:val="center"/>
          </w:tcPr>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商务分</w:t>
            </w:r>
          </w:p>
          <w:p>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（20分）</w:t>
            </w:r>
          </w:p>
        </w:tc>
        <w:tc>
          <w:tcPr>
            <w:tcW w:w="1187" w:type="dxa"/>
            <w:vAlign w:val="center"/>
          </w:tcPr>
          <w:p>
            <w:pPr>
              <w:widowControl/>
              <w:spacing w:line="360" w:lineRule="auto"/>
              <w:ind w:firstLine="544" w:firstLineChars="227"/>
              <w:jc w:val="center"/>
              <w:rPr>
                <w:rFonts w:cs="宋体" w:asciiTheme="minorEastAsia" w:hAnsiTheme="minorEastAsia" w:eastAsiaTheme="minorEastAsia"/>
                <w:sz w:val="24"/>
              </w:rPr>
            </w:pPr>
          </w:p>
          <w:p>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业绩(8分)</w:t>
            </w:r>
          </w:p>
        </w:tc>
        <w:tc>
          <w:tcPr>
            <w:tcW w:w="6325" w:type="dxa"/>
          </w:tcPr>
          <w:p>
            <w:pPr>
              <w:widowControl/>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投标人提供近三年类似项目业绩。每提供一份有效业绩得2分，最多得8分（注：提供业绩证明材料以合同或中标通知书为准，上述证明材料未提供或提供不全者该项不得分）。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74" w:type="dxa"/>
            <w:vMerge w:val="continue"/>
            <w:tcBorders>
              <w:top w:val="nil"/>
            </w:tcBorders>
          </w:tcPr>
          <w:p>
            <w:pPr>
              <w:widowControl/>
              <w:spacing w:line="360" w:lineRule="auto"/>
              <w:ind w:firstLine="544" w:firstLineChars="227"/>
              <w:jc w:val="center"/>
              <w:rPr>
                <w:rFonts w:cs="宋体" w:asciiTheme="minorEastAsia" w:hAnsiTheme="minorEastAsia" w:eastAsiaTheme="minorEastAsia"/>
                <w:sz w:val="24"/>
              </w:rPr>
            </w:pPr>
          </w:p>
        </w:tc>
        <w:tc>
          <w:tcPr>
            <w:tcW w:w="1276" w:type="dxa"/>
            <w:vMerge w:val="continue"/>
            <w:tcBorders>
              <w:top w:val="nil"/>
            </w:tcBorders>
          </w:tcPr>
          <w:p>
            <w:pPr>
              <w:widowControl/>
              <w:spacing w:line="360" w:lineRule="auto"/>
              <w:ind w:firstLine="544" w:firstLineChars="227"/>
              <w:jc w:val="left"/>
              <w:rPr>
                <w:rFonts w:cs="宋体" w:asciiTheme="minorEastAsia" w:hAnsiTheme="minorEastAsia" w:eastAsiaTheme="minorEastAsia"/>
                <w:sz w:val="24"/>
              </w:rPr>
            </w:pPr>
          </w:p>
        </w:tc>
        <w:tc>
          <w:tcPr>
            <w:tcW w:w="1187" w:type="dxa"/>
            <w:vAlign w:val="center"/>
          </w:tcPr>
          <w:p>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标书制作(2分)</w:t>
            </w:r>
          </w:p>
        </w:tc>
        <w:tc>
          <w:tcPr>
            <w:tcW w:w="6325" w:type="dxa"/>
          </w:tcPr>
          <w:p>
            <w:pPr>
              <w:pStyle w:val="183"/>
              <w:spacing w:before="73"/>
              <w:ind w:left="109" w:right="67"/>
              <w:rPr>
                <w:rFonts w:asciiTheme="minorEastAsia" w:hAnsiTheme="minorEastAsia" w:eastAsiaTheme="minorEastAsia"/>
                <w:sz w:val="24"/>
                <w:lang w:val="en-US" w:bidi="ar-SA"/>
              </w:rPr>
            </w:pPr>
            <w:r>
              <w:rPr>
                <w:rFonts w:hint="eastAsia" w:asciiTheme="minorEastAsia" w:hAnsiTheme="minorEastAsia" w:eastAsiaTheme="minorEastAsia"/>
                <w:sz w:val="24"/>
              </w:rPr>
              <w:t>投标文件制作规范，投标附件资料齐全、详实、充分，</w:t>
            </w:r>
            <w:r>
              <w:rPr>
                <w:rFonts w:hint="eastAsia" w:asciiTheme="minorEastAsia" w:hAnsiTheme="minorEastAsia" w:eastAsiaTheme="minorEastAsia"/>
                <w:sz w:val="24"/>
                <w:lang w:val="en-US" w:bidi="ar-SA"/>
              </w:rPr>
              <w:t>图标或字迹清晰，主要货物有完整的彩页展示，文件按要求装订等方面综合评价，装订规范、精致大方、彩页清晰得2分；装订较规范、美观一般、彩页较清晰得1分；装订</w:t>
            </w:r>
          </w:p>
          <w:p>
            <w:pPr>
              <w:widowControl/>
              <w:jc w:val="left"/>
              <w:rPr>
                <w:rFonts w:cs="宋体" w:asciiTheme="minorEastAsia" w:hAnsiTheme="minorEastAsia" w:eastAsiaTheme="minorEastAsia"/>
                <w:sz w:val="24"/>
              </w:rPr>
            </w:pPr>
            <w:r>
              <w:rPr>
                <w:rFonts w:hint="eastAsia" w:cs="宋体" w:asciiTheme="minorEastAsia" w:hAnsiTheme="minorEastAsia" w:eastAsiaTheme="minorEastAsia"/>
                <w:sz w:val="24"/>
              </w:rPr>
              <w:t>一般、页码混乱不得分。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674" w:type="dxa"/>
            <w:vMerge w:val="continue"/>
            <w:tcBorders>
              <w:top w:val="nil"/>
            </w:tcBorders>
          </w:tcPr>
          <w:p>
            <w:pPr>
              <w:jc w:val="center"/>
              <w:rPr>
                <w:sz w:val="2"/>
                <w:szCs w:val="2"/>
              </w:rPr>
            </w:pPr>
          </w:p>
        </w:tc>
        <w:tc>
          <w:tcPr>
            <w:tcW w:w="1276" w:type="dxa"/>
            <w:vMerge w:val="continue"/>
            <w:tcBorders>
              <w:top w:val="nil"/>
            </w:tcBorders>
          </w:tcPr>
          <w:p>
            <w:pPr>
              <w:widowControl/>
              <w:spacing w:line="360" w:lineRule="auto"/>
              <w:jc w:val="left"/>
              <w:rPr>
                <w:rFonts w:cs="宋体" w:asciiTheme="minorEastAsia" w:hAnsiTheme="minorEastAsia" w:eastAsiaTheme="minorEastAsia"/>
                <w:sz w:val="24"/>
              </w:rPr>
            </w:pPr>
          </w:p>
        </w:tc>
        <w:tc>
          <w:tcPr>
            <w:tcW w:w="1187" w:type="dxa"/>
            <w:vAlign w:val="center"/>
          </w:tcPr>
          <w:p>
            <w:pPr>
              <w:widowControl/>
              <w:spacing w:line="360" w:lineRule="auto"/>
              <w:jc w:val="center"/>
              <w:rPr>
                <w:rFonts w:cs="宋体" w:asciiTheme="minorEastAsia" w:hAnsiTheme="minorEastAsia" w:eastAsiaTheme="minorEastAsia"/>
                <w:sz w:val="24"/>
              </w:rPr>
            </w:pPr>
          </w:p>
          <w:p>
            <w:pPr>
              <w:widowControl/>
              <w:spacing w:line="360" w:lineRule="auto"/>
              <w:ind w:firstLine="120" w:firstLineChars="50"/>
              <w:rPr>
                <w:rFonts w:cs="宋体" w:asciiTheme="minorEastAsia" w:hAnsiTheme="minorEastAsia" w:eastAsiaTheme="minorEastAsia"/>
                <w:sz w:val="24"/>
              </w:rPr>
            </w:pPr>
            <w:r>
              <w:rPr>
                <w:rFonts w:hint="eastAsia" w:cs="宋体" w:asciiTheme="minorEastAsia" w:hAnsiTheme="minorEastAsia" w:eastAsiaTheme="minorEastAsia"/>
                <w:sz w:val="24"/>
              </w:rPr>
              <w:t>售后服务</w:t>
            </w:r>
          </w:p>
          <w:p>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（10分)</w:t>
            </w:r>
          </w:p>
        </w:tc>
        <w:tc>
          <w:tcPr>
            <w:tcW w:w="6325" w:type="dxa"/>
          </w:tcPr>
          <w:p>
            <w:pPr>
              <w:widowControl/>
              <w:jc w:val="left"/>
              <w:rPr>
                <w:rFonts w:cs="宋体" w:asciiTheme="minorEastAsia" w:hAnsiTheme="minorEastAsia" w:eastAsiaTheme="minorEastAsia"/>
                <w:sz w:val="24"/>
              </w:rPr>
            </w:pPr>
            <w:r>
              <w:rPr>
                <w:rFonts w:hint="eastAsia" w:cs="宋体" w:asciiTheme="minorEastAsia" w:hAnsiTheme="minorEastAsia" w:eastAsiaTheme="minorEastAsia"/>
                <w:sz w:val="24"/>
              </w:rPr>
              <w:t>根据有效投标人提供的售后服务方案及承诺（售后服务方案的服务体系、维护时限、人员组成、应急预案等售后服务能力的情况），方案完善、针对性、实用、可实施操作性强的得［7-10］分，方案较完善、实用、可实施操作性基本满足项目需求的得［4-7）分，方案不完善、针对性、事实性差或不提供者［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674" w:type="dxa"/>
            <w:vMerge w:val="restart"/>
          </w:tcPr>
          <w:p>
            <w:pPr>
              <w:pStyle w:val="183"/>
              <w:jc w:val="center"/>
              <w:rPr>
                <w:sz w:val="28"/>
              </w:rPr>
            </w:pPr>
          </w:p>
          <w:p>
            <w:pPr>
              <w:pStyle w:val="183"/>
              <w:jc w:val="center"/>
              <w:rPr>
                <w:sz w:val="28"/>
              </w:rPr>
            </w:pPr>
          </w:p>
          <w:p>
            <w:pPr>
              <w:pStyle w:val="183"/>
              <w:jc w:val="center"/>
              <w:rPr>
                <w:sz w:val="28"/>
              </w:rPr>
            </w:pPr>
          </w:p>
          <w:p>
            <w:pPr>
              <w:pStyle w:val="183"/>
              <w:jc w:val="center"/>
              <w:rPr>
                <w:sz w:val="28"/>
              </w:rPr>
            </w:pPr>
          </w:p>
          <w:p>
            <w:pPr>
              <w:pStyle w:val="183"/>
              <w:jc w:val="center"/>
              <w:rPr>
                <w:sz w:val="28"/>
              </w:rPr>
            </w:pPr>
          </w:p>
          <w:p>
            <w:pPr>
              <w:pStyle w:val="183"/>
              <w:jc w:val="center"/>
              <w:rPr>
                <w:sz w:val="28"/>
              </w:rPr>
            </w:pPr>
          </w:p>
          <w:p>
            <w:pPr>
              <w:pStyle w:val="183"/>
              <w:jc w:val="center"/>
              <w:rPr>
                <w:sz w:val="28"/>
              </w:rPr>
            </w:pPr>
          </w:p>
          <w:p>
            <w:pPr>
              <w:pStyle w:val="183"/>
              <w:spacing w:before="1"/>
              <w:ind w:firstLine="280" w:firstLineChars="100"/>
              <w:rPr>
                <w:sz w:val="28"/>
              </w:rPr>
            </w:pPr>
            <w:r>
              <w:rPr>
                <w:sz w:val="28"/>
              </w:rPr>
              <w:t>2</w:t>
            </w:r>
          </w:p>
        </w:tc>
        <w:tc>
          <w:tcPr>
            <w:tcW w:w="1276" w:type="dxa"/>
            <w:vMerge w:val="restart"/>
          </w:tcPr>
          <w:p>
            <w:pPr>
              <w:pStyle w:val="183"/>
              <w:jc w:val="center"/>
              <w:rPr>
                <w:rFonts w:asciiTheme="minorEastAsia" w:hAnsiTheme="minorEastAsia" w:eastAsiaTheme="minorEastAsia"/>
                <w:sz w:val="24"/>
                <w:lang w:val="en-US" w:bidi="ar-SA"/>
              </w:rPr>
            </w:pPr>
          </w:p>
          <w:p>
            <w:pPr>
              <w:pStyle w:val="183"/>
              <w:jc w:val="center"/>
              <w:rPr>
                <w:rFonts w:asciiTheme="minorEastAsia" w:hAnsiTheme="minorEastAsia" w:eastAsiaTheme="minorEastAsia"/>
                <w:sz w:val="24"/>
                <w:lang w:val="en-US" w:bidi="ar-SA"/>
              </w:rPr>
            </w:pPr>
          </w:p>
          <w:p>
            <w:pPr>
              <w:pStyle w:val="183"/>
              <w:jc w:val="center"/>
              <w:rPr>
                <w:rFonts w:asciiTheme="minorEastAsia" w:hAnsiTheme="minorEastAsia" w:eastAsiaTheme="minorEastAsia"/>
                <w:sz w:val="24"/>
                <w:lang w:val="en-US" w:bidi="ar-SA"/>
              </w:rPr>
            </w:pPr>
          </w:p>
          <w:p>
            <w:pPr>
              <w:pStyle w:val="183"/>
              <w:jc w:val="center"/>
              <w:rPr>
                <w:rFonts w:asciiTheme="minorEastAsia" w:hAnsiTheme="minorEastAsia" w:eastAsiaTheme="minorEastAsia"/>
                <w:sz w:val="24"/>
                <w:lang w:val="en-US" w:bidi="ar-SA"/>
              </w:rPr>
            </w:pPr>
          </w:p>
          <w:p>
            <w:pPr>
              <w:pStyle w:val="183"/>
              <w:jc w:val="center"/>
              <w:rPr>
                <w:rFonts w:asciiTheme="minorEastAsia" w:hAnsiTheme="minorEastAsia" w:eastAsiaTheme="minorEastAsia"/>
                <w:sz w:val="24"/>
                <w:lang w:val="en-US" w:bidi="ar-SA"/>
              </w:rPr>
            </w:pPr>
          </w:p>
          <w:p>
            <w:pPr>
              <w:pStyle w:val="183"/>
              <w:jc w:val="center"/>
              <w:rPr>
                <w:rFonts w:asciiTheme="minorEastAsia" w:hAnsiTheme="minorEastAsia" w:eastAsiaTheme="minorEastAsia"/>
                <w:sz w:val="24"/>
                <w:lang w:val="en-US" w:bidi="ar-SA"/>
              </w:rPr>
            </w:pPr>
          </w:p>
          <w:p>
            <w:pPr>
              <w:pStyle w:val="183"/>
              <w:jc w:val="center"/>
              <w:rPr>
                <w:rFonts w:asciiTheme="minorEastAsia" w:hAnsiTheme="minorEastAsia" w:eastAsiaTheme="minorEastAsia"/>
                <w:sz w:val="24"/>
                <w:lang w:val="en-US" w:bidi="ar-SA"/>
              </w:rPr>
            </w:pPr>
          </w:p>
          <w:p>
            <w:pPr>
              <w:pStyle w:val="183"/>
              <w:jc w:val="center"/>
              <w:rPr>
                <w:rFonts w:asciiTheme="minorEastAsia" w:hAnsiTheme="minorEastAsia" w:eastAsiaTheme="minorEastAsia"/>
                <w:sz w:val="24"/>
                <w:lang w:val="en-US" w:bidi="ar-SA"/>
              </w:rPr>
            </w:pPr>
          </w:p>
          <w:p>
            <w:pPr>
              <w:pStyle w:val="183"/>
              <w:ind w:firstLine="240" w:firstLineChars="100"/>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技术分</w:t>
            </w:r>
          </w:p>
          <w:p>
            <w:pPr>
              <w:pStyle w:val="183"/>
              <w:spacing w:before="80"/>
              <w:ind w:left="122"/>
              <w:jc w:val="center"/>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（50分）</w:t>
            </w:r>
          </w:p>
        </w:tc>
        <w:tc>
          <w:tcPr>
            <w:tcW w:w="1187" w:type="dxa"/>
            <w:vAlign w:val="center"/>
          </w:tcPr>
          <w:p>
            <w:pPr>
              <w:pStyle w:val="183"/>
              <w:spacing w:line="295" w:lineRule="auto"/>
              <w:ind w:right="81"/>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技术响应(40分)</w:t>
            </w:r>
          </w:p>
        </w:tc>
        <w:tc>
          <w:tcPr>
            <w:tcW w:w="6325" w:type="dxa"/>
          </w:tcPr>
          <w:p>
            <w:pPr>
              <w:pStyle w:val="183"/>
              <w:spacing w:before="72"/>
              <w:ind w:right="68"/>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投标人所投产品技术参数完全响应招标文件要求的技术参数的，得满分40分，技术参数每负偏离一项扣1分，扣完为止。（若发现技术参数有一项虚假响应，视为无效投标。）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674" w:type="dxa"/>
            <w:vMerge w:val="continue"/>
            <w:tcBorders>
              <w:top w:val="nil"/>
            </w:tcBorders>
          </w:tcPr>
          <w:p>
            <w:pPr>
              <w:jc w:val="center"/>
              <w:rPr>
                <w:sz w:val="2"/>
                <w:szCs w:val="2"/>
              </w:rPr>
            </w:pPr>
          </w:p>
        </w:tc>
        <w:tc>
          <w:tcPr>
            <w:tcW w:w="1276" w:type="dxa"/>
            <w:vMerge w:val="continue"/>
            <w:tcBorders>
              <w:top w:val="nil"/>
            </w:tcBorders>
          </w:tcPr>
          <w:p>
            <w:pPr>
              <w:widowControl/>
              <w:spacing w:line="360" w:lineRule="auto"/>
              <w:jc w:val="left"/>
              <w:rPr>
                <w:rFonts w:cs="宋体" w:asciiTheme="minorEastAsia" w:hAnsiTheme="minorEastAsia" w:eastAsiaTheme="minorEastAsia"/>
                <w:sz w:val="24"/>
              </w:rPr>
            </w:pPr>
          </w:p>
        </w:tc>
        <w:tc>
          <w:tcPr>
            <w:tcW w:w="1187" w:type="dxa"/>
            <w:vAlign w:val="center"/>
          </w:tcPr>
          <w:p>
            <w:pPr>
              <w:widowControl/>
              <w:spacing w:line="360" w:lineRule="auto"/>
              <w:jc w:val="center"/>
              <w:rPr>
                <w:rFonts w:cs="宋体" w:asciiTheme="minorEastAsia" w:hAnsiTheme="minorEastAsia" w:eastAsiaTheme="minorEastAsia"/>
                <w:sz w:val="24"/>
              </w:rPr>
            </w:pPr>
          </w:p>
          <w:p>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项目实施方案(5分)</w:t>
            </w:r>
          </w:p>
        </w:tc>
        <w:tc>
          <w:tcPr>
            <w:tcW w:w="6325" w:type="dxa"/>
          </w:tcPr>
          <w:p>
            <w:pPr>
              <w:widowControl/>
              <w:jc w:val="left"/>
              <w:rPr>
                <w:rFonts w:cs="宋体" w:asciiTheme="minorEastAsia" w:hAnsiTheme="minorEastAsia" w:eastAsiaTheme="minorEastAsia"/>
                <w:sz w:val="24"/>
              </w:rPr>
            </w:pPr>
            <w:r>
              <w:rPr>
                <w:rFonts w:hint="eastAsia" w:cs="宋体" w:asciiTheme="minorEastAsia" w:hAnsiTheme="minorEastAsia" w:eastAsiaTheme="minorEastAsia"/>
                <w:sz w:val="24"/>
              </w:rPr>
              <w:t>根据投标人针对本项目制定的项目实施方案（包括项目整体目标、运输配送及技术指导等）完善、针对性、合理性、可操作性强得[3-5]分；实施方案针对性、合理性、可操作性基本满足该项目需求得[2-3）分；方案不完整或合理性低或未提供[0-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674" w:type="dxa"/>
            <w:vMerge w:val="continue"/>
            <w:tcBorders>
              <w:top w:val="nil"/>
            </w:tcBorders>
          </w:tcPr>
          <w:p>
            <w:pPr>
              <w:jc w:val="center"/>
              <w:rPr>
                <w:sz w:val="2"/>
                <w:szCs w:val="2"/>
              </w:rPr>
            </w:pPr>
          </w:p>
        </w:tc>
        <w:tc>
          <w:tcPr>
            <w:tcW w:w="1276" w:type="dxa"/>
            <w:vMerge w:val="continue"/>
            <w:tcBorders>
              <w:top w:val="nil"/>
            </w:tcBorders>
          </w:tcPr>
          <w:p>
            <w:pPr>
              <w:widowControl/>
              <w:spacing w:line="360" w:lineRule="auto"/>
              <w:jc w:val="left"/>
              <w:rPr>
                <w:rFonts w:cs="宋体" w:asciiTheme="minorEastAsia" w:hAnsiTheme="minorEastAsia" w:eastAsiaTheme="minorEastAsia"/>
                <w:sz w:val="24"/>
              </w:rPr>
            </w:pPr>
          </w:p>
        </w:tc>
        <w:tc>
          <w:tcPr>
            <w:tcW w:w="1187" w:type="dxa"/>
            <w:vAlign w:val="center"/>
          </w:tcPr>
          <w:p>
            <w:pPr>
              <w:widowControl/>
              <w:spacing w:line="360" w:lineRule="auto"/>
              <w:jc w:val="center"/>
              <w:rPr>
                <w:rFonts w:cs="宋体" w:asciiTheme="minorEastAsia" w:hAnsiTheme="minorEastAsia" w:eastAsiaTheme="minorEastAsia"/>
                <w:sz w:val="24"/>
              </w:rPr>
            </w:pPr>
          </w:p>
          <w:p>
            <w:pPr>
              <w:widowControl/>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培训方案</w:t>
            </w:r>
          </w:p>
          <w:p>
            <w:pPr>
              <w:widowControl/>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（5分）</w:t>
            </w:r>
          </w:p>
        </w:tc>
        <w:tc>
          <w:tcPr>
            <w:tcW w:w="6325" w:type="dxa"/>
          </w:tcPr>
          <w:p>
            <w:pPr>
              <w:widowControl/>
              <w:jc w:val="left"/>
              <w:rPr>
                <w:rFonts w:cs="宋体" w:asciiTheme="minorEastAsia" w:hAnsiTheme="minorEastAsia" w:eastAsiaTheme="minorEastAsia"/>
                <w:sz w:val="24"/>
              </w:rPr>
            </w:pPr>
            <w:r>
              <w:rPr>
                <w:rFonts w:hint="eastAsia" w:cs="宋体" w:asciiTheme="minorEastAsia" w:hAnsiTheme="minorEastAsia" w:eastAsiaTheme="minorEastAsia"/>
                <w:sz w:val="24"/>
              </w:rPr>
              <w:t>根据有效投标人提供的培训方案，培训方案完善，具有针对性，内容安排合理。根据投标人针对本项目特点制定的培训方案的科学性、合理性、可行性、完整性等（包括但不限于培训目标、任务、计划、拟投入的技术培训人员），安排合理、清晰、可行，方案完善、针对性、实用可实施操作性强的得[3-5]分，方案较完善、实用、可实施操作性基本满足项目需求的得[2-3）分，方案不完善、针对性、实施性差或不提供者[0-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674" w:type="dxa"/>
          </w:tcPr>
          <w:p>
            <w:pPr>
              <w:pStyle w:val="183"/>
              <w:spacing w:before="12"/>
              <w:jc w:val="center"/>
              <w:rPr>
                <w:sz w:val="39"/>
              </w:rPr>
            </w:pPr>
          </w:p>
          <w:p>
            <w:pPr>
              <w:pStyle w:val="183"/>
              <w:ind w:left="18"/>
              <w:jc w:val="center"/>
              <w:rPr>
                <w:sz w:val="28"/>
              </w:rPr>
            </w:pPr>
            <w:r>
              <w:rPr>
                <w:sz w:val="28"/>
              </w:rPr>
              <w:t>3</w:t>
            </w:r>
          </w:p>
        </w:tc>
        <w:tc>
          <w:tcPr>
            <w:tcW w:w="1276" w:type="dxa"/>
            <w:vAlign w:val="center"/>
          </w:tcPr>
          <w:p>
            <w:pPr>
              <w:pStyle w:val="183"/>
              <w:spacing w:before="11"/>
              <w:jc w:val="center"/>
              <w:rPr>
                <w:rFonts w:asciiTheme="minorEastAsia" w:hAnsiTheme="minorEastAsia" w:eastAsiaTheme="minorEastAsia"/>
                <w:sz w:val="24"/>
                <w:lang w:val="en-US" w:bidi="ar-SA"/>
              </w:rPr>
            </w:pPr>
          </w:p>
          <w:p>
            <w:pPr>
              <w:pStyle w:val="183"/>
              <w:ind w:left="252"/>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价格分</w:t>
            </w:r>
          </w:p>
          <w:p>
            <w:pPr>
              <w:pStyle w:val="183"/>
              <w:spacing w:before="81"/>
              <w:ind w:left="122"/>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（30分）</w:t>
            </w:r>
          </w:p>
        </w:tc>
        <w:tc>
          <w:tcPr>
            <w:tcW w:w="1187" w:type="dxa"/>
            <w:vAlign w:val="center"/>
          </w:tcPr>
          <w:p>
            <w:pPr>
              <w:pStyle w:val="183"/>
              <w:spacing w:before="72"/>
              <w:ind w:left="111"/>
              <w:jc w:val="center"/>
              <w:rPr>
                <w:rFonts w:asciiTheme="minorEastAsia" w:hAnsiTheme="minorEastAsia" w:eastAsiaTheme="minorEastAsia"/>
                <w:sz w:val="24"/>
                <w:lang w:val="en-US" w:bidi="ar-SA"/>
              </w:rPr>
            </w:pPr>
          </w:p>
          <w:p>
            <w:pPr>
              <w:pStyle w:val="183"/>
              <w:spacing w:before="72"/>
              <w:ind w:left="111"/>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价格分</w:t>
            </w:r>
          </w:p>
          <w:p>
            <w:pPr>
              <w:pStyle w:val="183"/>
              <w:spacing w:before="7" w:line="442" w:lineRule="exact"/>
              <w:ind w:right="164"/>
              <w:jc w:val="center"/>
              <w:rPr>
                <w:rFonts w:asciiTheme="minorEastAsia" w:hAnsiTheme="minorEastAsia" w:eastAsiaTheme="minorEastAsia"/>
                <w:sz w:val="24"/>
                <w:lang w:val="en-US" w:bidi="ar-SA"/>
              </w:rPr>
            </w:pPr>
            <w:r>
              <w:rPr>
                <w:rFonts w:hint="eastAsia" w:asciiTheme="minorEastAsia" w:hAnsiTheme="minorEastAsia" w:eastAsiaTheme="minorEastAsia"/>
                <w:sz w:val="24"/>
                <w:lang w:val="en-US" w:bidi="ar-SA"/>
              </w:rPr>
              <w:t>（30 分）</w:t>
            </w:r>
          </w:p>
        </w:tc>
        <w:tc>
          <w:tcPr>
            <w:tcW w:w="6325" w:type="dxa"/>
          </w:tcPr>
          <w:p>
            <w:pPr>
              <w:pStyle w:val="183"/>
              <w:spacing w:before="73"/>
              <w:ind w:left="109" w:right="65"/>
              <w:rPr>
                <w:rFonts w:cs="Arial" w:asciiTheme="minorEastAsia" w:hAnsiTheme="minorEastAsia" w:eastAsiaTheme="minorEastAsia"/>
                <w:sz w:val="24"/>
                <w:lang w:val="en-US" w:bidi="ar-SA"/>
              </w:rPr>
            </w:pPr>
            <w:r>
              <w:rPr>
                <w:rFonts w:hint="eastAsia" w:asciiTheme="minorEastAsia" w:hAnsiTheme="minorEastAsia" w:eastAsiaTheme="minorEastAsia"/>
                <w:sz w:val="24"/>
                <w:lang w:val="en-US" w:bidi="ar-SA"/>
              </w:rPr>
              <w:t>评标委员会认为投标人的报价明显低于其他通过符合性审查投标人的报价，有可能影响产品质量或者不能诚信履约的，应当要求其在评标现场合理的时间内提供书面说</w:t>
            </w:r>
            <w:r>
              <w:rPr>
                <w:rFonts w:hint="eastAsia" w:cs="Arial" w:asciiTheme="minorEastAsia" w:hAnsiTheme="minorEastAsia" w:eastAsiaTheme="minorEastAsia"/>
                <w:sz w:val="24"/>
                <w:lang w:val="en-US" w:bidi="ar-SA"/>
              </w:rPr>
              <w:t>明，必要时提交相关证明材料；投标人不能证明其报价合理性的，评标委员会应当将其作为无效投标处理。</w:t>
            </w:r>
          </w:p>
          <w:p>
            <w:pPr>
              <w:pStyle w:val="183"/>
              <w:spacing w:before="72"/>
              <w:ind w:right="68"/>
              <w:rPr>
                <w:rFonts w:asciiTheme="minorEastAsia" w:hAnsiTheme="minorEastAsia" w:eastAsiaTheme="minorEastAsia"/>
                <w:sz w:val="24"/>
                <w:lang w:val="en-US" w:bidi="ar-SA"/>
              </w:rPr>
            </w:pPr>
            <w:r>
              <w:rPr>
                <w:rFonts w:hint="eastAsia" w:cs="Arial" w:asciiTheme="minorEastAsia" w:hAnsiTheme="minorEastAsia" w:eastAsiaTheme="minorEastAsia"/>
                <w:sz w:val="24"/>
                <w:lang w:val="en-US" w:bidi="ar-SA"/>
              </w:rPr>
              <w:t>评标基准价是指满足招标文件要求且投标价格最低的投标报价，最低报价得30分。投标人的价格分统一按下列公式计算：投标报价得分＝（评标基准价 / 投标报价）×30（四舍五入，小数点后保留两位）。</w:t>
            </w:r>
          </w:p>
        </w:tc>
      </w:tr>
    </w:tbl>
    <w:p>
      <w:pPr>
        <w:jc w:val="left"/>
        <w:rPr>
          <w:sz w:val="28"/>
        </w:rPr>
        <w:sectPr>
          <w:pgSz w:w="11910" w:h="16850"/>
          <w:pgMar w:top="1300" w:right="640" w:bottom="1020" w:left="920" w:header="0" w:footer="753" w:gutter="0"/>
          <w:cols w:space="720" w:num="1"/>
        </w:sectPr>
      </w:pPr>
    </w:p>
    <w:p>
      <w:pPr>
        <w:spacing w:line="400" w:lineRule="atLeast"/>
        <w:rPr>
          <w:rFonts w:cs="Arial" w:asciiTheme="minorEastAsia" w:hAnsiTheme="minorEastAsia" w:eastAsiaTheme="minorEastAsia"/>
          <w:sz w:val="24"/>
        </w:rPr>
      </w:pPr>
      <w:r>
        <w:rPr>
          <w:rFonts w:hint="eastAsia" w:cs="Arial" w:asciiTheme="minorEastAsia" w:hAnsiTheme="minorEastAsia" w:eastAsiaTheme="minorEastAsia"/>
          <w:sz w:val="24"/>
        </w:rPr>
        <w:t>6、评标过程的保密性</w:t>
      </w:r>
    </w:p>
    <w:p>
      <w:pPr>
        <w:spacing w:line="360" w:lineRule="auto"/>
        <w:ind w:left="2"/>
        <w:rPr>
          <w:rFonts w:cs="Arial" w:asciiTheme="minorEastAsia" w:hAnsiTheme="minorEastAsia" w:eastAsiaTheme="minorEastAsia"/>
          <w:sz w:val="24"/>
        </w:rPr>
      </w:pPr>
      <w:r>
        <w:rPr>
          <w:rFonts w:hint="eastAsia" w:cs="Arial" w:asciiTheme="minorEastAsia" w:hAnsiTheme="minorEastAsia" w:eastAsiaTheme="minorEastAsia"/>
          <w:sz w:val="24"/>
        </w:rPr>
        <w:t>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pPr>
        <w:spacing w:line="360" w:lineRule="auto"/>
        <w:ind w:left="552" w:hanging="552" w:hangingChars="230"/>
        <w:rPr>
          <w:rFonts w:cs="Arial" w:asciiTheme="minorEastAsia" w:hAnsiTheme="minorEastAsia" w:eastAsiaTheme="minorEastAsia"/>
          <w:sz w:val="24"/>
        </w:rPr>
      </w:pPr>
      <w:r>
        <w:rPr>
          <w:rFonts w:hint="eastAsia" w:cs="Arial" w:asciiTheme="minorEastAsia" w:hAnsiTheme="minorEastAsia" w:eastAsiaTheme="minorEastAsia"/>
          <w:sz w:val="24"/>
        </w:rPr>
        <w:t>7、</w:t>
      </w: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投标商在评标过程中，所进行的力图影响评标结果的不符合《招投标法》、《政府采购法》及本次招标中有关规定的活动，将被取消其中标资格。</w:t>
      </w:r>
    </w:p>
    <w:p>
      <w:pPr>
        <w:adjustRightInd w:val="0"/>
        <w:snapToGrid w:val="0"/>
        <w:spacing w:beforeLines="50" w:line="360" w:lineRule="auto"/>
        <w:ind w:right="-109" w:rightChars="-52"/>
        <w:rPr>
          <w:rFonts w:asciiTheme="minorEastAsia" w:hAnsiTheme="minorEastAsia" w:eastAsiaTheme="minorEastAsia"/>
          <w:bCs/>
          <w:sz w:val="24"/>
        </w:rPr>
      </w:pPr>
      <w:r>
        <w:rPr>
          <w:rFonts w:hint="eastAsia" w:asciiTheme="minorEastAsia" w:hAnsiTheme="minorEastAsia" w:eastAsiaTheme="minorEastAsia"/>
          <w:b/>
          <w:bCs/>
          <w:sz w:val="24"/>
        </w:rPr>
        <w:t>22澄清有关问题</w:t>
      </w:r>
    </w:p>
    <w:p>
      <w:pPr>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 对投标文件中含义不明确、同类问题表述不一致或者有明显文字和计算错误的内容，评标委员会将以书面形式通知投标人做出必要的澄清、说明，但不得超出投标文件的范围或对投标文件做实质性的修改（计算错误修正除外）。评标委员会不接受投标人主动提出的澄清、说明。</w:t>
      </w:r>
    </w:p>
    <w:p>
      <w:pPr>
        <w:tabs>
          <w:tab w:val="left" w:pos="0"/>
        </w:tabs>
        <w:adjustRightInd w:val="0"/>
        <w:snapToGrid w:val="0"/>
        <w:spacing w:before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22.2投标人不得对下列内容</w:t>
      </w:r>
      <w:r>
        <w:rPr>
          <w:rFonts w:hint="eastAsia" w:asciiTheme="minorEastAsia" w:hAnsiTheme="minorEastAsia" w:eastAsiaTheme="minorEastAsia"/>
          <w:bCs/>
          <w:sz w:val="24"/>
        </w:rPr>
        <w:t>其进行澄清或补充：</w:t>
      </w:r>
    </w:p>
    <w:p>
      <w:pPr>
        <w:tabs>
          <w:tab w:val="left" w:pos="0"/>
        </w:tabs>
        <w:adjustRightInd w:val="0"/>
        <w:snapToGrid w:val="0"/>
        <w:spacing w:before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（1）开标时，</w:t>
      </w:r>
      <w:r>
        <w:rPr>
          <w:rFonts w:hint="eastAsia" w:asciiTheme="minorEastAsia" w:hAnsiTheme="minorEastAsia" w:eastAsiaTheme="minorEastAsia"/>
          <w:bCs/>
          <w:sz w:val="24"/>
        </w:rPr>
        <w:t>未宣读的投标价格、价格折扣。</w:t>
      </w:r>
    </w:p>
    <w:p>
      <w:pPr>
        <w:tabs>
          <w:tab w:val="left" w:pos="0"/>
        </w:tabs>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（2）不满足第二章投标须知第十一</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bCs/>
          <w:sz w:val="24"/>
        </w:rPr>
        <w:t>规定的投标人</w:t>
      </w:r>
      <w:r>
        <w:rPr>
          <w:rFonts w:hint="eastAsia" w:asciiTheme="minorEastAsia" w:hAnsiTheme="minorEastAsia" w:eastAsiaTheme="minorEastAsia"/>
          <w:sz w:val="24"/>
        </w:rPr>
        <w:t>实质性要求。</w:t>
      </w:r>
    </w:p>
    <w:p>
      <w:pPr>
        <w:tabs>
          <w:tab w:val="left" w:pos="0"/>
        </w:tabs>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22.3 计算错误将按以下方法修正：如果投标文件的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w:t>
      </w:r>
    </w:p>
    <w:p>
      <w:pPr>
        <w:tabs>
          <w:tab w:val="left" w:pos="0"/>
        </w:tabs>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22.4 投标人的澄清、说明或者补正应该采用书面形式，由法定代表人或其授权的代理人签字，并按评标委员会的通知要求递交。</w:t>
      </w:r>
    </w:p>
    <w:p>
      <w:pPr>
        <w:tabs>
          <w:tab w:val="left" w:pos="0"/>
        </w:tabs>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22.5 有效的书面澄清材料，是投标文件的补充材料，成为投标文件的组成部分。</w:t>
      </w:r>
    </w:p>
    <w:p>
      <w:pPr>
        <w:widowControl/>
        <w:adjustRightInd w:val="0"/>
        <w:snapToGrid w:val="0"/>
        <w:spacing w:beforeLines="50"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23 推荐中标候选人名单</w:t>
      </w:r>
    </w:p>
    <w:p>
      <w:pPr>
        <w:tabs>
          <w:tab w:val="left" w:pos="0"/>
        </w:tabs>
        <w:adjustRightInd w:val="0"/>
        <w:snapToGrid w:val="0"/>
        <w:spacing w:before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23.1</w:t>
      </w:r>
      <w:r>
        <w:rPr>
          <w:rFonts w:hint="eastAsia" w:asciiTheme="minorEastAsia" w:hAnsiTheme="minorEastAsia" w:eastAsiaTheme="minorEastAsia"/>
          <w:bCs/>
          <w:sz w:val="24"/>
        </w:rPr>
        <w:t>按评审后得分由高到低顺序排列。得分相同的，按投标报价由低到高顺序排列。得分且投标报价相同的，按技术指标优劣顺序排列。</w:t>
      </w:r>
    </w:p>
    <w:p>
      <w:pPr>
        <w:tabs>
          <w:tab w:val="left" w:pos="0"/>
        </w:tabs>
        <w:adjustRightInd w:val="0"/>
        <w:snapToGrid w:val="0"/>
        <w:spacing w:before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23.2</w:t>
      </w:r>
      <w:r>
        <w:rPr>
          <w:rFonts w:hint="eastAsia" w:asciiTheme="minorEastAsia" w:hAnsiTheme="minorEastAsia" w:eastAsiaTheme="minorEastAsia"/>
          <w:sz w:val="24"/>
        </w:rPr>
        <w:t>本次招标采购推荐的中标候选人数量为1-3名</w:t>
      </w:r>
      <w:r>
        <w:rPr>
          <w:rFonts w:hint="eastAsia" w:asciiTheme="minorEastAsia" w:hAnsiTheme="minorEastAsia" w:eastAsiaTheme="minorEastAsia"/>
          <w:b/>
          <w:sz w:val="24"/>
        </w:rPr>
        <w:t>。</w:t>
      </w:r>
    </w:p>
    <w:p>
      <w:pPr>
        <w:tabs>
          <w:tab w:val="left" w:pos="0"/>
        </w:tabs>
        <w:adjustRightInd w:val="0"/>
        <w:snapToGrid w:val="0"/>
        <w:spacing w:beforeLines="50" w:line="360" w:lineRule="auto"/>
        <w:rPr>
          <w:rFonts w:asciiTheme="minorEastAsia" w:hAnsiTheme="minorEastAsia" w:eastAsiaTheme="minorEastAsia"/>
          <w:b/>
          <w:sz w:val="24"/>
        </w:rPr>
      </w:pPr>
      <w:r>
        <w:rPr>
          <w:rFonts w:hint="eastAsia" w:asciiTheme="minorEastAsia" w:hAnsiTheme="minorEastAsia" w:eastAsiaTheme="minorEastAsia"/>
          <w:b/>
          <w:sz w:val="24"/>
        </w:rPr>
        <w:t>24 编写评标报告</w:t>
      </w:r>
    </w:p>
    <w:p>
      <w:pPr>
        <w:tabs>
          <w:tab w:val="left" w:pos="0"/>
        </w:tabs>
        <w:adjustRightInd w:val="0"/>
        <w:snapToGrid w:val="0"/>
        <w:spacing w:before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24.1评标委员会根据全体评标成员签字的原始评标记录和评标结果编写评标报告</w:t>
      </w: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Theme="minorEastAsia" w:hAnsiTheme="minorEastAsia" w:eastAsiaTheme="minorEastAsia"/>
          <w:b/>
          <w:sz w:val="28"/>
          <w:szCs w:val="28"/>
        </w:rPr>
      </w:pPr>
    </w:p>
    <w:p>
      <w:pPr>
        <w:autoSpaceDE w:val="0"/>
        <w:autoSpaceDN w:val="0"/>
        <w:adjustRightInd w:val="0"/>
        <w:snapToGrid w:val="0"/>
        <w:spacing w:line="400" w:lineRule="exact"/>
        <w:jc w:val="center"/>
        <w:outlineLvl w:val="0"/>
        <w:rPr>
          <w:rFonts w:ascii="宋体"/>
          <w:b/>
          <w:color w:val="000000"/>
          <w:kern w:val="0"/>
          <w:sz w:val="32"/>
          <w:szCs w:val="32"/>
        </w:rPr>
      </w:pPr>
      <w:r>
        <w:rPr>
          <w:rFonts w:hint="eastAsia" w:ascii="宋体" w:hAnsi="宋体"/>
          <w:b/>
          <w:color w:val="000000"/>
          <w:kern w:val="0"/>
          <w:sz w:val="32"/>
          <w:szCs w:val="32"/>
        </w:rPr>
        <w:t>第五章</w:t>
      </w:r>
      <w:r>
        <w:rPr>
          <w:rFonts w:ascii="宋体"/>
          <w:b/>
          <w:color w:val="000000"/>
          <w:kern w:val="0"/>
          <w:sz w:val="32"/>
          <w:szCs w:val="32"/>
        </w:rPr>
        <w:tab/>
      </w:r>
      <w:r>
        <w:rPr>
          <w:rFonts w:hint="eastAsia" w:ascii="宋体" w:hAnsi="宋体"/>
          <w:b/>
          <w:color w:val="000000"/>
          <w:kern w:val="0"/>
          <w:sz w:val="32"/>
          <w:szCs w:val="32"/>
        </w:rPr>
        <w:t>合同条款</w:t>
      </w:r>
    </w:p>
    <w:p>
      <w:pPr>
        <w:autoSpaceDE w:val="0"/>
        <w:autoSpaceDN w:val="0"/>
        <w:adjustRightInd w:val="0"/>
        <w:snapToGrid w:val="0"/>
        <w:spacing w:line="400" w:lineRule="exact"/>
        <w:jc w:val="center"/>
        <w:rPr>
          <w:rFonts w:ascii="宋体"/>
          <w:color w:val="000000"/>
          <w:kern w:val="0"/>
          <w:sz w:val="20"/>
        </w:rPr>
      </w:pPr>
      <w:r>
        <w:rPr>
          <w:rFonts w:hint="eastAsia" w:ascii="宋体"/>
          <w:b/>
          <w:bCs/>
          <w:color w:val="000000"/>
          <w:kern w:val="0"/>
          <w:sz w:val="24"/>
          <w:u w:val="single"/>
        </w:rPr>
        <w:t>仅供参考，具体以后期签署合同为准</w:t>
      </w:r>
    </w:p>
    <w:p>
      <w:pPr>
        <w:autoSpaceDE w:val="0"/>
        <w:autoSpaceDN w:val="0"/>
        <w:adjustRightInd w:val="0"/>
        <w:snapToGrid w:val="0"/>
        <w:spacing w:line="400" w:lineRule="exact"/>
        <w:ind w:firstLine="476"/>
        <w:jc w:val="left"/>
        <w:rPr>
          <w:rFonts w:ascii="宋体"/>
          <w:color w:val="000000"/>
          <w:kern w:val="0"/>
          <w:sz w:val="24"/>
        </w:rPr>
      </w:pPr>
      <w:r>
        <w:rPr>
          <w:rFonts w:ascii="宋体" w:hAnsi="宋体"/>
          <w:color w:val="000000"/>
          <w:kern w:val="0"/>
          <w:sz w:val="24"/>
        </w:rPr>
        <w:t>l</w:t>
      </w:r>
      <w:r>
        <w:rPr>
          <w:rFonts w:hint="eastAsia" w:ascii="宋体" w:hAnsi="宋体"/>
          <w:color w:val="000000"/>
          <w:kern w:val="0"/>
          <w:sz w:val="24"/>
        </w:rPr>
        <w:t>．定义</w:t>
      </w:r>
      <w:r>
        <w:rPr>
          <w:rFonts w:ascii="宋体" w:hAnsi="宋体"/>
          <w:color w:val="000000"/>
          <w:kern w:val="0"/>
          <w:sz w:val="24"/>
        </w:rPr>
        <w:t xml:space="preserve"> </w:t>
      </w:r>
      <w:r>
        <w:rPr>
          <w:rFonts w:hint="eastAsia" w:ascii="宋体" w:hAnsi="宋体"/>
          <w:color w:val="000000"/>
          <w:kern w:val="0"/>
          <w:sz w:val="24"/>
        </w:rPr>
        <w:t>本合同下列术语应解释为：</w:t>
      </w:r>
    </w:p>
    <w:p>
      <w:pPr>
        <w:autoSpaceDE w:val="0"/>
        <w:autoSpaceDN w:val="0"/>
        <w:adjustRightInd w:val="0"/>
        <w:snapToGrid w:val="0"/>
        <w:spacing w:line="400" w:lineRule="exact"/>
        <w:ind w:firstLine="476"/>
        <w:jc w:val="left"/>
        <w:rPr>
          <w:rFonts w:ascii="宋体"/>
          <w:color w:val="000000"/>
          <w:kern w:val="0"/>
          <w:sz w:val="24"/>
        </w:rPr>
      </w:pPr>
      <w:r>
        <w:rPr>
          <w:rFonts w:ascii="宋体" w:hAnsi="宋体"/>
          <w:color w:val="000000"/>
          <w:kern w:val="0"/>
          <w:sz w:val="24"/>
        </w:rPr>
        <w:t>(1)</w:t>
      </w:r>
      <w:r>
        <w:rPr>
          <w:rFonts w:hint="eastAsia" w:ascii="宋体" w:hAnsi="宋体"/>
          <w:color w:val="000000"/>
          <w:kern w:val="0"/>
          <w:sz w:val="24"/>
        </w:rPr>
        <w:t>“合同</w:t>
      </w:r>
      <w:r>
        <w:rPr>
          <w:rFonts w:hint="eastAsia" w:ascii="宋体"/>
          <w:color w:val="000000"/>
          <w:kern w:val="0"/>
          <w:sz w:val="24"/>
        </w:rPr>
        <w:t>”</w:t>
      </w:r>
      <w:r>
        <w:rPr>
          <w:rFonts w:hint="eastAsia" w:ascii="宋体" w:hAnsi="宋体"/>
          <w:color w:val="000000"/>
          <w:kern w:val="0"/>
          <w:sz w:val="24"/>
        </w:rPr>
        <w:t>系指买卖双方签署的、合同格式中载明的买卖双方所达成的协议，包括所有的附件、附录和上述文件所提到的构成合同的所有文件。</w:t>
      </w:r>
    </w:p>
    <w:p>
      <w:pPr>
        <w:autoSpaceDE w:val="0"/>
        <w:autoSpaceDN w:val="0"/>
        <w:adjustRightInd w:val="0"/>
        <w:snapToGrid w:val="0"/>
        <w:spacing w:line="400" w:lineRule="exact"/>
        <w:ind w:firstLine="476"/>
        <w:jc w:val="left"/>
        <w:rPr>
          <w:rFonts w:ascii="宋体"/>
          <w:color w:val="000000"/>
          <w:kern w:val="0"/>
          <w:sz w:val="24"/>
        </w:rPr>
      </w:pPr>
      <w:r>
        <w:rPr>
          <w:rFonts w:ascii="宋体" w:hAnsi="宋体"/>
          <w:color w:val="000000"/>
          <w:kern w:val="0"/>
          <w:sz w:val="24"/>
        </w:rPr>
        <w:t>(2)</w:t>
      </w:r>
      <w:r>
        <w:rPr>
          <w:rFonts w:hint="eastAsia" w:ascii="宋体" w:hAnsi="宋体"/>
          <w:color w:val="000000"/>
          <w:kern w:val="0"/>
          <w:sz w:val="24"/>
        </w:rPr>
        <w:t>“合同价</w:t>
      </w:r>
      <w:r>
        <w:rPr>
          <w:rFonts w:hint="eastAsia" w:ascii="宋体"/>
          <w:color w:val="000000"/>
          <w:kern w:val="0"/>
          <w:sz w:val="24"/>
        </w:rPr>
        <w:t>”</w:t>
      </w:r>
      <w:r>
        <w:rPr>
          <w:rFonts w:hint="eastAsia" w:ascii="宋体" w:hAnsi="宋体"/>
          <w:color w:val="000000"/>
          <w:kern w:val="0"/>
          <w:sz w:val="24"/>
        </w:rPr>
        <w:t>系指根据合同规定乙方在正确地完全履行合同义务后甲方应支付给乙方的价格。</w:t>
      </w:r>
    </w:p>
    <w:p>
      <w:pPr>
        <w:autoSpaceDE w:val="0"/>
        <w:autoSpaceDN w:val="0"/>
        <w:adjustRightInd w:val="0"/>
        <w:snapToGrid w:val="0"/>
        <w:spacing w:line="400" w:lineRule="exact"/>
        <w:ind w:firstLine="476"/>
        <w:jc w:val="left"/>
        <w:rPr>
          <w:rFonts w:ascii="宋体"/>
          <w:color w:val="000000"/>
          <w:kern w:val="0"/>
          <w:sz w:val="24"/>
        </w:rPr>
      </w:pPr>
      <w:r>
        <w:rPr>
          <w:rFonts w:ascii="宋体" w:hAnsi="宋体"/>
          <w:color w:val="000000"/>
          <w:kern w:val="0"/>
          <w:sz w:val="24"/>
        </w:rPr>
        <w:t xml:space="preserve">(3)  </w:t>
      </w:r>
      <w:r>
        <w:rPr>
          <w:rFonts w:hint="eastAsia" w:ascii="宋体" w:hAnsi="宋体"/>
          <w:color w:val="000000"/>
          <w:kern w:val="0"/>
          <w:sz w:val="24"/>
        </w:rPr>
        <w:t>“货物</w:t>
      </w:r>
      <w:r>
        <w:rPr>
          <w:rFonts w:hint="eastAsia" w:ascii="宋体"/>
          <w:color w:val="000000"/>
          <w:kern w:val="0"/>
          <w:sz w:val="24"/>
        </w:rPr>
        <w:t>”</w:t>
      </w:r>
      <w:r>
        <w:rPr>
          <w:rFonts w:ascii="宋体" w:hAnsi="宋体"/>
          <w:color w:val="000000"/>
          <w:kern w:val="0"/>
          <w:sz w:val="24"/>
        </w:rPr>
        <w:t xml:space="preserve"> </w:t>
      </w:r>
      <w:r>
        <w:rPr>
          <w:rFonts w:hint="eastAsia" w:ascii="宋体" w:hAnsi="宋体"/>
          <w:color w:val="000000"/>
          <w:kern w:val="0"/>
          <w:sz w:val="24"/>
        </w:rPr>
        <w:t>系指乙方按合同要求，须向甲方提供的一切产品、备件、工具、</w:t>
      </w:r>
      <w:r>
        <w:rPr>
          <w:rFonts w:ascii="宋体" w:hAnsi="宋体"/>
          <w:color w:val="000000"/>
          <w:kern w:val="0"/>
          <w:sz w:val="24"/>
        </w:rPr>
        <w:t xml:space="preserve"> </w:t>
      </w:r>
      <w:r>
        <w:rPr>
          <w:rFonts w:hint="eastAsia" w:ascii="宋体" w:hAnsi="宋体"/>
          <w:color w:val="000000"/>
          <w:kern w:val="0"/>
          <w:sz w:val="24"/>
        </w:rPr>
        <w:t>手册及其他技术资料和其他材料。</w:t>
      </w:r>
    </w:p>
    <w:p>
      <w:pPr>
        <w:autoSpaceDE w:val="0"/>
        <w:autoSpaceDN w:val="0"/>
        <w:adjustRightInd w:val="0"/>
        <w:snapToGrid w:val="0"/>
        <w:spacing w:line="400" w:lineRule="exact"/>
        <w:ind w:firstLine="476"/>
        <w:rPr>
          <w:rFonts w:ascii="宋体"/>
          <w:color w:val="000000"/>
          <w:kern w:val="0"/>
          <w:sz w:val="24"/>
        </w:rPr>
      </w:pPr>
      <w:r>
        <w:rPr>
          <w:rFonts w:ascii="宋体" w:hAnsi="宋体"/>
          <w:color w:val="000000"/>
          <w:kern w:val="0"/>
          <w:sz w:val="24"/>
        </w:rPr>
        <w:t>(4)</w:t>
      </w:r>
      <w:r>
        <w:rPr>
          <w:rFonts w:hint="eastAsia" w:ascii="宋体" w:hAnsi="宋体"/>
          <w:color w:val="000000"/>
          <w:kern w:val="0"/>
          <w:sz w:val="24"/>
        </w:rPr>
        <w:t>“服务</w:t>
      </w:r>
      <w:r>
        <w:rPr>
          <w:rFonts w:hint="eastAsia" w:ascii="宋体"/>
          <w:color w:val="000000"/>
          <w:kern w:val="0"/>
          <w:sz w:val="24"/>
        </w:rPr>
        <w:t>”</w:t>
      </w:r>
      <w:r>
        <w:rPr>
          <w:rFonts w:hint="eastAsia" w:ascii="宋体" w:hAnsi="宋体"/>
          <w:color w:val="000000"/>
          <w:kern w:val="0"/>
          <w:sz w:val="24"/>
        </w:rPr>
        <w:t>系指根据合同规定乙方承担与供货有关的辅助服务，比如运输、保险</w:t>
      </w:r>
      <w:r>
        <w:rPr>
          <w:rFonts w:ascii="宋体" w:hAnsi="宋体"/>
          <w:color w:val="000000"/>
          <w:kern w:val="0"/>
          <w:sz w:val="24"/>
        </w:rPr>
        <w:t xml:space="preserve"> </w:t>
      </w:r>
      <w:r>
        <w:rPr>
          <w:rFonts w:hint="eastAsia" w:ascii="宋体" w:hAnsi="宋体"/>
          <w:color w:val="000000"/>
          <w:kern w:val="0"/>
          <w:sz w:val="24"/>
        </w:rPr>
        <w:t>以及其它的伴随服务，比如：吊装、卸货、安装、调试、提供技术援助、培</w:t>
      </w:r>
      <w:r>
        <w:rPr>
          <w:rFonts w:ascii="宋体" w:hAnsi="宋体"/>
          <w:color w:val="000000"/>
          <w:kern w:val="0"/>
          <w:sz w:val="24"/>
        </w:rPr>
        <w:t xml:space="preserve"> </w:t>
      </w:r>
      <w:r>
        <w:rPr>
          <w:rFonts w:hint="eastAsia" w:ascii="宋体" w:hAnsi="宋体"/>
          <w:color w:val="000000"/>
          <w:kern w:val="0"/>
          <w:sz w:val="24"/>
        </w:rPr>
        <w:t>训和合同中规定乙方应承担的其它义务。</w:t>
      </w:r>
    </w:p>
    <w:p>
      <w:pPr>
        <w:autoSpaceDE w:val="0"/>
        <w:autoSpaceDN w:val="0"/>
        <w:adjustRightInd w:val="0"/>
        <w:snapToGrid w:val="0"/>
        <w:spacing w:line="400" w:lineRule="exact"/>
        <w:ind w:firstLine="476"/>
        <w:jc w:val="left"/>
        <w:rPr>
          <w:rFonts w:ascii="宋体"/>
          <w:color w:val="000000"/>
          <w:kern w:val="0"/>
          <w:sz w:val="24"/>
        </w:rPr>
      </w:pPr>
      <w:r>
        <w:rPr>
          <w:rFonts w:ascii="宋体" w:hAnsi="宋体"/>
          <w:color w:val="000000"/>
          <w:kern w:val="0"/>
          <w:sz w:val="24"/>
        </w:rPr>
        <w:t>(5)</w:t>
      </w:r>
      <w:r>
        <w:rPr>
          <w:rFonts w:hint="eastAsia" w:ascii="宋体" w:hAnsi="宋体"/>
          <w:color w:val="000000"/>
          <w:kern w:val="0"/>
          <w:sz w:val="24"/>
        </w:rPr>
        <w:t>“甲方</w:t>
      </w:r>
      <w:r>
        <w:rPr>
          <w:rFonts w:hint="eastAsia" w:ascii="宋体"/>
          <w:color w:val="000000"/>
          <w:kern w:val="0"/>
          <w:sz w:val="24"/>
        </w:rPr>
        <w:t>”</w:t>
      </w:r>
      <w:r>
        <w:rPr>
          <w:rFonts w:hint="eastAsia" w:ascii="宋体" w:hAnsi="宋体"/>
          <w:color w:val="000000"/>
          <w:kern w:val="0"/>
          <w:sz w:val="24"/>
        </w:rPr>
        <w:t>系指采购人。</w:t>
      </w:r>
    </w:p>
    <w:p>
      <w:pPr>
        <w:autoSpaceDE w:val="0"/>
        <w:autoSpaceDN w:val="0"/>
        <w:adjustRightInd w:val="0"/>
        <w:snapToGrid w:val="0"/>
        <w:spacing w:line="400" w:lineRule="exact"/>
        <w:ind w:firstLine="476"/>
        <w:jc w:val="left"/>
        <w:rPr>
          <w:rFonts w:ascii="宋体"/>
          <w:color w:val="000000"/>
          <w:kern w:val="0"/>
          <w:sz w:val="24"/>
        </w:rPr>
      </w:pPr>
      <w:r>
        <w:rPr>
          <w:rFonts w:ascii="宋体" w:hAnsi="宋体"/>
          <w:color w:val="000000"/>
          <w:kern w:val="0"/>
          <w:sz w:val="24"/>
        </w:rPr>
        <w:t>(6)</w:t>
      </w:r>
      <w:r>
        <w:rPr>
          <w:rFonts w:hint="eastAsia" w:ascii="宋体" w:hAnsi="宋体"/>
          <w:color w:val="000000"/>
          <w:kern w:val="0"/>
          <w:sz w:val="24"/>
        </w:rPr>
        <w:t>“乙方</w:t>
      </w:r>
      <w:r>
        <w:rPr>
          <w:rFonts w:hint="eastAsia" w:ascii="宋体"/>
          <w:color w:val="000000"/>
          <w:kern w:val="0"/>
          <w:sz w:val="24"/>
        </w:rPr>
        <w:t>”</w:t>
      </w:r>
      <w:r>
        <w:rPr>
          <w:rFonts w:hint="eastAsia" w:ascii="宋体" w:hAnsi="宋体"/>
          <w:color w:val="000000"/>
          <w:kern w:val="0"/>
          <w:sz w:val="24"/>
        </w:rPr>
        <w:t>系指提供货物和服务的公司或实体。</w:t>
      </w:r>
    </w:p>
    <w:p>
      <w:pPr>
        <w:autoSpaceDE w:val="0"/>
        <w:autoSpaceDN w:val="0"/>
        <w:adjustRightInd w:val="0"/>
        <w:snapToGrid w:val="0"/>
        <w:spacing w:line="400" w:lineRule="exact"/>
        <w:ind w:firstLine="476"/>
        <w:jc w:val="left"/>
        <w:rPr>
          <w:rFonts w:ascii="宋体"/>
          <w:color w:val="000000"/>
          <w:kern w:val="0"/>
          <w:sz w:val="24"/>
        </w:rPr>
      </w:pPr>
      <w:r>
        <w:rPr>
          <w:rFonts w:ascii="宋体" w:hAnsi="宋体"/>
          <w:color w:val="000000"/>
          <w:kern w:val="0"/>
          <w:sz w:val="24"/>
        </w:rPr>
        <w:t>(7)</w:t>
      </w:r>
      <w:r>
        <w:rPr>
          <w:rFonts w:hint="eastAsia" w:ascii="宋体" w:hAnsi="宋体"/>
          <w:color w:val="000000"/>
          <w:kern w:val="0"/>
          <w:sz w:val="24"/>
        </w:rPr>
        <w:t>“天</w:t>
      </w:r>
      <w:r>
        <w:rPr>
          <w:rFonts w:hint="eastAsia" w:ascii="宋体"/>
          <w:color w:val="000000"/>
          <w:kern w:val="0"/>
          <w:sz w:val="24"/>
        </w:rPr>
        <w:t>”</w:t>
      </w:r>
      <w:r>
        <w:rPr>
          <w:rFonts w:hint="eastAsia" w:ascii="宋体" w:hAnsi="宋体"/>
          <w:color w:val="000000"/>
          <w:kern w:val="0"/>
          <w:sz w:val="24"/>
        </w:rPr>
        <w:t>指日历天数。</w:t>
      </w:r>
    </w:p>
    <w:p>
      <w:pPr>
        <w:autoSpaceDE w:val="0"/>
        <w:autoSpaceDN w:val="0"/>
        <w:adjustRightInd w:val="0"/>
        <w:snapToGrid w:val="0"/>
        <w:spacing w:line="400" w:lineRule="exact"/>
        <w:ind w:left="214"/>
        <w:jc w:val="left"/>
        <w:rPr>
          <w:rFonts w:ascii="宋体"/>
          <w:color w:val="000000"/>
          <w:kern w:val="0"/>
          <w:sz w:val="24"/>
        </w:rPr>
      </w:pPr>
      <w:r>
        <w:rPr>
          <w:rFonts w:ascii="宋体" w:hAnsi="宋体"/>
          <w:color w:val="000000"/>
          <w:kern w:val="0"/>
          <w:sz w:val="24"/>
        </w:rPr>
        <w:t>2</w:t>
      </w:r>
      <w:r>
        <w:rPr>
          <w:rFonts w:hint="eastAsia" w:ascii="宋体" w:hAnsi="宋体"/>
          <w:color w:val="000000"/>
          <w:kern w:val="0"/>
          <w:sz w:val="24"/>
        </w:rPr>
        <w:t>．产品名称、型号、数量、金额：</w:t>
      </w:r>
    </w:p>
    <w:p>
      <w:pPr>
        <w:autoSpaceDE w:val="0"/>
        <w:autoSpaceDN w:val="0"/>
        <w:adjustRightInd w:val="0"/>
        <w:snapToGrid w:val="0"/>
        <w:spacing w:line="400" w:lineRule="exact"/>
        <w:jc w:val="left"/>
        <w:rPr>
          <w:rFonts w:ascii="宋体"/>
          <w:color w:val="000000"/>
          <w:kern w:val="0"/>
          <w:sz w:val="5"/>
          <w:szCs w:val="5"/>
        </w:rPr>
      </w:pPr>
    </w:p>
    <w:tbl>
      <w:tblPr>
        <w:tblStyle w:val="50"/>
        <w:tblW w:w="0" w:type="auto"/>
        <w:tblInd w:w="106" w:type="dxa"/>
        <w:tblLayout w:type="fixed"/>
        <w:tblCellMar>
          <w:top w:w="0" w:type="dxa"/>
          <w:left w:w="0" w:type="dxa"/>
          <w:bottom w:w="0" w:type="dxa"/>
          <w:right w:w="0" w:type="dxa"/>
        </w:tblCellMar>
      </w:tblPr>
      <w:tblGrid>
        <w:gridCol w:w="1242"/>
        <w:gridCol w:w="1134"/>
        <w:gridCol w:w="784"/>
        <w:gridCol w:w="770"/>
        <w:gridCol w:w="1311"/>
        <w:gridCol w:w="1311"/>
        <w:gridCol w:w="1311"/>
        <w:gridCol w:w="1311"/>
      </w:tblGrid>
      <w:tr>
        <w:tblPrEx>
          <w:tblCellMar>
            <w:top w:w="0" w:type="dxa"/>
            <w:left w:w="0" w:type="dxa"/>
            <w:bottom w:w="0" w:type="dxa"/>
            <w:right w:w="0" w:type="dxa"/>
          </w:tblCellMar>
        </w:tblPrEx>
        <w:trPr>
          <w:trHeight w:val="470" w:hRule="exact"/>
        </w:trPr>
        <w:tc>
          <w:tcPr>
            <w:tcW w:w="12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136"/>
              <w:jc w:val="left"/>
              <w:rPr>
                <w:rFonts w:ascii="宋体"/>
                <w:color w:val="000000"/>
                <w:kern w:val="0"/>
                <w:sz w:val="24"/>
              </w:rPr>
            </w:pPr>
            <w:r>
              <w:rPr>
                <w:rFonts w:hint="eastAsia" w:ascii="宋体" w:hAnsi="宋体"/>
                <w:color w:val="000000"/>
                <w:kern w:val="0"/>
                <w:sz w:val="24"/>
              </w:rPr>
              <w:t>产品名称</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322"/>
              <w:jc w:val="left"/>
              <w:rPr>
                <w:rFonts w:ascii="宋体"/>
                <w:color w:val="000000"/>
                <w:kern w:val="0"/>
                <w:sz w:val="24"/>
              </w:rPr>
            </w:pPr>
            <w:r>
              <w:rPr>
                <w:rFonts w:hint="eastAsia" w:ascii="宋体" w:hAnsi="宋体"/>
                <w:color w:val="000000"/>
                <w:kern w:val="0"/>
                <w:sz w:val="24"/>
              </w:rPr>
              <w:t>规格</w:t>
            </w:r>
          </w:p>
        </w:tc>
        <w:tc>
          <w:tcPr>
            <w:tcW w:w="7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146"/>
              <w:jc w:val="left"/>
              <w:rPr>
                <w:rFonts w:ascii="宋体"/>
                <w:color w:val="000000"/>
                <w:kern w:val="0"/>
                <w:sz w:val="24"/>
              </w:rPr>
            </w:pPr>
            <w:r>
              <w:rPr>
                <w:rFonts w:hint="eastAsia" w:ascii="宋体" w:hAnsi="宋体"/>
                <w:color w:val="000000"/>
                <w:kern w:val="0"/>
                <w:sz w:val="24"/>
              </w:rPr>
              <w:t>品牌</w:t>
            </w:r>
          </w:p>
        </w:tc>
        <w:tc>
          <w:tcPr>
            <w:tcW w:w="7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140"/>
              <w:jc w:val="left"/>
              <w:rPr>
                <w:rFonts w:ascii="宋体"/>
                <w:color w:val="000000"/>
                <w:kern w:val="0"/>
                <w:sz w:val="24"/>
              </w:rPr>
            </w:pPr>
            <w:r>
              <w:rPr>
                <w:rFonts w:hint="eastAsia" w:ascii="宋体" w:hAnsi="宋体"/>
                <w:color w:val="000000"/>
                <w:kern w:val="0"/>
                <w:sz w:val="24"/>
              </w:rPr>
              <w:t>单位</w:t>
            </w: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411"/>
              <w:jc w:val="left"/>
              <w:rPr>
                <w:rFonts w:ascii="宋体"/>
                <w:color w:val="000000"/>
                <w:kern w:val="0"/>
                <w:sz w:val="24"/>
              </w:rPr>
            </w:pPr>
            <w:r>
              <w:rPr>
                <w:rFonts w:hint="eastAsia" w:ascii="宋体" w:hAnsi="宋体"/>
                <w:color w:val="000000"/>
                <w:kern w:val="0"/>
                <w:sz w:val="24"/>
              </w:rPr>
              <w:t>数量</w:t>
            </w: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411"/>
              <w:jc w:val="left"/>
              <w:rPr>
                <w:rFonts w:ascii="宋体"/>
                <w:color w:val="000000"/>
                <w:kern w:val="0"/>
                <w:sz w:val="24"/>
              </w:rPr>
            </w:pPr>
            <w:r>
              <w:rPr>
                <w:rFonts w:hint="eastAsia" w:ascii="宋体" w:hAnsi="宋体"/>
                <w:color w:val="000000"/>
                <w:kern w:val="0"/>
                <w:sz w:val="24"/>
              </w:rPr>
              <w:t>单价</w:t>
            </w: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410"/>
              <w:jc w:val="left"/>
              <w:rPr>
                <w:rFonts w:ascii="宋体"/>
                <w:color w:val="000000"/>
                <w:kern w:val="0"/>
                <w:sz w:val="24"/>
              </w:rPr>
            </w:pPr>
            <w:r>
              <w:rPr>
                <w:rFonts w:hint="eastAsia" w:ascii="宋体" w:hAnsi="宋体"/>
                <w:color w:val="000000"/>
                <w:kern w:val="0"/>
                <w:sz w:val="24"/>
              </w:rPr>
              <w:t>金额</w:t>
            </w: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ind w:left="409"/>
              <w:jc w:val="left"/>
              <w:rPr>
                <w:rFonts w:ascii="宋体"/>
                <w:color w:val="000000"/>
                <w:kern w:val="0"/>
                <w:sz w:val="24"/>
              </w:rPr>
            </w:pPr>
            <w:r>
              <w:rPr>
                <w:rFonts w:hint="eastAsia" w:ascii="宋体" w:hAnsi="宋体"/>
                <w:color w:val="000000"/>
                <w:kern w:val="0"/>
                <w:sz w:val="24"/>
              </w:rPr>
              <w:t>备注</w:t>
            </w:r>
          </w:p>
        </w:tc>
      </w:tr>
      <w:tr>
        <w:tblPrEx>
          <w:tblCellMar>
            <w:top w:w="0" w:type="dxa"/>
            <w:left w:w="0" w:type="dxa"/>
            <w:bottom w:w="0" w:type="dxa"/>
            <w:right w:w="0" w:type="dxa"/>
          </w:tblCellMar>
        </w:tblPrEx>
        <w:trPr>
          <w:trHeight w:val="470" w:hRule="exact"/>
        </w:trPr>
        <w:tc>
          <w:tcPr>
            <w:tcW w:w="12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7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7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r>
      <w:tr>
        <w:tblPrEx>
          <w:tblCellMar>
            <w:top w:w="0" w:type="dxa"/>
            <w:left w:w="0" w:type="dxa"/>
            <w:bottom w:w="0" w:type="dxa"/>
            <w:right w:w="0" w:type="dxa"/>
          </w:tblCellMar>
        </w:tblPrEx>
        <w:trPr>
          <w:trHeight w:val="470" w:hRule="exact"/>
        </w:trPr>
        <w:tc>
          <w:tcPr>
            <w:tcW w:w="12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7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7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c>
          <w:tcPr>
            <w:tcW w:w="131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400" w:lineRule="exact"/>
              <w:jc w:val="left"/>
              <w:rPr>
                <w:rFonts w:ascii="宋体"/>
                <w:color w:val="000000"/>
                <w:kern w:val="0"/>
                <w:sz w:val="24"/>
              </w:rPr>
            </w:pPr>
          </w:p>
        </w:tc>
      </w:tr>
    </w:tbl>
    <w:p>
      <w:pPr>
        <w:autoSpaceDE w:val="0"/>
        <w:autoSpaceDN w:val="0"/>
        <w:adjustRightInd w:val="0"/>
        <w:snapToGrid w:val="0"/>
        <w:spacing w:line="400" w:lineRule="exact"/>
        <w:ind w:left="214"/>
        <w:jc w:val="left"/>
        <w:rPr>
          <w:rFonts w:ascii="宋体"/>
          <w:color w:val="000000"/>
          <w:kern w:val="0"/>
          <w:sz w:val="24"/>
        </w:rPr>
      </w:pPr>
      <w:r>
        <w:rPr>
          <w:rFonts w:ascii="宋体" w:hAnsi="宋体"/>
          <w:color w:val="000000"/>
          <w:kern w:val="0"/>
          <w:sz w:val="24"/>
        </w:rPr>
        <w:t>3</w:t>
      </w:r>
      <w:r>
        <w:rPr>
          <w:rFonts w:hint="eastAsia" w:ascii="宋体" w:hAnsi="宋体"/>
          <w:color w:val="000000"/>
          <w:kern w:val="0"/>
          <w:sz w:val="24"/>
        </w:rPr>
        <w:t>．技术规格</w:t>
      </w:r>
    </w:p>
    <w:p>
      <w:pPr>
        <w:tabs>
          <w:tab w:val="left" w:pos="1300"/>
        </w:tabs>
        <w:autoSpaceDE w:val="0"/>
        <w:autoSpaceDN w:val="0"/>
        <w:adjustRightInd w:val="0"/>
        <w:snapToGrid w:val="0"/>
        <w:spacing w:line="400" w:lineRule="exact"/>
        <w:ind w:left="214" w:firstLine="480"/>
        <w:jc w:val="left"/>
        <w:rPr>
          <w:rFonts w:ascii="宋体"/>
          <w:color w:val="000000"/>
          <w:kern w:val="0"/>
          <w:sz w:val="24"/>
        </w:rPr>
      </w:pPr>
      <w:r>
        <w:rPr>
          <w:rFonts w:ascii="宋体" w:hAnsi="宋体"/>
          <w:color w:val="000000"/>
          <w:kern w:val="0"/>
          <w:sz w:val="24"/>
        </w:rPr>
        <w:t>3.1</w:t>
      </w:r>
      <w:r>
        <w:rPr>
          <w:rFonts w:ascii="宋体" w:hAnsi="宋体"/>
          <w:color w:val="000000"/>
          <w:kern w:val="0"/>
          <w:sz w:val="24"/>
        </w:rPr>
        <w:tab/>
      </w:r>
      <w:r>
        <w:rPr>
          <w:rFonts w:hint="eastAsia" w:ascii="宋体" w:hAnsi="宋体"/>
          <w:color w:val="000000"/>
          <w:kern w:val="0"/>
          <w:sz w:val="24"/>
        </w:rPr>
        <w:t>交付的货物的技术规格应与招标文件规定的技术规格以及所附的技术规格</w:t>
      </w:r>
      <w:r>
        <w:rPr>
          <w:rFonts w:ascii="宋体" w:hAnsi="宋体"/>
          <w:color w:val="000000"/>
          <w:kern w:val="0"/>
          <w:sz w:val="24"/>
        </w:rPr>
        <w:t xml:space="preserve"> </w:t>
      </w:r>
      <w:r>
        <w:rPr>
          <w:rFonts w:hint="eastAsia" w:ascii="宋体" w:hAnsi="宋体"/>
          <w:color w:val="000000"/>
          <w:kern w:val="0"/>
          <w:sz w:val="24"/>
        </w:rPr>
        <w:t>响应表或偏离表</w:t>
      </w:r>
      <w:r>
        <w:rPr>
          <w:rFonts w:ascii="宋体" w:hAnsi="宋体"/>
          <w:color w:val="000000"/>
          <w:kern w:val="0"/>
          <w:sz w:val="24"/>
        </w:rPr>
        <w:t>(</w:t>
      </w:r>
      <w:r>
        <w:rPr>
          <w:rFonts w:hint="eastAsia" w:ascii="宋体" w:hAnsi="宋体"/>
          <w:color w:val="000000"/>
          <w:kern w:val="0"/>
          <w:sz w:val="24"/>
        </w:rPr>
        <w:t>如果有的话</w:t>
      </w:r>
      <w:r>
        <w:rPr>
          <w:rFonts w:ascii="宋体" w:hAnsi="宋体"/>
          <w:color w:val="000000"/>
          <w:kern w:val="0"/>
          <w:sz w:val="24"/>
        </w:rPr>
        <w:t>)</w:t>
      </w:r>
      <w:r>
        <w:rPr>
          <w:rFonts w:hint="eastAsia" w:ascii="宋体" w:hAnsi="宋体"/>
          <w:color w:val="000000"/>
          <w:kern w:val="0"/>
          <w:sz w:val="24"/>
        </w:rPr>
        <w:t>相一致。</w:t>
      </w:r>
    </w:p>
    <w:p>
      <w:pPr>
        <w:tabs>
          <w:tab w:val="left" w:pos="1280"/>
        </w:tabs>
        <w:autoSpaceDE w:val="0"/>
        <w:autoSpaceDN w:val="0"/>
        <w:adjustRightInd w:val="0"/>
        <w:snapToGrid w:val="0"/>
        <w:spacing w:line="400" w:lineRule="exact"/>
        <w:ind w:left="694"/>
        <w:jc w:val="left"/>
        <w:rPr>
          <w:rFonts w:ascii="宋体"/>
          <w:color w:val="000000"/>
          <w:kern w:val="0"/>
          <w:sz w:val="24"/>
        </w:rPr>
      </w:pPr>
      <w:r>
        <w:rPr>
          <w:rFonts w:ascii="宋体" w:hAnsi="宋体"/>
          <w:color w:val="000000"/>
          <w:kern w:val="0"/>
          <w:sz w:val="24"/>
        </w:rPr>
        <w:t>3.2</w:t>
      </w:r>
      <w:r>
        <w:rPr>
          <w:rFonts w:ascii="宋体" w:hAnsi="宋体"/>
          <w:color w:val="000000"/>
          <w:kern w:val="0"/>
          <w:sz w:val="24"/>
        </w:rPr>
        <w:tab/>
      </w:r>
      <w:r>
        <w:rPr>
          <w:rFonts w:hint="eastAsia" w:ascii="宋体" w:hAnsi="宋体"/>
          <w:color w:val="000000"/>
          <w:kern w:val="0"/>
          <w:sz w:val="24"/>
        </w:rPr>
        <w:t>除技术规格另有规定外，计量单位应该使用公制。</w:t>
      </w:r>
    </w:p>
    <w:p>
      <w:pPr>
        <w:autoSpaceDE w:val="0"/>
        <w:autoSpaceDN w:val="0"/>
        <w:adjustRightInd w:val="0"/>
        <w:snapToGrid w:val="0"/>
        <w:spacing w:line="400" w:lineRule="exact"/>
        <w:ind w:left="214"/>
        <w:jc w:val="left"/>
        <w:rPr>
          <w:rFonts w:ascii="宋体"/>
          <w:color w:val="000000"/>
          <w:kern w:val="0"/>
          <w:sz w:val="24"/>
        </w:rPr>
      </w:pPr>
      <w:r>
        <w:rPr>
          <w:rFonts w:ascii="宋体" w:hAnsi="宋体"/>
          <w:color w:val="000000"/>
          <w:kern w:val="0"/>
          <w:sz w:val="24"/>
        </w:rPr>
        <w:t>4</w:t>
      </w:r>
      <w:r>
        <w:rPr>
          <w:rFonts w:hint="eastAsia" w:ascii="宋体" w:hAnsi="宋体"/>
          <w:color w:val="000000"/>
          <w:kern w:val="0"/>
          <w:sz w:val="24"/>
        </w:rPr>
        <w:t>．专利权</w:t>
      </w:r>
    </w:p>
    <w:p>
      <w:pPr>
        <w:tabs>
          <w:tab w:val="left" w:pos="1160"/>
        </w:tabs>
        <w:autoSpaceDE w:val="0"/>
        <w:autoSpaceDN w:val="0"/>
        <w:adjustRightInd w:val="0"/>
        <w:snapToGrid w:val="0"/>
        <w:spacing w:line="400" w:lineRule="exact"/>
        <w:ind w:left="214" w:firstLine="360"/>
        <w:jc w:val="left"/>
        <w:rPr>
          <w:rFonts w:ascii="宋体"/>
          <w:color w:val="000000"/>
          <w:kern w:val="0"/>
          <w:sz w:val="20"/>
        </w:rPr>
      </w:pPr>
      <w:r>
        <w:rPr>
          <w:rFonts w:ascii="宋体" w:hAnsi="宋体"/>
          <w:color w:val="000000"/>
          <w:kern w:val="0"/>
          <w:sz w:val="24"/>
        </w:rPr>
        <w:t>4.1</w:t>
      </w:r>
      <w:r>
        <w:rPr>
          <w:rFonts w:ascii="宋体" w:hAnsi="宋体"/>
          <w:color w:val="000000"/>
          <w:kern w:val="0"/>
          <w:sz w:val="24"/>
        </w:rPr>
        <w:tab/>
      </w:r>
      <w:r>
        <w:rPr>
          <w:rFonts w:hint="eastAsia" w:ascii="宋体" w:hAnsi="宋体"/>
          <w:color w:val="000000"/>
          <w:kern w:val="0"/>
          <w:sz w:val="24"/>
        </w:rPr>
        <w:t>乙方应保证甲方在使用该货物或其任何一部分时免受第三方提出侵犯其</w:t>
      </w:r>
      <w:r>
        <w:rPr>
          <w:rFonts w:ascii="宋体" w:hAnsi="宋体"/>
          <w:color w:val="000000"/>
          <w:kern w:val="0"/>
          <w:sz w:val="24"/>
        </w:rPr>
        <w:t xml:space="preserve"> </w:t>
      </w:r>
      <w:r>
        <w:rPr>
          <w:rFonts w:hint="eastAsia" w:ascii="宋体" w:hAnsi="宋体"/>
          <w:color w:val="000000"/>
          <w:kern w:val="0"/>
          <w:sz w:val="24"/>
        </w:rPr>
        <w:t>专利权、商标权或工业设计权的起诉。</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5</w:t>
      </w:r>
      <w:r>
        <w:rPr>
          <w:rFonts w:hint="eastAsia" w:ascii="宋体" w:hAnsi="宋体"/>
          <w:color w:val="000000"/>
          <w:kern w:val="0"/>
          <w:sz w:val="24"/>
        </w:rPr>
        <w:t>．交货、包装要求</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5.1 </w:t>
      </w:r>
      <w:r>
        <w:rPr>
          <w:rFonts w:hint="eastAsia" w:ascii="宋体" w:hAnsi="宋体"/>
          <w:color w:val="000000"/>
          <w:kern w:val="0"/>
          <w:sz w:val="24"/>
        </w:rPr>
        <w:t>除合同另有规定外，乙方提供的全部货物均应按标准保护措施进行包装，这</w:t>
      </w:r>
      <w:r>
        <w:rPr>
          <w:rFonts w:ascii="宋体" w:hAnsi="宋体"/>
          <w:color w:val="000000"/>
          <w:kern w:val="0"/>
          <w:sz w:val="24"/>
        </w:rPr>
        <w:t xml:space="preserve"> </w:t>
      </w:r>
      <w:r>
        <w:rPr>
          <w:rFonts w:hint="eastAsia" w:ascii="宋体" w:hAnsi="宋体"/>
          <w:color w:val="000000"/>
          <w:kern w:val="0"/>
          <w:sz w:val="24"/>
        </w:rPr>
        <w:t>类包装应适应于远距离运输、防潮、防震、防锈和防野蛮装卸，以确保货物安全无损</w:t>
      </w:r>
      <w:r>
        <w:rPr>
          <w:rFonts w:ascii="宋体" w:hAnsi="宋体"/>
          <w:color w:val="000000"/>
          <w:kern w:val="0"/>
          <w:sz w:val="24"/>
        </w:rPr>
        <w:t xml:space="preserve"> </w:t>
      </w:r>
      <w:r>
        <w:rPr>
          <w:rFonts w:hint="eastAsia" w:ascii="宋体" w:hAnsi="宋体"/>
          <w:color w:val="000000"/>
          <w:kern w:val="0"/>
          <w:sz w:val="24"/>
        </w:rPr>
        <w:t>运抵指定现场。一个包装箱内应附一份详细装箱单和质量证书。</w:t>
      </w:r>
    </w:p>
    <w:p>
      <w:pPr>
        <w:tabs>
          <w:tab w:val="left" w:pos="4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5.2  </w:t>
      </w:r>
      <w:r>
        <w:rPr>
          <w:rFonts w:hint="eastAsia" w:ascii="宋体" w:hAnsi="宋体"/>
          <w:color w:val="000000"/>
          <w:kern w:val="0"/>
          <w:sz w:val="24"/>
        </w:rPr>
        <w:t>交货时间：合同生效后</w:t>
      </w:r>
      <w:r>
        <w:rPr>
          <w:rFonts w:hint="eastAsia" w:ascii="宋体" w:hAnsi="宋体"/>
          <w:color w:val="000000"/>
          <w:kern w:val="0"/>
          <w:sz w:val="24"/>
          <w:u w:val="single"/>
        </w:rPr>
        <w:t>30个日历日</w:t>
      </w:r>
      <w:r>
        <w:rPr>
          <w:rFonts w:hint="eastAsia" w:ascii="宋体" w:hAnsi="宋体"/>
          <w:color w:val="000000"/>
          <w:kern w:val="0"/>
          <w:sz w:val="24"/>
        </w:rPr>
        <w:t>内。</w:t>
      </w:r>
    </w:p>
    <w:p>
      <w:pPr>
        <w:autoSpaceDE w:val="0"/>
        <w:autoSpaceDN w:val="0"/>
        <w:adjustRightInd w:val="0"/>
        <w:snapToGrid w:val="0"/>
        <w:spacing w:line="400" w:lineRule="exact"/>
        <w:ind w:left="114" w:firstLine="470"/>
        <w:rPr>
          <w:rFonts w:ascii="宋体"/>
          <w:color w:val="000000"/>
          <w:kern w:val="0"/>
          <w:sz w:val="24"/>
        </w:rPr>
      </w:pPr>
      <w:r>
        <w:rPr>
          <w:rFonts w:ascii="宋体" w:hAnsi="宋体"/>
          <w:color w:val="000000"/>
          <w:kern w:val="0"/>
          <w:sz w:val="24"/>
        </w:rPr>
        <w:t xml:space="preserve">5.3 </w:t>
      </w:r>
      <w:r>
        <w:rPr>
          <w:rFonts w:hint="eastAsia" w:ascii="宋体" w:hAnsi="宋体"/>
          <w:color w:val="000000"/>
          <w:kern w:val="0"/>
          <w:sz w:val="24"/>
        </w:rPr>
        <w:t>乙方应在每一包装箱的相邻四侧用不褪色的油漆以醒目的中文字样做出下列标记：</w:t>
      </w:r>
    </w:p>
    <w:p>
      <w:pPr>
        <w:tabs>
          <w:tab w:val="left" w:pos="658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(a)  </w:t>
      </w:r>
      <w:r>
        <w:rPr>
          <w:rFonts w:hint="eastAsia" w:ascii="宋体" w:hAnsi="宋体"/>
          <w:color w:val="000000"/>
          <w:kern w:val="0"/>
          <w:sz w:val="24"/>
        </w:rPr>
        <w:t>收货人：</w:t>
      </w:r>
      <w:r>
        <w:rPr>
          <w:rFonts w:ascii="宋体" w:hAnsi="宋体"/>
          <w:color w:val="000000"/>
          <w:kern w:val="0"/>
          <w:sz w:val="24"/>
          <w:u w:val="single"/>
        </w:rPr>
        <w:t xml:space="preserve"> </w:t>
      </w:r>
      <w:r>
        <w:rPr>
          <w:rFonts w:ascii="宋体" w:hAnsi="宋体"/>
          <w:color w:val="000000"/>
          <w:kern w:val="0"/>
          <w:sz w:val="24"/>
          <w:u w:val="single"/>
        </w:rPr>
        <w:tab/>
      </w:r>
      <w:r>
        <w:rPr>
          <w:rFonts w:ascii="宋体" w:hAnsi="宋体"/>
          <w:color w:val="000000"/>
          <w:kern w:val="0"/>
          <w:sz w:val="24"/>
        </w:rPr>
        <w:t xml:space="preserve"> </w:t>
      </w:r>
    </w:p>
    <w:p>
      <w:pPr>
        <w:tabs>
          <w:tab w:val="left" w:pos="658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(b)  </w:t>
      </w:r>
      <w:r>
        <w:rPr>
          <w:rFonts w:hint="eastAsia" w:ascii="宋体" w:hAnsi="宋体"/>
          <w:color w:val="000000"/>
          <w:kern w:val="0"/>
          <w:sz w:val="24"/>
        </w:rPr>
        <w:t>目的地：</w:t>
      </w:r>
      <w:r>
        <w:rPr>
          <w:rFonts w:ascii="宋体" w:hAnsi="宋体"/>
          <w:color w:val="000000"/>
          <w:kern w:val="0"/>
          <w:sz w:val="24"/>
          <w:u w:val="single"/>
        </w:rPr>
        <w:t xml:space="preserve"> </w:t>
      </w:r>
      <w:r>
        <w:rPr>
          <w:rFonts w:ascii="宋体" w:hAnsi="宋体"/>
          <w:color w:val="000000"/>
          <w:kern w:val="0"/>
          <w:sz w:val="24"/>
          <w:u w:val="single"/>
        </w:rPr>
        <w:tab/>
      </w:r>
      <w:r>
        <w:rPr>
          <w:rFonts w:ascii="宋体" w:hAnsi="宋体"/>
          <w:color w:val="000000"/>
          <w:kern w:val="0"/>
          <w:sz w:val="24"/>
        </w:rPr>
        <w:t xml:space="preserve"> </w:t>
      </w:r>
    </w:p>
    <w:p>
      <w:pPr>
        <w:tabs>
          <w:tab w:val="left" w:pos="658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(c)  </w:t>
      </w:r>
      <w:r>
        <w:rPr>
          <w:rFonts w:hint="eastAsia" w:ascii="宋体" w:hAnsi="宋体"/>
          <w:color w:val="000000"/>
          <w:kern w:val="0"/>
          <w:sz w:val="24"/>
        </w:rPr>
        <w:t>货物名称：</w:t>
      </w:r>
      <w:r>
        <w:rPr>
          <w:rFonts w:ascii="宋体" w:hAnsi="宋体"/>
          <w:color w:val="000000"/>
          <w:kern w:val="0"/>
          <w:sz w:val="24"/>
          <w:u w:val="single"/>
        </w:rPr>
        <w:t xml:space="preserve"> </w:t>
      </w:r>
      <w:r>
        <w:rPr>
          <w:rFonts w:ascii="宋体" w:hAnsi="宋体"/>
          <w:color w:val="000000"/>
          <w:kern w:val="0"/>
          <w:sz w:val="24"/>
          <w:u w:val="single"/>
        </w:rPr>
        <w:tab/>
      </w:r>
      <w:r>
        <w:rPr>
          <w:rFonts w:ascii="宋体" w:hAnsi="宋体"/>
          <w:color w:val="000000"/>
          <w:kern w:val="0"/>
          <w:sz w:val="24"/>
        </w:rPr>
        <w:t xml:space="preserve"> </w:t>
      </w:r>
    </w:p>
    <w:p>
      <w:pPr>
        <w:tabs>
          <w:tab w:val="left" w:pos="6580"/>
        </w:tabs>
        <w:autoSpaceDE w:val="0"/>
        <w:autoSpaceDN w:val="0"/>
        <w:adjustRightInd w:val="0"/>
        <w:snapToGrid w:val="0"/>
        <w:spacing w:line="400" w:lineRule="exact"/>
        <w:ind w:left="594"/>
        <w:jc w:val="left"/>
        <w:rPr>
          <w:rFonts w:ascii="宋体" w:hAnsi="宋体"/>
          <w:color w:val="000000"/>
          <w:kern w:val="0"/>
          <w:sz w:val="24"/>
        </w:rPr>
      </w:pPr>
      <w:r>
        <w:rPr>
          <w:rFonts w:ascii="宋体" w:hAnsi="宋体"/>
          <w:color w:val="000000"/>
          <w:kern w:val="0"/>
          <w:sz w:val="24"/>
        </w:rPr>
        <w:t xml:space="preserve">(d)  </w:t>
      </w:r>
      <w:r>
        <w:rPr>
          <w:rFonts w:hint="eastAsia" w:ascii="宋体" w:hAnsi="宋体"/>
          <w:color w:val="000000"/>
          <w:kern w:val="0"/>
          <w:sz w:val="24"/>
        </w:rPr>
        <w:t>毛重／净重：</w:t>
      </w:r>
      <w:r>
        <w:rPr>
          <w:rFonts w:ascii="宋体" w:hAnsi="宋体"/>
          <w:color w:val="000000"/>
          <w:kern w:val="0"/>
          <w:sz w:val="24"/>
          <w:u w:val="single"/>
        </w:rPr>
        <w:t xml:space="preserve"> </w:t>
      </w:r>
      <w:r>
        <w:rPr>
          <w:rFonts w:ascii="宋体" w:hAnsi="宋体"/>
          <w:color w:val="000000"/>
          <w:kern w:val="0"/>
          <w:sz w:val="24"/>
          <w:u w:val="single"/>
        </w:rPr>
        <w:tab/>
      </w:r>
      <w:r>
        <w:rPr>
          <w:rFonts w:ascii="宋体" w:hAnsi="宋体"/>
          <w:color w:val="000000"/>
          <w:kern w:val="0"/>
          <w:sz w:val="24"/>
        </w:rPr>
        <w:t>kg</w:t>
      </w:r>
    </w:p>
    <w:p>
      <w:pPr>
        <w:tabs>
          <w:tab w:val="left" w:pos="1180"/>
        </w:tabs>
        <w:autoSpaceDE w:val="0"/>
        <w:autoSpaceDN w:val="0"/>
        <w:adjustRightInd w:val="0"/>
        <w:snapToGrid w:val="0"/>
        <w:spacing w:line="400" w:lineRule="exact"/>
        <w:ind w:left="114" w:firstLine="480"/>
        <w:jc w:val="left"/>
        <w:rPr>
          <w:rFonts w:ascii="宋体"/>
          <w:color w:val="000000"/>
          <w:kern w:val="0"/>
          <w:sz w:val="24"/>
        </w:rPr>
      </w:pPr>
      <w:r>
        <w:rPr>
          <w:rFonts w:ascii="宋体" w:hAnsi="宋体"/>
          <w:color w:val="000000"/>
          <w:kern w:val="0"/>
          <w:sz w:val="24"/>
        </w:rPr>
        <w:t>5.4</w:t>
      </w:r>
      <w:r>
        <w:rPr>
          <w:rFonts w:ascii="宋体" w:hAnsi="宋体"/>
          <w:color w:val="000000"/>
          <w:kern w:val="0"/>
          <w:sz w:val="24"/>
        </w:rPr>
        <w:tab/>
      </w:r>
      <w:r>
        <w:rPr>
          <w:rFonts w:hint="eastAsia" w:ascii="宋体" w:hAnsi="宋体"/>
          <w:color w:val="000000"/>
          <w:kern w:val="0"/>
          <w:sz w:val="24"/>
        </w:rPr>
        <w:t>如果每件包装箱重量在</w:t>
      </w:r>
      <w:r>
        <w:rPr>
          <w:rFonts w:ascii="宋体" w:hAnsi="宋体"/>
          <w:color w:val="000000"/>
          <w:kern w:val="0"/>
          <w:sz w:val="24"/>
        </w:rPr>
        <w:t xml:space="preserve"> 2 </w:t>
      </w:r>
      <w:r>
        <w:rPr>
          <w:rFonts w:hint="eastAsia" w:ascii="宋体" w:hAnsi="宋体"/>
          <w:color w:val="000000"/>
          <w:kern w:val="0"/>
          <w:sz w:val="24"/>
        </w:rPr>
        <w:t>吨</w:t>
      </w:r>
      <w:r>
        <w:rPr>
          <w:rFonts w:ascii="宋体" w:hAnsi="宋体"/>
          <w:color w:val="000000"/>
          <w:kern w:val="0"/>
          <w:sz w:val="24"/>
        </w:rPr>
        <w:t>(t)</w:t>
      </w:r>
      <w:r>
        <w:rPr>
          <w:rFonts w:hint="eastAsia" w:ascii="宋体" w:hAnsi="宋体"/>
          <w:color w:val="000000"/>
          <w:kern w:val="0"/>
          <w:sz w:val="24"/>
        </w:rPr>
        <w:t>或</w:t>
      </w:r>
      <w:r>
        <w:rPr>
          <w:rFonts w:ascii="宋体" w:hAnsi="宋体"/>
          <w:color w:val="000000"/>
          <w:kern w:val="0"/>
          <w:sz w:val="24"/>
        </w:rPr>
        <w:t xml:space="preserve"> 2 </w:t>
      </w:r>
      <w:r>
        <w:rPr>
          <w:rFonts w:hint="eastAsia" w:ascii="宋体" w:hAnsi="宋体"/>
          <w:color w:val="000000"/>
          <w:kern w:val="0"/>
          <w:sz w:val="24"/>
        </w:rPr>
        <w:t>吨</w:t>
      </w:r>
      <w:r>
        <w:rPr>
          <w:rFonts w:ascii="宋体" w:hAnsi="宋体"/>
          <w:color w:val="000000"/>
          <w:kern w:val="0"/>
          <w:sz w:val="24"/>
        </w:rPr>
        <w:t>(t)</w:t>
      </w:r>
      <w:r>
        <w:rPr>
          <w:rFonts w:hint="eastAsia" w:ascii="宋体" w:hAnsi="宋体"/>
          <w:color w:val="000000"/>
          <w:kern w:val="0"/>
          <w:sz w:val="24"/>
        </w:rPr>
        <w:t>以上，乙方应在每件包装箱的两侧</w:t>
      </w:r>
      <w:r>
        <w:rPr>
          <w:rFonts w:ascii="宋体" w:hAnsi="宋体"/>
          <w:color w:val="000000"/>
          <w:kern w:val="0"/>
          <w:sz w:val="24"/>
        </w:rPr>
        <w:t xml:space="preserve"> </w:t>
      </w:r>
      <w:r>
        <w:rPr>
          <w:rFonts w:hint="eastAsia" w:ascii="宋体" w:hAnsi="宋体"/>
          <w:color w:val="000000"/>
          <w:kern w:val="0"/>
          <w:sz w:val="24"/>
        </w:rPr>
        <w:t>用中文和适当的运输标记，标明</w:t>
      </w:r>
      <w:r>
        <w:rPr>
          <w:rFonts w:hint="eastAsia" w:ascii="宋体"/>
          <w:color w:val="000000"/>
          <w:kern w:val="0"/>
          <w:sz w:val="24"/>
        </w:rPr>
        <w:t>“</w:t>
      </w:r>
      <w:r>
        <w:rPr>
          <w:rFonts w:hint="eastAsia" w:ascii="宋体" w:hAnsi="宋体"/>
          <w:color w:val="000000"/>
          <w:kern w:val="0"/>
          <w:sz w:val="24"/>
        </w:rPr>
        <w:t>重心</w:t>
      </w:r>
      <w:r>
        <w:rPr>
          <w:rFonts w:hint="eastAsia" w:ascii="宋体"/>
          <w:color w:val="000000"/>
          <w:kern w:val="0"/>
          <w:sz w:val="24"/>
        </w:rPr>
        <w:t>”</w:t>
      </w:r>
      <w:r>
        <w:rPr>
          <w:rFonts w:hint="eastAsia" w:ascii="宋体" w:hAnsi="宋体"/>
          <w:color w:val="000000"/>
          <w:kern w:val="0"/>
          <w:sz w:val="24"/>
        </w:rPr>
        <w:t>和</w:t>
      </w:r>
      <w:r>
        <w:rPr>
          <w:rFonts w:hint="eastAsia" w:ascii="宋体"/>
          <w:color w:val="000000"/>
          <w:kern w:val="0"/>
          <w:sz w:val="24"/>
        </w:rPr>
        <w:t>“</w:t>
      </w:r>
      <w:r>
        <w:rPr>
          <w:rFonts w:hint="eastAsia" w:ascii="宋体" w:hAnsi="宋体"/>
          <w:color w:val="000000"/>
          <w:kern w:val="0"/>
          <w:sz w:val="24"/>
        </w:rPr>
        <w:t>吊装点</w:t>
      </w:r>
      <w:r>
        <w:rPr>
          <w:rFonts w:hint="eastAsia" w:ascii="宋体"/>
          <w:color w:val="000000"/>
          <w:kern w:val="0"/>
          <w:sz w:val="24"/>
        </w:rPr>
        <w:t>”</w:t>
      </w:r>
      <w:r>
        <w:rPr>
          <w:rFonts w:hint="eastAsia" w:ascii="宋体" w:hAnsi="宋体"/>
          <w:color w:val="000000"/>
          <w:kern w:val="0"/>
          <w:sz w:val="24"/>
        </w:rPr>
        <w:t>，以便装卸和搬运。根据货物</w:t>
      </w:r>
      <w:r>
        <w:rPr>
          <w:rFonts w:ascii="宋体" w:hAnsi="宋体"/>
          <w:color w:val="000000"/>
          <w:kern w:val="0"/>
          <w:sz w:val="24"/>
        </w:rPr>
        <w:t xml:space="preserve"> </w:t>
      </w:r>
      <w:r>
        <w:rPr>
          <w:rFonts w:hint="eastAsia" w:ascii="宋体" w:hAnsi="宋体"/>
          <w:color w:val="000000"/>
          <w:kern w:val="0"/>
          <w:sz w:val="24"/>
        </w:rPr>
        <w:t>的特点和运输的不同要求，乙方应在包装箱上清楚地标注</w:t>
      </w:r>
      <w:r>
        <w:rPr>
          <w:rFonts w:hint="eastAsia" w:ascii="宋体"/>
          <w:color w:val="000000"/>
          <w:kern w:val="0"/>
          <w:sz w:val="24"/>
        </w:rPr>
        <w:t>“</w:t>
      </w:r>
      <w:r>
        <w:rPr>
          <w:rFonts w:hint="eastAsia" w:ascii="宋体" w:hAnsi="宋体"/>
          <w:color w:val="000000"/>
          <w:kern w:val="0"/>
          <w:sz w:val="24"/>
        </w:rPr>
        <w:t>小心轻放</w:t>
      </w:r>
      <w:r>
        <w:rPr>
          <w:rFonts w:hint="eastAsia" w:ascii="宋体"/>
          <w:color w:val="000000"/>
          <w:kern w:val="0"/>
          <w:sz w:val="24"/>
        </w:rPr>
        <w:t>”</w:t>
      </w:r>
      <w:r>
        <w:rPr>
          <w:rFonts w:hint="eastAsia" w:ascii="宋体" w:hAnsi="宋体"/>
          <w:color w:val="000000"/>
          <w:kern w:val="0"/>
          <w:sz w:val="24"/>
        </w:rPr>
        <w:t>、</w:t>
      </w:r>
      <w:r>
        <w:rPr>
          <w:rFonts w:hint="eastAsia" w:ascii="宋体"/>
          <w:color w:val="000000"/>
          <w:kern w:val="0"/>
          <w:sz w:val="24"/>
        </w:rPr>
        <w:t>“</w:t>
      </w:r>
      <w:r>
        <w:rPr>
          <w:rFonts w:hint="eastAsia" w:ascii="宋体" w:hAnsi="宋体"/>
          <w:color w:val="000000"/>
          <w:kern w:val="0"/>
          <w:sz w:val="24"/>
        </w:rPr>
        <w:t>请勿倒置</w:t>
      </w:r>
      <w:r>
        <w:rPr>
          <w:rFonts w:hint="eastAsia" w:ascii="宋体"/>
          <w:color w:val="000000"/>
          <w:kern w:val="0"/>
          <w:sz w:val="24"/>
        </w:rPr>
        <w:t>”</w:t>
      </w:r>
      <w:r>
        <w:rPr>
          <w:rFonts w:hint="eastAsia" w:ascii="宋体" w:hAnsi="宋体"/>
          <w:color w:val="000000"/>
          <w:kern w:val="0"/>
          <w:sz w:val="24"/>
        </w:rPr>
        <w:t>、</w:t>
      </w:r>
      <w:r>
        <w:rPr>
          <w:rFonts w:ascii="宋体" w:hAnsi="宋体"/>
          <w:color w:val="000000"/>
          <w:kern w:val="0"/>
          <w:sz w:val="24"/>
        </w:rPr>
        <w:t xml:space="preserve"> </w:t>
      </w:r>
      <w:r>
        <w:rPr>
          <w:rFonts w:hint="eastAsia" w:ascii="宋体" w:hAnsi="宋体"/>
          <w:color w:val="000000"/>
          <w:kern w:val="0"/>
          <w:sz w:val="24"/>
        </w:rPr>
        <w:t>“防潮</w:t>
      </w:r>
      <w:r>
        <w:rPr>
          <w:rFonts w:hint="eastAsia" w:ascii="宋体"/>
          <w:color w:val="000000"/>
          <w:kern w:val="0"/>
          <w:sz w:val="24"/>
        </w:rPr>
        <w:t>”</w:t>
      </w:r>
      <w:r>
        <w:rPr>
          <w:rFonts w:hint="eastAsia" w:ascii="宋体" w:hAnsi="宋体"/>
          <w:color w:val="000000"/>
          <w:kern w:val="0"/>
          <w:sz w:val="24"/>
        </w:rPr>
        <w:t>等字祥和其他适当的标志。</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5.5 </w:t>
      </w:r>
      <w:r>
        <w:rPr>
          <w:rFonts w:hint="eastAsia" w:ascii="宋体" w:hAnsi="宋体"/>
          <w:color w:val="000000"/>
          <w:kern w:val="0"/>
          <w:sz w:val="24"/>
        </w:rPr>
        <w:t>设备的包装应符合国家标准，以保证设备在运输过程中不受损伤，由于包装</w:t>
      </w:r>
      <w:r>
        <w:rPr>
          <w:rFonts w:ascii="宋体" w:hAnsi="宋体"/>
          <w:color w:val="000000"/>
          <w:kern w:val="0"/>
          <w:sz w:val="24"/>
        </w:rPr>
        <w:t xml:space="preserve"> </w:t>
      </w:r>
      <w:r>
        <w:rPr>
          <w:rFonts w:hint="eastAsia" w:ascii="宋体" w:hAnsi="宋体"/>
          <w:color w:val="000000"/>
          <w:kern w:val="0"/>
          <w:sz w:val="24"/>
        </w:rPr>
        <w:t>不当造成设备在运输过程中有任何损坏或丢失，由乙方负责。</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5.6  </w:t>
      </w:r>
      <w:r>
        <w:rPr>
          <w:rFonts w:hint="eastAsia" w:ascii="宋体" w:hAnsi="宋体"/>
          <w:color w:val="000000"/>
          <w:kern w:val="0"/>
          <w:sz w:val="24"/>
        </w:rPr>
        <w:t>乙方应自带用以安装、调试过程中所需的各种工具、仪器仪表及易损件。</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6</w:t>
      </w:r>
      <w:r>
        <w:rPr>
          <w:rFonts w:hint="eastAsia" w:ascii="宋体" w:hAnsi="宋体"/>
          <w:color w:val="000000"/>
          <w:kern w:val="0"/>
          <w:sz w:val="24"/>
        </w:rPr>
        <w:t>．保险</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6.l </w:t>
      </w:r>
      <w:r>
        <w:rPr>
          <w:rFonts w:hint="eastAsia" w:ascii="宋体" w:hAnsi="宋体"/>
          <w:color w:val="000000"/>
          <w:kern w:val="0"/>
          <w:sz w:val="24"/>
        </w:rPr>
        <w:t>以出厂价、仓库交货价或货架交货价签订的国内供货合同，其保险将由乙方办理，保险范围应包括乙方装运的全部货物；所有其它情况将由乙方办理货物在运抵</w:t>
      </w:r>
      <w:r>
        <w:rPr>
          <w:rFonts w:ascii="宋体" w:hAnsi="宋体"/>
          <w:color w:val="000000"/>
          <w:kern w:val="0"/>
          <w:sz w:val="24"/>
        </w:rPr>
        <w:t xml:space="preserve"> </w:t>
      </w:r>
      <w:r>
        <w:rPr>
          <w:rFonts w:hint="eastAsia" w:ascii="宋体" w:hAnsi="宋体"/>
          <w:color w:val="000000"/>
          <w:kern w:val="0"/>
          <w:sz w:val="24"/>
        </w:rPr>
        <w:t>目的港／项目现场途中的保险，保险应以人民币按照发票金额的百分之一百一十</w:t>
      </w:r>
      <w:r>
        <w:rPr>
          <w:rFonts w:ascii="宋体" w:hAnsi="宋体"/>
          <w:color w:val="000000"/>
          <w:kern w:val="0"/>
          <w:sz w:val="24"/>
        </w:rPr>
        <w:t xml:space="preserve"> (110</w:t>
      </w:r>
      <w:r>
        <w:rPr>
          <w:rFonts w:hint="eastAsia" w:ascii="宋体" w:hAnsi="宋体"/>
          <w:color w:val="000000"/>
          <w:kern w:val="0"/>
          <w:sz w:val="24"/>
        </w:rPr>
        <w:t>％</w:t>
      </w:r>
      <w:r>
        <w:rPr>
          <w:rFonts w:ascii="宋体" w:hAnsi="宋体"/>
          <w:color w:val="000000"/>
          <w:kern w:val="0"/>
          <w:sz w:val="24"/>
        </w:rPr>
        <w:t>)</w:t>
      </w:r>
      <w:r>
        <w:rPr>
          <w:rFonts w:hint="eastAsia" w:ascii="宋体" w:hAnsi="宋体"/>
          <w:color w:val="000000"/>
          <w:kern w:val="0"/>
          <w:sz w:val="24"/>
        </w:rPr>
        <w:t>办理</w:t>
      </w:r>
      <w:r>
        <w:rPr>
          <w:rFonts w:hint="eastAsia" w:ascii="宋体"/>
          <w:color w:val="000000"/>
          <w:kern w:val="0"/>
          <w:sz w:val="24"/>
        </w:rPr>
        <w:t>“</w:t>
      </w:r>
      <w:r>
        <w:rPr>
          <w:rFonts w:hint="eastAsia" w:ascii="宋体" w:hAnsi="宋体"/>
          <w:color w:val="000000"/>
          <w:kern w:val="0"/>
          <w:sz w:val="24"/>
        </w:rPr>
        <w:t>一切险</w:t>
      </w:r>
      <w:r>
        <w:rPr>
          <w:rFonts w:hint="eastAsia" w:ascii="宋体"/>
          <w:color w:val="000000"/>
          <w:kern w:val="0"/>
          <w:sz w:val="24"/>
        </w:rPr>
        <w:t>”</w:t>
      </w:r>
      <w:r>
        <w:rPr>
          <w:rFonts w:hint="eastAsia" w:ascii="宋体" w:hAnsi="宋体"/>
          <w:color w:val="000000"/>
          <w:kern w:val="0"/>
          <w:sz w:val="24"/>
        </w:rPr>
        <w:t>。</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7</w:t>
      </w:r>
      <w:r>
        <w:rPr>
          <w:rFonts w:hint="eastAsia" w:ascii="宋体" w:hAnsi="宋体"/>
          <w:color w:val="000000"/>
          <w:kern w:val="0"/>
          <w:sz w:val="24"/>
        </w:rPr>
        <w:t>．付款</w:t>
      </w:r>
    </w:p>
    <w:p>
      <w:pPr>
        <w:tabs>
          <w:tab w:val="left" w:pos="118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7.1</w:t>
      </w:r>
      <w:r>
        <w:rPr>
          <w:rFonts w:ascii="宋体" w:hAnsi="宋体"/>
          <w:color w:val="000000"/>
          <w:kern w:val="0"/>
          <w:sz w:val="24"/>
        </w:rPr>
        <w:tab/>
      </w:r>
      <w:r>
        <w:rPr>
          <w:rFonts w:hint="eastAsia" w:ascii="宋体" w:hAnsi="宋体"/>
          <w:color w:val="000000"/>
          <w:kern w:val="0"/>
          <w:sz w:val="24"/>
        </w:rPr>
        <w:t>本合同以人民币付款。</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7.2 </w:t>
      </w:r>
      <w:r>
        <w:rPr>
          <w:rFonts w:hint="eastAsia" w:ascii="宋体" w:hAnsi="宋体"/>
          <w:color w:val="000000"/>
          <w:kern w:val="0"/>
          <w:sz w:val="24"/>
        </w:rPr>
        <w:t>乙方应按照双方签订的合同规定交货。交货后乙方应把下列单据提交给甲方，甲方按合同规定审核后付款：</w:t>
      </w:r>
    </w:p>
    <w:p>
      <w:pPr>
        <w:autoSpaceDE w:val="0"/>
        <w:autoSpaceDN w:val="0"/>
        <w:adjustRightInd w:val="0"/>
        <w:snapToGrid w:val="0"/>
        <w:spacing w:line="400" w:lineRule="exact"/>
        <w:ind w:left="714"/>
        <w:jc w:val="left"/>
        <w:rPr>
          <w:rFonts w:ascii="宋体" w:hAnsi="宋体"/>
          <w:color w:val="000000"/>
          <w:kern w:val="0"/>
          <w:sz w:val="24"/>
        </w:rPr>
      </w:pPr>
      <w:r>
        <w:rPr>
          <w:rFonts w:ascii="宋体" w:hAnsi="宋体"/>
          <w:color w:val="000000"/>
          <w:kern w:val="0"/>
          <w:sz w:val="24"/>
        </w:rPr>
        <w:t xml:space="preserve">(1)  </w:t>
      </w:r>
      <w:r>
        <w:rPr>
          <w:rFonts w:hint="eastAsia" w:ascii="宋体" w:hAnsi="宋体"/>
          <w:color w:val="000000"/>
          <w:kern w:val="0"/>
          <w:sz w:val="24"/>
        </w:rPr>
        <w:t>有关运输部门出具的票据；</w:t>
      </w:r>
      <w:r>
        <w:rPr>
          <w:rFonts w:ascii="宋体" w:hAnsi="宋体"/>
          <w:color w:val="000000"/>
          <w:kern w:val="0"/>
          <w:sz w:val="24"/>
        </w:rPr>
        <w:t xml:space="preserve"> </w:t>
      </w:r>
    </w:p>
    <w:p>
      <w:pPr>
        <w:autoSpaceDE w:val="0"/>
        <w:autoSpaceDN w:val="0"/>
        <w:adjustRightInd w:val="0"/>
        <w:snapToGrid w:val="0"/>
        <w:spacing w:line="400" w:lineRule="exact"/>
        <w:ind w:left="714"/>
        <w:jc w:val="left"/>
        <w:rPr>
          <w:rFonts w:ascii="宋体"/>
          <w:color w:val="000000"/>
          <w:kern w:val="0"/>
          <w:sz w:val="24"/>
        </w:rPr>
      </w:pPr>
      <w:r>
        <w:rPr>
          <w:rFonts w:ascii="宋体" w:hAnsi="宋体"/>
          <w:color w:val="000000"/>
          <w:kern w:val="0"/>
          <w:sz w:val="24"/>
        </w:rPr>
        <w:t xml:space="preserve">(2)  </w:t>
      </w:r>
      <w:r>
        <w:rPr>
          <w:rFonts w:hint="eastAsia" w:ascii="宋体" w:hAnsi="宋体"/>
          <w:color w:val="000000"/>
          <w:kern w:val="0"/>
          <w:sz w:val="24"/>
        </w:rPr>
        <w:t>发票；</w:t>
      </w:r>
    </w:p>
    <w:p>
      <w:pPr>
        <w:autoSpaceDE w:val="0"/>
        <w:autoSpaceDN w:val="0"/>
        <w:adjustRightInd w:val="0"/>
        <w:snapToGrid w:val="0"/>
        <w:spacing w:line="400" w:lineRule="exact"/>
        <w:ind w:left="714"/>
        <w:jc w:val="left"/>
        <w:rPr>
          <w:rFonts w:ascii="宋体"/>
          <w:color w:val="000000"/>
          <w:kern w:val="0"/>
          <w:sz w:val="15"/>
          <w:szCs w:val="15"/>
        </w:rPr>
      </w:pPr>
      <w:r>
        <w:rPr>
          <w:rFonts w:ascii="宋体" w:hAnsi="宋体"/>
          <w:color w:val="000000"/>
          <w:kern w:val="0"/>
          <w:sz w:val="24"/>
        </w:rPr>
        <w:t xml:space="preserve">(3)  </w:t>
      </w:r>
      <w:r>
        <w:rPr>
          <w:rFonts w:hint="eastAsia" w:ascii="宋体" w:hAnsi="宋体"/>
          <w:color w:val="000000"/>
          <w:kern w:val="0"/>
          <w:sz w:val="24"/>
        </w:rPr>
        <w:t>装箱单；</w:t>
      </w:r>
    </w:p>
    <w:p>
      <w:pPr>
        <w:autoSpaceDE w:val="0"/>
        <w:autoSpaceDN w:val="0"/>
        <w:adjustRightInd w:val="0"/>
        <w:snapToGrid w:val="0"/>
        <w:spacing w:line="400" w:lineRule="exact"/>
        <w:ind w:left="714"/>
        <w:jc w:val="left"/>
        <w:rPr>
          <w:rFonts w:ascii="宋体"/>
          <w:color w:val="000000"/>
          <w:kern w:val="0"/>
          <w:sz w:val="24"/>
        </w:rPr>
      </w:pPr>
      <w:r>
        <w:rPr>
          <w:rFonts w:ascii="宋体" w:hAnsi="宋体"/>
          <w:color w:val="000000"/>
          <w:kern w:val="0"/>
          <w:sz w:val="24"/>
        </w:rPr>
        <w:t xml:space="preserve">(4)  </w:t>
      </w:r>
      <w:r>
        <w:rPr>
          <w:rFonts w:hint="eastAsia" w:ascii="宋体" w:hAnsi="宋体"/>
          <w:color w:val="000000"/>
          <w:kern w:val="0"/>
          <w:sz w:val="24"/>
        </w:rPr>
        <w:t>制造厂商出具的质量检验证书和数量证明书；</w:t>
      </w:r>
    </w:p>
    <w:p>
      <w:pPr>
        <w:autoSpaceDE w:val="0"/>
        <w:autoSpaceDN w:val="0"/>
        <w:adjustRightInd w:val="0"/>
        <w:snapToGrid w:val="0"/>
        <w:spacing w:line="400" w:lineRule="exact"/>
        <w:ind w:left="714"/>
        <w:jc w:val="left"/>
        <w:rPr>
          <w:rFonts w:ascii="宋体"/>
          <w:color w:val="000000"/>
          <w:kern w:val="0"/>
          <w:sz w:val="24"/>
        </w:rPr>
      </w:pPr>
      <w:r>
        <w:rPr>
          <w:rFonts w:ascii="宋体" w:hAnsi="宋体"/>
          <w:color w:val="000000"/>
          <w:kern w:val="0"/>
          <w:sz w:val="24"/>
        </w:rPr>
        <w:t xml:space="preserve">(5)  </w:t>
      </w:r>
      <w:r>
        <w:rPr>
          <w:rFonts w:hint="eastAsia" w:ascii="宋体" w:hAnsi="宋体"/>
          <w:color w:val="000000"/>
          <w:kern w:val="0"/>
          <w:sz w:val="24"/>
        </w:rPr>
        <w:t>验收证书。</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7.3 </w:t>
      </w:r>
      <w:r>
        <w:rPr>
          <w:rFonts w:hint="eastAsia" w:ascii="宋体" w:hAnsi="宋体"/>
          <w:color w:val="000000"/>
          <w:kern w:val="0"/>
          <w:sz w:val="24"/>
        </w:rPr>
        <w:t>交货地点和交货期限</w:t>
      </w:r>
      <w:r>
        <w:rPr>
          <w:rFonts w:ascii="宋体" w:hAnsi="宋体"/>
          <w:color w:val="000000"/>
          <w:kern w:val="0"/>
          <w:sz w:val="24"/>
        </w:rPr>
        <w:t xml:space="preserve"> </w:t>
      </w:r>
      <w:r>
        <w:rPr>
          <w:rFonts w:hint="eastAsia" w:ascii="宋体" w:hAnsi="宋体"/>
          <w:color w:val="000000"/>
          <w:kern w:val="0"/>
          <w:sz w:val="24"/>
        </w:rPr>
        <w:t>交货地点：发货至设备仪器使用单位（全疆96个县区级疾病预防控制中心）。</w:t>
      </w:r>
    </w:p>
    <w:p>
      <w:pPr>
        <w:autoSpaceDE w:val="0"/>
        <w:autoSpaceDN w:val="0"/>
        <w:adjustRightInd w:val="0"/>
        <w:snapToGrid w:val="0"/>
        <w:spacing w:line="400" w:lineRule="exact"/>
        <w:ind w:firstLine="592" w:firstLineChars="247"/>
        <w:jc w:val="left"/>
        <w:rPr>
          <w:rFonts w:ascii="宋体"/>
          <w:color w:val="000000"/>
          <w:kern w:val="0"/>
          <w:sz w:val="24"/>
        </w:rPr>
      </w:pPr>
      <w:r>
        <w:rPr>
          <w:rFonts w:hint="eastAsia" w:ascii="宋体" w:hAnsi="宋体"/>
          <w:color w:val="000000"/>
          <w:kern w:val="0"/>
          <w:sz w:val="24"/>
        </w:rPr>
        <w:t>交货期限：国产设备为合同签订后</w:t>
      </w:r>
      <w:r>
        <w:rPr>
          <w:rFonts w:ascii="宋体" w:hAnsi="宋体"/>
          <w:color w:val="000000"/>
          <w:kern w:val="0"/>
          <w:sz w:val="24"/>
        </w:rPr>
        <w:t xml:space="preserve"> 30 </w:t>
      </w:r>
      <w:r>
        <w:rPr>
          <w:rFonts w:hint="eastAsia" w:ascii="宋体" w:hAnsi="宋体"/>
          <w:color w:val="000000"/>
          <w:kern w:val="0"/>
          <w:sz w:val="24"/>
        </w:rPr>
        <w:t>个日历日内；进口设备为合同签订后</w:t>
      </w:r>
      <w:r>
        <w:rPr>
          <w:rFonts w:ascii="宋体" w:hAnsi="宋体"/>
          <w:color w:val="000000"/>
          <w:kern w:val="0"/>
          <w:sz w:val="24"/>
        </w:rPr>
        <w:t xml:space="preserve"> </w:t>
      </w:r>
      <w:r>
        <w:rPr>
          <w:rFonts w:hint="eastAsia" w:ascii="宋体" w:hAnsi="宋体"/>
          <w:color w:val="000000"/>
          <w:kern w:val="0"/>
          <w:sz w:val="24"/>
        </w:rPr>
        <w:t>9</w:t>
      </w:r>
      <w:r>
        <w:rPr>
          <w:rFonts w:ascii="宋体" w:hAnsi="宋体"/>
          <w:color w:val="000000"/>
          <w:kern w:val="0"/>
          <w:sz w:val="24"/>
        </w:rPr>
        <w:t xml:space="preserve">0 </w:t>
      </w:r>
      <w:r>
        <w:rPr>
          <w:rFonts w:hint="eastAsia" w:ascii="宋体" w:hAnsi="宋体"/>
          <w:color w:val="000000"/>
          <w:kern w:val="0"/>
          <w:sz w:val="24"/>
        </w:rPr>
        <w:t>个日历日内。</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7.4 </w:t>
      </w:r>
      <w:r>
        <w:rPr>
          <w:rFonts w:hint="eastAsia" w:ascii="宋体" w:hAnsi="宋体"/>
          <w:color w:val="000000"/>
          <w:kern w:val="0"/>
          <w:sz w:val="24"/>
        </w:rPr>
        <w:t>付款方式</w:t>
      </w:r>
    </w:p>
    <w:p>
      <w:pPr>
        <w:autoSpaceDE w:val="0"/>
        <w:autoSpaceDN w:val="0"/>
        <w:adjustRightInd w:val="0"/>
        <w:snapToGrid w:val="0"/>
        <w:spacing w:line="400" w:lineRule="exact"/>
        <w:ind w:left="114" w:firstLine="480"/>
        <w:rPr>
          <w:rFonts w:ascii="宋体"/>
          <w:color w:val="FF0000"/>
          <w:kern w:val="0"/>
          <w:sz w:val="24"/>
        </w:rPr>
      </w:pPr>
      <w:r>
        <w:rPr>
          <w:rFonts w:hint="eastAsia" w:ascii="宋体" w:hAnsi="宋体"/>
          <w:color w:val="000000"/>
          <w:kern w:val="0"/>
          <w:sz w:val="24"/>
        </w:rPr>
        <w:t>卖方与买方签订合同后，卖方缴纳中标金额10%的合同履约保证金，交货验收合格后买方通过财政国库支付给卖方合同总价100%的货款，付款满一年后，无质量问题返还合同履约保证金。</w:t>
      </w:r>
    </w:p>
    <w:p>
      <w:pPr>
        <w:autoSpaceDE w:val="0"/>
        <w:autoSpaceDN w:val="0"/>
        <w:adjustRightInd w:val="0"/>
        <w:snapToGrid w:val="0"/>
        <w:spacing w:line="400" w:lineRule="exact"/>
        <w:ind w:left="594"/>
        <w:jc w:val="left"/>
        <w:rPr>
          <w:rFonts w:ascii="宋体"/>
          <w:color w:val="000000"/>
          <w:kern w:val="0"/>
          <w:sz w:val="24"/>
        </w:rPr>
      </w:pPr>
      <w:r>
        <w:rPr>
          <w:rFonts w:hint="eastAsia" w:ascii="宋体" w:hAnsi="宋体"/>
          <w:color w:val="000000"/>
          <w:kern w:val="0"/>
          <w:sz w:val="24"/>
        </w:rPr>
        <w:t>上述支付方式最终以中标方与采购单位签订的合同内容为准。</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8</w:t>
      </w:r>
      <w:r>
        <w:rPr>
          <w:rFonts w:hint="eastAsia" w:ascii="宋体" w:hAnsi="宋体"/>
          <w:color w:val="000000"/>
          <w:kern w:val="0"/>
          <w:sz w:val="24"/>
        </w:rPr>
        <w:t>．伴随服务</w:t>
      </w:r>
    </w:p>
    <w:p>
      <w:pPr>
        <w:tabs>
          <w:tab w:val="left" w:pos="118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8.1</w:t>
      </w:r>
      <w:r>
        <w:rPr>
          <w:rFonts w:ascii="宋体" w:hAnsi="宋体"/>
          <w:color w:val="000000"/>
          <w:kern w:val="0"/>
          <w:sz w:val="24"/>
        </w:rPr>
        <w:tab/>
      </w:r>
      <w:r>
        <w:rPr>
          <w:rFonts w:hint="eastAsia" w:ascii="宋体" w:hAnsi="宋体"/>
          <w:color w:val="000000"/>
          <w:kern w:val="0"/>
          <w:sz w:val="24"/>
        </w:rPr>
        <w:t>除合同条款中另有规定外，乙方应提供如下服务：</w:t>
      </w:r>
    </w:p>
    <w:p>
      <w:pPr>
        <w:autoSpaceDE w:val="0"/>
        <w:autoSpaceDN w:val="0"/>
        <w:adjustRightInd w:val="0"/>
        <w:snapToGrid w:val="0"/>
        <w:spacing w:line="400" w:lineRule="exact"/>
        <w:ind w:left="114" w:firstLine="480"/>
        <w:rPr>
          <w:rFonts w:asci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）所供货物必须是原厂制造、全新的产品，符合国家标准以及该产品的出厂标准。</w:t>
      </w:r>
    </w:p>
    <w:p>
      <w:pPr>
        <w:autoSpaceDE w:val="0"/>
        <w:autoSpaceDN w:val="0"/>
        <w:adjustRightInd w:val="0"/>
        <w:snapToGrid w:val="0"/>
        <w:spacing w:line="400" w:lineRule="exact"/>
        <w:ind w:left="114" w:firstLine="480"/>
        <w:rPr>
          <w:rFonts w:ascii="宋体"/>
          <w:color w:val="000000"/>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）所供货物及所使用的原材料必须符合国家环保验收标准，并出具相关采购证明，否则，无条件退货。</w:t>
      </w:r>
    </w:p>
    <w:p>
      <w:pPr>
        <w:autoSpaceDE w:val="0"/>
        <w:autoSpaceDN w:val="0"/>
        <w:adjustRightInd w:val="0"/>
        <w:snapToGrid w:val="0"/>
        <w:spacing w:line="400" w:lineRule="exact"/>
        <w:ind w:left="594"/>
        <w:jc w:val="left"/>
        <w:rPr>
          <w:rFonts w:ascii="宋体"/>
          <w:color w:val="000000"/>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）所有货物必须由中标人免费送货上门到用户指定地点并免费安装。</w:t>
      </w:r>
    </w:p>
    <w:p>
      <w:pPr>
        <w:autoSpaceDE w:val="0"/>
        <w:autoSpaceDN w:val="0"/>
        <w:adjustRightInd w:val="0"/>
        <w:snapToGrid w:val="0"/>
        <w:spacing w:line="400" w:lineRule="exact"/>
        <w:ind w:left="114" w:firstLine="480"/>
        <w:rPr>
          <w:rFonts w:ascii="宋体"/>
          <w:color w:val="000000"/>
          <w:kern w:val="0"/>
          <w:sz w:val="24"/>
        </w:rPr>
      </w:pPr>
      <w:r>
        <w:rPr>
          <w:rFonts w:hint="eastAsia" w:ascii="宋体" w:hAnsi="宋体"/>
          <w:color w:val="000000"/>
          <w:kern w:val="0"/>
          <w:sz w:val="24"/>
        </w:rPr>
        <w:t>（</w:t>
      </w:r>
      <w:r>
        <w:rPr>
          <w:rFonts w:ascii="宋体" w:hAnsi="宋体"/>
          <w:color w:val="000000"/>
          <w:kern w:val="0"/>
          <w:sz w:val="24"/>
        </w:rPr>
        <w:t>4</w:t>
      </w:r>
      <w:r>
        <w:rPr>
          <w:rFonts w:hint="eastAsia" w:ascii="宋体" w:hAnsi="宋体"/>
          <w:color w:val="000000"/>
          <w:kern w:val="0"/>
          <w:sz w:val="24"/>
        </w:rPr>
        <w:t>）所有货物必须由中标人提供招标人约定的免费质量保修期服务；在质量保修</w:t>
      </w:r>
      <w:r>
        <w:rPr>
          <w:rFonts w:ascii="宋体" w:hAnsi="宋体"/>
          <w:color w:val="000000"/>
          <w:kern w:val="0"/>
          <w:sz w:val="24"/>
        </w:rPr>
        <w:t xml:space="preserve"> </w:t>
      </w:r>
      <w:r>
        <w:rPr>
          <w:rFonts w:hint="eastAsia" w:ascii="宋体" w:hAnsi="宋体"/>
          <w:color w:val="000000"/>
          <w:kern w:val="0"/>
          <w:sz w:val="24"/>
        </w:rPr>
        <w:t>服务期内，使用者如有投诉，须在</w:t>
      </w:r>
      <w:r>
        <w:rPr>
          <w:rFonts w:ascii="宋体" w:hAnsi="宋体"/>
          <w:color w:val="000000"/>
          <w:kern w:val="0"/>
          <w:sz w:val="24"/>
        </w:rPr>
        <w:t>8</w:t>
      </w:r>
      <w:r>
        <w:rPr>
          <w:rFonts w:hint="eastAsia" w:ascii="宋体" w:hAnsi="宋体"/>
          <w:color w:val="000000"/>
          <w:kern w:val="0"/>
          <w:sz w:val="24"/>
        </w:rPr>
        <w:t>小时内响应，</w:t>
      </w:r>
      <w:r>
        <w:rPr>
          <w:rFonts w:ascii="宋体" w:hAnsi="宋体"/>
          <w:color w:val="000000"/>
          <w:kern w:val="0"/>
          <w:sz w:val="24"/>
        </w:rPr>
        <w:t>72</w:t>
      </w:r>
      <w:r>
        <w:rPr>
          <w:rFonts w:hint="eastAsia" w:ascii="宋体" w:hAnsi="宋体"/>
          <w:color w:val="000000"/>
          <w:kern w:val="0"/>
          <w:sz w:val="24"/>
        </w:rPr>
        <w:t>小时内处理完毕。</w:t>
      </w:r>
    </w:p>
    <w:p>
      <w:pPr>
        <w:autoSpaceDE w:val="0"/>
        <w:autoSpaceDN w:val="0"/>
        <w:adjustRightInd w:val="0"/>
        <w:snapToGrid w:val="0"/>
        <w:spacing w:line="400" w:lineRule="exact"/>
        <w:ind w:left="114" w:firstLine="480"/>
        <w:rPr>
          <w:rFonts w:ascii="宋体"/>
          <w:color w:val="000000"/>
          <w:kern w:val="0"/>
          <w:sz w:val="24"/>
        </w:rPr>
      </w:pPr>
      <w:r>
        <w:rPr>
          <w:rFonts w:hint="eastAsia" w:ascii="宋体" w:hAnsi="宋体"/>
          <w:color w:val="000000"/>
          <w:kern w:val="0"/>
          <w:sz w:val="24"/>
        </w:rPr>
        <w:t>（</w:t>
      </w:r>
      <w:r>
        <w:rPr>
          <w:rFonts w:ascii="宋体" w:hAnsi="宋体"/>
          <w:color w:val="000000"/>
          <w:kern w:val="0"/>
          <w:sz w:val="24"/>
        </w:rPr>
        <w:t>5</w:t>
      </w:r>
      <w:r>
        <w:rPr>
          <w:rFonts w:hint="eastAsia" w:ascii="宋体" w:hAnsi="宋体"/>
          <w:color w:val="000000"/>
          <w:kern w:val="0"/>
          <w:sz w:val="24"/>
        </w:rPr>
        <w:t>）供货商还须保证甲方所采购的设备在质量保修服务期期满后以优惠价供应正</w:t>
      </w:r>
      <w:r>
        <w:rPr>
          <w:rFonts w:ascii="宋体" w:hAnsi="宋体"/>
          <w:color w:val="000000"/>
          <w:kern w:val="0"/>
          <w:sz w:val="24"/>
        </w:rPr>
        <w:t xml:space="preserve"> </w:t>
      </w:r>
      <w:r>
        <w:rPr>
          <w:rFonts w:hint="eastAsia" w:ascii="宋体" w:hAnsi="宋体"/>
          <w:color w:val="000000"/>
          <w:kern w:val="0"/>
          <w:sz w:val="24"/>
        </w:rPr>
        <w:t>常使用所必须的零配件，并列出清单，标明价格、单价。</w:t>
      </w:r>
    </w:p>
    <w:p>
      <w:pPr>
        <w:autoSpaceDE w:val="0"/>
        <w:autoSpaceDN w:val="0"/>
        <w:adjustRightInd w:val="0"/>
        <w:snapToGrid w:val="0"/>
        <w:spacing w:line="400" w:lineRule="exact"/>
        <w:ind w:left="114" w:firstLine="480"/>
        <w:rPr>
          <w:rFonts w:ascii="宋体"/>
          <w:color w:val="000000"/>
          <w:kern w:val="0"/>
          <w:sz w:val="24"/>
        </w:rPr>
      </w:pPr>
      <w:r>
        <w:rPr>
          <w:rFonts w:hint="eastAsia" w:ascii="宋体" w:hAnsi="宋体"/>
          <w:color w:val="000000"/>
          <w:kern w:val="0"/>
          <w:sz w:val="24"/>
        </w:rPr>
        <w:t>（</w:t>
      </w:r>
      <w:r>
        <w:rPr>
          <w:rFonts w:ascii="宋体" w:hAnsi="宋体"/>
          <w:color w:val="000000"/>
          <w:kern w:val="0"/>
          <w:sz w:val="24"/>
        </w:rPr>
        <w:t>6</w:t>
      </w:r>
      <w:r>
        <w:rPr>
          <w:rFonts w:hint="eastAsia" w:ascii="宋体" w:hAnsi="宋体"/>
          <w:color w:val="000000"/>
          <w:kern w:val="0"/>
          <w:sz w:val="24"/>
        </w:rPr>
        <w:t>）中标人应将关键产品的用户手册、保修手册、有关单证资料及配备件、随机</w:t>
      </w:r>
      <w:r>
        <w:rPr>
          <w:rFonts w:ascii="宋体" w:hAnsi="宋体"/>
          <w:color w:val="000000"/>
          <w:kern w:val="0"/>
          <w:sz w:val="24"/>
        </w:rPr>
        <w:t xml:space="preserve"> </w:t>
      </w:r>
      <w:r>
        <w:rPr>
          <w:rFonts w:hint="eastAsia" w:ascii="宋体" w:hAnsi="宋体"/>
          <w:color w:val="000000"/>
          <w:kern w:val="0"/>
          <w:sz w:val="24"/>
        </w:rPr>
        <w:t>工具等交付给甲方。</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8.2 </w:t>
      </w:r>
      <w:r>
        <w:rPr>
          <w:rFonts w:hint="eastAsia" w:ascii="宋体" w:hAnsi="宋体"/>
          <w:color w:val="000000"/>
          <w:kern w:val="0"/>
          <w:sz w:val="24"/>
        </w:rPr>
        <w:t>乙方还应提供下列服务：</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(1)  </w:t>
      </w:r>
      <w:r>
        <w:rPr>
          <w:rFonts w:hint="eastAsia" w:ascii="宋体" w:hAnsi="宋体"/>
          <w:color w:val="000000"/>
          <w:kern w:val="0"/>
          <w:sz w:val="24"/>
        </w:rPr>
        <w:t>货物的现场安装和启动监督；</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(2)  </w:t>
      </w:r>
      <w:r>
        <w:rPr>
          <w:rFonts w:hint="eastAsia" w:ascii="宋体" w:hAnsi="宋体"/>
          <w:color w:val="000000"/>
          <w:kern w:val="0"/>
          <w:sz w:val="24"/>
        </w:rPr>
        <w:t>提供货物组装和维修所需的工具；</w:t>
      </w:r>
    </w:p>
    <w:p>
      <w:pPr>
        <w:autoSpaceDE w:val="0"/>
        <w:autoSpaceDN w:val="0"/>
        <w:adjustRightInd w:val="0"/>
        <w:snapToGrid w:val="0"/>
        <w:spacing w:line="400" w:lineRule="exact"/>
        <w:ind w:left="1074" w:hanging="480"/>
        <w:jc w:val="left"/>
        <w:rPr>
          <w:rFonts w:ascii="宋体"/>
          <w:color w:val="000000"/>
          <w:kern w:val="0"/>
          <w:sz w:val="15"/>
          <w:szCs w:val="15"/>
        </w:rPr>
      </w:pPr>
      <w:r>
        <w:rPr>
          <w:rFonts w:ascii="宋体" w:hAnsi="宋体"/>
          <w:color w:val="000000"/>
          <w:kern w:val="0"/>
          <w:sz w:val="24"/>
        </w:rPr>
        <w:t xml:space="preserve">(3)  </w:t>
      </w:r>
      <w:r>
        <w:rPr>
          <w:rFonts w:hint="eastAsia" w:ascii="宋体" w:hAnsi="宋体"/>
          <w:color w:val="000000"/>
          <w:kern w:val="0"/>
          <w:sz w:val="24"/>
        </w:rPr>
        <w:t>在双方商定的一定期限内对所供货物实施运行监督、维修，但前提条件是该服务并不能免除乙方在质量保证期内所承担的义务。</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(4)  </w:t>
      </w:r>
      <w:r>
        <w:rPr>
          <w:rFonts w:hint="eastAsia" w:ascii="宋体" w:hAnsi="宋体"/>
          <w:color w:val="000000"/>
          <w:kern w:val="0"/>
          <w:sz w:val="24"/>
        </w:rPr>
        <w:t>在项目现场就货物的安装、启动、维护等对甲方人员进行培训。</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8.3 </w:t>
      </w:r>
      <w:r>
        <w:rPr>
          <w:rFonts w:hint="eastAsia" w:ascii="宋体" w:hAnsi="宋体"/>
          <w:color w:val="000000"/>
          <w:kern w:val="0"/>
          <w:sz w:val="24"/>
        </w:rPr>
        <w:t>除合同条款中另有规定外，伴随服务的费用应含在合同价中，不单独进行支付。</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9</w:t>
      </w:r>
      <w:r>
        <w:rPr>
          <w:rFonts w:hint="eastAsia" w:ascii="宋体" w:hAnsi="宋体"/>
          <w:color w:val="000000"/>
          <w:kern w:val="0"/>
          <w:sz w:val="24"/>
        </w:rPr>
        <w:t>．质量保证</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9.1 </w:t>
      </w:r>
      <w:r>
        <w:rPr>
          <w:rFonts w:hint="eastAsia" w:ascii="宋体" w:hAnsi="宋体"/>
          <w:color w:val="000000"/>
          <w:kern w:val="0"/>
          <w:sz w:val="24"/>
        </w:rPr>
        <w:t>乙方应保证所供货物是全新的、未使用过的和用一流的工艺生产的，并完全符合国家标准、消防标准、行业标准，销售渠道符合乙方身份。</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9.2 </w:t>
      </w:r>
      <w:r>
        <w:rPr>
          <w:rFonts w:hint="eastAsia" w:ascii="宋体" w:hAnsi="宋体"/>
          <w:color w:val="000000"/>
          <w:kern w:val="0"/>
          <w:sz w:val="24"/>
        </w:rPr>
        <w:t>根据当地商检局或有关部门检验结果或者在质量保证期内，如果货物的数量、质量或规格与合同不符，或证实货物是有缺陷的，包括潜在的缺陷或使用不符合</w:t>
      </w:r>
      <w:r>
        <w:rPr>
          <w:rFonts w:ascii="宋体" w:hAnsi="宋体"/>
          <w:color w:val="000000"/>
          <w:kern w:val="0"/>
          <w:sz w:val="24"/>
        </w:rPr>
        <w:t xml:space="preserve"> </w:t>
      </w:r>
      <w:r>
        <w:rPr>
          <w:rFonts w:hint="eastAsia" w:ascii="宋体" w:hAnsi="宋体"/>
          <w:color w:val="000000"/>
          <w:kern w:val="0"/>
          <w:sz w:val="24"/>
        </w:rPr>
        <w:t>要求的材料等，甲方应尽快以书面形式向乙方提出本保证下的索赔。</w:t>
      </w:r>
    </w:p>
    <w:p>
      <w:pPr>
        <w:tabs>
          <w:tab w:val="left" w:pos="118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9.3</w:t>
      </w:r>
      <w:r>
        <w:rPr>
          <w:rFonts w:ascii="宋体" w:hAnsi="宋体"/>
          <w:color w:val="000000"/>
          <w:kern w:val="0"/>
          <w:sz w:val="24"/>
        </w:rPr>
        <w:tab/>
      </w:r>
      <w:r>
        <w:rPr>
          <w:rFonts w:hint="eastAsia" w:ascii="宋体" w:hAnsi="宋体"/>
          <w:color w:val="000000"/>
          <w:kern w:val="0"/>
          <w:sz w:val="24"/>
        </w:rPr>
        <w:t>乙方在收到通知后十</w:t>
      </w:r>
      <w:r>
        <w:rPr>
          <w:rFonts w:ascii="宋体" w:hAnsi="宋体"/>
          <w:color w:val="000000"/>
          <w:kern w:val="0"/>
          <w:sz w:val="24"/>
        </w:rPr>
        <w:t>(10)</w:t>
      </w:r>
      <w:r>
        <w:rPr>
          <w:rFonts w:hint="eastAsia" w:ascii="宋体" w:hAnsi="宋体"/>
          <w:color w:val="000000"/>
          <w:kern w:val="0"/>
          <w:sz w:val="24"/>
        </w:rPr>
        <w:t>天内应免费维修或更换有缺陷的货物或部件。</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9.4 </w:t>
      </w:r>
      <w:r>
        <w:rPr>
          <w:rFonts w:hint="eastAsia" w:ascii="宋体" w:hAnsi="宋体"/>
          <w:color w:val="000000"/>
          <w:kern w:val="0"/>
          <w:sz w:val="24"/>
        </w:rPr>
        <w:t>如果乙方在收到通知后十</w:t>
      </w:r>
      <w:r>
        <w:rPr>
          <w:rFonts w:ascii="宋体" w:hAnsi="宋体"/>
          <w:color w:val="000000"/>
          <w:kern w:val="0"/>
          <w:sz w:val="24"/>
        </w:rPr>
        <w:t>(10)</w:t>
      </w:r>
      <w:r>
        <w:rPr>
          <w:rFonts w:hint="eastAsia" w:ascii="宋体" w:hAnsi="宋体"/>
          <w:color w:val="000000"/>
          <w:kern w:val="0"/>
          <w:sz w:val="24"/>
        </w:rPr>
        <w:t>天内没有弥补缺陷，甲方可采取必要的补救措施，但其风险和费用将由乙方承担，甲方根据合同规定对乙方行使的其他权力不受影响。</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 xml:space="preserve">9.5  </w:t>
      </w:r>
      <w:r>
        <w:rPr>
          <w:rFonts w:hint="eastAsia" w:ascii="宋体" w:hAnsi="宋体"/>
          <w:color w:val="000000"/>
          <w:kern w:val="0"/>
          <w:sz w:val="24"/>
        </w:rPr>
        <w:t>设备投入正常运营后，乙方应定期回访使用方。</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10</w:t>
      </w:r>
      <w:r>
        <w:rPr>
          <w:rFonts w:hint="eastAsia" w:ascii="宋体" w:hAnsi="宋体"/>
          <w:color w:val="000000"/>
          <w:kern w:val="0"/>
          <w:sz w:val="24"/>
        </w:rPr>
        <w:t>．检验</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10.1 </w:t>
      </w:r>
      <w:r>
        <w:rPr>
          <w:rFonts w:hint="eastAsia" w:ascii="宋体" w:hAnsi="宋体"/>
          <w:color w:val="000000"/>
          <w:kern w:val="0"/>
          <w:sz w:val="24"/>
        </w:rPr>
        <w:t>在交货前，制造商应对货物的质量、规格、性能、数量等进行详细而全面的检验，所交产品符合相关验收标准，并出具</w:t>
      </w:r>
      <w:r>
        <w:rPr>
          <w:rFonts w:ascii="宋体" w:hAnsi="宋体"/>
          <w:color w:val="000000"/>
          <w:kern w:val="0"/>
          <w:sz w:val="24"/>
        </w:rPr>
        <w:t>—</w:t>
      </w:r>
      <w:r>
        <w:rPr>
          <w:rFonts w:hint="eastAsia" w:ascii="宋体" w:hAnsi="宋体"/>
          <w:color w:val="000000"/>
          <w:kern w:val="0"/>
          <w:sz w:val="24"/>
        </w:rPr>
        <w:t>份证明货物符合合同规定的质量检验</w:t>
      </w:r>
      <w:r>
        <w:rPr>
          <w:rFonts w:ascii="宋体" w:hAnsi="宋体"/>
          <w:color w:val="000000"/>
          <w:kern w:val="0"/>
          <w:sz w:val="24"/>
        </w:rPr>
        <w:t xml:space="preserve"> </w:t>
      </w:r>
      <w:r>
        <w:rPr>
          <w:rFonts w:hint="eastAsia" w:ascii="宋体" w:hAnsi="宋体"/>
          <w:color w:val="000000"/>
          <w:kern w:val="0"/>
          <w:sz w:val="24"/>
        </w:rPr>
        <w:t>证书，检验证书是付款时所需要的文件的组成部分，但不能作为有关质量、规格、数</w:t>
      </w:r>
      <w:r>
        <w:rPr>
          <w:rFonts w:ascii="宋体" w:hAnsi="宋体"/>
          <w:color w:val="000000"/>
          <w:kern w:val="0"/>
          <w:sz w:val="24"/>
        </w:rPr>
        <w:t xml:space="preserve"> </w:t>
      </w:r>
      <w:r>
        <w:rPr>
          <w:rFonts w:hint="eastAsia" w:ascii="宋体" w:hAnsi="宋体"/>
          <w:color w:val="000000"/>
          <w:kern w:val="0"/>
          <w:sz w:val="24"/>
        </w:rPr>
        <w:t>量或重量的最终检验。制造商检验的结果和细节应附在检验证书后面。</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10.2 </w:t>
      </w:r>
      <w:r>
        <w:rPr>
          <w:rFonts w:hint="eastAsia" w:ascii="宋体" w:hAnsi="宋体"/>
          <w:color w:val="000000"/>
          <w:kern w:val="0"/>
          <w:sz w:val="24"/>
        </w:rPr>
        <w:t>货物运抵现场后，甲方现场验收，如有需要，可抽取样品交有关检测部门检验。</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11</w:t>
      </w:r>
      <w:r>
        <w:rPr>
          <w:rFonts w:hint="eastAsia" w:ascii="宋体" w:hAnsi="宋体"/>
          <w:color w:val="000000"/>
          <w:kern w:val="0"/>
          <w:sz w:val="24"/>
        </w:rPr>
        <w:t>．索赔</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11.1 </w:t>
      </w:r>
      <w:r>
        <w:rPr>
          <w:rFonts w:hint="eastAsia" w:ascii="宋体" w:hAnsi="宋体"/>
          <w:color w:val="000000"/>
          <w:kern w:val="0"/>
          <w:sz w:val="24"/>
        </w:rPr>
        <w:t>甲方有权根据当地商检局或有关部门出具的检验证书向乙方提出索赔，如不符合招标文件相关质量要求，甲方有权拒付部分或全部货款，并保留追索因延期交</w:t>
      </w:r>
      <w:r>
        <w:rPr>
          <w:rFonts w:ascii="宋体" w:hAnsi="宋体"/>
          <w:color w:val="000000"/>
          <w:kern w:val="0"/>
          <w:sz w:val="24"/>
        </w:rPr>
        <w:t xml:space="preserve"> </w:t>
      </w:r>
      <w:r>
        <w:rPr>
          <w:rFonts w:hint="eastAsia" w:ascii="宋体" w:hAnsi="宋体"/>
          <w:color w:val="000000"/>
          <w:kern w:val="0"/>
          <w:sz w:val="24"/>
        </w:rPr>
        <w:t>付造成相关损失的权利。</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11.2   </w:t>
      </w:r>
      <w:r>
        <w:rPr>
          <w:rFonts w:hint="eastAsia" w:ascii="宋体" w:hAnsi="宋体"/>
          <w:color w:val="000000"/>
          <w:kern w:val="0"/>
          <w:sz w:val="24"/>
        </w:rPr>
        <w:t>在合同第</w:t>
      </w:r>
      <w:r>
        <w:rPr>
          <w:rFonts w:ascii="宋体" w:hAnsi="宋体"/>
          <w:color w:val="000000"/>
          <w:kern w:val="0"/>
          <w:sz w:val="24"/>
        </w:rPr>
        <w:t xml:space="preserve"> 10 </w:t>
      </w:r>
      <w:r>
        <w:rPr>
          <w:rFonts w:hint="eastAsia" w:ascii="宋体" w:hAnsi="宋体"/>
          <w:color w:val="000000"/>
          <w:kern w:val="0"/>
          <w:sz w:val="24"/>
        </w:rPr>
        <w:t>条规定的检验期和质量保证期内，如果乙方对差异负有责任而</w:t>
      </w:r>
      <w:r>
        <w:rPr>
          <w:rFonts w:ascii="宋体" w:hAnsi="宋体"/>
          <w:color w:val="000000"/>
          <w:kern w:val="0"/>
          <w:sz w:val="24"/>
        </w:rPr>
        <w:t xml:space="preserve"> </w:t>
      </w:r>
      <w:r>
        <w:rPr>
          <w:rFonts w:hint="eastAsia" w:ascii="宋体" w:hAnsi="宋体"/>
          <w:color w:val="000000"/>
          <w:kern w:val="0"/>
          <w:sz w:val="24"/>
        </w:rPr>
        <w:t>甲方提出索赔，乙方应按照甲方同意的下列一种或多种方式解决索赔事宜：</w:t>
      </w:r>
    </w:p>
    <w:p>
      <w:pPr>
        <w:autoSpaceDE w:val="0"/>
        <w:autoSpaceDN w:val="0"/>
        <w:adjustRightInd w:val="0"/>
        <w:snapToGrid w:val="0"/>
        <w:spacing w:line="400" w:lineRule="exact"/>
        <w:ind w:left="114" w:firstLine="600"/>
        <w:rPr>
          <w:rFonts w:ascii="宋体"/>
          <w:color w:val="000000"/>
          <w:kern w:val="0"/>
          <w:sz w:val="24"/>
        </w:rPr>
      </w:pPr>
      <w:r>
        <w:rPr>
          <w:rFonts w:ascii="宋体" w:hAnsi="宋体"/>
          <w:color w:val="000000"/>
          <w:kern w:val="0"/>
          <w:sz w:val="24"/>
        </w:rPr>
        <w:t>(1)</w:t>
      </w:r>
      <w:r>
        <w:rPr>
          <w:rFonts w:hint="eastAsia" w:ascii="宋体" w:hAnsi="宋体"/>
          <w:color w:val="000000"/>
          <w:kern w:val="0"/>
          <w:sz w:val="24"/>
        </w:rPr>
        <w:t>乙方同意退货并用合同规定的货币将货款退还给甲方，并承担由此发生的一</w:t>
      </w:r>
      <w:r>
        <w:rPr>
          <w:rFonts w:ascii="宋体" w:hAnsi="宋体"/>
          <w:color w:val="000000"/>
          <w:kern w:val="0"/>
          <w:sz w:val="24"/>
        </w:rPr>
        <w:t xml:space="preserve"> </w:t>
      </w:r>
      <w:r>
        <w:rPr>
          <w:rFonts w:hint="eastAsia" w:ascii="宋体" w:hAnsi="宋体"/>
          <w:color w:val="000000"/>
          <w:kern w:val="0"/>
          <w:sz w:val="24"/>
        </w:rPr>
        <w:t>切损失和费用，包括利息、银行手续费、运费、保险费、检验费、仓储费、装卸费以</w:t>
      </w:r>
      <w:r>
        <w:rPr>
          <w:rFonts w:ascii="宋体" w:hAnsi="宋体"/>
          <w:color w:val="000000"/>
          <w:kern w:val="0"/>
          <w:sz w:val="24"/>
        </w:rPr>
        <w:t xml:space="preserve"> </w:t>
      </w:r>
      <w:r>
        <w:rPr>
          <w:rFonts w:hint="eastAsia" w:ascii="宋体" w:hAnsi="宋体"/>
          <w:color w:val="000000"/>
          <w:kern w:val="0"/>
          <w:sz w:val="24"/>
        </w:rPr>
        <w:t>及为保护退回货物所需的其它必要费用。</w:t>
      </w:r>
    </w:p>
    <w:p>
      <w:pPr>
        <w:autoSpaceDE w:val="0"/>
        <w:autoSpaceDN w:val="0"/>
        <w:adjustRightInd w:val="0"/>
        <w:snapToGrid w:val="0"/>
        <w:spacing w:line="400" w:lineRule="exact"/>
        <w:ind w:left="714"/>
        <w:jc w:val="left"/>
        <w:rPr>
          <w:rFonts w:ascii="宋体"/>
          <w:color w:val="000000"/>
          <w:kern w:val="0"/>
          <w:sz w:val="24"/>
        </w:rPr>
      </w:pPr>
      <w:r>
        <w:rPr>
          <w:rFonts w:ascii="宋体" w:hAnsi="宋体"/>
          <w:color w:val="000000"/>
          <w:kern w:val="0"/>
          <w:sz w:val="24"/>
        </w:rPr>
        <w:t>(2)</w:t>
      </w:r>
      <w:r>
        <w:rPr>
          <w:rFonts w:hint="eastAsia" w:ascii="宋体" w:hAnsi="宋体"/>
          <w:color w:val="000000"/>
          <w:kern w:val="0"/>
          <w:sz w:val="24"/>
        </w:rPr>
        <w:t>根据货物低劣程度、损坏程度以及甲方所遭受损失的金额，经买卖双方商定降低货物的价格。</w:t>
      </w:r>
    </w:p>
    <w:p>
      <w:pPr>
        <w:autoSpaceDE w:val="0"/>
        <w:autoSpaceDN w:val="0"/>
        <w:adjustRightInd w:val="0"/>
        <w:snapToGrid w:val="0"/>
        <w:spacing w:line="400" w:lineRule="exact"/>
        <w:ind w:left="114" w:firstLine="600"/>
        <w:rPr>
          <w:rFonts w:ascii="宋体"/>
          <w:color w:val="000000"/>
          <w:kern w:val="0"/>
          <w:sz w:val="24"/>
        </w:rPr>
      </w:pPr>
      <w:r>
        <w:rPr>
          <w:rFonts w:ascii="宋体" w:hAnsi="宋体"/>
          <w:color w:val="000000"/>
          <w:kern w:val="0"/>
          <w:sz w:val="24"/>
        </w:rPr>
        <w:t xml:space="preserve">(3) </w:t>
      </w:r>
      <w:r>
        <w:rPr>
          <w:rFonts w:hint="eastAsia" w:ascii="宋体" w:hAnsi="宋体"/>
          <w:color w:val="000000"/>
          <w:kern w:val="0"/>
          <w:sz w:val="24"/>
        </w:rPr>
        <w:t>用符合合同规定的规格、质量和性能要求的新零件、部件和／或设备来更</w:t>
      </w:r>
      <w:r>
        <w:rPr>
          <w:rFonts w:ascii="宋体" w:hAnsi="宋体"/>
          <w:color w:val="000000"/>
          <w:kern w:val="0"/>
          <w:sz w:val="24"/>
        </w:rPr>
        <w:t xml:space="preserve"> </w:t>
      </w:r>
      <w:r>
        <w:rPr>
          <w:rFonts w:hint="eastAsia" w:ascii="宋体" w:hAnsi="宋体"/>
          <w:color w:val="000000"/>
          <w:kern w:val="0"/>
          <w:sz w:val="24"/>
        </w:rPr>
        <w:t>换有缺陷的部分和／或修补缺陷部分，乙方应承担一切费用和风险并负担甲方蒙受的</w:t>
      </w:r>
      <w:r>
        <w:rPr>
          <w:rFonts w:ascii="宋体" w:hAnsi="宋体"/>
          <w:color w:val="000000"/>
          <w:kern w:val="0"/>
          <w:sz w:val="24"/>
        </w:rPr>
        <w:t xml:space="preserve"> </w:t>
      </w:r>
      <w:r>
        <w:rPr>
          <w:rFonts w:hint="eastAsia" w:ascii="宋体" w:hAnsi="宋体"/>
          <w:color w:val="000000"/>
          <w:kern w:val="0"/>
          <w:sz w:val="24"/>
        </w:rPr>
        <w:t>全部直接损失费用。同时，乙方应按合同第</w:t>
      </w:r>
      <w:r>
        <w:rPr>
          <w:rFonts w:ascii="宋体" w:hAnsi="宋体"/>
          <w:color w:val="000000"/>
          <w:kern w:val="0"/>
          <w:sz w:val="24"/>
        </w:rPr>
        <w:t xml:space="preserve"> 12 </w:t>
      </w:r>
      <w:r>
        <w:rPr>
          <w:rFonts w:hint="eastAsia" w:ascii="宋体" w:hAnsi="宋体"/>
          <w:color w:val="000000"/>
          <w:kern w:val="0"/>
          <w:sz w:val="24"/>
        </w:rPr>
        <w:t>条规定，相应延长修补和／或更换件的</w:t>
      </w:r>
      <w:r>
        <w:rPr>
          <w:rFonts w:ascii="宋体" w:hAnsi="宋体"/>
          <w:color w:val="000000"/>
          <w:kern w:val="0"/>
          <w:sz w:val="24"/>
        </w:rPr>
        <w:t xml:space="preserve"> </w:t>
      </w:r>
      <w:r>
        <w:rPr>
          <w:rFonts w:hint="eastAsia" w:ascii="宋体" w:hAnsi="宋体"/>
          <w:color w:val="000000"/>
          <w:kern w:val="0"/>
          <w:sz w:val="24"/>
        </w:rPr>
        <w:t>质量保证期。</w:t>
      </w:r>
    </w:p>
    <w:p>
      <w:pPr>
        <w:autoSpaceDE w:val="0"/>
        <w:autoSpaceDN w:val="0"/>
        <w:adjustRightInd w:val="0"/>
        <w:snapToGrid w:val="0"/>
        <w:spacing w:line="400" w:lineRule="exact"/>
        <w:ind w:left="114" w:firstLine="600"/>
        <w:rPr>
          <w:rFonts w:ascii="宋体"/>
          <w:color w:val="000000"/>
          <w:kern w:val="0"/>
          <w:sz w:val="24"/>
        </w:rPr>
      </w:pPr>
      <w:r>
        <w:rPr>
          <w:rFonts w:ascii="宋体" w:hAnsi="宋体"/>
          <w:color w:val="000000"/>
          <w:kern w:val="0"/>
          <w:sz w:val="24"/>
        </w:rPr>
        <w:t xml:space="preserve">11.3 </w:t>
      </w:r>
      <w:r>
        <w:rPr>
          <w:rFonts w:hint="eastAsia" w:ascii="宋体" w:hAnsi="宋体"/>
          <w:color w:val="000000"/>
          <w:kern w:val="0"/>
          <w:sz w:val="24"/>
        </w:rPr>
        <w:t>如果在甲方发出索赔通知后十</w:t>
      </w:r>
      <w:r>
        <w:rPr>
          <w:rFonts w:ascii="宋体" w:hAnsi="宋体"/>
          <w:color w:val="000000"/>
          <w:kern w:val="0"/>
          <w:sz w:val="24"/>
        </w:rPr>
        <w:t>(10)</w:t>
      </w:r>
      <w:r>
        <w:rPr>
          <w:rFonts w:hint="eastAsia" w:ascii="宋体" w:hAnsi="宋体"/>
          <w:color w:val="000000"/>
          <w:kern w:val="0"/>
          <w:sz w:val="24"/>
        </w:rPr>
        <w:t>天内，乙方未作答复，上述索赔应视为</w:t>
      </w:r>
      <w:r>
        <w:rPr>
          <w:rFonts w:ascii="宋体" w:hAnsi="宋体"/>
          <w:color w:val="000000"/>
          <w:kern w:val="0"/>
          <w:sz w:val="24"/>
        </w:rPr>
        <w:t xml:space="preserve"> </w:t>
      </w:r>
      <w:r>
        <w:rPr>
          <w:rFonts w:hint="eastAsia" w:ascii="宋体" w:hAnsi="宋体"/>
          <w:color w:val="000000"/>
          <w:kern w:val="0"/>
          <w:sz w:val="24"/>
        </w:rPr>
        <w:t>已被乙方接受。如乙方未能在甲方发出索赔通知后十</w:t>
      </w:r>
      <w:r>
        <w:rPr>
          <w:rFonts w:ascii="宋体" w:hAnsi="宋体"/>
          <w:color w:val="000000"/>
          <w:kern w:val="0"/>
          <w:sz w:val="24"/>
        </w:rPr>
        <w:t>(10)</w:t>
      </w:r>
      <w:r>
        <w:rPr>
          <w:rFonts w:hint="eastAsia" w:ascii="宋体" w:hAnsi="宋体"/>
          <w:color w:val="000000"/>
          <w:kern w:val="0"/>
          <w:sz w:val="24"/>
        </w:rPr>
        <w:t>天内或甲方同意的延长期限</w:t>
      </w:r>
      <w:r>
        <w:rPr>
          <w:rFonts w:ascii="宋体" w:hAnsi="宋体"/>
          <w:color w:val="000000"/>
          <w:kern w:val="0"/>
          <w:sz w:val="24"/>
        </w:rPr>
        <w:t xml:space="preserve"> </w:t>
      </w:r>
      <w:r>
        <w:rPr>
          <w:rFonts w:hint="eastAsia" w:ascii="宋体" w:hAnsi="宋体"/>
          <w:color w:val="000000"/>
          <w:kern w:val="0"/>
          <w:sz w:val="24"/>
        </w:rPr>
        <w:t>内，按照本合同第</w:t>
      </w:r>
      <w:r>
        <w:rPr>
          <w:rFonts w:ascii="宋体" w:hAnsi="宋体"/>
          <w:color w:val="000000"/>
          <w:kern w:val="0"/>
          <w:sz w:val="24"/>
        </w:rPr>
        <w:t xml:space="preserve"> 12</w:t>
      </w:r>
      <w:r>
        <w:rPr>
          <w:rFonts w:hint="eastAsia" w:ascii="宋体" w:hAnsi="宋体"/>
          <w:color w:val="000000"/>
          <w:kern w:val="0"/>
          <w:sz w:val="24"/>
        </w:rPr>
        <w:t>．</w:t>
      </w:r>
      <w:r>
        <w:rPr>
          <w:rFonts w:ascii="宋体" w:hAnsi="宋体"/>
          <w:color w:val="000000"/>
          <w:kern w:val="0"/>
          <w:sz w:val="24"/>
        </w:rPr>
        <w:t xml:space="preserve">2 </w:t>
      </w:r>
      <w:r>
        <w:rPr>
          <w:rFonts w:hint="eastAsia" w:ascii="宋体" w:hAnsi="宋体"/>
          <w:color w:val="000000"/>
          <w:kern w:val="0"/>
          <w:sz w:val="24"/>
        </w:rPr>
        <w:t>条规定的任何一种方法解决索赔事宜并征得甲方同意，甲方</w:t>
      </w:r>
      <w:r>
        <w:rPr>
          <w:rFonts w:ascii="宋体" w:hAnsi="宋体"/>
          <w:color w:val="000000"/>
          <w:kern w:val="0"/>
          <w:sz w:val="24"/>
        </w:rPr>
        <w:t xml:space="preserve"> </w:t>
      </w:r>
      <w:r>
        <w:rPr>
          <w:rFonts w:hint="eastAsia" w:ascii="宋体" w:hAnsi="宋体"/>
          <w:color w:val="000000"/>
          <w:kern w:val="0"/>
          <w:sz w:val="24"/>
        </w:rPr>
        <w:t>将从议付货款或从乙方开具的履约保证金中扣回索赔金额。</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12</w:t>
      </w:r>
      <w:r>
        <w:rPr>
          <w:rFonts w:hint="eastAsia" w:ascii="宋体" w:hAnsi="宋体"/>
          <w:color w:val="000000"/>
          <w:kern w:val="0"/>
          <w:sz w:val="24"/>
        </w:rPr>
        <w:t>．乙方履约延误</w:t>
      </w:r>
    </w:p>
    <w:p>
      <w:pPr>
        <w:tabs>
          <w:tab w:val="left" w:pos="1300"/>
        </w:tabs>
        <w:autoSpaceDE w:val="0"/>
        <w:autoSpaceDN w:val="0"/>
        <w:adjustRightInd w:val="0"/>
        <w:snapToGrid w:val="0"/>
        <w:spacing w:line="400" w:lineRule="exact"/>
        <w:ind w:left="114" w:firstLine="480"/>
        <w:jc w:val="left"/>
        <w:rPr>
          <w:rFonts w:ascii="宋体"/>
          <w:color w:val="000000"/>
          <w:kern w:val="0"/>
          <w:sz w:val="24"/>
        </w:rPr>
      </w:pPr>
      <w:r>
        <w:rPr>
          <w:rFonts w:ascii="宋体" w:hAnsi="宋体"/>
          <w:color w:val="000000"/>
          <w:kern w:val="0"/>
          <w:sz w:val="24"/>
        </w:rPr>
        <w:t>12.1</w:t>
      </w:r>
      <w:r>
        <w:rPr>
          <w:rFonts w:ascii="宋体" w:hAnsi="宋体"/>
          <w:color w:val="000000"/>
          <w:kern w:val="0"/>
          <w:sz w:val="24"/>
        </w:rPr>
        <w:tab/>
      </w:r>
      <w:r>
        <w:rPr>
          <w:rFonts w:hint="eastAsia" w:ascii="宋体" w:hAnsi="宋体"/>
          <w:color w:val="000000"/>
          <w:kern w:val="0"/>
          <w:sz w:val="24"/>
        </w:rPr>
        <w:t>乙方应按照甲方规定的时间表交货和提供服务。</w:t>
      </w:r>
    </w:p>
    <w:p>
      <w:pPr>
        <w:tabs>
          <w:tab w:val="left" w:pos="1300"/>
        </w:tabs>
        <w:autoSpaceDE w:val="0"/>
        <w:autoSpaceDN w:val="0"/>
        <w:adjustRightInd w:val="0"/>
        <w:snapToGrid w:val="0"/>
        <w:spacing w:line="400" w:lineRule="exact"/>
        <w:ind w:left="114" w:firstLine="480"/>
        <w:jc w:val="left"/>
        <w:rPr>
          <w:rFonts w:ascii="宋体"/>
          <w:color w:val="000000"/>
          <w:kern w:val="0"/>
          <w:sz w:val="24"/>
        </w:rPr>
      </w:pPr>
      <w:r>
        <w:rPr>
          <w:rFonts w:ascii="宋体" w:hAnsi="宋体"/>
          <w:color w:val="000000"/>
          <w:kern w:val="0"/>
          <w:sz w:val="24"/>
        </w:rPr>
        <w:t>12.2</w:t>
      </w:r>
      <w:r>
        <w:rPr>
          <w:rFonts w:ascii="宋体" w:hAnsi="宋体"/>
          <w:color w:val="000000"/>
          <w:kern w:val="0"/>
          <w:sz w:val="24"/>
        </w:rPr>
        <w:tab/>
      </w:r>
      <w:r>
        <w:rPr>
          <w:rFonts w:hint="eastAsia" w:ascii="宋体" w:hAnsi="宋体"/>
          <w:color w:val="000000"/>
          <w:kern w:val="0"/>
          <w:sz w:val="24"/>
        </w:rPr>
        <w:t>如乙方无正当理由而拖延交货，将受到以下制裁：没收履约保证金，加收</w:t>
      </w:r>
      <w:r>
        <w:rPr>
          <w:rFonts w:ascii="宋体" w:hAnsi="宋体"/>
          <w:color w:val="000000"/>
          <w:kern w:val="0"/>
          <w:sz w:val="24"/>
        </w:rPr>
        <w:t xml:space="preserve"> </w:t>
      </w:r>
      <w:r>
        <w:rPr>
          <w:rFonts w:hint="eastAsia" w:ascii="宋体" w:hAnsi="宋体"/>
          <w:color w:val="000000"/>
          <w:kern w:val="0"/>
          <w:sz w:val="24"/>
        </w:rPr>
        <w:t>误期赔偿和／或违约终止合同。</w:t>
      </w:r>
    </w:p>
    <w:p>
      <w:pPr>
        <w:tabs>
          <w:tab w:val="left" w:pos="1300"/>
        </w:tabs>
        <w:autoSpaceDE w:val="0"/>
        <w:autoSpaceDN w:val="0"/>
        <w:adjustRightInd w:val="0"/>
        <w:snapToGrid w:val="0"/>
        <w:spacing w:line="400" w:lineRule="exact"/>
        <w:ind w:left="114" w:firstLine="480"/>
        <w:jc w:val="left"/>
        <w:rPr>
          <w:rFonts w:ascii="宋体"/>
          <w:color w:val="000000"/>
          <w:kern w:val="0"/>
          <w:sz w:val="24"/>
        </w:rPr>
      </w:pPr>
      <w:r>
        <w:rPr>
          <w:rFonts w:ascii="宋体" w:hAnsi="宋体"/>
          <w:color w:val="000000"/>
          <w:kern w:val="0"/>
          <w:sz w:val="24"/>
        </w:rPr>
        <w:t>12.3</w:t>
      </w:r>
      <w:r>
        <w:rPr>
          <w:rFonts w:ascii="宋体" w:hAnsi="宋体"/>
          <w:color w:val="000000"/>
          <w:kern w:val="0"/>
          <w:sz w:val="24"/>
        </w:rPr>
        <w:tab/>
      </w:r>
      <w:r>
        <w:rPr>
          <w:rFonts w:hint="eastAsia" w:ascii="宋体" w:hAnsi="宋体"/>
          <w:color w:val="000000"/>
          <w:kern w:val="0"/>
          <w:sz w:val="24"/>
        </w:rPr>
        <w:t>在履行合同过程中，如果乙方可能遇到妨碍按时交货和提供服务的情况时，应及时以书面形式将拖延的事实，可能拖延的期限和理由通知甲方。甲方在收到乙方通知后，应尽快对情况进行评价，并确定是否通过修改合同，酌情延长交货时间。</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13</w:t>
      </w:r>
      <w:r>
        <w:rPr>
          <w:rFonts w:hint="eastAsia" w:ascii="宋体" w:hAnsi="宋体"/>
          <w:color w:val="000000"/>
          <w:kern w:val="0"/>
          <w:sz w:val="24"/>
        </w:rPr>
        <w:t>．误期赔偿</w:t>
      </w:r>
    </w:p>
    <w:p>
      <w:pPr>
        <w:autoSpaceDE w:val="0"/>
        <w:autoSpaceDN w:val="0"/>
        <w:adjustRightInd w:val="0"/>
        <w:snapToGrid w:val="0"/>
        <w:spacing w:line="400" w:lineRule="exact"/>
        <w:ind w:left="114" w:firstLine="480"/>
        <w:jc w:val="left"/>
        <w:rPr>
          <w:rFonts w:ascii="宋体"/>
          <w:color w:val="000000"/>
          <w:kern w:val="0"/>
          <w:sz w:val="24"/>
        </w:rPr>
      </w:pPr>
      <w:r>
        <w:rPr>
          <w:rFonts w:ascii="宋体" w:hAnsi="宋体"/>
          <w:color w:val="000000"/>
          <w:kern w:val="0"/>
          <w:sz w:val="24"/>
        </w:rPr>
        <w:t xml:space="preserve">13.1  </w:t>
      </w:r>
      <w:r>
        <w:rPr>
          <w:rFonts w:hint="eastAsia" w:ascii="宋体" w:hAnsi="宋体"/>
          <w:color w:val="000000"/>
          <w:kern w:val="0"/>
          <w:sz w:val="24"/>
        </w:rPr>
        <w:t>除合同第</w:t>
      </w:r>
      <w:r>
        <w:rPr>
          <w:rFonts w:ascii="宋体" w:hAnsi="宋体"/>
          <w:color w:val="000000"/>
          <w:kern w:val="0"/>
          <w:sz w:val="24"/>
        </w:rPr>
        <w:t xml:space="preserve"> 14 </w:t>
      </w:r>
      <w:r>
        <w:rPr>
          <w:rFonts w:hint="eastAsia" w:ascii="宋体" w:hAnsi="宋体"/>
          <w:color w:val="000000"/>
          <w:kern w:val="0"/>
          <w:sz w:val="24"/>
        </w:rPr>
        <w:t>条规定外，如果乙方没有按照合同规定的时间交货和提供服务，</w:t>
      </w:r>
      <w:r>
        <w:rPr>
          <w:rFonts w:ascii="宋体" w:hAnsi="宋体"/>
          <w:color w:val="000000"/>
          <w:kern w:val="0"/>
          <w:sz w:val="24"/>
        </w:rPr>
        <w:t xml:space="preserve"> </w:t>
      </w:r>
      <w:r>
        <w:rPr>
          <w:rFonts w:hint="eastAsia" w:ascii="宋体" w:hAnsi="宋体"/>
          <w:color w:val="000000"/>
          <w:kern w:val="0"/>
          <w:sz w:val="24"/>
        </w:rPr>
        <w:t>甲方应从货款中扣除误期赔偿费而不影响合同项下的其他补救方法，赔偿费按每日迟</w:t>
      </w:r>
      <w:r>
        <w:rPr>
          <w:rFonts w:ascii="宋体" w:hAnsi="宋体"/>
          <w:color w:val="000000"/>
          <w:kern w:val="0"/>
          <w:sz w:val="24"/>
        </w:rPr>
        <w:t xml:space="preserve"> </w:t>
      </w:r>
      <w:r>
        <w:rPr>
          <w:rFonts w:hint="eastAsia" w:ascii="宋体" w:hAnsi="宋体"/>
          <w:color w:val="000000"/>
          <w:kern w:val="0"/>
          <w:sz w:val="24"/>
        </w:rPr>
        <w:t>交货物交货价或未提供服务费用的百分之零点五</w:t>
      </w:r>
      <w:r>
        <w:rPr>
          <w:rFonts w:ascii="宋体" w:hAnsi="宋体"/>
          <w:color w:val="000000"/>
          <w:kern w:val="0"/>
          <w:sz w:val="24"/>
        </w:rPr>
        <w:t>(0.5</w:t>
      </w:r>
      <w:r>
        <w:rPr>
          <w:rFonts w:hint="eastAsia" w:ascii="宋体" w:hAnsi="宋体"/>
          <w:color w:val="000000"/>
          <w:kern w:val="0"/>
          <w:sz w:val="24"/>
        </w:rPr>
        <w:t>％</w:t>
      </w:r>
      <w:r>
        <w:rPr>
          <w:rFonts w:ascii="宋体" w:hAnsi="宋体"/>
          <w:color w:val="000000"/>
          <w:kern w:val="0"/>
          <w:sz w:val="24"/>
        </w:rPr>
        <w:t>)</w:t>
      </w:r>
      <w:r>
        <w:rPr>
          <w:rFonts w:hint="eastAsia" w:ascii="宋体" w:hAnsi="宋体"/>
          <w:color w:val="000000"/>
          <w:kern w:val="0"/>
          <w:sz w:val="24"/>
        </w:rPr>
        <w:t>计收，直至交货或提供服务为</w:t>
      </w:r>
      <w:r>
        <w:rPr>
          <w:rFonts w:ascii="宋体" w:hAnsi="宋体"/>
          <w:color w:val="000000"/>
          <w:kern w:val="0"/>
          <w:sz w:val="24"/>
        </w:rPr>
        <w:t xml:space="preserve"> </w:t>
      </w:r>
      <w:r>
        <w:rPr>
          <w:rFonts w:hint="eastAsia" w:ascii="宋体" w:hAnsi="宋体"/>
          <w:color w:val="000000"/>
          <w:kern w:val="0"/>
          <w:sz w:val="24"/>
        </w:rPr>
        <w:t>止。但误期赔偿费的最高限额不超过误期货物或服务合同价的百分之五</w:t>
      </w:r>
      <w:r>
        <w:rPr>
          <w:rFonts w:ascii="宋体" w:hAnsi="宋体"/>
          <w:color w:val="000000"/>
          <w:kern w:val="0"/>
          <w:sz w:val="24"/>
        </w:rPr>
        <w:t xml:space="preserve"> (5</w:t>
      </w:r>
      <w:r>
        <w:rPr>
          <w:rFonts w:hint="eastAsia" w:ascii="宋体" w:hAnsi="宋体"/>
          <w:color w:val="000000"/>
          <w:kern w:val="0"/>
          <w:sz w:val="24"/>
        </w:rPr>
        <w:t>％</w:t>
      </w:r>
      <w:r>
        <w:rPr>
          <w:rFonts w:ascii="宋体" w:hAnsi="宋体"/>
          <w:color w:val="000000"/>
          <w:kern w:val="0"/>
          <w:sz w:val="24"/>
        </w:rPr>
        <w:t>)</w:t>
      </w:r>
      <w:r>
        <w:rPr>
          <w:rFonts w:hint="eastAsia" w:ascii="宋体" w:hAnsi="宋体"/>
          <w:color w:val="000000"/>
          <w:kern w:val="0"/>
          <w:sz w:val="24"/>
        </w:rPr>
        <w:t>。一旦达到误期赔偿的最高限额，甲方可考虑终止合同，并且保留追究乙方因延期交货造成无法按期使用的间接损失的权利。</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14</w:t>
      </w:r>
      <w:r>
        <w:rPr>
          <w:rFonts w:hint="eastAsia" w:ascii="宋体" w:hAnsi="宋体"/>
          <w:color w:val="000000"/>
          <w:kern w:val="0"/>
          <w:sz w:val="24"/>
        </w:rPr>
        <w:t>．不可抗力</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14.1   </w:t>
      </w:r>
      <w:r>
        <w:rPr>
          <w:rFonts w:hint="eastAsia" w:ascii="宋体" w:hAnsi="宋体"/>
          <w:color w:val="000000"/>
          <w:kern w:val="0"/>
          <w:sz w:val="24"/>
        </w:rPr>
        <w:t>尽管有合同条款第</w:t>
      </w:r>
      <w:r>
        <w:rPr>
          <w:rFonts w:ascii="宋体" w:hAnsi="宋体"/>
          <w:color w:val="000000"/>
          <w:kern w:val="0"/>
          <w:sz w:val="24"/>
        </w:rPr>
        <w:t xml:space="preserve"> 13 </w:t>
      </w:r>
      <w:r>
        <w:rPr>
          <w:rFonts w:hint="eastAsia" w:ascii="宋体" w:hAnsi="宋体"/>
          <w:color w:val="000000"/>
          <w:kern w:val="0"/>
          <w:sz w:val="24"/>
        </w:rPr>
        <w:t>条、</w:t>
      </w:r>
      <w:r>
        <w:rPr>
          <w:rFonts w:ascii="宋体" w:hAnsi="宋体"/>
          <w:color w:val="000000"/>
          <w:kern w:val="0"/>
          <w:sz w:val="24"/>
        </w:rPr>
        <w:t xml:space="preserve">14 </w:t>
      </w:r>
      <w:r>
        <w:rPr>
          <w:rFonts w:hint="eastAsia" w:ascii="宋体" w:hAnsi="宋体"/>
          <w:color w:val="000000"/>
          <w:kern w:val="0"/>
          <w:sz w:val="24"/>
        </w:rPr>
        <w:t>条和</w:t>
      </w:r>
      <w:r>
        <w:rPr>
          <w:rFonts w:ascii="宋体" w:hAnsi="宋体"/>
          <w:color w:val="000000"/>
          <w:kern w:val="0"/>
          <w:sz w:val="24"/>
        </w:rPr>
        <w:t xml:space="preserve"> 19 </w:t>
      </w:r>
      <w:r>
        <w:rPr>
          <w:rFonts w:hint="eastAsia" w:ascii="宋体" w:hAnsi="宋体"/>
          <w:color w:val="000000"/>
          <w:kern w:val="0"/>
          <w:sz w:val="24"/>
        </w:rPr>
        <w:t>条的规定，如果乙方因不可抗力而导致合同实施延误或不能履行合同义务的话，不应该被没收履约保证金，也不应该承担误期赔偿或终止合同的责任。</w:t>
      </w:r>
    </w:p>
    <w:p>
      <w:pPr>
        <w:autoSpaceDE w:val="0"/>
        <w:autoSpaceDN w:val="0"/>
        <w:adjustRightInd w:val="0"/>
        <w:snapToGrid w:val="0"/>
        <w:spacing w:line="400" w:lineRule="exact"/>
        <w:ind w:left="114" w:firstLine="480"/>
        <w:rPr>
          <w:rFonts w:ascii="宋体"/>
          <w:color w:val="000000"/>
          <w:kern w:val="0"/>
          <w:sz w:val="15"/>
          <w:szCs w:val="15"/>
        </w:rPr>
      </w:pPr>
      <w:r>
        <w:rPr>
          <w:rFonts w:ascii="宋体" w:hAnsi="宋体"/>
          <w:color w:val="000000"/>
          <w:kern w:val="0"/>
          <w:sz w:val="24"/>
        </w:rPr>
        <w:t xml:space="preserve">14.2 </w:t>
      </w:r>
      <w:r>
        <w:rPr>
          <w:rFonts w:hint="eastAsia" w:ascii="宋体" w:hAnsi="宋体"/>
          <w:color w:val="000000"/>
          <w:kern w:val="0"/>
          <w:sz w:val="24"/>
        </w:rPr>
        <w:t>本条所述的</w:t>
      </w:r>
      <w:r>
        <w:rPr>
          <w:rFonts w:hint="eastAsia" w:ascii="宋体"/>
          <w:color w:val="000000"/>
          <w:kern w:val="0"/>
          <w:sz w:val="24"/>
        </w:rPr>
        <w:t>“</w:t>
      </w:r>
      <w:r>
        <w:rPr>
          <w:rFonts w:hint="eastAsia" w:ascii="宋体" w:hAnsi="宋体"/>
          <w:color w:val="000000"/>
          <w:kern w:val="0"/>
          <w:sz w:val="24"/>
        </w:rPr>
        <w:t>不可抗力</w:t>
      </w:r>
      <w:r>
        <w:rPr>
          <w:rFonts w:hint="eastAsia" w:ascii="宋体"/>
          <w:color w:val="000000"/>
          <w:kern w:val="0"/>
          <w:sz w:val="24"/>
        </w:rPr>
        <w:t>”</w:t>
      </w:r>
      <w:r>
        <w:rPr>
          <w:rFonts w:hint="eastAsia" w:ascii="宋体" w:hAnsi="宋体"/>
          <w:color w:val="000000"/>
          <w:kern w:val="0"/>
          <w:sz w:val="24"/>
        </w:rPr>
        <w:t>系指那些乙方无法控制，不可预见的事件，但不</w:t>
      </w:r>
      <w:r>
        <w:rPr>
          <w:rFonts w:ascii="宋体" w:hAnsi="宋体"/>
          <w:color w:val="000000"/>
          <w:kern w:val="0"/>
          <w:sz w:val="24"/>
        </w:rPr>
        <w:t xml:space="preserve"> </w:t>
      </w:r>
      <w:r>
        <w:rPr>
          <w:rFonts w:hint="eastAsia" w:ascii="宋体" w:hAnsi="宋体"/>
          <w:color w:val="000000"/>
          <w:kern w:val="0"/>
          <w:sz w:val="24"/>
        </w:rPr>
        <w:t>包括乙方的违约或疏忽。这些事件包括，但不限于：战争、严重火灾、洪水、台风、</w:t>
      </w:r>
      <w:r>
        <w:rPr>
          <w:rFonts w:ascii="宋体" w:hAnsi="宋体"/>
          <w:color w:val="000000"/>
          <w:kern w:val="0"/>
          <w:sz w:val="24"/>
        </w:rPr>
        <w:t xml:space="preserve"> </w:t>
      </w:r>
      <w:r>
        <w:rPr>
          <w:rFonts w:hint="eastAsia" w:ascii="宋体" w:hAnsi="宋体"/>
          <w:color w:val="000000"/>
          <w:kern w:val="0"/>
          <w:sz w:val="24"/>
        </w:rPr>
        <w:t>地震以及其它双方商定的事件。</w:t>
      </w:r>
    </w:p>
    <w:p>
      <w:pPr>
        <w:autoSpaceDE w:val="0"/>
        <w:autoSpaceDN w:val="0"/>
        <w:adjustRightInd w:val="0"/>
        <w:snapToGrid w:val="0"/>
        <w:spacing w:line="400" w:lineRule="exact"/>
        <w:ind w:left="114" w:firstLine="480"/>
        <w:rPr>
          <w:rFonts w:ascii="宋体" w:hAnsi="宋体"/>
          <w:color w:val="000000"/>
          <w:kern w:val="0"/>
          <w:sz w:val="24"/>
        </w:rPr>
      </w:pPr>
      <w:r>
        <w:rPr>
          <w:rFonts w:ascii="宋体" w:hAnsi="宋体"/>
          <w:color w:val="000000"/>
          <w:kern w:val="0"/>
          <w:sz w:val="24"/>
        </w:rPr>
        <w:t>14.3</w:t>
      </w:r>
      <w:r>
        <w:rPr>
          <w:rFonts w:ascii="宋体" w:hAnsi="宋体"/>
          <w:color w:val="000000"/>
          <w:kern w:val="0"/>
          <w:sz w:val="24"/>
        </w:rPr>
        <w:tab/>
      </w:r>
      <w:r>
        <w:rPr>
          <w:rFonts w:hint="eastAsia" w:ascii="宋体" w:hAnsi="宋体"/>
          <w:color w:val="000000"/>
          <w:kern w:val="0"/>
          <w:sz w:val="24"/>
        </w:rPr>
        <w:t>在不可抗力事件发生后，乙方应尽快以书面形式将不可抗力的情况和原因通知甲方。除甲方书面另行要求外，乙方应尽实际可能继续履行合同义务，以及寻求</w:t>
      </w:r>
      <w:r>
        <w:rPr>
          <w:rFonts w:ascii="宋体" w:hAnsi="宋体"/>
          <w:color w:val="000000"/>
          <w:kern w:val="0"/>
          <w:sz w:val="24"/>
        </w:rPr>
        <w:t xml:space="preserve"> </w:t>
      </w:r>
      <w:r>
        <w:rPr>
          <w:rFonts w:hint="eastAsia" w:ascii="宋体" w:hAnsi="宋体"/>
          <w:color w:val="000000"/>
          <w:kern w:val="0"/>
          <w:sz w:val="24"/>
        </w:rPr>
        <w:t>采取合理的方案履行不受不可抗力影响的其他事项。如果不可抗力事件影响持续超过</w:t>
      </w:r>
      <w:r>
        <w:rPr>
          <w:rFonts w:ascii="宋体" w:hAnsi="宋体"/>
          <w:color w:val="000000"/>
          <w:kern w:val="0"/>
          <w:sz w:val="24"/>
        </w:rPr>
        <w:t xml:space="preserve"> </w:t>
      </w:r>
      <w:r>
        <w:rPr>
          <w:rFonts w:hint="eastAsia" w:ascii="宋体" w:hAnsi="宋体"/>
          <w:color w:val="000000"/>
          <w:kern w:val="0"/>
          <w:sz w:val="24"/>
        </w:rPr>
        <w:t>一百二十</w:t>
      </w:r>
      <w:r>
        <w:rPr>
          <w:rFonts w:ascii="宋体" w:hAnsi="宋体"/>
          <w:color w:val="000000"/>
          <w:kern w:val="0"/>
          <w:sz w:val="24"/>
        </w:rPr>
        <w:t>(120)</w:t>
      </w:r>
      <w:r>
        <w:rPr>
          <w:rFonts w:hint="eastAsia" w:ascii="宋体" w:hAnsi="宋体"/>
          <w:color w:val="000000"/>
          <w:kern w:val="0"/>
          <w:sz w:val="24"/>
        </w:rPr>
        <w:t>天，双方应通过友好协商在合理的时间内达成进一步履行合同的协议。</w:t>
      </w:r>
    </w:p>
    <w:p>
      <w:pPr>
        <w:autoSpaceDE w:val="0"/>
        <w:autoSpaceDN w:val="0"/>
        <w:adjustRightInd w:val="0"/>
        <w:snapToGrid w:val="0"/>
        <w:spacing w:line="400" w:lineRule="exact"/>
        <w:ind w:left="114"/>
        <w:rPr>
          <w:rFonts w:ascii="宋体"/>
          <w:color w:val="000000"/>
          <w:kern w:val="0"/>
          <w:sz w:val="24"/>
        </w:rPr>
      </w:pPr>
      <w:r>
        <w:rPr>
          <w:rFonts w:ascii="宋体" w:hAnsi="宋体"/>
          <w:color w:val="000000"/>
          <w:kern w:val="0"/>
          <w:sz w:val="24"/>
        </w:rPr>
        <w:t>15</w:t>
      </w:r>
      <w:r>
        <w:rPr>
          <w:rFonts w:hint="eastAsia" w:ascii="宋体" w:hAnsi="宋体"/>
          <w:color w:val="000000"/>
          <w:kern w:val="0"/>
          <w:sz w:val="24"/>
        </w:rPr>
        <w:t>．履约保证金</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15.1</w:t>
      </w:r>
      <w:r>
        <w:rPr>
          <w:rFonts w:ascii="宋体" w:hAnsi="宋体"/>
          <w:color w:val="000000"/>
          <w:kern w:val="0"/>
          <w:sz w:val="24"/>
        </w:rPr>
        <w:tab/>
      </w:r>
      <w:r>
        <w:rPr>
          <w:rFonts w:hint="eastAsia" w:ascii="宋体" w:hAnsi="宋体"/>
          <w:color w:val="000000"/>
          <w:kern w:val="0"/>
          <w:sz w:val="24"/>
        </w:rPr>
        <w:t>乙方应按规定支付履约保证金。</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15.2 </w:t>
      </w:r>
      <w:r>
        <w:rPr>
          <w:rFonts w:hint="eastAsia" w:ascii="宋体" w:hAnsi="宋体"/>
          <w:color w:val="000000"/>
          <w:kern w:val="0"/>
          <w:sz w:val="24"/>
        </w:rPr>
        <w:t>乙方提供的履约保证金应按招标文件所附的格式或甲方可接受的其他格式</w:t>
      </w:r>
      <w:r>
        <w:rPr>
          <w:rFonts w:ascii="宋体" w:hAnsi="宋体"/>
          <w:color w:val="000000"/>
          <w:kern w:val="0"/>
          <w:sz w:val="24"/>
        </w:rPr>
        <w:t xml:space="preserve"> </w:t>
      </w:r>
      <w:r>
        <w:rPr>
          <w:rFonts w:hint="eastAsia" w:ascii="宋体" w:hAnsi="宋体"/>
          <w:color w:val="000000"/>
          <w:kern w:val="0"/>
          <w:sz w:val="24"/>
        </w:rPr>
        <w:t>提供，与此有关的费用均由乙方负担。</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15.3</w:t>
      </w:r>
      <w:r>
        <w:rPr>
          <w:rFonts w:ascii="宋体" w:hAnsi="宋体"/>
          <w:color w:val="000000"/>
          <w:kern w:val="0"/>
          <w:sz w:val="24"/>
        </w:rPr>
        <w:tab/>
      </w:r>
      <w:r>
        <w:rPr>
          <w:rFonts w:hint="eastAsia" w:ascii="宋体" w:hAnsi="宋体"/>
          <w:color w:val="000000"/>
          <w:kern w:val="0"/>
          <w:sz w:val="24"/>
        </w:rPr>
        <w:t>如乙方未能履行合同规定的任何义务，甲方有权从履约保证金中得到补偿。</w:t>
      </w:r>
    </w:p>
    <w:p>
      <w:pPr>
        <w:autoSpaceDE w:val="0"/>
        <w:autoSpaceDN w:val="0"/>
        <w:adjustRightInd w:val="0"/>
        <w:snapToGrid w:val="0"/>
        <w:spacing w:line="400" w:lineRule="exact"/>
        <w:ind w:left="114"/>
        <w:rPr>
          <w:rFonts w:ascii="宋体"/>
          <w:color w:val="000000"/>
          <w:kern w:val="0"/>
          <w:sz w:val="24"/>
        </w:rPr>
      </w:pPr>
      <w:r>
        <w:rPr>
          <w:rFonts w:ascii="宋体" w:hAnsi="宋体"/>
          <w:color w:val="000000"/>
          <w:kern w:val="0"/>
          <w:sz w:val="24"/>
        </w:rPr>
        <w:t>16</w:t>
      </w:r>
      <w:r>
        <w:rPr>
          <w:rFonts w:hint="eastAsia" w:ascii="宋体" w:hAnsi="宋体"/>
          <w:color w:val="000000"/>
          <w:kern w:val="0"/>
          <w:sz w:val="24"/>
        </w:rPr>
        <w:t>．争端的解决</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16.1 </w:t>
      </w:r>
      <w:r>
        <w:rPr>
          <w:rFonts w:hint="eastAsia" w:ascii="宋体" w:hAnsi="宋体"/>
          <w:color w:val="000000"/>
          <w:kern w:val="0"/>
          <w:sz w:val="24"/>
        </w:rPr>
        <w:t>买卖双方应通过友好协商，解决在执行本合同中所发生的或与本合同有关的一切争端。如从协商开始十</w:t>
      </w:r>
      <w:r>
        <w:rPr>
          <w:rFonts w:ascii="宋体" w:hAnsi="宋体"/>
          <w:color w:val="000000"/>
          <w:kern w:val="0"/>
          <w:sz w:val="24"/>
        </w:rPr>
        <w:t>(10)</w:t>
      </w:r>
      <w:r>
        <w:rPr>
          <w:rFonts w:hint="eastAsia" w:ascii="宋体" w:hAnsi="宋体"/>
          <w:color w:val="000000"/>
          <w:kern w:val="0"/>
          <w:sz w:val="24"/>
        </w:rPr>
        <w:t>天内仍不能解决，双方应将争端提交有关省、市人民</w:t>
      </w:r>
      <w:r>
        <w:rPr>
          <w:rFonts w:ascii="宋体" w:hAnsi="宋体"/>
          <w:color w:val="000000"/>
          <w:kern w:val="0"/>
          <w:sz w:val="24"/>
        </w:rPr>
        <w:t xml:space="preserve"> </w:t>
      </w:r>
      <w:r>
        <w:rPr>
          <w:rFonts w:hint="eastAsia" w:ascii="宋体" w:hAnsi="宋体"/>
          <w:color w:val="000000"/>
          <w:kern w:val="0"/>
          <w:sz w:val="24"/>
        </w:rPr>
        <w:t>政府或行业主管部委寻求可能解决的办法。如果提交有关省、市人民政府或行业主管部委后二十八</w:t>
      </w:r>
      <w:r>
        <w:rPr>
          <w:rFonts w:ascii="宋体" w:hAnsi="宋体"/>
          <w:color w:val="000000"/>
          <w:kern w:val="0"/>
          <w:sz w:val="24"/>
        </w:rPr>
        <w:t>(28)</w:t>
      </w:r>
      <w:r>
        <w:rPr>
          <w:rFonts w:hint="eastAsia" w:ascii="宋体" w:hAnsi="宋体"/>
          <w:color w:val="000000"/>
          <w:kern w:val="0"/>
          <w:sz w:val="24"/>
        </w:rPr>
        <w:t>天内仍得不到解决，则应提请仲裁。</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16.2</w:t>
      </w:r>
      <w:r>
        <w:rPr>
          <w:rFonts w:ascii="宋体" w:hAnsi="宋体"/>
          <w:color w:val="000000"/>
          <w:kern w:val="0"/>
          <w:sz w:val="24"/>
        </w:rPr>
        <w:tab/>
      </w:r>
      <w:r>
        <w:rPr>
          <w:rFonts w:hint="eastAsia" w:ascii="宋体" w:hAnsi="宋体"/>
          <w:color w:val="000000"/>
          <w:kern w:val="0"/>
          <w:sz w:val="24"/>
        </w:rPr>
        <w:t>仲裁应按照下列程序进行：</w:t>
      </w:r>
    </w:p>
    <w:p>
      <w:pPr>
        <w:tabs>
          <w:tab w:val="left" w:pos="1300"/>
        </w:tabs>
        <w:autoSpaceDE w:val="0"/>
        <w:autoSpaceDN w:val="0"/>
        <w:adjustRightInd w:val="0"/>
        <w:snapToGrid w:val="0"/>
        <w:spacing w:line="400" w:lineRule="exact"/>
        <w:ind w:left="1314" w:hanging="600"/>
        <w:jc w:val="left"/>
        <w:rPr>
          <w:rFonts w:ascii="宋体"/>
          <w:color w:val="000000"/>
          <w:kern w:val="0"/>
          <w:sz w:val="24"/>
        </w:rPr>
      </w:pPr>
      <w:r>
        <w:rPr>
          <w:rFonts w:ascii="宋体" w:hAnsi="宋体"/>
          <w:color w:val="000000"/>
          <w:kern w:val="0"/>
          <w:sz w:val="24"/>
        </w:rPr>
        <w:t>(1)</w:t>
      </w:r>
      <w:r>
        <w:rPr>
          <w:rFonts w:ascii="宋体" w:hAnsi="宋体"/>
          <w:color w:val="000000"/>
          <w:kern w:val="0"/>
          <w:sz w:val="24"/>
        </w:rPr>
        <w:tab/>
      </w:r>
      <w:r>
        <w:rPr>
          <w:rFonts w:hint="eastAsia" w:ascii="宋体" w:hAnsi="宋体"/>
          <w:color w:val="000000"/>
          <w:kern w:val="0"/>
          <w:sz w:val="24"/>
        </w:rPr>
        <w:t>如果是国内合同</w:t>
      </w:r>
      <w:r>
        <w:rPr>
          <w:rFonts w:ascii="宋体" w:hAnsi="宋体"/>
          <w:color w:val="000000"/>
          <w:kern w:val="0"/>
          <w:sz w:val="24"/>
        </w:rPr>
        <w:t>(</w:t>
      </w:r>
      <w:r>
        <w:rPr>
          <w:rFonts w:hint="eastAsia" w:ascii="宋体" w:hAnsi="宋体"/>
          <w:color w:val="000000"/>
          <w:kern w:val="0"/>
          <w:sz w:val="24"/>
        </w:rPr>
        <w:t>即甲方与国内乙方签订的合同</w:t>
      </w:r>
      <w:r>
        <w:rPr>
          <w:rFonts w:ascii="宋体" w:hAnsi="宋体"/>
          <w:color w:val="000000"/>
          <w:kern w:val="0"/>
          <w:sz w:val="24"/>
        </w:rPr>
        <w:t>)</w:t>
      </w:r>
      <w:r>
        <w:rPr>
          <w:rFonts w:hint="eastAsia" w:ascii="宋体" w:hAnsi="宋体"/>
          <w:color w:val="000000"/>
          <w:kern w:val="0"/>
          <w:sz w:val="24"/>
        </w:rPr>
        <w:t>，仲裁应由双方商定的仲裁委员会根据其仲裁程序进行仲裁；</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16.3</w:t>
      </w:r>
      <w:r>
        <w:rPr>
          <w:rFonts w:ascii="宋体" w:hAnsi="宋体"/>
          <w:color w:val="000000"/>
          <w:kern w:val="0"/>
          <w:sz w:val="24"/>
        </w:rPr>
        <w:tab/>
      </w:r>
      <w:r>
        <w:rPr>
          <w:rFonts w:hint="eastAsia" w:ascii="宋体" w:hAnsi="宋体"/>
          <w:color w:val="000000"/>
          <w:kern w:val="0"/>
          <w:sz w:val="24"/>
        </w:rPr>
        <w:t>仲裁裁决应为最终裁决，对双方均具有约束力。</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16.4</w:t>
      </w:r>
      <w:r>
        <w:rPr>
          <w:rFonts w:ascii="宋体" w:hAnsi="宋体"/>
          <w:color w:val="000000"/>
          <w:kern w:val="0"/>
          <w:sz w:val="24"/>
        </w:rPr>
        <w:tab/>
      </w:r>
      <w:r>
        <w:rPr>
          <w:rFonts w:hint="eastAsia" w:ascii="宋体" w:hAnsi="宋体"/>
          <w:color w:val="000000"/>
          <w:kern w:val="0"/>
          <w:sz w:val="24"/>
        </w:rPr>
        <w:t>仲裁费除仲裁机关另有裁决外均应由败诉方负担。</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16.5</w:t>
      </w:r>
      <w:r>
        <w:rPr>
          <w:rFonts w:ascii="宋体" w:hAnsi="宋体"/>
          <w:color w:val="000000"/>
          <w:kern w:val="0"/>
          <w:sz w:val="24"/>
        </w:rPr>
        <w:tab/>
      </w:r>
      <w:r>
        <w:rPr>
          <w:rFonts w:hint="eastAsia" w:ascii="宋体" w:hAnsi="宋体"/>
          <w:color w:val="000000"/>
          <w:kern w:val="0"/>
          <w:sz w:val="24"/>
        </w:rPr>
        <w:t>在仲裁期间，除正在进行仲裁的部分外，本合同的其它部分应继续执行。</w:t>
      </w:r>
    </w:p>
    <w:p>
      <w:pPr>
        <w:autoSpaceDE w:val="0"/>
        <w:autoSpaceDN w:val="0"/>
        <w:adjustRightInd w:val="0"/>
        <w:snapToGrid w:val="0"/>
        <w:spacing w:line="400" w:lineRule="exact"/>
        <w:ind w:left="114"/>
        <w:rPr>
          <w:rFonts w:ascii="宋体"/>
          <w:color w:val="000000"/>
          <w:kern w:val="0"/>
          <w:sz w:val="24"/>
        </w:rPr>
      </w:pPr>
      <w:r>
        <w:rPr>
          <w:rFonts w:ascii="宋体" w:hAnsi="宋体"/>
          <w:color w:val="000000"/>
          <w:kern w:val="0"/>
          <w:sz w:val="24"/>
        </w:rPr>
        <w:t xml:space="preserve">17.  </w:t>
      </w:r>
      <w:r>
        <w:rPr>
          <w:rFonts w:hint="eastAsia" w:ascii="宋体" w:hAnsi="宋体"/>
          <w:color w:val="000000"/>
          <w:kern w:val="0"/>
          <w:sz w:val="24"/>
        </w:rPr>
        <w:t>违约终止合同</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17.1 </w:t>
      </w:r>
      <w:r>
        <w:rPr>
          <w:rFonts w:hint="eastAsia" w:ascii="宋体" w:hAnsi="宋体"/>
          <w:color w:val="000000"/>
          <w:kern w:val="0"/>
          <w:sz w:val="24"/>
        </w:rPr>
        <w:t>在补救违约而采取的任何其他措施未能实现的情况下，即在卖方收到买方</w:t>
      </w:r>
      <w:r>
        <w:rPr>
          <w:rFonts w:ascii="宋体" w:hAnsi="宋体"/>
          <w:color w:val="000000"/>
          <w:kern w:val="0"/>
          <w:sz w:val="24"/>
        </w:rPr>
        <w:t xml:space="preserve"> </w:t>
      </w:r>
      <w:r>
        <w:rPr>
          <w:rFonts w:hint="eastAsia" w:ascii="宋体" w:hAnsi="宋体"/>
          <w:color w:val="000000"/>
          <w:kern w:val="0"/>
          <w:sz w:val="24"/>
        </w:rPr>
        <w:t>发出的违约通知后</w:t>
      </w:r>
      <w:r>
        <w:rPr>
          <w:rFonts w:ascii="宋体" w:hAnsi="宋体"/>
          <w:color w:val="000000"/>
          <w:kern w:val="0"/>
          <w:sz w:val="24"/>
        </w:rPr>
        <w:t xml:space="preserve"> 30 </w:t>
      </w:r>
      <w:r>
        <w:rPr>
          <w:rFonts w:hint="eastAsia" w:ascii="宋体" w:hAnsi="宋体"/>
          <w:color w:val="000000"/>
          <w:kern w:val="0"/>
          <w:sz w:val="24"/>
        </w:rPr>
        <w:t>天内</w:t>
      </w:r>
      <w:r>
        <w:rPr>
          <w:rFonts w:ascii="宋体" w:hAnsi="宋体"/>
          <w:color w:val="000000"/>
          <w:kern w:val="0"/>
          <w:sz w:val="24"/>
        </w:rPr>
        <w:t>(</w:t>
      </w:r>
      <w:r>
        <w:rPr>
          <w:rFonts w:hint="eastAsia" w:ascii="宋体" w:hAnsi="宋体"/>
          <w:color w:val="000000"/>
          <w:kern w:val="0"/>
          <w:sz w:val="24"/>
        </w:rPr>
        <w:t>或经买方书面确认的更长时间内</w:t>
      </w:r>
      <w:r>
        <w:rPr>
          <w:rFonts w:ascii="宋体" w:hAnsi="宋体"/>
          <w:color w:val="000000"/>
          <w:kern w:val="0"/>
          <w:sz w:val="24"/>
        </w:rPr>
        <w:t>)</w:t>
      </w:r>
      <w:r>
        <w:rPr>
          <w:rFonts w:hint="eastAsia" w:ascii="宋体" w:hAnsi="宋体"/>
          <w:color w:val="000000"/>
          <w:kern w:val="0"/>
          <w:sz w:val="24"/>
        </w:rPr>
        <w:t>仍未纠正其下述任何一种</w:t>
      </w:r>
      <w:r>
        <w:rPr>
          <w:rFonts w:ascii="宋体" w:hAnsi="宋体"/>
          <w:color w:val="000000"/>
          <w:kern w:val="0"/>
          <w:sz w:val="24"/>
        </w:rPr>
        <w:t xml:space="preserve"> </w:t>
      </w:r>
      <w:r>
        <w:rPr>
          <w:rFonts w:hint="eastAsia" w:ascii="宋体" w:hAnsi="宋体"/>
          <w:color w:val="000000"/>
          <w:kern w:val="0"/>
          <w:sz w:val="24"/>
        </w:rPr>
        <w:t>违约行为，买方可向卖方发出书面违约通知，终止全部或部分合同：</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(1)</w:t>
      </w:r>
      <w:r>
        <w:rPr>
          <w:rFonts w:hint="eastAsia" w:ascii="宋体" w:hAnsi="宋体"/>
          <w:color w:val="000000"/>
          <w:kern w:val="0"/>
          <w:sz w:val="24"/>
        </w:rPr>
        <w:t>如果卖方未能在合同规定的期限内或买方准许的任何延期内交付部分或全部货物。</w:t>
      </w:r>
    </w:p>
    <w:p>
      <w:pPr>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(2)</w:t>
      </w:r>
      <w:r>
        <w:rPr>
          <w:rFonts w:hint="eastAsia" w:ascii="宋体" w:hAnsi="宋体"/>
          <w:color w:val="000000"/>
          <w:kern w:val="0"/>
          <w:sz w:val="24"/>
        </w:rPr>
        <w:t>卖方未能履行合同项下的其它义务。</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17.2     </w:t>
      </w:r>
      <w:r>
        <w:rPr>
          <w:rFonts w:hint="eastAsia" w:ascii="宋体" w:hAnsi="宋体"/>
          <w:color w:val="000000"/>
          <w:kern w:val="0"/>
          <w:sz w:val="24"/>
        </w:rPr>
        <w:t>一旦买方根据第</w:t>
      </w:r>
      <w:r>
        <w:rPr>
          <w:rFonts w:ascii="宋体" w:hAnsi="宋体"/>
          <w:color w:val="000000"/>
          <w:kern w:val="0"/>
          <w:sz w:val="24"/>
        </w:rPr>
        <w:t xml:space="preserve"> 16.1 </w:t>
      </w:r>
      <w:r>
        <w:rPr>
          <w:rFonts w:hint="eastAsia" w:ascii="宋体" w:hAnsi="宋体"/>
          <w:color w:val="000000"/>
          <w:kern w:val="0"/>
          <w:sz w:val="24"/>
        </w:rPr>
        <w:t>款终止部分或全部合同，买方可以按其认为适当的条件和方式采购类似未交付部分的货物。卖方应承担买方购买类似货物的价格差及额</w:t>
      </w:r>
      <w:r>
        <w:rPr>
          <w:rFonts w:ascii="宋体" w:hAnsi="宋体"/>
          <w:color w:val="000000"/>
          <w:kern w:val="0"/>
          <w:sz w:val="24"/>
        </w:rPr>
        <w:t xml:space="preserve"> </w:t>
      </w:r>
      <w:r>
        <w:rPr>
          <w:rFonts w:hint="eastAsia" w:ascii="宋体" w:hAnsi="宋体"/>
          <w:color w:val="000000"/>
          <w:kern w:val="0"/>
          <w:sz w:val="24"/>
        </w:rPr>
        <w:t>外费用。但是，卖方应继续履行合同中未终止的部分。</w:t>
      </w:r>
    </w:p>
    <w:p>
      <w:pPr>
        <w:autoSpaceDE w:val="0"/>
        <w:autoSpaceDN w:val="0"/>
        <w:adjustRightInd w:val="0"/>
        <w:snapToGrid w:val="0"/>
        <w:spacing w:line="400" w:lineRule="exact"/>
        <w:ind w:left="114"/>
        <w:rPr>
          <w:rFonts w:ascii="宋体"/>
          <w:color w:val="000000"/>
          <w:kern w:val="0"/>
          <w:sz w:val="15"/>
          <w:szCs w:val="15"/>
        </w:rPr>
      </w:pPr>
      <w:r>
        <w:rPr>
          <w:rFonts w:ascii="宋体" w:hAnsi="宋体"/>
          <w:color w:val="000000"/>
          <w:kern w:val="0"/>
          <w:sz w:val="24"/>
        </w:rPr>
        <w:t>18.</w:t>
      </w:r>
      <w:r>
        <w:rPr>
          <w:rFonts w:hint="eastAsia" w:ascii="宋体" w:hAnsi="宋体"/>
          <w:color w:val="000000"/>
          <w:kern w:val="0"/>
          <w:sz w:val="24"/>
        </w:rPr>
        <w:t>变更指示</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18.1</w:t>
      </w:r>
      <w:r>
        <w:rPr>
          <w:rFonts w:ascii="宋体" w:hAnsi="宋体"/>
          <w:color w:val="000000"/>
          <w:kern w:val="0"/>
          <w:sz w:val="24"/>
        </w:rPr>
        <w:tab/>
      </w:r>
      <w:r>
        <w:rPr>
          <w:rFonts w:hint="eastAsia" w:ascii="宋体" w:hAnsi="宋体"/>
          <w:color w:val="000000"/>
          <w:kern w:val="0"/>
          <w:sz w:val="24"/>
        </w:rPr>
        <w:t>甲方可以随时向乙方发出书面指示，在合同总体范围内对如下一点或几点</w:t>
      </w:r>
    </w:p>
    <w:p>
      <w:pPr>
        <w:autoSpaceDE w:val="0"/>
        <w:autoSpaceDN w:val="0"/>
        <w:adjustRightInd w:val="0"/>
        <w:snapToGrid w:val="0"/>
        <w:spacing w:line="400" w:lineRule="exact"/>
        <w:ind w:left="594" w:hanging="480"/>
        <w:jc w:val="left"/>
        <w:rPr>
          <w:rFonts w:ascii="宋体"/>
          <w:color w:val="000000"/>
          <w:kern w:val="0"/>
          <w:sz w:val="24"/>
        </w:rPr>
      </w:pPr>
      <w:r>
        <w:rPr>
          <w:rFonts w:hint="eastAsia" w:ascii="宋体" w:hAnsi="宋体"/>
          <w:color w:val="000000"/>
          <w:kern w:val="0"/>
          <w:sz w:val="24"/>
        </w:rPr>
        <w:t>提出变更：</w:t>
      </w:r>
      <w:r>
        <w:rPr>
          <w:rFonts w:ascii="宋体" w:hAnsi="宋体"/>
          <w:color w:val="000000"/>
          <w:kern w:val="0"/>
          <w:sz w:val="24"/>
        </w:rPr>
        <w:t xml:space="preserve"> (1)</w:t>
      </w:r>
      <w:r>
        <w:rPr>
          <w:rFonts w:hint="eastAsia" w:ascii="宋体" w:hAnsi="宋体"/>
          <w:color w:val="000000"/>
          <w:kern w:val="0"/>
          <w:sz w:val="24"/>
        </w:rPr>
        <w:t>合同项下需为甲方特殊制造货物的图纸、设计或规格；</w:t>
      </w:r>
      <w:r>
        <w:rPr>
          <w:rFonts w:ascii="宋体" w:hAnsi="宋体"/>
          <w:color w:val="000000"/>
          <w:kern w:val="0"/>
          <w:sz w:val="24"/>
        </w:rPr>
        <w:t xml:space="preserve"> (2)</w:t>
      </w:r>
      <w:r>
        <w:rPr>
          <w:rFonts w:hint="eastAsia" w:ascii="宋体" w:hAnsi="宋体"/>
          <w:color w:val="000000"/>
          <w:kern w:val="0"/>
          <w:sz w:val="24"/>
        </w:rPr>
        <w:t>装运方式和包装方式；</w:t>
      </w:r>
      <w:r>
        <w:rPr>
          <w:rFonts w:ascii="宋体" w:hAnsi="宋体"/>
          <w:color w:val="000000"/>
          <w:kern w:val="0"/>
          <w:sz w:val="24"/>
        </w:rPr>
        <w:t>(3)</w:t>
      </w:r>
      <w:r>
        <w:rPr>
          <w:rFonts w:hint="eastAsia" w:ascii="宋体" w:hAnsi="宋体"/>
          <w:color w:val="000000"/>
          <w:kern w:val="0"/>
          <w:sz w:val="24"/>
        </w:rPr>
        <w:t>交货地点；</w:t>
      </w:r>
      <w:r>
        <w:rPr>
          <w:rFonts w:ascii="宋体" w:hAnsi="宋体"/>
          <w:color w:val="000000"/>
          <w:kern w:val="0"/>
          <w:sz w:val="24"/>
        </w:rPr>
        <w:t xml:space="preserve"> (4)</w:t>
      </w:r>
      <w:r>
        <w:rPr>
          <w:rFonts w:hint="eastAsia" w:ascii="宋体" w:hAnsi="宋体"/>
          <w:color w:val="000000"/>
          <w:kern w:val="0"/>
          <w:sz w:val="24"/>
        </w:rPr>
        <w:t>乙方须提供的服务。</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18.2 </w:t>
      </w:r>
      <w:r>
        <w:rPr>
          <w:rFonts w:hint="eastAsia" w:ascii="宋体" w:hAnsi="宋体"/>
          <w:color w:val="000000"/>
          <w:kern w:val="0"/>
          <w:sz w:val="24"/>
        </w:rPr>
        <w:t>若上述变更导致了乙方履行合同项下任何部分义务的费用或所需时间的增减，应对合同价格或交货进度进行合理的调整，同时相应地修改合同。乙方必须在接到甲方的变更指示后</w:t>
      </w:r>
      <w:r>
        <w:rPr>
          <w:rFonts w:ascii="宋体" w:hAnsi="宋体"/>
          <w:color w:val="000000"/>
          <w:kern w:val="0"/>
          <w:sz w:val="24"/>
        </w:rPr>
        <w:t xml:space="preserve"> 30 </w:t>
      </w:r>
      <w:r>
        <w:rPr>
          <w:rFonts w:hint="eastAsia" w:ascii="宋体" w:hAnsi="宋体"/>
          <w:color w:val="000000"/>
          <w:kern w:val="0"/>
          <w:sz w:val="24"/>
        </w:rPr>
        <w:t>天内根据本款提出调整的实施意见。</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19.</w:t>
      </w:r>
      <w:r>
        <w:rPr>
          <w:rFonts w:hint="eastAsia" w:ascii="宋体" w:hAnsi="宋体"/>
          <w:color w:val="000000"/>
          <w:kern w:val="0"/>
          <w:sz w:val="24"/>
        </w:rPr>
        <w:t>通知</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19.1 </w:t>
      </w:r>
      <w:r>
        <w:rPr>
          <w:rFonts w:hint="eastAsia" w:ascii="宋体" w:hAnsi="宋体"/>
          <w:color w:val="000000"/>
          <w:kern w:val="0"/>
          <w:sz w:val="24"/>
        </w:rPr>
        <w:t>本合同任何一方给另一方的通知都应以书面或电传、电报、传真的形式发</w:t>
      </w:r>
      <w:r>
        <w:rPr>
          <w:rFonts w:ascii="宋体" w:hAnsi="宋体"/>
          <w:color w:val="000000"/>
          <w:kern w:val="0"/>
          <w:sz w:val="24"/>
        </w:rPr>
        <w:t xml:space="preserve"> </w:t>
      </w:r>
      <w:r>
        <w:rPr>
          <w:rFonts w:hint="eastAsia" w:ascii="宋体" w:hAnsi="宋体"/>
          <w:color w:val="000000"/>
          <w:kern w:val="0"/>
          <w:sz w:val="24"/>
        </w:rPr>
        <w:t>送，而另一方应以书面形式确认并发送到对方明确的地址。</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20</w:t>
      </w:r>
      <w:r>
        <w:rPr>
          <w:rFonts w:hint="eastAsia" w:ascii="宋体" w:hAnsi="宋体"/>
          <w:color w:val="000000"/>
          <w:kern w:val="0"/>
          <w:sz w:val="24"/>
        </w:rPr>
        <w:t>．适用法律</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20.1</w:t>
      </w:r>
      <w:r>
        <w:rPr>
          <w:rFonts w:ascii="宋体" w:hAnsi="宋体"/>
          <w:color w:val="000000"/>
          <w:kern w:val="0"/>
          <w:sz w:val="24"/>
        </w:rPr>
        <w:tab/>
      </w:r>
      <w:r>
        <w:rPr>
          <w:rFonts w:hint="eastAsia" w:ascii="宋体" w:hAnsi="宋体"/>
          <w:color w:val="000000"/>
          <w:kern w:val="0"/>
          <w:sz w:val="24"/>
        </w:rPr>
        <w:t>本合同应按照中华人民共和国的现行法律进行解释。</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21</w:t>
      </w:r>
      <w:r>
        <w:rPr>
          <w:rFonts w:hint="eastAsia" w:ascii="宋体" w:hAnsi="宋体"/>
          <w:color w:val="000000"/>
          <w:kern w:val="0"/>
          <w:sz w:val="24"/>
        </w:rPr>
        <w:t>．合同生效</w:t>
      </w:r>
    </w:p>
    <w:p>
      <w:pPr>
        <w:tabs>
          <w:tab w:val="left" w:pos="1300"/>
        </w:tabs>
        <w:autoSpaceDE w:val="0"/>
        <w:autoSpaceDN w:val="0"/>
        <w:adjustRightInd w:val="0"/>
        <w:snapToGrid w:val="0"/>
        <w:spacing w:line="400" w:lineRule="exact"/>
        <w:ind w:left="594"/>
        <w:jc w:val="left"/>
        <w:rPr>
          <w:rFonts w:ascii="宋体"/>
          <w:color w:val="000000"/>
          <w:kern w:val="0"/>
          <w:sz w:val="24"/>
        </w:rPr>
      </w:pPr>
      <w:r>
        <w:rPr>
          <w:rFonts w:ascii="宋体" w:hAnsi="宋体"/>
          <w:color w:val="000000"/>
          <w:kern w:val="0"/>
          <w:sz w:val="24"/>
        </w:rPr>
        <w:t>21.1</w:t>
      </w:r>
      <w:r>
        <w:rPr>
          <w:rFonts w:ascii="宋体" w:hAnsi="宋体"/>
          <w:color w:val="000000"/>
          <w:kern w:val="0"/>
          <w:sz w:val="24"/>
        </w:rPr>
        <w:tab/>
      </w:r>
      <w:r>
        <w:rPr>
          <w:rFonts w:hint="eastAsia" w:ascii="宋体" w:hAnsi="宋体"/>
          <w:color w:val="000000"/>
          <w:kern w:val="0"/>
          <w:sz w:val="24"/>
        </w:rPr>
        <w:t>本合同应在双方签字并盖章，同时甲方收到乙方提供的履约保证金后生效。</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22</w:t>
      </w:r>
      <w:r>
        <w:rPr>
          <w:rFonts w:hint="eastAsia" w:ascii="宋体" w:hAnsi="宋体"/>
          <w:color w:val="000000"/>
          <w:kern w:val="0"/>
          <w:sz w:val="24"/>
        </w:rPr>
        <w:t>．主导语言</w:t>
      </w:r>
    </w:p>
    <w:p>
      <w:pPr>
        <w:autoSpaceDE w:val="0"/>
        <w:autoSpaceDN w:val="0"/>
        <w:adjustRightInd w:val="0"/>
        <w:snapToGrid w:val="0"/>
        <w:spacing w:line="400" w:lineRule="exact"/>
        <w:ind w:left="114" w:firstLine="480"/>
        <w:rPr>
          <w:rFonts w:ascii="宋体"/>
          <w:color w:val="000000"/>
          <w:kern w:val="0"/>
          <w:sz w:val="24"/>
        </w:rPr>
      </w:pPr>
      <w:r>
        <w:rPr>
          <w:rFonts w:ascii="宋体" w:hAnsi="宋体"/>
          <w:color w:val="000000"/>
          <w:kern w:val="0"/>
          <w:sz w:val="24"/>
        </w:rPr>
        <w:t xml:space="preserve">22.1 </w:t>
      </w:r>
      <w:r>
        <w:rPr>
          <w:rFonts w:hint="eastAsia" w:ascii="宋体" w:hAnsi="宋体"/>
          <w:color w:val="000000"/>
          <w:kern w:val="0"/>
          <w:sz w:val="24"/>
        </w:rPr>
        <w:t>本合同正本一式两份，以中文书写，双方签字盖章后生效，双方各执正本</w:t>
      </w:r>
      <w:r>
        <w:rPr>
          <w:rFonts w:ascii="宋体" w:hAnsi="宋体"/>
          <w:color w:val="000000"/>
          <w:kern w:val="0"/>
          <w:sz w:val="24"/>
        </w:rPr>
        <w:t xml:space="preserve"> </w:t>
      </w:r>
      <w:r>
        <w:rPr>
          <w:rFonts w:hint="eastAsia" w:ascii="宋体" w:hAnsi="宋体"/>
          <w:color w:val="000000"/>
          <w:kern w:val="0"/>
          <w:sz w:val="24"/>
        </w:rPr>
        <w:t>一份。</w:t>
      </w:r>
    </w:p>
    <w:p>
      <w:pPr>
        <w:autoSpaceDE w:val="0"/>
        <w:autoSpaceDN w:val="0"/>
        <w:adjustRightInd w:val="0"/>
        <w:snapToGrid w:val="0"/>
        <w:spacing w:line="400" w:lineRule="exact"/>
        <w:ind w:left="114"/>
        <w:jc w:val="left"/>
        <w:rPr>
          <w:rFonts w:ascii="宋体"/>
          <w:color w:val="000000"/>
          <w:kern w:val="0"/>
          <w:sz w:val="24"/>
        </w:rPr>
      </w:pPr>
      <w:r>
        <w:rPr>
          <w:rFonts w:ascii="宋体" w:hAnsi="宋体"/>
          <w:color w:val="000000"/>
          <w:kern w:val="0"/>
          <w:sz w:val="24"/>
        </w:rPr>
        <w:t>23</w:t>
      </w:r>
      <w:r>
        <w:rPr>
          <w:rFonts w:hint="eastAsia" w:ascii="宋体" w:hAnsi="宋体"/>
          <w:color w:val="000000"/>
          <w:kern w:val="0"/>
          <w:sz w:val="24"/>
        </w:rPr>
        <w:t>．合同修改</w:t>
      </w:r>
    </w:p>
    <w:p>
      <w:pPr>
        <w:autoSpaceDE w:val="0"/>
        <w:autoSpaceDN w:val="0"/>
        <w:adjustRightInd w:val="0"/>
        <w:snapToGrid w:val="0"/>
        <w:spacing w:line="400" w:lineRule="exact"/>
        <w:ind w:left="114" w:firstLine="473"/>
        <w:rPr>
          <w:rFonts w:ascii="宋体"/>
          <w:color w:val="000000"/>
          <w:kern w:val="0"/>
          <w:sz w:val="24"/>
        </w:rPr>
      </w:pPr>
      <w:r>
        <w:rPr>
          <w:rFonts w:ascii="宋体" w:hAnsi="宋体"/>
          <w:color w:val="000000"/>
          <w:kern w:val="0"/>
          <w:sz w:val="24"/>
        </w:rPr>
        <w:t xml:space="preserve">23.1 </w:t>
      </w:r>
      <w:r>
        <w:rPr>
          <w:rFonts w:hint="eastAsia" w:ascii="宋体" w:hAnsi="宋体"/>
          <w:color w:val="000000"/>
          <w:kern w:val="0"/>
          <w:sz w:val="24"/>
        </w:rPr>
        <w:t>除了双方签署书面修改协议并成为本合同不可分割的一部分的情况之外，</w:t>
      </w:r>
      <w:r>
        <w:rPr>
          <w:rFonts w:ascii="宋体" w:hAnsi="宋体"/>
          <w:color w:val="000000"/>
          <w:kern w:val="0"/>
          <w:sz w:val="24"/>
        </w:rPr>
        <w:t xml:space="preserve"> </w:t>
      </w:r>
      <w:r>
        <w:rPr>
          <w:rFonts w:hint="eastAsia" w:ascii="宋体" w:hAnsi="宋体"/>
          <w:color w:val="000000"/>
          <w:kern w:val="0"/>
          <w:sz w:val="24"/>
        </w:rPr>
        <w:t>本合同的条件不得有任何变化或修改。</w:t>
      </w:r>
    </w:p>
    <w:p>
      <w:pPr>
        <w:autoSpaceDE w:val="0"/>
        <w:autoSpaceDN w:val="0"/>
        <w:adjustRightInd w:val="0"/>
        <w:snapToGrid w:val="0"/>
        <w:spacing w:line="400" w:lineRule="exact"/>
        <w:rPr>
          <w:rFonts w:ascii="宋体"/>
          <w:color w:val="000000"/>
          <w:kern w:val="0"/>
          <w:sz w:val="20"/>
        </w:rPr>
      </w:pPr>
      <w:r>
        <w:rPr>
          <w:rFonts w:ascii="宋体" w:hAnsi="宋体"/>
          <w:color w:val="000000"/>
          <w:kern w:val="0"/>
          <w:sz w:val="24"/>
        </w:rPr>
        <w:t>24</w:t>
      </w:r>
      <w:r>
        <w:rPr>
          <w:rFonts w:hint="eastAsia" w:ascii="宋体" w:hAnsi="宋体"/>
          <w:color w:val="000000"/>
          <w:kern w:val="0"/>
          <w:sz w:val="24"/>
        </w:rPr>
        <w:t>．其他</w:t>
      </w:r>
      <w:r>
        <w:rPr>
          <w:rFonts w:ascii="宋体" w:hAnsi="宋体"/>
          <w:color w:val="000000"/>
          <w:kern w:val="0"/>
          <w:sz w:val="24"/>
        </w:rPr>
        <w:t xml:space="preserve"> </w:t>
      </w:r>
      <w:r>
        <w:rPr>
          <w:rFonts w:hint="eastAsia" w:ascii="宋体" w:hAnsi="宋体"/>
          <w:color w:val="000000"/>
          <w:kern w:val="0"/>
          <w:sz w:val="24"/>
        </w:rPr>
        <w:t>其他未尽事宜，双方协商解决。</w:t>
      </w:r>
    </w:p>
    <w:p/>
    <w:p>
      <w:pPr>
        <w:snapToGrid w:val="0"/>
        <w:spacing w:beforeLines="50" w:afterLines="50"/>
        <w:outlineLvl w:val="0"/>
        <w:rPr>
          <w:rFonts w:asciiTheme="minorEastAsia" w:hAnsiTheme="minorEastAsia" w:eastAsiaTheme="minorEastAsia"/>
          <w:sz w:val="30"/>
          <w:szCs w:val="30"/>
        </w:rPr>
      </w:pPr>
    </w:p>
    <w:p>
      <w:pPr>
        <w:adjustRightInd w:val="0"/>
        <w:snapToGrid w:val="0"/>
        <w:spacing w:beforeLines="50" w:line="276"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numPr>
          <w:ilvl w:val="1"/>
          <w:numId w:val="16"/>
        </w:numPr>
        <w:tabs>
          <w:tab w:val="clear" w:pos="2025"/>
        </w:tabs>
        <w:adjustRightInd w:val="0"/>
        <w:snapToGrid w:val="0"/>
        <w:spacing w:beforeLines="50" w:line="360" w:lineRule="auto"/>
        <w:ind w:firstLine="708" w:firstLineChars="235"/>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投标文件格式</w:t>
      </w:r>
    </w:p>
    <w:p>
      <w:pPr>
        <w:adjustRightInd w:val="0"/>
        <w:snapToGrid w:val="0"/>
        <w:spacing w:beforeLines="50" w:line="360" w:lineRule="auto"/>
        <w:rPr>
          <w:rFonts w:asciiTheme="minorEastAsia" w:hAnsiTheme="minorEastAsia" w:eastAsiaTheme="minorEastAsia"/>
          <w:b/>
          <w:bCs/>
          <w:kern w:val="44"/>
          <w:sz w:val="24"/>
        </w:rPr>
      </w:pPr>
      <w:r>
        <w:rPr>
          <w:rFonts w:hint="eastAsia" w:asciiTheme="minorEastAsia" w:hAnsiTheme="minorEastAsia" w:eastAsiaTheme="minorEastAsia"/>
          <w:b/>
          <w:bCs/>
          <w:kern w:val="44"/>
          <w:sz w:val="24"/>
        </w:rPr>
        <w:t>本章节内容提供部分投标文件格式，招标文件中要求，但未提供格式的，须由投标人根据招标文件的要求自行制作</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一、投标函</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二、开标一览表</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三、投标分项价格表</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四、商务条款响应/偏离表</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五、投标保证金</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六、制造商出具的授权函</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七、投标人具备投标资格的证明文件</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八、提供享受政府采购政策优惠的证明资料和清单表</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九、货物说明一览表</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十、技术规格、参数响应/偏离表</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十一、投标货物符合招标文件规定的证明文件</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十二、政府采购履约担保函</w:t>
      </w:r>
    </w:p>
    <w:p>
      <w:pPr>
        <w:adjustRightInd w:val="0"/>
        <w:snapToGrid w:val="0"/>
        <w:spacing w:beforeLines="50" w:line="360" w:lineRule="auto"/>
        <w:rPr>
          <w:rFonts w:asciiTheme="minorEastAsia" w:hAnsiTheme="minorEastAsia" w:eastAsiaTheme="minorEastAsia"/>
          <w:bCs/>
          <w:sz w:val="30"/>
          <w:szCs w:val="30"/>
        </w:rPr>
      </w:pPr>
      <w:r>
        <w:rPr>
          <w:rFonts w:hint="eastAsia" w:asciiTheme="minorEastAsia" w:hAnsiTheme="minorEastAsia" w:eastAsiaTheme="minorEastAsia"/>
          <w:bCs/>
          <w:sz w:val="30"/>
          <w:szCs w:val="30"/>
        </w:rPr>
        <w:t>十三、投 标 承 诺 书</w:t>
      </w:r>
    </w:p>
    <w:p>
      <w:pPr>
        <w:adjustRightInd w:val="0"/>
        <w:snapToGrid w:val="0"/>
        <w:spacing w:beforeLines="50" w:line="360" w:lineRule="auto"/>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pStyle w:val="28"/>
        <w:adjustRightInd w:val="0"/>
        <w:snapToGrid w:val="0"/>
        <w:spacing w:line="400" w:lineRule="atLeast"/>
        <w:jc w:val="center"/>
        <w:rPr>
          <w:rFonts w:asciiTheme="minorEastAsia" w:hAnsiTheme="minorEastAsia" w:eastAsiaTheme="minorEastAsia"/>
          <w:b/>
          <w:bCs/>
          <w:sz w:val="84"/>
          <w:szCs w:val="84"/>
        </w:rPr>
      </w:pPr>
    </w:p>
    <w:p>
      <w:pPr>
        <w:adjustRightInd w:val="0"/>
        <w:snapToGrid w:val="0"/>
        <w:spacing w:line="400" w:lineRule="atLeast"/>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投 标 文 件</w:t>
      </w:r>
    </w:p>
    <w:p>
      <w:pPr>
        <w:tabs>
          <w:tab w:val="center" w:pos="4422"/>
          <w:tab w:val="left" w:pos="6570"/>
        </w:tabs>
        <w:spacing w:beforeLines="100"/>
        <w:jc w:val="left"/>
        <w:rPr>
          <w:rFonts w:asciiTheme="minorEastAsia" w:hAnsiTheme="minorEastAsia" w:eastAsiaTheme="minorEastAsia"/>
          <w:b/>
          <w:sz w:val="44"/>
          <w:szCs w:val="44"/>
        </w:rPr>
      </w:pPr>
      <w:r>
        <w:rPr>
          <w:rFonts w:asciiTheme="minorEastAsia" w:hAnsiTheme="minorEastAsia" w:eastAsiaTheme="minorEastAsia"/>
          <w:b/>
          <w:sz w:val="44"/>
          <w:szCs w:val="44"/>
        </w:rPr>
        <w:tab/>
      </w:r>
      <w:r>
        <w:rPr>
          <w:rFonts w:hint="eastAsia" w:asciiTheme="minorEastAsia" w:hAnsiTheme="minorEastAsia" w:eastAsiaTheme="minorEastAsia"/>
          <w:b/>
          <w:sz w:val="44"/>
          <w:szCs w:val="44"/>
        </w:rPr>
        <w:t>（货物类）</w:t>
      </w:r>
      <w:r>
        <w:rPr>
          <w:rFonts w:asciiTheme="minorEastAsia" w:hAnsiTheme="minorEastAsia" w:eastAsiaTheme="minorEastAsia"/>
          <w:b/>
          <w:sz w:val="44"/>
          <w:szCs w:val="44"/>
        </w:rPr>
        <w:tab/>
      </w:r>
    </w:p>
    <w:p>
      <w:pPr>
        <w:rPr>
          <w:rFonts w:asciiTheme="minorEastAsia" w:hAnsiTheme="minorEastAsia" w:eastAsiaTheme="minorEastAsia"/>
          <w:sz w:val="28"/>
          <w:szCs w:val="28"/>
        </w:rPr>
      </w:pPr>
    </w:p>
    <w:p>
      <w:pPr>
        <w:rPr>
          <w:rFonts w:asciiTheme="minorEastAsia" w:hAnsiTheme="minorEastAsia" w:eastAsiaTheme="minorEastAsia"/>
          <w:sz w:val="30"/>
          <w:szCs w:val="30"/>
        </w:rPr>
      </w:pPr>
      <w:r>
        <w:rPr>
          <w:rFonts w:hint="eastAsia" w:asciiTheme="minorEastAsia" w:hAnsiTheme="minorEastAsia" w:eastAsiaTheme="minorEastAsia"/>
          <w:sz w:val="32"/>
          <w:szCs w:val="32"/>
        </w:rPr>
        <w:t xml:space="preserve">                     </w:t>
      </w:r>
    </w:p>
    <w:p>
      <w:pPr>
        <w:pStyle w:val="28"/>
        <w:ind w:firstLine="1124" w:firstLineChars="350"/>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采购项目名称：________________    </w:t>
      </w:r>
    </w:p>
    <w:p>
      <w:pPr>
        <w:pStyle w:val="28"/>
        <w:ind w:firstLine="1124" w:firstLineChars="350"/>
        <w:rPr>
          <w:rFonts w:asciiTheme="minorEastAsia" w:hAnsiTheme="minorEastAsia" w:eastAsiaTheme="minorEastAsia"/>
          <w:b/>
          <w:sz w:val="32"/>
          <w:szCs w:val="32"/>
        </w:rPr>
      </w:pPr>
      <w:r>
        <w:rPr>
          <w:rFonts w:hint="eastAsia" w:asciiTheme="minorEastAsia" w:hAnsiTheme="minorEastAsia" w:eastAsiaTheme="minorEastAsia"/>
          <w:b/>
          <w:sz w:val="32"/>
          <w:szCs w:val="32"/>
        </w:rPr>
        <w:t>政府采购编号：________________</w:t>
      </w:r>
    </w:p>
    <w:p>
      <w:pPr>
        <w:adjustRightInd w:val="0"/>
        <w:snapToGrid w:val="0"/>
        <w:ind w:firstLine="1500" w:firstLineChars="500"/>
        <w:outlineLvl w:val="0"/>
        <w:rPr>
          <w:rFonts w:asciiTheme="minorEastAsia" w:hAnsiTheme="minorEastAsia" w:eastAsiaTheme="minorEastAsia"/>
          <w:sz w:val="30"/>
          <w:szCs w:val="30"/>
        </w:rPr>
      </w:pPr>
    </w:p>
    <w:p>
      <w:pPr>
        <w:adjustRightInd w:val="0"/>
        <w:snapToGrid w:val="0"/>
        <w:ind w:firstLine="1500" w:firstLineChars="500"/>
        <w:outlineLvl w:val="0"/>
        <w:rPr>
          <w:rFonts w:asciiTheme="minorEastAsia" w:hAnsiTheme="minorEastAsia" w:eastAsiaTheme="minorEastAsia"/>
          <w:sz w:val="30"/>
          <w:szCs w:val="30"/>
        </w:rPr>
      </w:pPr>
    </w:p>
    <w:p>
      <w:pPr>
        <w:adjustRightInd w:val="0"/>
        <w:snapToGrid w:val="0"/>
        <w:ind w:firstLine="1500" w:firstLineChars="500"/>
        <w:outlineLvl w:val="0"/>
        <w:rPr>
          <w:rFonts w:asciiTheme="minorEastAsia" w:hAnsiTheme="minorEastAsia" w:eastAsiaTheme="minorEastAsia"/>
          <w:sz w:val="30"/>
          <w:szCs w:val="30"/>
        </w:rPr>
      </w:pPr>
    </w:p>
    <w:p>
      <w:pPr>
        <w:adjustRightInd w:val="0"/>
        <w:snapToGrid w:val="0"/>
        <w:ind w:firstLine="1500" w:firstLineChars="500"/>
        <w:outlineLvl w:val="0"/>
        <w:rPr>
          <w:rFonts w:asciiTheme="minorEastAsia" w:hAnsiTheme="minorEastAsia" w:eastAsiaTheme="minorEastAsia"/>
          <w:sz w:val="30"/>
          <w:szCs w:val="30"/>
        </w:rPr>
      </w:pPr>
    </w:p>
    <w:p>
      <w:pPr>
        <w:adjustRightInd w:val="0"/>
        <w:snapToGrid w:val="0"/>
        <w:outlineLvl w:val="0"/>
        <w:rPr>
          <w:rFonts w:asciiTheme="minorEastAsia" w:hAnsiTheme="minorEastAsia" w:eastAsiaTheme="minorEastAsia"/>
          <w:sz w:val="30"/>
          <w:szCs w:val="30"/>
        </w:rPr>
      </w:pPr>
    </w:p>
    <w:p>
      <w:pPr>
        <w:adjustRightInd w:val="0"/>
        <w:snapToGrid w:val="0"/>
        <w:ind w:firstLine="1600" w:firstLineChars="500"/>
        <w:outlineLvl w:val="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投标人</w:t>
      </w:r>
      <w:r>
        <w:rPr>
          <w:rFonts w:hint="eastAsia" w:asciiTheme="minorEastAsia" w:hAnsiTheme="minorEastAsia" w:eastAsiaTheme="minorEastAsia"/>
          <w:sz w:val="32"/>
          <w:szCs w:val="32"/>
          <w:u w:val="single"/>
        </w:rPr>
        <w:t xml:space="preserve">                       </w:t>
      </w:r>
    </w:p>
    <w:p>
      <w:pPr>
        <w:adjustRightInd w:val="0"/>
        <w:snapToGrid w:val="0"/>
        <w:ind w:firstLine="4800" w:firstLineChars="1500"/>
        <w:outlineLvl w:val="0"/>
        <w:rPr>
          <w:rFonts w:asciiTheme="minorEastAsia" w:hAnsiTheme="minorEastAsia" w:eastAsiaTheme="minorEastAsia"/>
          <w:sz w:val="32"/>
          <w:szCs w:val="32"/>
        </w:rPr>
      </w:pPr>
    </w:p>
    <w:p>
      <w:pPr>
        <w:adjustRightInd w:val="0"/>
        <w:snapToGrid w:val="0"/>
        <w:ind w:firstLine="4800" w:firstLineChars="1500"/>
        <w:outlineLvl w:val="0"/>
        <w:rPr>
          <w:rFonts w:asciiTheme="minorEastAsia" w:hAnsiTheme="minorEastAsia" w:eastAsiaTheme="minorEastAsia"/>
          <w:sz w:val="32"/>
          <w:szCs w:val="32"/>
        </w:rPr>
      </w:pPr>
    </w:p>
    <w:p>
      <w:pPr>
        <w:adjustRightInd w:val="0"/>
        <w:snapToGrid w:val="0"/>
        <w:ind w:firstLine="4800" w:firstLineChars="1500"/>
        <w:outlineLvl w:val="0"/>
        <w:rPr>
          <w:rFonts w:asciiTheme="minorEastAsia" w:hAnsiTheme="minorEastAsia" w:eastAsiaTheme="minorEastAsia"/>
          <w:sz w:val="32"/>
          <w:szCs w:val="32"/>
        </w:rPr>
      </w:pPr>
      <w:r>
        <w:rPr>
          <w:rFonts w:hint="eastAsia" w:asciiTheme="minorEastAsia" w:hAnsiTheme="minorEastAsia" w:eastAsiaTheme="minorEastAsia"/>
          <w:sz w:val="32"/>
          <w:szCs w:val="32"/>
        </w:rPr>
        <w:t>年  月  日</w:t>
      </w:r>
    </w:p>
    <w:p>
      <w:pPr>
        <w:adjustRightInd w:val="0"/>
        <w:snapToGrid w:val="0"/>
        <w:ind w:firstLine="1600" w:firstLineChars="500"/>
        <w:outlineLvl w:val="0"/>
        <w:rPr>
          <w:rFonts w:asciiTheme="minorEastAsia" w:hAnsiTheme="minorEastAsia" w:eastAsiaTheme="minorEastAsia"/>
          <w:sz w:val="32"/>
          <w:szCs w:val="32"/>
        </w:rPr>
      </w:pPr>
    </w:p>
    <w:p>
      <w:pPr>
        <w:adjustRightInd w:val="0"/>
        <w:snapToGrid w:val="0"/>
        <w:outlineLvl w:val="0"/>
        <w:rPr>
          <w:rFonts w:asciiTheme="minorEastAsia" w:hAnsiTheme="minorEastAsia" w:eastAsiaTheme="minorEastAsia"/>
          <w:sz w:val="32"/>
          <w:szCs w:val="32"/>
          <w:u w:val="single"/>
        </w:rPr>
        <w:sectPr>
          <w:pgSz w:w="11905" w:h="16838"/>
          <w:pgMar w:top="1531" w:right="1134" w:bottom="1531" w:left="1531" w:header="851" w:footer="992" w:gutter="0"/>
          <w:cols w:space="0" w:num="1"/>
          <w:docGrid w:type="lines" w:linePitch="318" w:charSpace="0"/>
        </w:sectPr>
      </w:pPr>
    </w:p>
    <w:p>
      <w:pPr>
        <w:adjustRightInd w:val="0"/>
        <w:snapToGrid w:val="0"/>
        <w:spacing w:line="360" w:lineRule="auto"/>
        <w:jc w:val="center"/>
        <w:outlineLvl w:val="0"/>
        <w:rPr>
          <w:rFonts w:asciiTheme="minorEastAsia" w:hAnsiTheme="minorEastAsia" w:eastAsiaTheme="minorEastAsia"/>
          <w:szCs w:val="21"/>
        </w:rPr>
      </w:pPr>
      <w:r>
        <w:rPr>
          <w:rFonts w:hint="eastAsia" w:asciiTheme="minorEastAsia" w:hAnsiTheme="minorEastAsia" w:eastAsiaTheme="minorEastAsia"/>
          <w:sz w:val="28"/>
          <w:szCs w:val="28"/>
        </w:rPr>
        <w:t>一、投标函</w:t>
      </w:r>
    </w:p>
    <w:p>
      <w:pPr>
        <w:spacing w:line="400" w:lineRule="atLeast"/>
        <w:jc w:val="center"/>
        <w:rPr>
          <w:rFonts w:cs="Arial" w:asciiTheme="minorEastAsia" w:hAnsiTheme="minorEastAsia" w:eastAsiaTheme="minorEastAsia"/>
          <w:sz w:val="24"/>
        </w:rPr>
      </w:pPr>
      <w:r>
        <w:rPr>
          <w:rFonts w:cs="Arial" w:asciiTheme="minorEastAsia" w:hAnsiTheme="minorEastAsia" w:eastAsiaTheme="minorEastAsia"/>
          <w:sz w:val="24"/>
        </w:rPr>
        <w:t>1</w:t>
      </w:r>
      <w:r>
        <w:rPr>
          <w:rFonts w:hint="eastAsia" w:cs="Arial" w:asciiTheme="minorEastAsia" w:hAnsiTheme="minorEastAsia" w:eastAsiaTheme="minorEastAsia"/>
          <w:sz w:val="24"/>
        </w:rPr>
        <w:t>、投标书</w:t>
      </w:r>
    </w:p>
    <w:p>
      <w:pPr>
        <w:spacing w:line="400" w:lineRule="atLeast"/>
        <w:rPr>
          <w:rFonts w:cs="Arial" w:asciiTheme="minorEastAsia" w:hAnsiTheme="minorEastAsia" w:eastAsiaTheme="minorEastAsia"/>
          <w:sz w:val="24"/>
          <w:u w:val="single"/>
        </w:rPr>
      </w:pPr>
      <w:r>
        <w:rPr>
          <w:rFonts w:hint="eastAsia" w:cs="Arial" w:asciiTheme="minorEastAsia" w:hAnsiTheme="minorEastAsia" w:eastAsiaTheme="minorEastAsia"/>
          <w:sz w:val="24"/>
        </w:rPr>
        <w:t>致：</w:t>
      </w:r>
      <w:r>
        <w:rPr>
          <w:rFonts w:hint="eastAsia" w:cs="Arial" w:asciiTheme="minorEastAsia" w:hAnsiTheme="minorEastAsia" w:eastAsiaTheme="minorEastAsia"/>
          <w:sz w:val="24"/>
          <w:u w:val="single"/>
        </w:rPr>
        <w:t>新疆谱诚项目管理咨询有限公司</w:t>
      </w:r>
    </w:p>
    <w:p>
      <w:pPr>
        <w:spacing w:line="400" w:lineRule="atLeast"/>
        <w:ind w:firstLine="555"/>
        <w:rPr>
          <w:rFonts w:cs="Arial" w:asciiTheme="minorEastAsia" w:hAnsiTheme="minorEastAsia" w:eastAsiaTheme="minorEastAsia"/>
          <w:sz w:val="24"/>
        </w:rPr>
      </w:pPr>
      <w:r>
        <w:rPr>
          <w:rFonts w:hint="eastAsia" w:cs="Arial" w:asciiTheme="minorEastAsia" w:hAnsiTheme="minorEastAsia" w:eastAsiaTheme="minorEastAsia"/>
          <w:sz w:val="24"/>
        </w:rPr>
        <w:t>根据贵方为</w:t>
      </w:r>
      <w:r>
        <w:rPr>
          <w:rFonts w:hint="eastAsia" w:cs="Arial" w:asciiTheme="minorEastAsia" w:hAnsiTheme="minorEastAsia" w:eastAsiaTheme="minorEastAsia"/>
          <w:sz w:val="24"/>
          <w:u w:val="single"/>
        </w:rPr>
        <w:t>（项目名称）</w:t>
      </w:r>
      <w:r>
        <w:rPr>
          <w:rFonts w:hint="eastAsia" w:cs="Arial" w:asciiTheme="minorEastAsia" w:hAnsiTheme="minorEastAsia" w:eastAsiaTheme="minorEastAsia"/>
          <w:sz w:val="24"/>
        </w:rPr>
        <w:t>项目招标的招标邀请</w:t>
      </w:r>
      <w:r>
        <w:rPr>
          <w:rFonts w:hint="eastAsia" w:cs="Arial" w:asciiTheme="minorEastAsia" w:hAnsiTheme="minorEastAsia" w:eastAsiaTheme="minorEastAsia"/>
          <w:sz w:val="24"/>
          <w:u w:val="single"/>
        </w:rPr>
        <w:t>（项目编号）</w:t>
      </w:r>
      <w:r>
        <w:rPr>
          <w:rFonts w:hint="eastAsia" w:cs="Arial" w:asciiTheme="minorEastAsia" w:hAnsiTheme="minorEastAsia" w:eastAsiaTheme="minorEastAsia"/>
          <w:sz w:val="24"/>
        </w:rPr>
        <w:t>，签字代表</w:t>
      </w:r>
      <w:r>
        <w:rPr>
          <w:rFonts w:hint="eastAsia" w:cs="Arial" w:asciiTheme="minorEastAsia" w:hAnsiTheme="minorEastAsia" w:eastAsiaTheme="minorEastAsia"/>
          <w:sz w:val="24"/>
          <w:u w:val="single"/>
        </w:rPr>
        <w:t>（姓名、职务）</w:t>
      </w:r>
      <w:r>
        <w:rPr>
          <w:rFonts w:hint="eastAsia" w:cs="Arial" w:asciiTheme="minorEastAsia" w:hAnsiTheme="minorEastAsia" w:eastAsiaTheme="minorEastAsia"/>
          <w:sz w:val="24"/>
        </w:rPr>
        <w:t>经正式授权并代表投标商</w:t>
      </w:r>
      <w:r>
        <w:rPr>
          <w:rFonts w:hint="eastAsia" w:cs="Arial" w:asciiTheme="minorEastAsia" w:hAnsiTheme="minorEastAsia" w:eastAsiaTheme="minorEastAsia"/>
          <w:sz w:val="24"/>
          <w:u w:val="single"/>
        </w:rPr>
        <w:t>（投标商名称、地址）</w:t>
      </w:r>
      <w:r>
        <w:rPr>
          <w:rFonts w:hint="eastAsia" w:cs="Arial" w:asciiTheme="minorEastAsia" w:hAnsiTheme="minorEastAsia" w:eastAsiaTheme="minorEastAsia"/>
          <w:sz w:val="24"/>
        </w:rPr>
        <w:t>提交下述文件正本一份和副本三份。</w:t>
      </w:r>
    </w:p>
    <w:p>
      <w:pPr>
        <w:numPr>
          <w:ilvl w:val="0"/>
          <w:numId w:val="17"/>
        </w:numPr>
        <w:spacing w:line="400" w:lineRule="atLeast"/>
        <w:rPr>
          <w:rFonts w:cs="Arial" w:asciiTheme="minorEastAsia" w:hAnsiTheme="minorEastAsia" w:eastAsiaTheme="minorEastAsia"/>
          <w:sz w:val="24"/>
        </w:rPr>
      </w:pPr>
      <w:r>
        <w:rPr>
          <w:rFonts w:hint="eastAsia" w:asciiTheme="minorEastAsia" w:hAnsiTheme="minorEastAsia" w:eastAsiaTheme="minorEastAsia"/>
          <w:sz w:val="24"/>
        </w:rPr>
        <w:t>开标一览表</w:t>
      </w:r>
    </w:p>
    <w:p>
      <w:pPr>
        <w:numPr>
          <w:ilvl w:val="0"/>
          <w:numId w:val="17"/>
        </w:numPr>
        <w:spacing w:line="400" w:lineRule="atLeast"/>
        <w:rPr>
          <w:rFonts w:cs="Arial" w:asciiTheme="minorEastAsia" w:hAnsiTheme="minorEastAsia" w:eastAsiaTheme="minorEastAsia"/>
          <w:sz w:val="24"/>
        </w:rPr>
      </w:pPr>
      <w:r>
        <w:rPr>
          <w:rFonts w:hint="eastAsia" w:asciiTheme="minorEastAsia" w:hAnsiTheme="minorEastAsia" w:eastAsiaTheme="minorEastAsia"/>
          <w:sz w:val="24"/>
        </w:rPr>
        <w:t>投标分项报价表</w:t>
      </w:r>
    </w:p>
    <w:p>
      <w:pPr>
        <w:numPr>
          <w:ilvl w:val="0"/>
          <w:numId w:val="17"/>
        </w:numPr>
        <w:spacing w:line="400" w:lineRule="atLeast"/>
        <w:rPr>
          <w:rFonts w:cs="Arial" w:asciiTheme="minorEastAsia" w:hAnsiTheme="minorEastAsia" w:eastAsiaTheme="minorEastAsia"/>
          <w:sz w:val="24"/>
        </w:rPr>
      </w:pPr>
      <w:r>
        <w:rPr>
          <w:rFonts w:hint="eastAsia" w:asciiTheme="minorEastAsia" w:hAnsiTheme="minorEastAsia" w:eastAsiaTheme="minorEastAsia"/>
          <w:sz w:val="24"/>
        </w:rPr>
        <w:t>规格、技术参数、功能偏离表</w:t>
      </w:r>
    </w:p>
    <w:p>
      <w:pPr>
        <w:numPr>
          <w:ilvl w:val="0"/>
          <w:numId w:val="17"/>
        </w:numPr>
        <w:spacing w:line="400" w:lineRule="atLeast"/>
        <w:rPr>
          <w:rFonts w:cs="Arial" w:asciiTheme="minorEastAsia" w:hAnsiTheme="minorEastAsia" w:eastAsiaTheme="minorEastAsia"/>
          <w:sz w:val="24"/>
        </w:rPr>
      </w:pPr>
      <w:r>
        <w:rPr>
          <w:rFonts w:hint="eastAsia" w:asciiTheme="minorEastAsia" w:hAnsiTheme="minorEastAsia" w:eastAsiaTheme="minorEastAsia"/>
          <w:sz w:val="24"/>
        </w:rPr>
        <w:t>商务条款偏离表</w:t>
      </w:r>
    </w:p>
    <w:p>
      <w:pPr>
        <w:numPr>
          <w:ilvl w:val="0"/>
          <w:numId w:val="17"/>
        </w:numPr>
        <w:spacing w:line="400" w:lineRule="atLeast"/>
        <w:rPr>
          <w:rFonts w:cs="Arial" w:asciiTheme="minorEastAsia" w:hAnsiTheme="minorEastAsia" w:eastAsiaTheme="minorEastAsia"/>
          <w:sz w:val="24"/>
        </w:rPr>
      </w:pPr>
      <w:r>
        <w:rPr>
          <w:rFonts w:hint="eastAsia" w:asciiTheme="minorEastAsia" w:hAnsiTheme="minorEastAsia" w:eastAsiaTheme="minorEastAsia"/>
          <w:sz w:val="24"/>
        </w:rPr>
        <w:t>按招标文件投标商须知、技术规格要求及其他要求提供有关文件</w:t>
      </w:r>
    </w:p>
    <w:p>
      <w:pPr>
        <w:numPr>
          <w:ilvl w:val="0"/>
          <w:numId w:val="17"/>
        </w:numPr>
        <w:spacing w:line="400" w:lineRule="atLeast"/>
        <w:rPr>
          <w:rFonts w:cs="Arial" w:asciiTheme="minorEastAsia" w:hAnsiTheme="minorEastAsia" w:eastAsiaTheme="minorEastAsia"/>
          <w:sz w:val="24"/>
        </w:rPr>
      </w:pPr>
      <w:r>
        <w:rPr>
          <w:rFonts w:hint="eastAsia" w:asciiTheme="minorEastAsia" w:hAnsiTheme="minorEastAsia" w:eastAsiaTheme="minorEastAsia"/>
          <w:sz w:val="24"/>
        </w:rPr>
        <w:t>资格证明文件</w:t>
      </w:r>
    </w:p>
    <w:p>
      <w:pPr>
        <w:numPr>
          <w:ilvl w:val="0"/>
          <w:numId w:val="17"/>
        </w:numPr>
        <w:spacing w:line="400" w:lineRule="atLeast"/>
        <w:rPr>
          <w:rFonts w:cs="Arial" w:asciiTheme="minorEastAsia" w:hAnsiTheme="minorEastAsia" w:eastAsiaTheme="minorEastAsia"/>
          <w:sz w:val="24"/>
        </w:rPr>
      </w:pPr>
      <w:r>
        <w:rPr>
          <w:rFonts w:hint="eastAsia" w:asciiTheme="minorEastAsia" w:hAnsiTheme="minorEastAsia" w:eastAsiaTheme="minorEastAsia"/>
          <w:sz w:val="24"/>
        </w:rPr>
        <w:t>投标保证金，形式</w:t>
      </w:r>
      <w:r>
        <w:rPr>
          <w:rFonts w:hint="eastAsia" w:cs="Arial" w:asciiTheme="minorEastAsia" w:hAnsiTheme="minorEastAsia" w:eastAsiaTheme="minorEastAsia"/>
          <w:sz w:val="24"/>
          <w:u w:val="single"/>
        </w:rPr>
        <w:t>（现金）</w:t>
      </w:r>
      <w:r>
        <w:rPr>
          <w:rFonts w:hint="eastAsia" w:cs="Arial" w:asciiTheme="minorEastAsia" w:hAnsiTheme="minorEastAsia" w:eastAsiaTheme="minorEastAsia"/>
          <w:sz w:val="24"/>
        </w:rPr>
        <w:t>，金额为</w:t>
      </w:r>
      <w:r>
        <w:rPr>
          <w:rFonts w:hint="eastAsia" w:cs="Arial" w:asciiTheme="minorEastAsia" w:hAnsiTheme="minorEastAsia" w:eastAsiaTheme="minorEastAsia"/>
          <w:sz w:val="24"/>
          <w:u w:val="single"/>
        </w:rPr>
        <w:t>（注明币种）</w:t>
      </w:r>
      <w:r>
        <w:rPr>
          <w:rFonts w:hint="eastAsia" w:cs="Arial" w:asciiTheme="minorEastAsia" w:hAnsiTheme="minorEastAsia" w:eastAsiaTheme="minorEastAsia"/>
          <w:sz w:val="24"/>
        </w:rPr>
        <w:t>。</w:t>
      </w:r>
    </w:p>
    <w:p>
      <w:pPr>
        <w:spacing w:line="400" w:lineRule="atLeast"/>
        <w:ind w:firstLine="555"/>
        <w:rPr>
          <w:rFonts w:cs="Arial" w:asciiTheme="minorEastAsia" w:hAnsiTheme="minorEastAsia" w:eastAsiaTheme="minorEastAsia"/>
          <w:sz w:val="24"/>
        </w:rPr>
      </w:pPr>
      <w:r>
        <w:rPr>
          <w:rFonts w:hint="eastAsia" w:cs="Arial" w:asciiTheme="minorEastAsia" w:hAnsiTheme="minorEastAsia" w:eastAsiaTheme="minorEastAsia"/>
          <w:sz w:val="24"/>
        </w:rPr>
        <w:t>据此函，签字代表宣布同意如下：</w:t>
      </w:r>
    </w:p>
    <w:p>
      <w:pPr>
        <w:spacing w:line="400" w:lineRule="atLeast"/>
        <w:ind w:left="1112" w:hanging="560"/>
        <w:rPr>
          <w:rFonts w:cs="Arial" w:asciiTheme="minorEastAsia" w:hAnsiTheme="minorEastAsia" w:eastAsiaTheme="minorEastAsia"/>
          <w:sz w:val="24"/>
        </w:rPr>
      </w:pPr>
      <w:r>
        <w:rPr>
          <w:rFonts w:cs="Arial" w:asciiTheme="minorEastAsia" w:hAnsiTheme="minorEastAsia" w:eastAsiaTheme="minorEastAsia"/>
          <w:sz w:val="24"/>
        </w:rPr>
        <w:t>1</w:t>
      </w:r>
      <w:r>
        <w:rPr>
          <w:rFonts w:hint="eastAsia" w:cs="Arial" w:asciiTheme="minorEastAsia" w:hAnsiTheme="minorEastAsia" w:eastAsiaTheme="minorEastAsia"/>
          <w:sz w:val="24"/>
        </w:rPr>
        <w:t>．所附投标报价表中规定的应提交和交付的货物和服务投标总价为</w:t>
      </w:r>
      <w:r>
        <w:rPr>
          <w:rFonts w:hint="eastAsia" w:cs="Arial" w:asciiTheme="minorEastAsia" w:hAnsiTheme="minorEastAsia" w:eastAsiaTheme="minorEastAsia"/>
          <w:sz w:val="24"/>
          <w:u w:val="single"/>
        </w:rPr>
        <w:t>（注明币种，并用文字和数字表示的投标总价</w:t>
      </w:r>
      <w:r>
        <w:rPr>
          <w:rFonts w:hint="eastAsia" w:cs="Arial" w:asciiTheme="minorEastAsia" w:hAnsiTheme="minorEastAsia" w:eastAsiaTheme="minorEastAsia"/>
          <w:sz w:val="24"/>
        </w:rPr>
        <w:t>）。</w:t>
      </w:r>
    </w:p>
    <w:p>
      <w:pPr>
        <w:spacing w:line="400" w:lineRule="atLeast"/>
        <w:ind w:firstLine="555"/>
        <w:rPr>
          <w:rFonts w:cs="Arial" w:asciiTheme="minorEastAsia" w:hAnsiTheme="minorEastAsia" w:eastAsiaTheme="minorEastAsia"/>
          <w:sz w:val="24"/>
        </w:rPr>
      </w:pPr>
      <w:r>
        <w:rPr>
          <w:rFonts w:cs="Arial" w:asciiTheme="minorEastAsia" w:hAnsiTheme="minorEastAsia" w:eastAsiaTheme="minorEastAsia"/>
          <w:sz w:val="24"/>
        </w:rPr>
        <w:t>2</w:t>
      </w:r>
      <w:r>
        <w:rPr>
          <w:rFonts w:hint="eastAsia" w:cs="Arial" w:asciiTheme="minorEastAsia" w:hAnsiTheme="minorEastAsia" w:eastAsiaTheme="minorEastAsia"/>
          <w:sz w:val="24"/>
        </w:rPr>
        <w:t>．投标商将按招标文件的规定履行合同责任和义务；</w:t>
      </w:r>
    </w:p>
    <w:p>
      <w:pPr>
        <w:spacing w:line="400" w:lineRule="atLeast"/>
        <w:ind w:left="1112" w:hanging="560"/>
        <w:rPr>
          <w:rFonts w:cs="Arial" w:asciiTheme="minorEastAsia" w:hAnsiTheme="minorEastAsia" w:eastAsiaTheme="minorEastAsia"/>
          <w:sz w:val="24"/>
        </w:rPr>
      </w:pPr>
      <w:r>
        <w:rPr>
          <w:rFonts w:cs="Arial" w:asciiTheme="minorEastAsia" w:hAnsiTheme="minorEastAsia" w:eastAsiaTheme="minorEastAsia"/>
          <w:sz w:val="24"/>
        </w:rPr>
        <w:t>3</w:t>
      </w:r>
      <w:r>
        <w:rPr>
          <w:rFonts w:hint="eastAsia" w:cs="Arial" w:asciiTheme="minorEastAsia" w:hAnsiTheme="minorEastAsia" w:eastAsiaTheme="minorEastAsia"/>
          <w:sz w:val="24"/>
        </w:rPr>
        <w:t>．投标商已详细审查全部招标文件，包括修改文件（如有的话）。我们完全理解并同意放弃对这方面有不明及误解的权利。</w:t>
      </w:r>
    </w:p>
    <w:p>
      <w:pPr>
        <w:spacing w:line="400" w:lineRule="atLeast"/>
        <w:ind w:firstLine="555"/>
        <w:rPr>
          <w:rFonts w:cs="Arial" w:asciiTheme="minorEastAsia" w:hAnsiTheme="minorEastAsia" w:eastAsiaTheme="minorEastAsia"/>
          <w:sz w:val="24"/>
        </w:rPr>
      </w:pPr>
      <w:r>
        <w:rPr>
          <w:rFonts w:cs="Arial" w:asciiTheme="minorEastAsia" w:hAnsiTheme="minorEastAsia" w:eastAsiaTheme="minorEastAsia"/>
          <w:sz w:val="24"/>
        </w:rPr>
        <w:t>4</w:t>
      </w:r>
      <w:r>
        <w:rPr>
          <w:rFonts w:hint="eastAsia" w:cs="Arial" w:asciiTheme="minorEastAsia" w:hAnsiTheme="minorEastAsia" w:eastAsiaTheme="minorEastAsia"/>
          <w:sz w:val="24"/>
        </w:rPr>
        <w:t>．本投标有效期自开标之日起</w:t>
      </w:r>
      <w:r>
        <w:rPr>
          <w:rFonts w:hint="eastAsia" w:cs="Arial" w:asciiTheme="minorEastAsia" w:hAnsiTheme="minorEastAsia" w:eastAsiaTheme="minorEastAsia"/>
          <w:sz w:val="24"/>
          <w:u w:val="single"/>
        </w:rPr>
        <w:t>90</w:t>
      </w:r>
      <w:r>
        <w:rPr>
          <w:rFonts w:hint="eastAsia" w:cs="Arial" w:asciiTheme="minorEastAsia" w:hAnsiTheme="minorEastAsia" w:eastAsiaTheme="minorEastAsia"/>
          <w:sz w:val="24"/>
        </w:rPr>
        <w:t>个日历日。</w:t>
      </w:r>
    </w:p>
    <w:p>
      <w:pPr>
        <w:spacing w:line="400" w:lineRule="atLeast"/>
        <w:ind w:left="900" w:hanging="348"/>
        <w:rPr>
          <w:rFonts w:cs="Arial" w:asciiTheme="minorEastAsia" w:hAnsiTheme="minorEastAsia" w:eastAsiaTheme="minorEastAsia"/>
          <w:sz w:val="24"/>
        </w:rPr>
      </w:pPr>
      <w:r>
        <w:rPr>
          <w:rFonts w:cs="Arial" w:asciiTheme="minorEastAsia" w:hAnsiTheme="minorEastAsia" w:eastAsiaTheme="minorEastAsia"/>
          <w:sz w:val="24"/>
        </w:rPr>
        <w:t>5</w:t>
      </w:r>
      <w:r>
        <w:rPr>
          <w:rFonts w:hint="eastAsia" w:cs="Arial" w:asciiTheme="minorEastAsia" w:hAnsiTheme="minorEastAsia" w:eastAsiaTheme="minorEastAsia"/>
          <w:sz w:val="24"/>
        </w:rPr>
        <w:t>．</w:t>
      </w:r>
      <w:r>
        <w:rPr>
          <w:rFonts w:hint="eastAsia" w:cs="Arial" w:asciiTheme="minorEastAsia" w:hAnsiTheme="minorEastAsia" w:eastAsiaTheme="minorEastAsia"/>
          <w:b/>
          <w:sz w:val="24"/>
        </w:rPr>
        <w:t>免费保修期：</w:t>
      </w:r>
      <w:r>
        <w:rPr>
          <w:rFonts w:hint="eastAsia" w:cs="Arial" w:asciiTheme="minorEastAsia" w:hAnsiTheme="minorEastAsia" w:eastAsiaTheme="minorEastAsia"/>
          <w:sz w:val="24"/>
          <w:u w:val="single"/>
        </w:rPr>
        <w:t xml:space="preserve">   不低于一年    </w:t>
      </w:r>
      <w:r>
        <w:rPr>
          <w:rFonts w:hint="eastAsia" w:cs="Arial" w:asciiTheme="minorEastAsia" w:hAnsiTheme="minorEastAsia" w:eastAsiaTheme="minorEastAsia"/>
          <w:sz w:val="24"/>
        </w:rPr>
        <w:t>。</w:t>
      </w:r>
    </w:p>
    <w:p>
      <w:pPr>
        <w:spacing w:line="400" w:lineRule="atLeast"/>
        <w:ind w:left="900" w:hanging="348"/>
        <w:rPr>
          <w:rFonts w:cs="Arial" w:asciiTheme="minorEastAsia" w:hAnsiTheme="minorEastAsia" w:eastAsiaTheme="minorEastAsia"/>
          <w:sz w:val="24"/>
        </w:rPr>
      </w:pPr>
      <w:r>
        <w:rPr>
          <w:rFonts w:hint="eastAsia" w:cs="Arial" w:asciiTheme="minorEastAsia" w:hAnsiTheme="minorEastAsia" w:eastAsiaTheme="minorEastAsia"/>
          <w:sz w:val="24"/>
        </w:rPr>
        <w:t>6.如果在规定的开标时间后，投标商在投标有效期内撤回投标，其投标保证金将被贵方没收。</w:t>
      </w:r>
    </w:p>
    <w:p>
      <w:pPr>
        <w:spacing w:line="400" w:lineRule="atLeast"/>
        <w:ind w:left="900" w:hanging="335"/>
        <w:rPr>
          <w:rFonts w:cs="Arial" w:asciiTheme="minorEastAsia" w:hAnsiTheme="minorEastAsia" w:eastAsiaTheme="minorEastAsia"/>
          <w:sz w:val="24"/>
        </w:rPr>
      </w:pPr>
      <w:r>
        <w:rPr>
          <w:rFonts w:hint="eastAsia" w:cs="Arial" w:asciiTheme="minorEastAsia" w:hAnsiTheme="minorEastAsia" w:eastAsiaTheme="minorEastAsia"/>
          <w:sz w:val="24"/>
        </w:rPr>
        <w:t>7．投标商同意提供按照贵方可能要求的与其投标有关的一切数据或资料，完全理解贵方不一定要接受最低价的投标或收到的任何投标。</w:t>
      </w:r>
    </w:p>
    <w:p>
      <w:pPr>
        <w:spacing w:line="400" w:lineRule="atLeast"/>
        <w:ind w:firstLine="570"/>
        <w:rPr>
          <w:rFonts w:cs="Arial" w:asciiTheme="minorEastAsia" w:hAnsiTheme="minorEastAsia" w:eastAsiaTheme="minorEastAsia"/>
          <w:sz w:val="24"/>
        </w:rPr>
      </w:pPr>
      <w:r>
        <w:rPr>
          <w:rFonts w:hint="eastAsia" w:cs="Arial" w:asciiTheme="minorEastAsia" w:hAnsiTheme="minorEastAsia" w:eastAsiaTheme="minorEastAsia"/>
          <w:sz w:val="24"/>
        </w:rPr>
        <w:t>8．与本投标有关的一切正式往来信函请寄：</w:t>
      </w:r>
    </w:p>
    <w:p>
      <w:pPr>
        <w:spacing w:line="400" w:lineRule="atLeast"/>
        <w:ind w:firstLine="240" w:firstLineChars="100"/>
        <w:rPr>
          <w:rFonts w:cs="Arial" w:asciiTheme="minorEastAsia" w:hAnsiTheme="minorEastAsia" w:eastAsiaTheme="minorEastAsia"/>
          <w:sz w:val="24"/>
        </w:rPr>
      </w:pPr>
      <w:r>
        <w:rPr>
          <w:rFonts w:hint="eastAsia" w:cs="Arial" w:asciiTheme="minorEastAsia" w:hAnsiTheme="minorEastAsia" w:eastAsiaTheme="minorEastAsia"/>
          <w:sz w:val="24"/>
        </w:rPr>
        <w:t>地址：</w:t>
      </w:r>
      <w:r>
        <w:rPr>
          <w:rFonts w:hint="eastAsia" w:cs="Arial" w:asciiTheme="minorEastAsia" w:hAnsiTheme="minorEastAsia" w:eastAsiaTheme="minorEastAsia"/>
          <w:sz w:val="24"/>
          <w:u w:val="single"/>
        </w:rPr>
        <w:t>　　　　　　　　　　</w:t>
      </w:r>
      <w:r>
        <w:rPr>
          <w:rFonts w:hint="eastAsia" w:cs="Arial" w:asciiTheme="minorEastAsia" w:hAnsiTheme="minorEastAsia" w:eastAsiaTheme="minorEastAsia"/>
          <w:sz w:val="24"/>
        </w:rPr>
        <w:t>邮编：</w:t>
      </w:r>
      <w:r>
        <w:rPr>
          <w:rFonts w:hint="eastAsia" w:cs="Arial" w:asciiTheme="minorEastAsia" w:hAnsiTheme="minorEastAsia" w:eastAsiaTheme="minorEastAsia"/>
          <w:sz w:val="24"/>
          <w:u w:val="single"/>
        </w:rPr>
        <w:t>　　　　　　　　　</w:t>
      </w:r>
    </w:p>
    <w:p>
      <w:pPr>
        <w:spacing w:line="400" w:lineRule="atLeast"/>
        <w:rPr>
          <w:rFonts w:cs="Arial" w:asciiTheme="minorEastAsia" w:hAnsiTheme="minorEastAsia" w:eastAsiaTheme="minorEastAsia"/>
          <w:sz w:val="24"/>
        </w:rPr>
      </w:pPr>
      <w:r>
        <w:rPr>
          <w:rFonts w:hint="eastAsia" w:cs="Arial" w:asciiTheme="minorEastAsia" w:hAnsiTheme="minorEastAsia" w:eastAsiaTheme="minorEastAsia"/>
          <w:sz w:val="24"/>
        </w:rPr>
        <w:t>　电话：</w:t>
      </w:r>
      <w:r>
        <w:rPr>
          <w:rFonts w:hint="eastAsia" w:cs="Arial" w:asciiTheme="minorEastAsia" w:hAnsiTheme="minorEastAsia" w:eastAsiaTheme="minorEastAsia"/>
          <w:sz w:val="24"/>
          <w:u w:val="single"/>
        </w:rPr>
        <w:t>　　　　　　　　　　</w:t>
      </w:r>
      <w:r>
        <w:rPr>
          <w:rFonts w:hint="eastAsia" w:cs="Arial" w:asciiTheme="minorEastAsia" w:hAnsiTheme="minorEastAsia" w:eastAsiaTheme="minorEastAsia"/>
          <w:sz w:val="24"/>
        </w:rPr>
        <w:t>传真：</w:t>
      </w:r>
      <w:r>
        <w:rPr>
          <w:rFonts w:hint="eastAsia" w:cs="Arial" w:asciiTheme="minorEastAsia" w:hAnsiTheme="minorEastAsia" w:eastAsiaTheme="minorEastAsia"/>
          <w:sz w:val="24"/>
          <w:u w:val="single"/>
        </w:rPr>
        <w:t>　　　　　　　　　</w:t>
      </w:r>
    </w:p>
    <w:p>
      <w:pPr>
        <w:spacing w:line="400" w:lineRule="atLeast"/>
        <w:rPr>
          <w:rFonts w:cs="Arial" w:asciiTheme="minorEastAsia" w:hAnsiTheme="minorEastAsia" w:eastAsiaTheme="minorEastAsia"/>
          <w:sz w:val="24"/>
        </w:rPr>
      </w:pPr>
      <w:r>
        <w:rPr>
          <w:rFonts w:hint="eastAsia" w:cs="Arial" w:asciiTheme="minorEastAsia" w:hAnsiTheme="minorEastAsia" w:eastAsiaTheme="minorEastAsia"/>
          <w:sz w:val="24"/>
        </w:rPr>
        <w:t>　　</w:t>
      </w:r>
    </w:p>
    <w:p>
      <w:pPr>
        <w:spacing w:line="400" w:lineRule="atLeast"/>
        <w:rPr>
          <w:rFonts w:cs="Arial" w:asciiTheme="minorEastAsia" w:hAnsiTheme="minorEastAsia" w:eastAsiaTheme="minorEastAsia"/>
          <w:sz w:val="24"/>
        </w:rPr>
      </w:pPr>
      <w:r>
        <w:rPr>
          <w:rFonts w:hint="eastAsia" w:cs="Arial" w:asciiTheme="minorEastAsia" w:hAnsiTheme="minorEastAsia" w:eastAsiaTheme="minorEastAsia"/>
          <w:sz w:val="24"/>
        </w:rPr>
        <w:t>　投标商代表签字：</w:t>
      </w:r>
      <w:r>
        <w:rPr>
          <w:rFonts w:hint="eastAsia" w:cs="Arial" w:asciiTheme="minorEastAsia" w:hAnsiTheme="minorEastAsia" w:eastAsiaTheme="minorEastAsia"/>
          <w:sz w:val="24"/>
          <w:u w:val="single"/>
        </w:rPr>
        <w:t>　　　　　　　　　　</w:t>
      </w:r>
    </w:p>
    <w:p>
      <w:pPr>
        <w:spacing w:line="400" w:lineRule="atLeast"/>
        <w:rPr>
          <w:rFonts w:cs="Arial" w:asciiTheme="minorEastAsia" w:hAnsiTheme="minorEastAsia" w:eastAsiaTheme="minorEastAsia"/>
          <w:sz w:val="24"/>
        </w:rPr>
      </w:pPr>
      <w:r>
        <w:rPr>
          <w:rFonts w:hint="eastAsia" w:cs="Arial" w:asciiTheme="minorEastAsia" w:hAnsiTheme="minorEastAsia" w:eastAsiaTheme="minorEastAsia"/>
          <w:sz w:val="24"/>
        </w:rPr>
        <w:t>　投标商名称：</w:t>
      </w:r>
      <w:r>
        <w:rPr>
          <w:rFonts w:hint="eastAsia" w:cs="Arial" w:asciiTheme="minorEastAsia" w:hAnsiTheme="minorEastAsia" w:eastAsiaTheme="minorEastAsia"/>
          <w:sz w:val="24"/>
          <w:u w:val="single"/>
        </w:rPr>
        <w:t>　　　　　　　　　</w:t>
      </w:r>
    </w:p>
    <w:p>
      <w:pPr>
        <w:spacing w:line="400" w:lineRule="atLeast"/>
        <w:rPr>
          <w:rFonts w:cs="Arial" w:asciiTheme="minorEastAsia" w:hAnsiTheme="minorEastAsia" w:eastAsiaTheme="minorEastAsia"/>
          <w:sz w:val="24"/>
        </w:rPr>
      </w:pPr>
      <w:r>
        <w:rPr>
          <w:rFonts w:hint="eastAsia" w:cs="Arial" w:asciiTheme="minorEastAsia" w:hAnsiTheme="minorEastAsia" w:eastAsiaTheme="minorEastAsia"/>
          <w:sz w:val="24"/>
        </w:rPr>
        <w:t>　公  章：</w:t>
      </w:r>
      <w:r>
        <w:rPr>
          <w:rFonts w:hint="eastAsia" w:cs="Arial" w:asciiTheme="minorEastAsia" w:hAnsiTheme="minorEastAsia" w:eastAsiaTheme="minorEastAsia"/>
          <w:sz w:val="24"/>
          <w:u w:val="single"/>
        </w:rPr>
        <w:t>　　　　　　　　　　</w:t>
      </w:r>
    </w:p>
    <w:p>
      <w:pPr>
        <w:spacing w:line="400" w:lineRule="atLeast"/>
        <w:rPr>
          <w:rFonts w:cs="Arial" w:asciiTheme="minorEastAsia" w:hAnsiTheme="minorEastAsia" w:eastAsiaTheme="minorEastAsia"/>
          <w:sz w:val="24"/>
        </w:rPr>
        <w:sectPr>
          <w:headerReference r:id="rId9" w:type="first"/>
          <w:footerReference r:id="rId10" w:type="first"/>
          <w:headerReference r:id="rId7" w:type="default"/>
          <w:headerReference r:id="rId8" w:type="even"/>
          <w:pgSz w:w="11905" w:h="16838"/>
          <w:pgMar w:top="1531" w:right="1134" w:bottom="1531" w:left="1531" w:header="851" w:footer="992" w:gutter="0"/>
          <w:cols w:space="0" w:num="1"/>
          <w:docGrid w:type="lines" w:linePitch="318" w:charSpace="0"/>
        </w:sectPr>
      </w:pPr>
      <w:r>
        <w:rPr>
          <w:rFonts w:hint="eastAsia" w:cs="Arial" w:asciiTheme="minorEastAsia" w:hAnsiTheme="minorEastAsia" w:eastAsiaTheme="minorEastAsia"/>
          <w:sz w:val="24"/>
        </w:rPr>
        <w:t>　日　期：</w:t>
      </w:r>
      <w:r>
        <w:rPr>
          <w:rFonts w:hint="eastAsia" w:cs="Arial" w:asciiTheme="minorEastAsia" w:hAnsiTheme="minorEastAsia" w:eastAsiaTheme="minorEastAsia"/>
          <w:sz w:val="24"/>
          <w:u w:val="single"/>
        </w:rPr>
        <w:t>　　　</w:t>
      </w:r>
      <w:r>
        <w:rPr>
          <w:rFonts w:hint="eastAsia" w:cs="Arial" w:asciiTheme="minorEastAsia" w:hAnsiTheme="minorEastAsia" w:eastAsiaTheme="minorEastAsia"/>
          <w:sz w:val="24"/>
        </w:rPr>
        <w:t>年</w:t>
      </w:r>
      <w:r>
        <w:rPr>
          <w:rFonts w:hint="eastAsia" w:cs="Arial" w:asciiTheme="minorEastAsia" w:hAnsiTheme="minorEastAsia" w:eastAsiaTheme="minorEastAsia"/>
          <w:sz w:val="24"/>
          <w:u w:val="single"/>
        </w:rPr>
        <w:t>　</w:t>
      </w:r>
      <w:r>
        <w:rPr>
          <w:rFonts w:hint="eastAsia" w:cs="Arial" w:asciiTheme="minorEastAsia" w:hAnsiTheme="minorEastAsia" w:eastAsiaTheme="minorEastAsia"/>
          <w:sz w:val="24"/>
        </w:rPr>
        <w:t>月</w:t>
      </w:r>
      <w:r>
        <w:rPr>
          <w:rFonts w:hint="eastAsia" w:cs="Arial" w:asciiTheme="minorEastAsia" w:hAnsiTheme="minorEastAsia" w:eastAsiaTheme="minorEastAsia"/>
          <w:sz w:val="24"/>
          <w:u w:val="single"/>
        </w:rPr>
        <w:t>　</w:t>
      </w:r>
      <w:r>
        <w:rPr>
          <w:rFonts w:hint="eastAsia" w:cs="Arial" w:asciiTheme="minorEastAsia" w:hAnsiTheme="minorEastAsia" w:eastAsiaTheme="minorEastAsia"/>
          <w:sz w:val="24"/>
        </w:rPr>
        <w:t>日</w:t>
      </w:r>
    </w:p>
    <w:p>
      <w:pPr>
        <w:adjustRightInd w:val="0"/>
        <w:snapToGrid w:val="0"/>
        <w:spacing w:line="360" w:lineRule="auto"/>
        <w:ind w:firstLine="3360" w:firstLineChars="1200"/>
        <w:rPr>
          <w:rFonts w:asciiTheme="minorEastAsia" w:hAnsiTheme="minorEastAsia" w:eastAsiaTheme="minorEastAsia"/>
          <w:sz w:val="28"/>
          <w:szCs w:val="28"/>
        </w:rPr>
      </w:pPr>
      <w:r>
        <w:rPr>
          <w:rFonts w:hint="eastAsia" w:asciiTheme="minorEastAsia" w:hAnsiTheme="minorEastAsia" w:eastAsiaTheme="minorEastAsia"/>
          <w:sz w:val="28"/>
          <w:szCs w:val="28"/>
        </w:rPr>
        <w:t>二、开标一览表</w:t>
      </w:r>
    </w:p>
    <w:p>
      <w:pPr>
        <w:adjustRightInd w:val="0"/>
        <w:snapToGrid w:val="0"/>
        <w:rPr>
          <w:rFonts w:asciiTheme="minorEastAsia" w:hAnsiTheme="minorEastAsia" w:eastAsiaTheme="minorEastAsia"/>
          <w:szCs w:val="21"/>
        </w:rPr>
      </w:pP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政府采购编号：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adjustRightInd w:val="0"/>
        <w:snapToGrid w:val="0"/>
        <w:rPr>
          <w:rFonts w:asciiTheme="minorEastAsia" w:hAnsiTheme="minorEastAsia" w:eastAsiaTheme="minorEastAsia"/>
          <w:szCs w:val="21"/>
        </w:rPr>
      </w:pPr>
    </w:p>
    <w:tbl>
      <w:tblPr>
        <w:tblStyle w:val="50"/>
        <w:tblW w:w="8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1680"/>
        <w:gridCol w:w="2340"/>
        <w:gridCol w:w="1260"/>
        <w:gridCol w:w="720"/>
        <w:gridCol w:w="900"/>
        <w:gridCol w:w="1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06" w:type="dxa"/>
            <w:vMerge w:val="restart"/>
            <w:tcBorders>
              <w:top w:val="single" w:color="auto" w:sz="4" w:space="0"/>
              <w:left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680" w:type="dxa"/>
            <w:vMerge w:val="restart"/>
            <w:tcBorders>
              <w:top w:val="single" w:color="auto" w:sz="4" w:space="0"/>
              <w:left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b/>
                <w:sz w:val="24"/>
              </w:rPr>
            </w:pPr>
            <w:r>
              <w:rPr>
                <w:rFonts w:hint="eastAsia" w:asciiTheme="minorEastAsia" w:hAnsiTheme="minorEastAsia" w:eastAsiaTheme="minorEastAsia"/>
                <w:b/>
                <w:sz w:val="24"/>
              </w:rPr>
              <w:t>设备（货物）</w:t>
            </w:r>
          </w:p>
          <w:p>
            <w:pPr>
              <w:snapToGrid w:val="0"/>
              <w:spacing w:line="360" w:lineRule="atLeast"/>
              <w:jc w:val="center"/>
              <w:rPr>
                <w:rFonts w:asciiTheme="minorEastAsia" w:hAnsiTheme="minorEastAsia" w:eastAsiaTheme="minorEastAsia"/>
                <w:b/>
                <w:sz w:val="24"/>
              </w:rPr>
            </w:pPr>
            <w:r>
              <w:rPr>
                <w:rFonts w:hint="eastAsia" w:asciiTheme="minorEastAsia" w:hAnsiTheme="minorEastAsia" w:eastAsiaTheme="minorEastAsia"/>
                <w:b/>
                <w:sz w:val="24"/>
              </w:rPr>
              <w:t>名称</w:t>
            </w:r>
          </w:p>
        </w:tc>
        <w:tc>
          <w:tcPr>
            <w:tcW w:w="2340" w:type="dxa"/>
            <w:vMerge w:val="restart"/>
            <w:tcBorders>
              <w:top w:val="single" w:color="auto" w:sz="4" w:space="0"/>
              <w:left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b/>
                <w:sz w:val="24"/>
              </w:rPr>
            </w:pPr>
            <w:r>
              <w:rPr>
                <w:rFonts w:hint="eastAsia" w:asciiTheme="minorEastAsia" w:hAnsiTheme="minorEastAsia" w:eastAsiaTheme="minorEastAsia"/>
                <w:b/>
                <w:sz w:val="24"/>
              </w:rPr>
              <w:t>型号和规格</w:t>
            </w:r>
          </w:p>
        </w:tc>
        <w:tc>
          <w:tcPr>
            <w:tcW w:w="1260" w:type="dxa"/>
            <w:vMerge w:val="restart"/>
            <w:tcBorders>
              <w:top w:val="single" w:color="auto" w:sz="4" w:space="0"/>
              <w:left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b/>
                <w:sz w:val="24"/>
              </w:rPr>
            </w:pPr>
          </w:p>
          <w:p>
            <w:pPr>
              <w:snapToGrid w:val="0"/>
              <w:spacing w:line="360" w:lineRule="atLeast"/>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b/>
                <w:sz w:val="24"/>
              </w:rPr>
            </w:pPr>
            <w:r>
              <w:rPr>
                <w:rFonts w:hint="eastAsia" w:asciiTheme="minorEastAsia" w:hAnsiTheme="minorEastAsia" w:eastAsiaTheme="minorEastAsia"/>
                <w:b/>
                <w:kern w:val="0"/>
                <w:sz w:val="24"/>
              </w:rPr>
              <w:t>投标价格</w:t>
            </w:r>
          </w:p>
        </w:tc>
        <w:tc>
          <w:tcPr>
            <w:tcW w:w="1551" w:type="dxa"/>
            <w:vMerge w:val="restart"/>
            <w:tcBorders>
              <w:top w:val="single" w:color="auto" w:sz="4" w:space="0"/>
              <w:left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b/>
                <w:kern w:val="0"/>
                <w:sz w:val="24"/>
              </w:rPr>
            </w:pPr>
          </w:p>
          <w:p>
            <w:pPr>
              <w:snapToGrid w:val="0"/>
              <w:spacing w:line="360" w:lineRule="atLeast"/>
              <w:jc w:val="center"/>
              <w:rPr>
                <w:rFonts w:asciiTheme="minorEastAsia" w:hAnsiTheme="minorEastAsia" w:eastAsiaTheme="minorEastAsia"/>
                <w:b/>
                <w:sz w:val="24"/>
              </w:rPr>
            </w:pPr>
            <w:r>
              <w:rPr>
                <w:rFonts w:hint="eastAsia" w:asciiTheme="minorEastAsia" w:hAnsiTheme="minorEastAsia" w:eastAsiaTheme="minorEastAsia"/>
                <w:b/>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06" w:type="dxa"/>
            <w:vMerge w:val="continue"/>
            <w:tcBorders>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p>
        </w:tc>
        <w:tc>
          <w:tcPr>
            <w:tcW w:w="1680" w:type="dxa"/>
            <w:vMerge w:val="continue"/>
            <w:tcBorders>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p>
        </w:tc>
        <w:tc>
          <w:tcPr>
            <w:tcW w:w="2340" w:type="dxa"/>
            <w:vMerge w:val="continue"/>
            <w:tcBorders>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p>
        </w:tc>
        <w:tc>
          <w:tcPr>
            <w:tcW w:w="1260"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单价</w:t>
            </w: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总价</w:t>
            </w:r>
          </w:p>
        </w:tc>
        <w:tc>
          <w:tcPr>
            <w:tcW w:w="1551" w:type="dxa"/>
            <w:vMerge w:val="continue"/>
            <w:tcBorders>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0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widowControl/>
              <w:jc w:val="left"/>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0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widowControl/>
              <w:jc w:val="left"/>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0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widowControl/>
              <w:jc w:val="left"/>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06"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widowControl/>
              <w:jc w:val="left"/>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p>
          <w:p>
            <w:pPr>
              <w:snapToGrid w:val="0"/>
              <w:spacing w:line="360" w:lineRule="atLeast"/>
              <w:jc w:val="center"/>
              <w:rPr>
                <w:rFonts w:asciiTheme="minorEastAsia" w:hAnsiTheme="minorEastAsia" w:eastAsiaTheme="minorEastAsia"/>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c>
          <w:tcPr>
            <w:tcW w:w="1551" w:type="dxa"/>
            <w:tcBorders>
              <w:top w:val="single" w:color="auto" w:sz="4" w:space="0"/>
              <w:left w:val="single" w:color="auto" w:sz="4" w:space="0"/>
              <w:bottom w:val="single" w:color="auto" w:sz="4" w:space="0"/>
              <w:right w:val="single" w:color="auto" w:sz="4" w:space="0"/>
            </w:tcBorders>
            <w:vAlign w:val="center"/>
          </w:tcPr>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95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tLeast"/>
              <w:ind w:firstLine="120" w:firstLineChars="50"/>
              <w:rPr>
                <w:rFonts w:asciiTheme="minorEastAsia" w:hAnsiTheme="minorEastAsia" w:eastAsiaTheme="minorEastAsia"/>
                <w:sz w:val="24"/>
              </w:rPr>
            </w:pPr>
            <w:r>
              <w:rPr>
                <w:rFonts w:hint="eastAsia" w:asciiTheme="minorEastAsia" w:hAnsiTheme="minorEastAsia" w:eastAsiaTheme="minorEastAsia"/>
                <w:sz w:val="24"/>
              </w:rPr>
              <w:t>投标总价（已包含价格折扣）：</w:t>
            </w:r>
          </w:p>
          <w:p>
            <w:pPr>
              <w:snapToGrid w:val="0"/>
              <w:spacing w:line="360" w:lineRule="atLeast"/>
              <w:ind w:firstLine="120" w:firstLineChars="50"/>
              <w:rPr>
                <w:rFonts w:asciiTheme="minorEastAsia" w:hAnsiTheme="minorEastAsia" w:eastAsiaTheme="minorEastAsia"/>
                <w:sz w:val="24"/>
                <w:u w:val="single"/>
              </w:rPr>
            </w:pPr>
            <w:r>
              <w:rPr>
                <w:rFonts w:hint="eastAsia" w:asciiTheme="minorEastAsia" w:hAnsiTheme="minorEastAsia" w:eastAsiaTheme="minorEastAsia"/>
                <w:sz w:val="24"/>
              </w:rPr>
              <w:t>小写：</w:t>
            </w:r>
            <w:r>
              <w:rPr>
                <w:rFonts w:hint="eastAsia" w:asciiTheme="minorEastAsia" w:hAnsiTheme="minorEastAsia" w:eastAsiaTheme="minorEastAsia"/>
                <w:sz w:val="24"/>
                <w:u w:val="single"/>
              </w:rPr>
              <w:t xml:space="preserve">                     </w:t>
            </w:r>
          </w:p>
          <w:p>
            <w:pPr>
              <w:snapToGrid w:val="0"/>
              <w:spacing w:line="360" w:lineRule="atLeast"/>
              <w:ind w:firstLine="120" w:firstLineChars="50"/>
              <w:rPr>
                <w:rFonts w:asciiTheme="minorEastAsia" w:hAnsiTheme="minorEastAsia" w:eastAsiaTheme="minorEastAsia"/>
                <w:sz w:val="24"/>
                <w:u w:val="single"/>
              </w:rPr>
            </w:pPr>
            <w:r>
              <w:rPr>
                <w:rFonts w:hint="eastAsia" w:asciiTheme="minorEastAsia" w:hAnsiTheme="minorEastAsia" w:eastAsiaTheme="minorEastAsia"/>
                <w:sz w:val="24"/>
              </w:rPr>
              <w:t>大写：</w:t>
            </w:r>
            <w:r>
              <w:rPr>
                <w:rFonts w:hint="eastAsia" w:asciiTheme="minorEastAsia" w:hAnsiTheme="minorEastAsia" w:eastAsiaTheme="minorEastAsia"/>
                <w:sz w:val="24"/>
                <w:u w:val="single"/>
              </w:rPr>
              <w:t xml:space="preserve">                     </w:t>
            </w:r>
          </w:p>
          <w:p>
            <w:pPr>
              <w:snapToGrid w:val="0"/>
              <w:spacing w:line="360" w:lineRule="atLeast"/>
              <w:jc w:val="center"/>
              <w:rPr>
                <w:rFonts w:asciiTheme="minorEastAsia" w:hAnsiTheme="minorEastAsia" w:eastAsiaTheme="minorEastAsia"/>
                <w:sz w:val="24"/>
              </w:rPr>
            </w:pPr>
            <w:r>
              <w:rPr>
                <w:rFonts w:hint="eastAsia" w:asciiTheme="minorEastAsia" w:hAnsiTheme="minorEastAsia" w:eastAsiaTheme="minor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8957" w:type="dxa"/>
            <w:gridSpan w:val="7"/>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b/>
                <w:sz w:val="24"/>
              </w:rPr>
            </w:pPr>
          </w:p>
          <w:p>
            <w:pPr>
              <w:adjustRightInd w:val="0"/>
              <w:snapToGrid w:val="0"/>
              <w:rPr>
                <w:rFonts w:asciiTheme="minorEastAsia" w:hAnsiTheme="minorEastAsia" w:eastAsiaTheme="minorEastAsia"/>
                <w:sz w:val="24"/>
              </w:rPr>
            </w:pPr>
            <w:r>
              <w:rPr>
                <w:rFonts w:hint="eastAsia" w:asciiTheme="minorEastAsia" w:hAnsiTheme="minorEastAsia" w:eastAsiaTheme="minorEastAsia"/>
                <w:b/>
                <w:sz w:val="24"/>
              </w:rPr>
              <w:t>投标保证金：</w:t>
            </w:r>
            <w:r>
              <w:rPr>
                <w:rFonts w:hint="eastAsia" w:asciiTheme="minorEastAsia" w:hAnsiTheme="minorEastAsia" w:eastAsiaTheme="minorEastAsia"/>
                <w:sz w:val="24"/>
              </w:rPr>
              <w:t>金额：</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adjustRightInd w:val="0"/>
              <w:snapToGrid w:val="0"/>
              <w:rPr>
                <w:rFonts w:asciiTheme="minorEastAsia" w:hAnsiTheme="minorEastAsia" w:eastAsiaTheme="minorEastAsia"/>
                <w:sz w:val="24"/>
              </w:rPr>
            </w:pPr>
            <w:r>
              <w:rPr>
                <w:rFonts w:hint="eastAsia" w:asciiTheme="minorEastAsia" w:hAnsiTheme="minorEastAsia" w:eastAsiaTheme="minorEastAsia"/>
                <w:sz w:val="24"/>
              </w:rPr>
              <w:t xml:space="preserve">交纳形式： □银行转账  □银行汇票  □银行电汇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957" w:type="dxa"/>
            <w:gridSpan w:val="7"/>
            <w:tcBorders>
              <w:top w:val="single" w:color="auto" w:sz="4" w:space="0"/>
              <w:left w:val="single" w:color="auto" w:sz="4" w:space="0"/>
              <w:bottom w:val="single" w:color="auto" w:sz="4" w:space="0"/>
              <w:right w:val="single" w:color="auto" w:sz="4" w:space="0"/>
            </w:tcBorders>
          </w:tcPr>
          <w:p>
            <w:pPr>
              <w:snapToGrid w:val="0"/>
              <w:spacing w:line="360" w:lineRule="atLeast"/>
              <w:rPr>
                <w:rFonts w:asciiTheme="minorEastAsia" w:hAnsiTheme="minorEastAsia" w:eastAsiaTheme="minorEastAsia"/>
                <w:sz w:val="24"/>
              </w:rPr>
            </w:pPr>
            <w:r>
              <w:rPr>
                <w:rFonts w:hint="eastAsia" w:asciiTheme="minorEastAsia" w:hAnsiTheme="minorEastAsia" w:eastAsiaTheme="minorEastAsia"/>
                <w:sz w:val="24"/>
              </w:rPr>
              <w:t>其他事项申明：</w:t>
            </w:r>
          </w:p>
        </w:tc>
      </w:tr>
    </w:tbl>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b/>
          <w:szCs w:val="21"/>
        </w:rPr>
        <w:t>备注：</w:t>
      </w:r>
      <w:r>
        <w:rPr>
          <w:rFonts w:hint="eastAsia" w:asciiTheme="minorEastAsia" w:hAnsiTheme="minorEastAsia" w:eastAsiaTheme="minorEastAsia"/>
          <w:sz w:val="24"/>
        </w:rPr>
        <w:t>（1）应按照第一章“投标须知”第16条的要求报价。</w:t>
      </w:r>
    </w:p>
    <w:p>
      <w:pPr>
        <w:adjustRightInd w:val="0"/>
        <w:snapToGrid w:val="0"/>
        <w:spacing w:line="360" w:lineRule="auto"/>
        <w:ind w:left="990" w:leftChars="300" w:hanging="360" w:hangingChars="150"/>
        <w:rPr>
          <w:rFonts w:asciiTheme="minorEastAsia" w:hAnsiTheme="minorEastAsia" w:eastAsiaTheme="minorEastAsia"/>
          <w:b/>
          <w:sz w:val="24"/>
        </w:rPr>
      </w:pPr>
      <w:r>
        <w:rPr>
          <w:rFonts w:hint="eastAsia" w:asciiTheme="minorEastAsia" w:hAnsiTheme="minorEastAsia" w:eastAsiaTheme="minorEastAsia"/>
          <w:sz w:val="24"/>
        </w:rPr>
        <w:t>（2）根据第一章“投标须知”第16.6款、第27.3款的规定，投标人在投标总价外另有价格折扣的，应当直接在投标总价中给出；招标文件允许提交的备选投标方案应在“备注”栏中注明。</w:t>
      </w:r>
    </w:p>
    <w:p>
      <w:pPr>
        <w:adjustRightInd w:val="0"/>
        <w:snapToGrid w:val="0"/>
        <w:spacing w:beforeLines="50" w:line="360" w:lineRule="auto"/>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b/>
          <w:sz w:val="24"/>
        </w:rPr>
        <w:t>此表须另备一份单独密封，与项目投标文件同时递交，否则视为自动放弃投标</w:t>
      </w:r>
      <w:r>
        <w:rPr>
          <w:rFonts w:hint="eastAsia" w:asciiTheme="minorEastAsia" w:hAnsiTheme="minorEastAsia" w:eastAsiaTheme="minorEastAsia"/>
          <w:sz w:val="24"/>
        </w:rPr>
        <w:t>。</w:t>
      </w:r>
    </w:p>
    <w:p>
      <w:pPr>
        <w:shd w:val="clear" w:color="auto" w:fill="FFFFFF"/>
        <w:snapToGrid w:val="0"/>
        <w:spacing w:line="360" w:lineRule="atLeast"/>
        <w:ind w:left="851" w:hanging="851"/>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投标人名称（单位章）：</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法定代表人或其委托代理人(签字)：</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_</w:t>
      </w:r>
    </w:p>
    <w:p>
      <w:pPr>
        <w:adjustRightInd w:val="0"/>
        <w:snapToGrid w:val="0"/>
        <w:spacing w:line="360" w:lineRule="auto"/>
        <w:rPr>
          <w:rFonts w:asciiTheme="minorEastAsia" w:hAnsiTheme="minorEastAsia" w:eastAsiaTheme="minorEastAsia"/>
          <w:b/>
          <w:sz w:val="24"/>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shd w:val="clear" w:color="auto" w:fill="FFFFFF"/>
        <w:snapToGrid w:val="0"/>
        <w:spacing w:line="360" w:lineRule="atLeast"/>
        <w:ind w:left="851" w:hanging="851"/>
        <w:rPr>
          <w:rFonts w:asciiTheme="minorEastAsia" w:hAnsiTheme="minorEastAsia" w:eastAsiaTheme="minorEastAsia"/>
          <w:sz w:val="24"/>
        </w:rPr>
      </w:pPr>
      <w:r>
        <w:rPr>
          <w:rFonts w:hint="eastAsia" w:asciiTheme="minorEastAsia" w:hAnsiTheme="minorEastAsia" w:eastAsiaTheme="minorEastAsia"/>
          <w:sz w:val="24"/>
        </w:rPr>
        <w:t> </w:t>
      </w:r>
    </w:p>
    <w:p>
      <w:pPr>
        <w:adjustRightInd w:val="0"/>
        <w:snapToGrid w:val="0"/>
        <w:spacing w:line="360" w:lineRule="auto"/>
        <w:ind w:firstLine="560" w:firstLineChars="200"/>
        <w:jc w:val="center"/>
        <w:rPr>
          <w:rFonts w:asciiTheme="minorEastAsia" w:hAnsiTheme="minorEastAsia" w:eastAsiaTheme="minorEastAsia"/>
          <w:sz w:val="28"/>
          <w:szCs w:val="28"/>
        </w:rPr>
      </w:pPr>
      <w:r>
        <w:rPr>
          <w:rFonts w:hint="eastAsia" w:cs="Arial" w:asciiTheme="minorEastAsia" w:hAnsiTheme="minorEastAsia" w:eastAsiaTheme="minorEastAsia"/>
          <w:bCs/>
          <w:kern w:val="0"/>
          <w:sz w:val="28"/>
          <w:szCs w:val="30"/>
        </w:rPr>
        <w:br w:type="page"/>
      </w:r>
      <w:r>
        <w:rPr>
          <w:rFonts w:hint="eastAsia" w:asciiTheme="minorEastAsia" w:hAnsiTheme="minorEastAsia" w:eastAsiaTheme="minorEastAsia"/>
          <w:sz w:val="28"/>
          <w:szCs w:val="28"/>
        </w:rPr>
        <w:t>三、投标分项价格表</w:t>
      </w:r>
    </w:p>
    <w:p>
      <w:pPr>
        <w:spacing w:line="360" w:lineRule="exact"/>
        <w:ind w:firstLine="211" w:firstLineChars="100"/>
        <w:rPr>
          <w:rFonts w:asciiTheme="minorEastAsia" w:hAnsiTheme="minorEastAsia" w:eastAsiaTheme="minorEastAsia"/>
          <w:b/>
        </w:rPr>
      </w:pPr>
    </w:p>
    <w:p>
      <w:pPr>
        <w:spacing w:line="360" w:lineRule="exact"/>
        <w:ind w:firstLine="211" w:firstLineChars="100"/>
        <w:rPr>
          <w:rFonts w:asciiTheme="minorEastAsia" w:hAnsiTheme="minorEastAsia" w:eastAsiaTheme="minorEastAsia"/>
          <w:b/>
        </w:rPr>
      </w:pPr>
      <w:r>
        <w:rPr>
          <w:rFonts w:hint="eastAsia" w:asciiTheme="minorEastAsia" w:hAnsiTheme="minorEastAsia" w:eastAsiaTheme="minorEastAsia"/>
          <w:b/>
        </w:rPr>
        <w:t xml:space="preserve">项目名称：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 xml:space="preserve">  合同包号：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 xml:space="preserve">  金额单位：元 </w:t>
      </w:r>
    </w:p>
    <w:tbl>
      <w:tblPr>
        <w:tblStyle w:val="50"/>
        <w:tblW w:w="8762" w:type="dxa"/>
        <w:tblInd w:w="29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985"/>
        <w:gridCol w:w="655"/>
        <w:gridCol w:w="929"/>
        <w:gridCol w:w="1147"/>
        <w:gridCol w:w="901"/>
        <w:gridCol w:w="655"/>
        <w:gridCol w:w="588"/>
        <w:gridCol w:w="730"/>
        <w:gridCol w:w="873"/>
        <w:gridCol w:w="8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8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5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29"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47"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901"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655"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588"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730"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73"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73" w:type="dxa"/>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序号</w:t>
            </w:r>
          </w:p>
        </w:tc>
        <w:tc>
          <w:tcPr>
            <w:tcW w:w="985"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货物名称</w:t>
            </w:r>
          </w:p>
        </w:tc>
        <w:tc>
          <w:tcPr>
            <w:tcW w:w="655"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品牌</w:t>
            </w:r>
          </w:p>
        </w:tc>
        <w:tc>
          <w:tcPr>
            <w:tcW w:w="929"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型号规格</w:t>
            </w:r>
          </w:p>
        </w:tc>
        <w:tc>
          <w:tcPr>
            <w:tcW w:w="1147"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制造厂商名称</w:t>
            </w:r>
          </w:p>
        </w:tc>
        <w:tc>
          <w:tcPr>
            <w:tcW w:w="901"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中小企业</w:t>
            </w:r>
          </w:p>
        </w:tc>
        <w:tc>
          <w:tcPr>
            <w:tcW w:w="655"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单价</w:t>
            </w:r>
          </w:p>
        </w:tc>
        <w:tc>
          <w:tcPr>
            <w:tcW w:w="588"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数量</w:t>
            </w:r>
          </w:p>
        </w:tc>
        <w:tc>
          <w:tcPr>
            <w:tcW w:w="730"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合计</w:t>
            </w:r>
          </w:p>
        </w:tc>
        <w:tc>
          <w:tcPr>
            <w:tcW w:w="873"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政策功能编码</w:t>
            </w:r>
          </w:p>
        </w:tc>
        <w:tc>
          <w:tcPr>
            <w:tcW w:w="873" w:type="dxa"/>
            <w:vAlign w:val="center"/>
          </w:tcPr>
          <w:p>
            <w:pPr>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b/>
                <w:sz w:val="24"/>
              </w:rPr>
            </w:pPr>
          </w:p>
        </w:tc>
        <w:tc>
          <w:tcPr>
            <w:tcW w:w="985"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929" w:type="dxa"/>
            <w:vAlign w:val="center"/>
          </w:tcPr>
          <w:p>
            <w:pPr>
              <w:spacing w:line="360" w:lineRule="exact"/>
              <w:jc w:val="center"/>
              <w:rPr>
                <w:rFonts w:asciiTheme="minorEastAsia" w:hAnsiTheme="minorEastAsia" w:eastAsiaTheme="minorEastAsia"/>
                <w:b/>
                <w:sz w:val="24"/>
              </w:rPr>
            </w:pPr>
          </w:p>
        </w:tc>
        <w:tc>
          <w:tcPr>
            <w:tcW w:w="1147" w:type="dxa"/>
            <w:vAlign w:val="center"/>
          </w:tcPr>
          <w:p>
            <w:pPr>
              <w:spacing w:line="360" w:lineRule="exact"/>
              <w:jc w:val="center"/>
              <w:rPr>
                <w:rFonts w:asciiTheme="minorEastAsia" w:hAnsiTheme="minorEastAsia" w:eastAsiaTheme="minorEastAsia"/>
                <w:b/>
                <w:sz w:val="24"/>
              </w:rPr>
            </w:pPr>
          </w:p>
        </w:tc>
        <w:tc>
          <w:tcPr>
            <w:tcW w:w="901"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588" w:type="dxa"/>
            <w:vAlign w:val="center"/>
          </w:tcPr>
          <w:p>
            <w:pPr>
              <w:spacing w:line="360" w:lineRule="exact"/>
              <w:jc w:val="center"/>
              <w:rPr>
                <w:rFonts w:asciiTheme="minorEastAsia" w:hAnsiTheme="minorEastAsia" w:eastAsiaTheme="minorEastAsia"/>
                <w:b/>
                <w:sz w:val="24"/>
              </w:rPr>
            </w:pPr>
          </w:p>
        </w:tc>
        <w:tc>
          <w:tcPr>
            <w:tcW w:w="730" w:type="dxa"/>
            <w:vAlign w:val="center"/>
          </w:tcPr>
          <w:p>
            <w:pPr>
              <w:spacing w:line="360" w:lineRule="exact"/>
              <w:jc w:val="center"/>
              <w:rPr>
                <w:rFonts w:asciiTheme="minorEastAsia" w:hAnsiTheme="minorEastAsia" w:eastAsiaTheme="minorEastAsia"/>
                <w:b/>
                <w:sz w:val="24"/>
              </w:rPr>
            </w:pPr>
          </w:p>
        </w:tc>
        <w:tc>
          <w:tcPr>
            <w:tcW w:w="873" w:type="dxa"/>
            <w:vAlign w:val="center"/>
          </w:tcPr>
          <w:p>
            <w:pPr>
              <w:spacing w:line="360" w:lineRule="exact"/>
              <w:jc w:val="center"/>
              <w:rPr>
                <w:rFonts w:asciiTheme="minorEastAsia" w:hAnsiTheme="minorEastAsia" w:eastAsiaTheme="minorEastAsia"/>
                <w:b/>
                <w:sz w:val="24"/>
              </w:rPr>
            </w:pPr>
          </w:p>
        </w:tc>
        <w:tc>
          <w:tcPr>
            <w:tcW w:w="873" w:type="dxa"/>
          </w:tcPr>
          <w:p>
            <w:pPr>
              <w:spacing w:line="360" w:lineRule="exact"/>
              <w:jc w:val="center"/>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b/>
                <w:sz w:val="24"/>
              </w:rPr>
            </w:pPr>
          </w:p>
        </w:tc>
        <w:tc>
          <w:tcPr>
            <w:tcW w:w="985"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929" w:type="dxa"/>
            <w:vAlign w:val="center"/>
          </w:tcPr>
          <w:p>
            <w:pPr>
              <w:spacing w:line="360" w:lineRule="exact"/>
              <w:jc w:val="center"/>
              <w:rPr>
                <w:rFonts w:asciiTheme="minorEastAsia" w:hAnsiTheme="minorEastAsia" w:eastAsiaTheme="minorEastAsia"/>
                <w:b/>
                <w:sz w:val="24"/>
              </w:rPr>
            </w:pPr>
          </w:p>
        </w:tc>
        <w:tc>
          <w:tcPr>
            <w:tcW w:w="1147" w:type="dxa"/>
            <w:vAlign w:val="center"/>
          </w:tcPr>
          <w:p>
            <w:pPr>
              <w:spacing w:line="360" w:lineRule="exact"/>
              <w:jc w:val="center"/>
              <w:rPr>
                <w:rFonts w:asciiTheme="minorEastAsia" w:hAnsiTheme="minorEastAsia" w:eastAsiaTheme="minorEastAsia"/>
                <w:b/>
                <w:sz w:val="24"/>
              </w:rPr>
            </w:pPr>
          </w:p>
        </w:tc>
        <w:tc>
          <w:tcPr>
            <w:tcW w:w="901"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588" w:type="dxa"/>
            <w:vAlign w:val="center"/>
          </w:tcPr>
          <w:p>
            <w:pPr>
              <w:spacing w:line="360" w:lineRule="exact"/>
              <w:jc w:val="center"/>
              <w:rPr>
                <w:rFonts w:asciiTheme="minorEastAsia" w:hAnsiTheme="minorEastAsia" w:eastAsiaTheme="minorEastAsia"/>
                <w:b/>
                <w:sz w:val="24"/>
              </w:rPr>
            </w:pPr>
          </w:p>
        </w:tc>
        <w:tc>
          <w:tcPr>
            <w:tcW w:w="730" w:type="dxa"/>
            <w:vAlign w:val="center"/>
          </w:tcPr>
          <w:p>
            <w:pPr>
              <w:spacing w:line="360" w:lineRule="exact"/>
              <w:jc w:val="center"/>
              <w:rPr>
                <w:rFonts w:asciiTheme="minorEastAsia" w:hAnsiTheme="minorEastAsia" w:eastAsiaTheme="minorEastAsia"/>
                <w:b/>
                <w:sz w:val="24"/>
              </w:rPr>
            </w:pPr>
          </w:p>
        </w:tc>
        <w:tc>
          <w:tcPr>
            <w:tcW w:w="873" w:type="dxa"/>
            <w:vAlign w:val="center"/>
          </w:tcPr>
          <w:p>
            <w:pPr>
              <w:spacing w:line="360" w:lineRule="exact"/>
              <w:jc w:val="center"/>
              <w:rPr>
                <w:rFonts w:asciiTheme="minorEastAsia" w:hAnsiTheme="minorEastAsia" w:eastAsiaTheme="minorEastAsia"/>
                <w:b/>
                <w:sz w:val="24"/>
              </w:rPr>
            </w:pPr>
          </w:p>
        </w:tc>
        <w:tc>
          <w:tcPr>
            <w:tcW w:w="873" w:type="dxa"/>
          </w:tcPr>
          <w:p>
            <w:pPr>
              <w:spacing w:line="360" w:lineRule="exact"/>
              <w:jc w:val="center"/>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b/>
                <w:sz w:val="24"/>
              </w:rPr>
            </w:pPr>
          </w:p>
        </w:tc>
        <w:tc>
          <w:tcPr>
            <w:tcW w:w="985"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929" w:type="dxa"/>
            <w:vAlign w:val="center"/>
          </w:tcPr>
          <w:p>
            <w:pPr>
              <w:spacing w:line="360" w:lineRule="exact"/>
              <w:jc w:val="center"/>
              <w:rPr>
                <w:rFonts w:asciiTheme="minorEastAsia" w:hAnsiTheme="minorEastAsia" w:eastAsiaTheme="minorEastAsia"/>
                <w:b/>
                <w:sz w:val="24"/>
              </w:rPr>
            </w:pPr>
          </w:p>
        </w:tc>
        <w:tc>
          <w:tcPr>
            <w:tcW w:w="1147" w:type="dxa"/>
            <w:vAlign w:val="center"/>
          </w:tcPr>
          <w:p>
            <w:pPr>
              <w:spacing w:line="360" w:lineRule="exact"/>
              <w:jc w:val="center"/>
              <w:rPr>
                <w:rFonts w:asciiTheme="minorEastAsia" w:hAnsiTheme="minorEastAsia" w:eastAsiaTheme="minorEastAsia"/>
                <w:b/>
                <w:sz w:val="24"/>
              </w:rPr>
            </w:pPr>
          </w:p>
        </w:tc>
        <w:tc>
          <w:tcPr>
            <w:tcW w:w="901"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588" w:type="dxa"/>
            <w:vAlign w:val="center"/>
          </w:tcPr>
          <w:p>
            <w:pPr>
              <w:spacing w:line="360" w:lineRule="exact"/>
              <w:jc w:val="center"/>
              <w:rPr>
                <w:rFonts w:asciiTheme="minorEastAsia" w:hAnsiTheme="minorEastAsia" w:eastAsiaTheme="minorEastAsia"/>
                <w:b/>
                <w:sz w:val="24"/>
              </w:rPr>
            </w:pPr>
          </w:p>
        </w:tc>
        <w:tc>
          <w:tcPr>
            <w:tcW w:w="730" w:type="dxa"/>
            <w:vAlign w:val="center"/>
          </w:tcPr>
          <w:p>
            <w:pPr>
              <w:spacing w:line="360" w:lineRule="exact"/>
              <w:jc w:val="center"/>
              <w:rPr>
                <w:rFonts w:asciiTheme="minorEastAsia" w:hAnsiTheme="minorEastAsia" w:eastAsiaTheme="minorEastAsia"/>
                <w:b/>
                <w:sz w:val="24"/>
              </w:rPr>
            </w:pPr>
          </w:p>
        </w:tc>
        <w:tc>
          <w:tcPr>
            <w:tcW w:w="873" w:type="dxa"/>
            <w:vAlign w:val="center"/>
          </w:tcPr>
          <w:p>
            <w:pPr>
              <w:spacing w:line="360" w:lineRule="exact"/>
              <w:jc w:val="center"/>
              <w:rPr>
                <w:rFonts w:asciiTheme="minorEastAsia" w:hAnsiTheme="minorEastAsia" w:eastAsiaTheme="minorEastAsia"/>
                <w:b/>
                <w:sz w:val="24"/>
              </w:rPr>
            </w:pPr>
          </w:p>
        </w:tc>
        <w:tc>
          <w:tcPr>
            <w:tcW w:w="873" w:type="dxa"/>
          </w:tcPr>
          <w:p>
            <w:pPr>
              <w:spacing w:line="360" w:lineRule="exact"/>
              <w:jc w:val="center"/>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b/>
                <w:sz w:val="24"/>
              </w:rPr>
            </w:pPr>
          </w:p>
        </w:tc>
        <w:tc>
          <w:tcPr>
            <w:tcW w:w="985"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929" w:type="dxa"/>
            <w:vAlign w:val="center"/>
          </w:tcPr>
          <w:p>
            <w:pPr>
              <w:spacing w:line="360" w:lineRule="exact"/>
              <w:jc w:val="center"/>
              <w:rPr>
                <w:rFonts w:asciiTheme="minorEastAsia" w:hAnsiTheme="minorEastAsia" w:eastAsiaTheme="minorEastAsia"/>
                <w:b/>
                <w:sz w:val="24"/>
              </w:rPr>
            </w:pPr>
          </w:p>
        </w:tc>
        <w:tc>
          <w:tcPr>
            <w:tcW w:w="1147" w:type="dxa"/>
            <w:vAlign w:val="center"/>
          </w:tcPr>
          <w:p>
            <w:pPr>
              <w:spacing w:line="360" w:lineRule="exact"/>
              <w:jc w:val="center"/>
              <w:rPr>
                <w:rFonts w:asciiTheme="minorEastAsia" w:hAnsiTheme="minorEastAsia" w:eastAsiaTheme="minorEastAsia"/>
                <w:b/>
                <w:sz w:val="24"/>
              </w:rPr>
            </w:pPr>
          </w:p>
        </w:tc>
        <w:tc>
          <w:tcPr>
            <w:tcW w:w="901"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588" w:type="dxa"/>
            <w:vAlign w:val="center"/>
          </w:tcPr>
          <w:p>
            <w:pPr>
              <w:spacing w:line="360" w:lineRule="exact"/>
              <w:jc w:val="center"/>
              <w:rPr>
                <w:rFonts w:asciiTheme="minorEastAsia" w:hAnsiTheme="minorEastAsia" w:eastAsiaTheme="minorEastAsia"/>
                <w:b/>
                <w:sz w:val="24"/>
              </w:rPr>
            </w:pPr>
          </w:p>
        </w:tc>
        <w:tc>
          <w:tcPr>
            <w:tcW w:w="730" w:type="dxa"/>
            <w:vAlign w:val="center"/>
          </w:tcPr>
          <w:p>
            <w:pPr>
              <w:spacing w:line="360" w:lineRule="exact"/>
              <w:jc w:val="center"/>
              <w:rPr>
                <w:rFonts w:asciiTheme="minorEastAsia" w:hAnsiTheme="minorEastAsia" w:eastAsiaTheme="minorEastAsia"/>
                <w:b/>
                <w:sz w:val="24"/>
              </w:rPr>
            </w:pPr>
          </w:p>
        </w:tc>
        <w:tc>
          <w:tcPr>
            <w:tcW w:w="873" w:type="dxa"/>
            <w:vAlign w:val="center"/>
          </w:tcPr>
          <w:p>
            <w:pPr>
              <w:spacing w:line="360" w:lineRule="exact"/>
              <w:jc w:val="center"/>
              <w:rPr>
                <w:rFonts w:asciiTheme="minorEastAsia" w:hAnsiTheme="minorEastAsia" w:eastAsiaTheme="minorEastAsia"/>
                <w:b/>
                <w:sz w:val="24"/>
              </w:rPr>
            </w:pPr>
          </w:p>
        </w:tc>
        <w:tc>
          <w:tcPr>
            <w:tcW w:w="873" w:type="dxa"/>
          </w:tcPr>
          <w:p>
            <w:pPr>
              <w:spacing w:line="360" w:lineRule="exact"/>
              <w:jc w:val="center"/>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b/>
                <w:sz w:val="24"/>
              </w:rPr>
            </w:pPr>
          </w:p>
        </w:tc>
        <w:tc>
          <w:tcPr>
            <w:tcW w:w="985"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929" w:type="dxa"/>
            <w:vAlign w:val="center"/>
          </w:tcPr>
          <w:p>
            <w:pPr>
              <w:spacing w:line="360" w:lineRule="exact"/>
              <w:jc w:val="center"/>
              <w:rPr>
                <w:rFonts w:asciiTheme="minorEastAsia" w:hAnsiTheme="minorEastAsia" w:eastAsiaTheme="minorEastAsia"/>
                <w:b/>
                <w:sz w:val="24"/>
              </w:rPr>
            </w:pPr>
          </w:p>
        </w:tc>
        <w:tc>
          <w:tcPr>
            <w:tcW w:w="1147" w:type="dxa"/>
            <w:vAlign w:val="center"/>
          </w:tcPr>
          <w:p>
            <w:pPr>
              <w:spacing w:line="360" w:lineRule="exact"/>
              <w:jc w:val="center"/>
              <w:rPr>
                <w:rFonts w:asciiTheme="minorEastAsia" w:hAnsiTheme="minorEastAsia" w:eastAsiaTheme="minorEastAsia"/>
                <w:b/>
                <w:sz w:val="24"/>
              </w:rPr>
            </w:pPr>
          </w:p>
        </w:tc>
        <w:tc>
          <w:tcPr>
            <w:tcW w:w="901" w:type="dxa"/>
            <w:vAlign w:val="center"/>
          </w:tcPr>
          <w:p>
            <w:pPr>
              <w:spacing w:line="360" w:lineRule="exact"/>
              <w:jc w:val="center"/>
              <w:rPr>
                <w:rFonts w:asciiTheme="minorEastAsia" w:hAnsiTheme="minorEastAsia" w:eastAsiaTheme="minorEastAsia"/>
                <w:b/>
                <w:sz w:val="24"/>
              </w:rPr>
            </w:pPr>
          </w:p>
        </w:tc>
        <w:tc>
          <w:tcPr>
            <w:tcW w:w="655" w:type="dxa"/>
            <w:vAlign w:val="center"/>
          </w:tcPr>
          <w:p>
            <w:pPr>
              <w:spacing w:line="360" w:lineRule="exact"/>
              <w:jc w:val="center"/>
              <w:rPr>
                <w:rFonts w:asciiTheme="minorEastAsia" w:hAnsiTheme="minorEastAsia" w:eastAsiaTheme="minorEastAsia"/>
                <w:b/>
                <w:sz w:val="24"/>
              </w:rPr>
            </w:pPr>
          </w:p>
        </w:tc>
        <w:tc>
          <w:tcPr>
            <w:tcW w:w="588" w:type="dxa"/>
            <w:vAlign w:val="center"/>
          </w:tcPr>
          <w:p>
            <w:pPr>
              <w:spacing w:line="360" w:lineRule="exact"/>
              <w:jc w:val="center"/>
              <w:rPr>
                <w:rFonts w:asciiTheme="minorEastAsia" w:hAnsiTheme="minorEastAsia" w:eastAsiaTheme="minorEastAsia"/>
                <w:b/>
                <w:sz w:val="24"/>
              </w:rPr>
            </w:pPr>
          </w:p>
        </w:tc>
        <w:tc>
          <w:tcPr>
            <w:tcW w:w="730" w:type="dxa"/>
            <w:vAlign w:val="center"/>
          </w:tcPr>
          <w:p>
            <w:pPr>
              <w:spacing w:line="360" w:lineRule="exact"/>
              <w:jc w:val="center"/>
              <w:rPr>
                <w:rFonts w:asciiTheme="minorEastAsia" w:hAnsiTheme="minorEastAsia" w:eastAsiaTheme="minorEastAsia"/>
                <w:b/>
                <w:sz w:val="24"/>
              </w:rPr>
            </w:pPr>
          </w:p>
        </w:tc>
        <w:tc>
          <w:tcPr>
            <w:tcW w:w="873" w:type="dxa"/>
            <w:vAlign w:val="center"/>
          </w:tcPr>
          <w:p>
            <w:pPr>
              <w:spacing w:line="360" w:lineRule="exact"/>
              <w:jc w:val="center"/>
              <w:rPr>
                <w:rFonts w:asciiTheme="minorEastAsia" w:hAnsiTheme="minorEastAsia" w:eastAsiaTheme="minorEastAsia"/>
                <w:b/>
                <w:sz w:val="24"/>
              </w:rPr>
            </w:pPr>
          </w:p>
        </w:tc>
        <w:tc>
          <w:tcPr>
            <w:tcW w:w="873" w:type="dxa"/>
          </w:tcPr>
          <w:p>
            <w:pPr>
              <w:spacing w:line="360" w:lineRule="exact"/>
              <w:jc w:val="center"/>
              <w:rPr>
                <w:rFonts w:asciiTheme="minorEastAsia" w:hAnsiTheme="minorEastAsia" w:eastAsiaTheme="minorEastAsia"/>
                <w:b/>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426" w:type="dxa"/>
            <w:vAlign w:val="center"/>
          </w:tcPr>
          <w:p>
            <w:pPr>
              <w:spacing w:line="360" w:lineRule="exact"/>
              <w:jc w:val="center"/>
              <w:rPr>
                <w:rFonts w:asciiTheme="minorEastAsia" w:hAnsiTheme="minorEastAsia" w:eastAsiaTheme="minorEastAsia"/>
                <w:b/>
                <w:sz w:val="24"/>
              </w:rPr>
            </w:pPr>
          </w:p>
        </w:tc>
        <w:tc>
          <w:tcPr>
            <w:tcW w:w="985"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sz w:val="24"/>
              </w:rPr>
              <w:t>包合计</w:t>
            </w:r>
          </w:p>
        </w:tc>
        <w:tc>
          <w:tcPr>
            <w:tcW w:w="655"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w:t>
            </w:r>
          </w:p>
        </w:tc>
        <w:tc>
          <w:tcPr>
            <w:tcW w:w="929"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w:t>
            </w:r>
          </w:p>
        </w:tc>
        <w:tc>
          <w:tcPr>
            <w:tcW w:w="1147"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w:t>
            </w:r>
          </w:p>
        </w:tc>
        <w:tc>
          <w:tcPr>
            <w:tcW w:w="901"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w:t>
            </w:r>
          </w:p>
        </w:tc>
        <w:tc>
          <w:tcPr>
            <w:tcW w:w="655"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w:t>
            </w:r>
          </w:p>
        </w:tc>
        <w:tc>
          <w:tcPr>
            <w:tcW w:w="588"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w:t>
            </w:r>
          </w:p>
        </w:tc>
        <w:tc>
          <w:tcPr>
            <w:tcW w:w="730" w:type="dxa"/>
            <w:vAlign w:val="center"/>
          </w:tcPr>
          <w:p>
            <w:pPr>
              <w:spacing w:line="360" w:lineRule="exact"/>
              <w:jc w:val="center"/>
              <w:rPr>
                <w:rFonts w:asciiTheme="minorEastAsia" w:hAnsiTheme="minorEastAsia" w:eastAsiaTheme="minorEastAsia"/>
                <w:b/>
                <w:sz w:val="24"/>
              </w:rPr>
            </w:pPr>
          </w:p>
        </w:tc>
        <w:tc>
          <w:tcPr>
            <w:tcW w:w="873" w:type="dxa"/>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w:t>
            </w:r>
          </w:p>
        </w:tc>
        <w:tc>
          <w:tcPr>
            <w:tcW w:w="873" w:type="dxa"/>
          </w:tcPr>
          <w:p>
            <w:pPr>
              <w:spacing w:line="360" w:lineRule="exact"/>
              <w:jc w:val="center"/>
              <w:rPr>
                <w:rFonts w:asciiTheme="minorEastAsia" w:hAnsiTheme="minorEastAsia" w:eastAsiaTheme="minorEastAsia"/>
                <w:b/>
                <w:sz w:val="24"/>
              </w:rPr>
            </w:pPr>
          </w:p>
        </w:tc>
      </w:tr>
    </w:tbl>
    <w:p>
      <w:pPr>
        <w:spacing w:line="360" w:lineRule="exact"/>
        <w:ind w:firstLine="210"/>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报价金额合计：小写：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大写：</w:t>
      </w:r>
      <w:r>
        <w:rPr>
          <w:rFonts w:hint="eastAsia" w:asciiTheme="minorEastAsia" w:hAnsiTheme="minorEastAsia" w:eastAsiaTheme="minorEastAsia"/>
          <w:sz w:val="24"/>
          <w:u w:val="single"/>
        </w:rPr>
        <w:t xml:space="preserve">                      </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说明：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1、本表为合同包内所有货物的报价明细表。栏目7“单价”为综合单价，包含货物所有隐含的内容，如运输费、保险费、管理费和利润等。“包合计”及“报价金额合计”应与《报价一览表》“总报价”一致。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2、栏目3、4、6、5、6、10为货物的制造商信息。</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3、栏目6“中小企业”是指货物制造厂商为“中型企业”或者“小型、微型企业”(填写中型或小型、微型)。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4、栏目10“政策功能编码”是指产品的中国环境标志认证证书编号、节能标志认证证书号、两型产品编号(产品同时属于节能产品、环境标志产品、两型产品的，只填写一种)。</w:t>
      </w:r>
    </w:p>
    <w:p>
      <w:pPr>
        <w:adjustRightInd w:val="0"/>
        <w:snapToGrid w:val="0"/>
        <w:spacing w:beforeLines="50"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（注：此表须另备一份单独密封，与项目投标文件同时递交，否则视为自动放弃投标）。</w:t>
      </w:r>
    </w:p>
    <w:p>
      <w:pPr>
        <w:adjustRightInd w:val="0"/>
        <w:snapToGrid w:val="0"/>
        <w:spacing w:line="360" w:lineRule="auto"/>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p>
    <w:p>
      <w:pPr>
        <w:adjustRightInd w:val="0"/>
        <w:snapToGrid w:val="0"/>
        <w:spacing w:line="360" w:lineRule="auto"/>
        <w:jc w:val="center"/>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四、商务条款响应/偏离表</w:t>
      </w:r>
    </w:p>
    <w:p>
      <w:pPr>
        <w:adjustRightInd w:val="0"/>
        <w:snapToGrid w:val="0"/>
        <w:ind w:left="-88" w:leftChars="-42"/>
        <w:jc w:val="left"/>
        <w:outlineLvl w:val="0"/>
        <w:rPr>
          <w:rFonts w:asciiTheme="minorEastAsia" w:hAnsiTheme="minorEastAsia" w:eastAsiaTheme="minorEastAsia"/>
          <w:sz w:val="32"/>
          <w:szCs w:val="32"/>
        </w:rPr>
      </w:pPr>
    </w:p>
    <w:p>
      <w:pPr>
        <w:adjustRightInd w:val="0"/>
        <w:snapToGrid w:val="0"/>
        <w:ind w:left="-88" w:leftChars="-42"/>
        <w:jc w:val="left"/>
        <w:outlineLvl w:val="0"/>
        <w:rPr>
          <w:rFonts w:asciiTheme="minorEastAsia" w:hAnsiTheme="minorEastAsia" w:eastAsiaTheme="minorEastAsia"/>
          <w:b/>
          <w:szCs w:val="21"/>
        </w:rPr>
      </w:pPr>
    </w:p>
    <w:p>
      <w:pPr>
        <w:adjustRightInd w:val="0"/>
        <w:snapToGrid w:val="0"/>
        <w:ind w:left="-88" w:leftChars="-42" w:firstLine="266" w:firstLineChars="100"/>
        <w:rPr>
          <w:rFonts w:asciiTheme="minorEastAsia" w:hAnsiTheme="minorEastAsia" w:eastAsiaTheme="minorEastAsia"/>
          <w:szCs w:val="21"/>
          <w:u w:val="single"/>
        </w:rPr>
      </w:pPr>
      <w:r>
        <w:rPr>
          <w:rFonts w:hint="eastAsia" w:asciiTheme="minorEastAsia" w:hAnsiTheme="minorEastAsia" w:eastAsiaTheme="minorEastAsia"/>
          <w:spacing w:val="28"/>
          <w:szCs w:val="21"/>
        </w:rPr>
        <w:t>政府采购编号</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tbl>
      <w:tblPr>
        <w:tblStyle w:val="50"/>
        <w:tblW w:w="98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1965"/>
        <w:gridCol w:w="2410"/>
        <w:gridCol w:w="2318"/>
        <w:gridCol w:w="1309"/>
        <w:gridCol w:w="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1038" w:type="dxa"/>
            <w:vAlign w:val="center"/>
          </w:tcPr>
          <w:p>
            <w:pPr>
              <w:adjustRightInd w:val="0"/>
              <w:snapToGrid w:val="0"/>
              <w:ind w:left="-88" w:leftChars="-42"/>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65" w:type="dxa"/>
            <w:vAlign w:val="center"/>
          </w:tcPr>
          <w:p>
            <w:pPr>
              <w:adjustRightInd w:val="0"/>
              <w:snapToGrid w:val="0"/>
              <w:ind w:left="-88" w:leftChars="-42"/>
              <w:jc w:val="center"/>
              <w:rPr>
                <w:rFonts w:asciiTheme="minorEastAsia" w:hAnsiTheme="minorEastAsia" w:eastAsiaTheme="minorEastAsia"/>
                <w:sz w:val="24"/>
              </w:rPr>
            </w:pPr>
            <w:r>
              <w:rPr>
                <w:rFonts w:hint="eastAsia" w:asciiTheme="minorEastAsia" w:hAnsiTheme="minorEastAsia" w:eastAsiaTheme="minorEastAsia"/>
                <w:sz w:val="24"/>
              </w:rPr>
              <w:t>招标文件条目号</w:t>
            </w:r>
          </w:p>
        </w:tc>
        <w:tc>
          <w:tcPr>
            <w:tcW w:w="2410" w:type="dxa"/>
            <w:vAlign w:val="center"/>
          </w:tcPr>
          <w:p>
            <w:pPr>
              <w:adjustRightInd w:val="0"/>
              <w:snapToGrid w:val="0"/>
              <w:ind w:left="-88" w:leftChars="-42"/>
              <w:jc w:val="center"/>
              <w:rPr>
                <w:rFonts w:asciiTheme="minorEastAsia" w:hAnsiTheme="minorEastAsia" w:eastAsiaTheme="minorEastAsia"/>
                <w:sz w:val="24"/>
              </w:rPr>
            </w:pPr>
            <w:r>
              <w:rPr>
                <w:rFonts w:hint="eastAsia" w:asciiTheme="minorEastAsia" w:hAnsiTheme="minorEastAsia" w:eastAsiaTheme="minorEastAsia"/>
                <w:sz w:val="24"/>
              </w:rPr>
              <w:t>招标文件的商务条款</w:t>
            </w:r>
          </w:p>
        </w:tc>
        <w:tc>
          <w:tcPr>
            <w:tcW w:w="2318" w:type="dxa"/>
            <w:vAlign w:val="center"/>
          </w:tcPr>
          <w:p>
            <w:pPr>
              <w:adjustRightInd w:val="0"/>
              <w:snapToGrid w:val="0"/>
              <w:ind w:left="-88" w:leftChars="-42"/>
              <w:jc w:val="center"/>
              <w:rPr>
                <w:rFonts w:asciiTheme="minorEastAsia" w:hAnsiTheme="minorEastAsia" w:eastAsiaTheme="minorEastAsia"/>
                <w:sz w:val="24"/>
              </w:rPr>
            </w:pPr>
            <w:r>
              <w:rPr>
                <w:rFonts w:hint="eastAsia" w:asciiTheme="minorEastAsia" w:hAnsiTheme="minorEastAsia" w:eastAsiaTheme="minorEastAsia"/>
                <w:sz w:val="24"/>
              </w:rPr>
              <w:t>投标文件的商务条款</w:t>
            </w:r>
          </w:p>
        </w:tc>
        <w:tc>
          <w:tcPr>
            <w:tcW w:w="1309" w:type="dxa"/>
            <w:vAlign w:val="center"/>
          </w:tcPr>
          <w:p>
            <w:pPr>
              <w:adjustRightInd w:val="0"/>
              <w:snapToGrid w:val="0"/>
              <w:ind w:left="-88" w:leftChars="-42"/>
              <w:jc w:val="center"/>
              <w:rPr>
                <w:rFonts w:asciiTheme="minorEastAsia" w:hAnsiTheme="minorEastAsia" w:eastAsiaTheme="minorEastAsia"/>
                <w:sz w:val="24"/>
              </w:rPr>
            </w:pPr>
            <w:r>
              <w:rPr>
                <w:rFonts w:hint="eastAsia" w:asciiTheme="minorEastAsia" w:hAnsiTheme="minorEastAsia" w:eastAsiaTheme="minorEastAsia"/>
                <w:sz w:val="24"/>
              </w:rPr>
              <w:t>响应/偏离</w:t>
            </w:r>
          </w:p>
        </w:tc>
        <w:tc>
          <w:tcPr>
            <w:tcW w:w="770" w:type="dxa"/>
            <w:vAlign w:val="center"/>
          </w:tcPr>
          <w:p>
            <w:pPr>
              <w:adjustRightInd w:val="0"/>
              <w:snapToGrid w:val="0"/>
              <w:ind w:left="-88" w:leftChars="-42"/>
              <w:jc w:val="center"/>
              <w:rPr>
                <w:rFonts w:asciiTheme="minorEastAsia" w:hAnsiTheme="minorEastAsia" w:eastAsiaTheme="minorEastAsia"/>
                <w:sz w:val="24"/>
              </w:rPr>
            </w:pPr>
            <w:r>
              <w:rPr>
                <w:rFonts w:hint="eastAsia" w:asciiTheme="minorEastAsia" w:hAnsiTheme="minorEastAsia" w:eastAsiaTheme="minorEastAsia"/>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Theme="minorEastAsia" w:hAnsiTheme="minorEastAsia" w:eastAsiaTheme="minorEastAsia"/>
                <w:sz w:val="24"/>
              </w:rPr>
            </w:pPr>
          </w:p>
        </w:tc>
        <w:tc>
          <w:tcPr>
            <w:tcW w:w="1965" w:type="dxa"/>
            <w:vAlign w:val="center"/>
          </w:tcPr>
          <w:p>
            <w:pPr>
              <w:adjustRightInd w:val="0"/>
              <w:snapToGrid w:val="0"/>
              <w:ind w:left="-88" w:leftChars="-42"/>
              <w:jc w:val="center"/>
              <w:rPr>
                <w:rFonts w:asciiTheme="minorEastAsia" w:hAnsiTheme="minorEastAsia" w:eastAsiaTheme="minorEastAsia"/>
                <w:sz w:val="24"/>
              </w:rPr>
            </w:pPr>
          </w:p>
        </w:tc>
        <w:tc>
          <w:tcPr>
            <w:tcW w:w="2410" w:type="dxa"/>
            <w:vAlign w:val="center"/>
          </w:tcPr>
          <w:p>
            <w:pPr>
              <w:adjustRightInd w:val="0"/>
              <w:snapToGrid w:val="0"/>
              <w:ind w:left="-88" w:leftChars="-42"/>
              <w:jc w:val="center"/>
              <w:rPr>
                <w:rFonts w:asciiTheme="minorEastAsia" w:hAnsiTheme="minorEastAsia" w:eastAsiaTheme="minorEastAsia"/>
                <w:sz w:val="24"/>
              </w:rPr>
            </w:pPr>
          </w:p>
        </w:tc>
        <w:tc>
          <w:tcPr>
            <w:tcW w:w="2318" w:type="dxa"/>
            <w:vAlign w:val="center"/>
          </w:tcPr>
          <w:p>
            <w:pPr>
              <w:adjustRightInd w:val="0"/>
              <w:snapToGrid w:val="0"/>
              <w:ind w:left="-88" w:leftChars="-42"/>
              <w:jc w:val="center"/>
              <w:rPr>
                <w:rFonts w:asciiTheme="minorEastAsia" w:hAnsiTheme="minorEastAsia" w:eastAsiaTheme="minorEastAsia"/>
                <w:sz w:val="24"/>
              </w:rPr>
            </w:pPr>
          </w:p>
        </w:tc>
        <w:tc>
          <w:tcPr>
            <w:tcW w:w="1309" w:type="dxa"/>
            <w:vAlign w:val="center"/>
          </w:tcPr>
          <w:p>
            <w:pPr>
              <w:adjustRightInd w:val="0"/>
              <w:snapToGrid w:val="0"/>
              <w:ind w:left="-88" w:leftChars="-42"/>
              <w:jc w:val="center"/>
              <w:rPr>
                <w:rFonts w:asciiTheme="minorEastAsia" w:hAnsiTheme="minorEastAsia" w:eastAsiaTheme="minorEastAsia"/>
                <w:sz w:val="24"/>
              </w:rPr>
            </w:pPr>
          </w:p>
        </w:tc>
        <w:tc>
          <w:tcPr>
            <w:tcW w:w="770" w:type="dxa"/>
            <w:vAlign w:val="center"/>
          </w:tcPr>
          <w:p>
            <w:pPr>
              <w:adjustRightInd w:val="0"/>
              <w:snapToGrid w:val="0"/>
              <w:ind w:left="-88" w:leftChars="-42"/>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Theme="minorEastAsia" w:hAnsiTheme="minorEastAsia" w:eastAsiaTheme="minorEastAsia"/>
                <w:sz w:val="24"/>
              </w:rPr>
            </w:pPr>
          </w:p>
        </w:tc>
        <w:tc>
          <w:tcPr>
            <w:tcW w:w="1965" w:type="dxa"/>
            <w:vAlign w:val="center"/>
          </w:tcPr>
          <w:p>
            <w:pPr>
              <w:adjustRightInd w:val="0"/>
              <w:snapToGrid w:val="0"/>
              <w:ind w:left="-88" w:leftChars="-42"/>
              <w:jc w:val="center"/>
              <w:rPr>
                <w:rFonts w:asciiTheme="minorEastAsia" w:hAnsiTheme="minorEastAsia" w:eastAsiaTheme="minorEastAsia"/>
                <w:sz w:val="24"/>
              </w:rPr>
            </w:pPr>
          </w:p>
        </w:tc>
        <w:tc>
          <w:tcPr>
            <w:tcW w:w="2410" w:type="dxa"/>
            <w:vAlign w:val="center"/>
          </w:tcPr>
          <w:p>
            <w:pPr>
              <w:adjustRightInd w:val="0"/>
              <w:snapToGrid w:val="0"/>
              <w:ind w:left="-88" w:leftChars="-42"/>
              <w:jc w:val="center"/>
              <w:rPr>
                <w:rFonts w:asciiTheme="minorEastAsia" w:hAnsiTheme="minorEastAsia" w:eastAsiaTheme="minorEastAsia"/>
                <w:sz w:val="24"/>
              </w:rPr>
            </w:pPr>
          </w:p>
        </w:tc>
        <w:tc>
          <w:tcPr>
            <w:tcW w:w="2318" w:type="dxa"/>
            <w:vAlign w:val="center"/>
          </w:tcPr>
          <w:p>
            <w:pPr>
              <w:adjustRightInd w:val="0"/>
              <w:snapToGrid w:val="0"/>
              <w:ind w:left="-88" w:leftChars="-42"/>
              <w:jc w:val="center"/>
              <w:rPr>
                <w:rFonts w:asciiTheme="minorEastAsia" w:hAnsiTheme="minorEastAsia" w:eastAsiaTheme="minorEastAsia"/>
                <w:sz w:val="24"/>
              </w:rPr>
            </w:pPr>
          </w:p>
        </w:tc>
        <w:tc>
          <w:tcPr>
            <w:tcW w:w="1309" w:type="dxa"/>
            <w:vAlign w:val="center"/>
          </w:tcPr>
          <w:p>
            <w:pPr>
              <w:adjustRightInd w:val="0"/>
              <w:snapToGrid w:val="0"/>
              <w:ind w:left="-88" w:leftChars="-42"/>
              <w:jc w:val="center"/>
              <w:rPr>
                <w:rFonts w:asciiTheme="minorEastAsia" w:hAnsiTheme="minorEastAsia" w:eastAsiaTheme="minorEastAsia"/>
                <w:sz w:val="24"/>
              </w:rPr>
            </w:pPr>
          </w:p>
        </w:tc>
        <w:tc>
          <w:tcPr>
            <w:tcW w:w="770" w:type="dxa"/>
            <w:vAlign w:val="center"/>
          </w:tcPr>
          <w:p>
            <w:pPr>
              <w:adjustRightInd w:val="0"/>
              <w:snapToGrid w:val="0"/>
              <w:ind w:left="-88" w:leftChars="-42"/>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Theme="minorEastAsia" w:hAnsiTheme="minorEastAsia" w:eastAsiaTheme="minorEastAsia"/>
                <w:sz w:val="24"/>
              </w:rPr>
            </w:pPr>
          </w:p>
        </w:tc>
        <w:tc>
          <w:tcPr>
            <w:tcW w:w="1965" w:type="dxa"/>
            <w:vAlign w:val="center"/>
          </w:tcPr>
          <w:p>
            <w:pPr>
              <w:adjustRightInd w:val="0"/>
              <w:snapToGrid w:val="0"/>
              <w:ind w:left="-88" w:leftChars="-42"/>
              <w:jc w:val="center"/>
              <w:rPr>
                <w:rFonts w:asciiTheme="minorEastAsia" w:hAnsiTheme="minorEastAsia" w:eastAsiaTheme="minorEastAsia"/>
                <w:sz w:val="24"/>
              </w:rPr>
            </w:pPr>
          </w:p>
        </w:tc>
        <w:tc>
          <w:tcPr>
            <w:tcW w:w="2410" w:type="dxa"/>
            <w:vAlign w:val="center"/>
          </w:tcPr>
          <w:p>
            <w:pPr>
              <w:adjustRightInd w:val="0"/>
              <w:snapToGrid w:val="0"/>
              <w:ind w:left="-88" w:leftChars="-42"/>
              <w:jc w:val="center"/>
              <w:rPr>
                <w:rFonts w:asciiTheme="minorEastAsia" w:hAnsiTheme="minorEastAsia" w:eastAsiaTheme="minorEastAsia"/>
                <w:sz w:val="24"/>
              </w:rPr>
            </w:pPr>
          </w:p>
        </w:tc>
        <w:tc>
          <w:tcPr>
            <w:tcW w:w="2318" w:type="dxa"/>
            <w:vAlign w:val="center"/>
          </w:tcPr>
          <w:p>
            <w:pPr>
              <w:adjustRightInd w:val="0"/>
              <w:snapToGrid w:val="0"/>
              <w:ind w:left="-88" w:leftChars="-42"/>
              <w:jc w:val="center"/>
              <w:rPr>
                <w:rFonts w:asciiTheme="minorEastAsia" w:hAnsiTheme="minorEastAsia" w:eastAsiaTheme="minorEastAsia"/>
                <w:sz w:val="24"/>
              </w:rPr>
            </w:pPr>
          </w:p>
        </w:tc>
        <w:tc>
          <w:tcPr>
            <w:tcW w:w="1309" w:type="dxa"/>
            <w:vAlign w:val="center"/>
          </w:tcPr>
          <w:p>
            <w:pPr>
              <w:adjustRightInd w:val="0"/>
              <w:snapToGrid w:val="0"/>
              <w:ind w:left="-88" w:leftChars="-42"/>
              <w:jc w:val="center"/>
              <w:rPr>
                <w:rFonts w:asciiTheme="minorEastAsia" w:hAnsiTheme="minorEastAsia" w:eastAsiaTheme="minorEastAsia"/>
                <w:sz w:val="24"/>
              </w:rPr>
            </w:pPr>
          </w:p>
        </w:tc>
        <w:tc>
          <w:tcPr>
            <w:tcW w:w="770" w:type="dxa"/>
            <w:vAlign w:val="center"/>
          </w:tcPr>
          <w:p>
            <w:pPr>
              <w:adjustRightInd w:val="0"/>
              <w:snapToGrid w:val="0"/>
              <w:ind w:left="-88" w:leftChars="-42"/>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1038" w:type="dxa"/>
            <w:vAlign w:val="center"/>
          </w:tcPr>
          <w:p>
            <w:pPr>
              <w:adjustRightInd w:val="0"/>
              <w:snapToGrid w:val="0"/>
              <w:ind w:left="-88" w:leftChars="-42"/>
              <w:jc w:val="center"/>
              <w:rPr>
                <w:rFonts w:asciiTheme="minorEastAsia" w:hAnsiTheme="minorEastAsia" w:eastAsiaTheme="minorEastAsia"/>
                <w:sz w:val="24"/>
              </w:rPr>
            </w:pPr>
          </w:p>
        </w:tc>
        <w:tc>
          <w:tcPr>
            <w:tcW w:w="1965" w:type="dxa"/>
            <w:vAlign w:val="center"/>
          </w:tcPr>
          <w:p>
            <w:pPr>
              <w:adjustRightInd w:val="0"/>
              <w:snapToGrid w:val="0"/>
              <w:ind w:left="-88" w:leftChars="-42"/>
              <w:jc w:val="center"/>
              <w:rPr>
                <w:rFonts w:asciiTheme="minorEastAsia" w:hAnsiTheme="minorEastAsia" w:eastAsiaTheme="minorEastAsia"/>
                <w:sz w:val="24"/>
              </w:rPr>
            </w:pPr>
          </w:p>
        </w:tc>
        <w:tc>
          <w:tcPr>
            <w:tcW w:w="2410" w:type="dxa"/>
            <w:vAlign w:val="center"/>
          </w:tcPr>
          <w:p>
            <w:pPr>
              <w:adjustRightInd w:val="0"/>
              <w:snapToGrid w:val="0"/>
              <w:ind w:left="-88" w:leftChars="-42"/>
              <w:jc w:val="center"/>
              <w:rPr>
                <w:rFonts w:asciiTheme="minorEastAsia" w:hAnsiTheme="minorEastAsia" w:eastAsiaTheme="minorEastAsia"/>
                <w:sz w:val="24"/>
              </w:rPr>
            </w:pPr>
          </w:p>
        </w:tc>
        <w:tc>
          <w:tcPr>
            <w:tcW w:w="2318" w:type="dxa"/>
            <w:vAlign w:val="center"/>
          </w:tcPr>
          <w:p>
            <w:pPr>
              <w:adjustRightInd w:val="0"/>
              <w:snapToGrid w:val="0"/>
              <w:ind w:left="-88" w:leftChars="-42"/>
              <w:jc w:val="center"/>
              <w:rPr>
                <w:rFonts w:asciiTheme="minorEastAsia" w:hAnsiTheme="minorEastAsia" w:eastAsiaTheme="minorEastAsia"/>
                <w:sz w:val="24"/>
              </w:rPr>
            </w:pPr>
          </w:p>
        </w:tc>
        <w:tc>
          <w:tcPr>
            <w:tcW w:w="1309" w:type="dxa"/>
            <w:vAlign w:val="center"/>
          </w:tcPr>
          <w:p>
            <w:pPr>
              <w:adjustRightInd w:val="0"/>
              <w:snapToGrid w:val="0"/>
              <w:ind w:left="-88" w:leftChars="-42"/>
              <w:jc w:val="center"/>
              <w:rPr>
                <w:rFonts w:asciiTheme="minorEastAsia" w:hAnsiTheme="minorEastAsia" w:eastAsiaTheme="minorEastAsia"/>
                <w:sz w:val="24"/>
              </w:rPr>
            </w:pPr>
          </w:p>
        </w:tc>
        <w:tc>
          <w:tcPr>
            <w:tcW w:w="770" w:type="dxa"/>
            <w:vAlign w:val="center"/>
          </w:tcPr>
          <w:p>
            <w:pPr>
              <w:adjustRightInd w:val="0"/>
              <w:snapToGrid w:val="0"/>
              <w:ind w:left="-88" w:leftChars="-42"/>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Theme="minorEastAsia" w:hAnsiTheme="minorEastAsia" w:eastAsiaTheme="minorEastAsia"/>
                <w:sz w:val="24"/>
              </w:rPr>
            </w:pPr>
          </w:p>
        </w:tc>
        <w:tc>
          <w:tcPr>
            <w:tcW w:w="1965" w:type="dxa"/>
            <w:vAlign w:val="center"/>
          </w:tcPr>
          <w:p>
            <w:pPr>
              <w:adjustRightInd w:val="0"/>
              <w:snapToGrid w:val="0"/>
              <w:ind w:left="-88" w:leftChars="-42"/>
              <w:jc w:val="center"/>
              <w:rPr>
                <w:rFonts w:asciiTheme="minorEastAsia" w:hAnsiTheme="minorEastAsia" w:eastAsiaTheme="minorEastAsia"/>
                <w:sz w:val="24"/>
              </w:rPr>
            </w:pPr>
          </w:p>
        </w:tc>
        <w:tc>
          <w:tcPr>
            <w:tcW w:w="2410" w:type="dxa"/>
            <w:vAlign w:val="center"/>
          </w:tcPr>
          <w:p>
            <w:pPr>
              <w:adjustRightInd w:val="0"/>
              <w:snapToGrid w:val="0"/>
              <w:ind w:left="-88" w:leftChars="-42"/>
              <w:jc w:val="center"/>
              <w:rPr>
                <w:rFonts w:asciiTheme="minorEastAsia" w:hAnsiTheme="minorEastAsia" w:eastAsiaTheme="minorEastAsia"/>
                <w:sz w:val="24"/>
              </w:rPr>
            </w:pPr>
          </w:p>
        </w:tc>
        <w:tc>
          <w:tcPr>
            <w:tcW w:w="2318" w:type="dxa"/>
            <w:vAlign w:val="center"/>
          </w:tcPr>
          <w:p>
            <w:pPr>
              <w:adjustRightInd w:val="0"/>
              <w:snapToGrid w:val="0"/>
              <w:ind w:left="-88" w:leftChars="-42"/>
              <w:jc w:val="center"/>
              <w:rPr>
                <w:rFonts w:asciiTheme="minorEastAsia" w:hAnsiTheme="minorEastAsia" w:eastAsiaTheme="minorEastAsia"/>
                <w:sz w:val="24"/>
              </w:rPr>
            </w:pPr>
          </w:p>
        </w:tc>
        <w:tc>
          <w:tcPr>
            <w:tcW w:w="1309" w:type="dxa"/>
            <w:vAlign w:val="center"/>
          </w:tcPr>
          <w:p>
            <w:pPr>
              <w:adjustRightInd w:val="0"/>
              <w:snapToGrid w:val="0"/>
              <w:ind w:left="-88" w:leftChars="-42"/>
              <w:jc w:val="center"/>
              <w:rPr>
                <w:rFonts w:asciiTheme="minorEastAsia" w:hAnsiTheme="minorEastAsia" w:eastAsiaTheme="minorEastAsia"/>
                <w:sz w:val="24"/>
              </w:rPr>
            </w:pPr>
          </w:p>
        </w:tc>
        <w:tc>
          <w:tcPr>
            <w:tcW w:w="770" w:type="dxa"/>
            <w:vAlign w:val="center"/>
          </w:tcPr>
          <w:p>
            <w:pPr>
              <w:adjustRightInd w:val="0"/>
              <w:snapToGrid w:val="0"/>
              <w:ind w:left="-88" w:leftChars="-42"/>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Theme="minorEastAsia" w:hAnsiTheme="minorEastAsia" w:eastAsiaTheme="minorEastAsia"/>
                <w:sz w:val="24"/>
              </w:rPr>
            </w:pPr>
          </w:p>
        </w:tc>
        <w:tc>
          <w:tcPr>
            <w:tcW w:w="1965" w:type="dxa"/>
            <w:vAlign w:val="center"/>
          </w:tcPr>
          <w:p>
            <w:pPr>
              <w:adjustRightInd w:val="0"/>
              <w:snapToGrid w:val="0"/>
              <w:ind w:left="-88" w:leftChars="-42"/>
              <w:jc w:val="center"/>
              <w:rPr>
                <w:rFonts w:asciiTheme="minorEastAsia" w:hAnsiTheme="minorEastAsia" w:eastAsiaTheme="minorEastAsia"/>
                <w:sz w:val="24"/>
              </w:rPr>
            </w:pPr>
          </w:p>
        </w:tc>
        <w:tc>
          <w:tcPr>
            <w:tcW w:w="2410" w:type="dxa"/>
            <w:vAlign w:val="center"/>
          </w:tcPr>
          <w:p>
            <w:pPr>
              <w:adjustRightInd w:val="0"/>
              <w:snapToGrid w:val="0"/>
              <w:ind w:left="-88" w:leftChars="-42"/>
              <w:jc w:val="center"/>
              <w:rPr>
                <w:rFonts w:asciiTheme="minorEastAsia" w:hAnsiTheme="minorEastAsia" w:eastAsiaTheme="minorEastAsia"/>
                <w:sz w:val="24"/>
              </w:rPr>
            </w:pPr>
          </w:p>
        </w:tc>
        <w:tc>
          <w:tcPr>
            <w:tcW w:w="2318" w:type="dxa"/>
            <w:vAlign w:val="center"/>
          </w:tcPr>
          <w:p>
            <w:pPr>
              <w:adjustRightInd w:val="0"/>
              <w:snapToGrid w:val="0"/>
              <w:ind w:left="-88" w:leftChars="-42"/>
              <w:jc w:val="center"/>
              <w:rPr>
                <w:rFonts w:asciiTheme="minorEastAsia" w:hAnsiTheme="minorEastAsia" w:eastAsiaTheme="minorEastAsia"/>
                <w:sz w:val="24"/>
              </w:rPr>
            </w:pPr>
          </w:p>
        </w:tc>
        <w:tc>
          <w:tcPr>
            <w:tcW w:w="1309" w:type="dxa"/>
            <w:vAlign w:val="center"/>
          </w:tcPr>
          <w:p>
            <w:pPr>
              <w:adjustRightInd w:val="0"/>
              <w:snapToGrid w:val="0"/>
              <w:ind w:left="-88" w:leftChars="-42"/>
              <w:jc w:val="center"/>
              <w:rPr>
                <w:rFonts w:asciiTheme="minorEastAsia" w:hAnsiTheme="minorEastAsia" w:eastAsiaTheme="minorEastAsia"/>
                <w:sz w:val="24"/>
              </w:rPr>
            </w:pPr>
          </w:p>
        </w:tc>
        <w:tc>
          <w:tcPr>
            <w:tcW w:w="770" w:type="dxa"/>
            <w:vAlign w:val="center"/>
          </w:tcPr>
          <w:p>
            <w:pPr>
              <w:adjustRightInd w:val="0"/>
              <w:snapToGrid w:val="0"/>
              <w:ind w:left="-88" w:leftChars="-42"/>
              <w:jc w:val="center"/>
              <w:rPr>
                <w:rFonts w:asciiTheme="minorEastAsia" w:hAnsiTheme="minorEastAsia" w:eastAsiaTheme="minorEastAsia"/>
                <w:sz w:val="24"/>
              </w:rPr>
            </w:pPr>
          </w:p>
        </w:tc>
      </w:tr>
    </w:tbl>
    <w:p>
      <w:pPr>
        <w:pStyle w:val="35"/>
        <w:tabs>
          <w:tab w:val="left" w:pos="720"/>
          <w:tab w:val="clear" w:pos="9060"/>
        </w:tabs>
        <w:spacing w:before="63" w:after="63"/>
        <w:ind w:firstLine="422"/>
        <w:rPr>
          <w:rFonts w:asciiTheme="minorEastAsia" w:hAnsiTheme="minorEastAsia" w:eastAsiaTheme="minorEastAsia"/>
        </w:rPr>
      </w:pPr>
      <w:r>
        <w:rPr>
          <w:rFonts w:hint="eastAsia" w:asciiTheme="minorEastAsia" w:hAnsiTheme="minorEastAsia" w:eastAsiaTheme="minorEastAsia"/>
          <w:b/>
        </w:rPr>
        <w:t>备注</w:t>
      </w:r>
      <w:r>
        <w:rPr>
          <w:rFonts w:hint="eastAsia" w:asciiTheme="minorEastAsia" w:hAnsiTheme="minorEastAsia" w:eastAsiaTheme="minorEastAsia"/>
        </w:rPr>
        <w:t>：“响应/偏离”栏应注明“响应”或“偏离”。</w:t>
      </w:r>
    </w:p>
    <w:p>
      <w:pPr>
        <w:adjustRightInd w:val="0"/>
        <w:snapToGrid w:val="0"/>
        <w:spacing w:beforeLines="50" w:line="360" w:lineRule="auto"/>
        <w:rPr>
          <w:rFonts w:asciiTheme="minorEastAsia" w:hAnsiTheme="minorEastAsia" w:eastAsiaTheme="minorEastAsia"/>
          <w:szCs w:val="21"/>
        </w:rPr>
      </w:pPr>
    </w:p>
    <w:p>
      <w:pPr>
        <w:adjustRightInd w:val="0"/>
        <w:snapToGrid w:val="0"/>
        <w:spacing w:beforeLines="50" w:line="360" w:lineRule="auto"/>
        <w:ind w:left="5386" w:leftChars="2565" w:right="840"/>
        <w:jc w:val="right"/>
        <w:rPr>
          <w:rFonts w:asciiTheme="minorEastAsia" w:hAnsiTheme="minorEastAsia" w:eastAsiaTheme="minorEastAsia"/>
          <w:sz w:val="24"/>
        </w:rPr>
      </w:pPr>
      <w:r>
        <w:rPr>
          <w:rFonts w:hint="eastAsia" w:asciiTheme="minorEastAsia" w:hAnsiTheme="minorEastAsia" w:eastAsiaTheme="minorEastAsia"/>
          <w:sz w:val="24"/>
        </w:rPr>
        <w:t xml:space="preserve">投标人名称（盖章）： </w:t>
      </w:r>
    </w:p>
    <w:p>
      <w:pPr>
        <w:adjustRightInd w:val="0"/>
        <w:snapToGrid w:val="0"/>
        <w:spacing w:beforeLines="50" w:line="360" w:lineRule="auto"/>
        <w:ind w:right="840" w:firstLine="6120" w:firstLineChars="2550"/>
        <w:jc w:val="right"/>
        <w:rPr>
          <w:rFonts w:asciiTheme="minorEastAsia" w:hAnsiTheme="minorEastAsia" w:eastAsiaTheme="minorEastAsia"/>
          <w:sz w:val="24"/>
          <w:u w:val="single"/>
        </w:rPr>
      </w:pPr>
      <w:r>
        <w:rPr>
          <w:rFonts w:hint="eastAsia" w:asciiTheme="minorEastAsia" w:hAnsiTheme="minorEastAsia" w:eastAsiaTheme="minorEastAsia"/>
          <w:sz w:val="24"/>
        </w:rPr>
        <w:t>法定代表人（盖章）：</w:t>
      </w:r>
      <w:r>
        <w:rPr>
          <w:rFonts w:hint="eastAsia" w:asciiTheme="minorEastAsia" w:hAnsiTheme="minorEastAsia" w:eastAsiaTheme="minorEastAsia"/>
          <w:sz w:val="24"/>
          <w:u w:val="single"/>
        </w:rPr>
        <w:t xml:space="preserve"> </w:t>
      </w:r>
    </w:p>
    <w:p>
      <w:pPr>
        <w:wordWrap w:val="0"/>
        <w:adjustRightInd w:val="0"/>
        <w:snapToGrid w:val="0"/>
        <w:spacing w:beforeLines="50" w:line="360" w:lineRule="auto"/>
        <w:ind w:left="5386" w:leftChars="2565" w:right="840"/>
        <w:jc w:val="right"/>
        <w:rPr>
          <w:rFonts w:asciiTheme="minorEastAsia" w:hAnsiTheme="minorEastAsia" w:eastAsiaTheme="minorEastAsia"/>
          <w:sz w:val="24"/>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adjustRightInd w:val="0"/>
        <w:snapToGrid w:val="0"/>
        <w:spacing w:before="50" w:line="360" w:lineRule="auto"/>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p>
    <w:p>
      <w:pPr>
        <w:pStyle w:val="28"/>
        <w:adjustRightInd w:val="0"/>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五、投标保证金</w:t>
      </w:r>
    </w:p>
    <w:p>
      <w:pPr>
        <w:pStyle w:val="28"/>
        <w:adjustRightInd w:val="0"/>
        <w:snapToGrid w:val="0"/>
        <w:spacing w:beforeLines="50" w:line="360" w:lineRule="auto"/>
        <w:rPr>
          <w:rFonts w:asciiTheme="minorEastAsia" w:hAnsiTheme="minorEastAsia" w:eastAsiaTheme="minorEastAsia"/>
          <w:b/>
          <w:sz w:val="32"/>
          <w:szCs w:val="32"/>
        </w:rPr>
      </w:pPr>
    </w:p>
    <w:p>
      <w:pPr>
        <w:pStyle w:val="28"/>
        <w:adjustRightInd w:val="0"/>
        <w:snapToGrid w:val="0"/>
        <w:spacing w:beforeLines="50" w:line="360" w:lineRule="auto"/>
        <w:rPr>
          <w:rFonts w:asciiTheme="minorEastAsia" w:hAnsiTheme="minorEastAsia" w:eastAsiaTheme="minorEastAsia"/>
          <w:b/>
        </w:rPr>
      </w:pPr>
    </w:p>
    <w:p>
      <w:pPr>
        <w:pStyle w:val="28"/>
        <w:adjustRightInd w:val="0"/>
        <w:snapToGrid w:val="0"/>
        <w:spacing w:beforeLines="50" w:line="360" w:lineRule="auto"/>
        <w:rPr>
          <w:rFonts w:asciiTheme="minorEastAsia" w:hAnsiTheme="minorEastAsia" w:eastAsiaTheme="minorEastAsia"/>
          <w:b/>
          <w:sz w:val="24"/>
          <w:szCs w:val="24"/>
        </w:rPr>
        <w:sectPr>
          <w:pgSz w:w="11905" w:h="16838"/>
          <w:pgMar w:top="1531" w:right="1134" w:bottom="1531" w:left="1531" w:header="851" w:footer="992" w:gutter="0"/>
          <w:cols w:space="0" w:num="1"/>
          <w:docGrid w:type="lines" w:linePitch="318" w:charSpace="0"/>
        </w:sectPr>
      </w:pPr>
      <w:r>
        <w:rPr>
          <w:rFonts w:hint="eastAsia" w:asciiTheme="minorEastAsia" w:hAnsiTheme="minorEastAsia" w:eastAsiaTheme="minorEastAsia"/>
          <w:b/>
          <w:sz w:val="24"/>
          <w:szCs w:val="24"/>
        </w:rPr>
        <w:t>备注：</w:t>
      </w:r>
      <w:r>
        <w:rPr>
          <w:rFonts w:hint="eastAsia" w:asciiTheme="minorEastAsia" w:hAnsiTheme="minorEastAsia" w:eastAsiaTheme="minorEastAsia"/>
          <w:sz w:val="24"/>
          <w:szCs w:val="24"/>
        </w:rPr>
        <w:t>提供：付款凭证复印件。</w:t>
      </w:r>
    </w:p>
    <w:p>
      <w:pPr>
        <w:pStyle w:val="28"/>
        <w:spacing w:line="400" w:lineRule="atLeast"/>
        <w:jc w:val="center"/>
        <w:rPr>
          <w:rFonts w:cs="Arial" w:asciiTheme="minorEastAsia" w:hAnsiTheme="minorEastAsia" w:eastAsiaTheme="minorEastAsia"/>
          <w:b/>
          <w:bCs/>
          <w:sz w:val="24"/>
        </w:rPr>
      </w:pPr>
      <w:r>
        <w:rPr>
          <w:rFonts w:hint="eastAsia" w:cs="Arial" w:asciiTheme="minorEastAsia" w:hAnsiTheme="minorEastAsia" w:eastAsiaTheme="minorEastAsia"/>
          <w:b/>
          <w:bCs/>
          <w:sz w:val="24"/>
        </w:rPr>
        <w:t>六、制造商出具的授权函</w:t>
      </w:r>
    </w:p>
    <w:p>
      <w:pPr>
        <w:pStyle w:val="28"/>
        <w:spacing w:line="400" w:lineRule="atLeast"/>
        <w:rPr>
          <w:rFonts w:cs="Arial" w:asciiTheme="minorEastAsia" w:hAnsiTheme="minorEastAsia" w:eastAsiaTheme="minorEastAsia"/>
          <w:i/>
          <w:sz w:val="24"/>
        </w:rPr>
      </w:pPr>
    </w:p>
    <w:p>
      <w:pPr>
        <w:pStyle w:val="28"/>
        <w:spacing w:line="400" w:lineRule="atLeast"/>
        <w:rPr>
          <w:rFonts w:cs="Arial" w:asciiTheme="minorEastAsia" w:hAnsiTheme="minorEastAsia" w:eastAsiaTheme="minorEastAsia"/>
          <w:sz w:val="24"/>
          <w:szCs w:val="24"/>
          <w:u w:val="single"/>
        </w:rPr>
      </w:pPr>
      <w:r>
        <w:rPr>
          <w:rFonts w:hint="eastAsia" w:cs="Arial" w:asciiTheme="minorEastAsia" w:hAnsiTheme="minorEastAsia" w:eastAsiaTheme="minorEastAsia"/>
          <w:sz w:val="24"/>
          <w:szCs w:val="24"/>
        </w:rPr>
        <w:t>致：</w:t>
      </w:r>
      <w:r>
        <w:rPr>
          <w:rFonts w:cs="Arial" w:asciiTheme="minorEastAsia" w:hAnsiTheme="minorEastAsia" w:eastAsiaTheme="minorEastAsia"/>
          <w:sz w:val="24"/>
          <w:szCs w:val="24"/>
          <w:u w:val="single"/>
        </w:rPr>
        <w:t>(</w:t>
      </w:r>
      <w:r>
        <w:rPr>
          <w:rFonts w:hint="eastAsia" w:cs="Arial" w:asciiTheme="minorEastAsia" w:hAnsiTheme="minorEastAsia" w:eastAsiaTheme="minorEastAsia"/>
          <w:sz w:val="24"/>
          <w:szCs w:val="24"/>
          <w:u w:val="single"/>
        </w:rPr>
        <w:t>招标机构</w:t>
      </w:r>
      <w:r>
        <w:rPr>
          <w:rFonts w:cs="Arial" w:asciiTheme="minorEastAsia" w:hAnsiTheme="minorEastAsia" w:eastAsiaTheme="minorEastAsia"/>
          <w:sz w:val="24"/>
          <w:szCs w:val="24"/>
          <w:u w:val="single"/>
        </w:rPr>
        <w:t xml:space="preserve">)   </w:t>
      </w:r>
    </w:p>
    <w:p>
      <w:pPr>
        <w:pStyle w:val="28"/>
        <w:spacing w:line="400" w:lineRule="atLeast"/>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我们</w:t>
      </w:r>
      <w:r>
        <w:rPr>
          <w:rFonts w:hint="eastAsia" w:cs="Arial" w:asciiTheme="minorEastAsia" w:hAnsiTheme="minorEastAsia" w:eastAsiaTheme="minorEastAsia"/>
          <w:sz w:val="24"/>
          <w:szCs w:val="24"/>
          <w:u w:val="single"/>
        </w:rPr>
        <w:t>（制造商名称</w:t>
      </w:r>
      <w:r>
        <w:rPr>
          <w:rFonts w:cs="Arial" w:asciiTheme="minorEastAsia" w:hAnsiTheme="minorEastAsia" w:eastAsiaTheme="minorEastAsia"/>
          <w:sz w:val="24"/>
          <w:szCs w:val="24"/>
          <w:u w:val="single"/>
        </w:rPr>
        <w:t>)</w:t>
      </w:r>
      <w:r>
        <w:rPr>
          <w:rFonts w:hint="eastAsia" w:cs="Arial" w:asciiTheme="minorEastAsia" w:hAnsiTheme="minorEastAsia" w:eastAsiaTheme="minorEastAsia"/>
          <w:sz w:val="24"/>
          <w:szCs w:val="24"/>
        </w:rPr>
        <w:t>兹指派主要营业地点设在</w:t>
      </w:r>
      <w:r>
        <w:rPr>
          <w:rFonts w:cs="Arial" w:asciiTheme="minorEastAsia" w:hAnsiTheme="minorEastAsia" w:eastAsiaTheme="minorEastAsia"/>
          <w:sz w:val="24"/>
          <w:szCs w:val="24"/>
          <w:u w:val="single"/>
        </w:rPr>
        <w:t>(</w:t>
      </w:r>
      <w:r>
        <w:rPr>
          <w:rFonts w:hint="eastAsia" w:cs="Arial" w:asciiTheme="minorEastAsia" w:hAnsiTheme="minorEastAsia" w:eastAsiaTheme="minorEastAsia"/>
          <w:sz w:val="24"/>
          <w:szCs w:val="24"/>
          <w:u w:val="single"/>
        </w:rPr>
        <w:t>贸易公司地址</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的</w:t>
      </w:r>
      <w:r>
        <w:rPr>
          <w:rFonts w:hint="eastAsia" w:cs="Arial" w:asciiTheme="minorEastAsia" w:hAnsiTheme="minorEastAsia" w:eastAsiaTheme="minorEastAsia"/>
          <w:sz w:val="24"/>
          <w:szCs w:val="24"/>
          <w:u w:val="single"/>
        </w:rPr>
        <w:t>（贸易公司名称</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作为我方真正的和合法的代理人进行下列有效的活动：</w:t>
      </w:r>
    </w:p>
    <w:p>
      <w:pPr>
        <w:pStyle w:val="28"/>
        <w:spacing w:line="400" w:lineRule="atLeast"/>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代表我方办理贵方</w:t>
      </w:r>
      <w:r>
        <w:rPr>
          <w:rFonts w:hint="eastAsia" w:cs="Arial" w:asciiTheme="minorEastAsia" w:hAnsiTheme="minorEastAsia" w:eastAsiaTheme="minorEastAsia"/>
          <w:sz w:val="24"/>
          <w:szCs w:val="24"/>
          <w:u w:val="single"/>
        </w:rPr>
        <w:t>项目编号：</w:t>
      </w:r>
      <w:r>
        <w:rPr>
          <w:rFonts w:hint="eastAsia" w:cs="Arial" w:asciiTheme="minorEastAsia" w:hAnsiTheme="minorEastAsia" w:eastAsiaTheme="minorEastAsia"/>
          <w:sz w:val="24"/>
          <w:szCs w:val="24"/>
        </w:rPr>
        <w:t>中要求提供的由我方制造</w:t>
      </w:r>
      <w:r>
        <w:rPr>
          <w:rFonts w:hint="eastAsia" w:cs="Arial" w:asciiTheme="minorEastAsia" w:hAnsiTheme="minorEastAsia" w:eastAsiaTheme="minorEastAsia"/>
          <w:sz w:val="24"/>
          <w:szCs w:val="24"/>
          <w:u w:val="single"/>
        </w:rPr>
        <w:t>（货物名称）</w:t>
      </w:r>
      <w:r>
        <w:rPr>
          <w:rFonts w:hint="eastAsia" w:cs="Arial" w:asciiTheme="minorEastAsia" w:hAnsiTheme="minorEastAsia" w:eastAsiaTheme="minorEastAsia"/>
          <w:sz w:val="24"/>
          <w:szCs w:val="24"/>
        </w:rPr>
        <w:t>货物的有关事宜，并对我方具有约束力；</w:t>
      </w:r>
    </w:p>
    <w:p>
      <w:pPr>
        <w:pStyle w:val="28"/>
        <w:spacing w:line="400" w:lineRule="atLeast"/>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(2)</w:t>
      </w:r>
      <w:r>
        <w:rPr>
          <w:rFonts w:hint="eastAsia" w:cs="Arial" w:asciiTheme="minorEastAsia" w:hAnsiTheme="minorEastAsia" w:eastAsiaTheme="minorEastAsia"/>
          <w:sz w:val="24"/>
          <w:szCs w:val="24"/>
        </w:rPr>
        <w:t>作为制造商，我方保证以投标合作者来约束自己，并对该投标共同和分别承担招标文件中所规定的义务；</w:t>
      </w:r>
    </w:p>
    <w:p>
      <w:pPr>
        <w:pStyle w:val="28"/>
        <w:spacing w:line="400" w:lineRule="atLeast"/>
        <w:ind w:firstLine="480"/>
        <w:rPr>
          <w:rFonts w:cs="Arial" w:asciiTheme="minorEastAsia" w:hAnsiTheme="minorEastAsia" w:eastAsiaTheme="minorEastAsia"/>
          <w:sz w:val="24"/>
          <w:szCs w:val="24"/>
        </w:rPr>
      </w:pPr>
      <w:r>
        <w:rPr>
          <w:rFonts w:cs="Arial" w:asciiTheme="minorEastAsia" w:hAnsiTheme="minorEastAsia" w:eastAsiaTheme="minorEastAsia"/>
          <w:sz w:val="24"/>
          <w:szCs w:val="24"/>
        </w:rPr>
        <w:t>(3)</w:t>
      </w:r>
      <w:r>
        <w:rPr>
          <w:rFonts w:hint="eastAsia" w:cs="Arial" w:asciiTheme="minorEastAsia" w:hAnsiTheme="minorEastAsia" w:eastAsiaTheme="minorEastAsia"/>
          <w:sz w:val="24"/>
          <w:szCs w:val="24"/>
        </w:rPr>
        <w:t>我方兹授予</w:t>
      </w:r>
      <w:r>
        <w:rPr>
          <w:rFonts w:hint="eastAsia" w:cs="Arial" w:asciiTheme="minorEastAsia" w:hAnsiTheme="minorEastAsia" w:eastAsiaTheme="minorEastAsia"/>
          <w:sz w:val="24"/>
          <w:szCs w:val="24"/>
          <w:u w:val="single"/>
        </w:rPr>
        <w:t>（贸易公司名称</w:t>
      </w:r>
      <w:r>
        <w:rPr>
          <w:rFonts w:cs="Arial" w:asciiTheme="minorEastAsia" w:hAnsiTheme="minorEastAsia" w:eastAsiaTheme="minorEastAsia"/>
          <w:sz w:val="24"/>
          <w:szCs w:val="24"/>
          <w:u w:val="single"/>
        </w:rPr>
        <w:t>)</w:t>
      </w:r>
      <w:r>
        <w:rPr>
          <w:rFonts w:hint="eastAsia" w:cs="Arial" w:asciiTheme="minorEastAsia" w:hAnsiTheme="minorEastAsia" w:eastAsiaTheme="minorEastAsia"/>
          <w:sz w:val="24"/>
          <w:szCs w:val="24"/>
        </w:rPr>
        <w:t>全权办理和履行上述我方为完成上述各点所必须的事宜，具有替换或撤消的全权。兹确认</w:t>
      </w:r>
      <w:r>
        <w:rPr>
          <w:rFonts w:hint="eastAsia" w:cs="Arial" w:asciiTheme="minorEastAsia" w:hAnsiTheme="minorEastAsia" w:eastAsiaTheme="minorEastAsia"/>
          <w:sz w:val="24"/>
          <w:szCs w:val="24"/>
          <w:u w:val="single"/>
        </w:rPr>
        <w:t>（贸易公司名称</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或其正式授权代表依此合法地办理一切事宜。我方于年月日签署本文件，</w:t>
      </w:r>
      <w:r>
        <w:rPr>
          <w:rFonts w:hint="eastAsia" w:cs="Arial" w:asciiTheme="minorEastAsia" w:hAnsiTheme="minorEastAsia" w:eastAsiaTheme="minorEastAsia"/>
          <w:sz w:val="24"/>
          <w:szCs w:val="24"/>
          <w:u w:val="single"/>
        </w:rPr>
        <w:t>（贸易公司名称</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于年</w:t>
      </w:r>
    </w:p>
    <w:p>
      <w:pPr>
        <w:pStyle w:val="28"/>
        <w:spacing w:line="400" w:lineRule="atLeas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月日接受此件，以此为证。</w:t>
      </w:r>
    </w:p>
    <w:p>
      <w:pPr>
        <w:pStyle w:val="28"/>
        <w:spacing w:line="400" w:lineRule="atLeast"/>
        <w:rPr>
          <w:rFonts w:cs="Arial" w:asciiTheme="minorEastAsia" w:hAnsiTheme="minorEastAsia" w:eastAsiaTheme="minorEastAsia"/>
          <w:sz w:val="24"/>
          <w:szCs w:val="24"/>
        </w:rPr>
      </w:pPr>
    </w:p>
    <w:p>
      <w:pPr>
        <w:pStyle w:val="28"/>
        <w:spacing w:line="400" w:lineRule="atLeast"/>
        <w:rPr>
          <w:rFonts w:cs="Arial" w:asciiTheme="minorEastAsia" w:hAnsiTheme="minorEastAsia" w:eastAsiaTheme="minorEastAsia"/>
          <w:sz w:val="24"/>
          <w:szCs w:val="24"/>
        </w:rPr>
      </w:pPr>
    </w:p>
    <w:p>
      <w:pPr>
        <w:pStyle w:val="28"/>
        <w:spacing w:line="400" w:lineRule="atLeast"/>
        <w:rPr>
          <w:rFonts w:cs="Arial" w:asciiTheme="minorEastAsia" w:hAnsiTheme="minorEastAsia" w:eastAsiaTheme="minorEastAsia"/>
          <w:sz w:val="24"/>
          <w:szCs w:val="24"/>
        </w:rPr>
      </w:pPr>
    </w:p>
    <w:p>
      <w:pPr>
        <w:pStyle w:val="28"/>
        <w:spacing w:line="400" w:lineRule="atLeast"/>
        <w:rPr>
          <w:rFonts w:cs="Arial" w:asciiTheme="minorEastAsia" w:hAnsiTheme="minorEastAsia" w:eastAsiaTheme="minorEastAsia"/>
          <w:sz w:val="24"/>
          <w:szCs w:val="24"/>
        </w:rPr>
      </w:pPr>
    </w:p>
    <w:p>
      <w:pPr>
        <w:pStyle w:val="28"/>
        <w:spacing w:line="400" w:lineRule="atLeast"/>
        <w:rPr>
          <w:rFonts w:cs="Arial" w:asciiTheme="minorEastAsia" w:hAnsiTheme="minorEastAsia" w:eastAsiaTheme="minorEastAsia"/>
          <w:sz w:val="24"/>
          <w:szCs w:val="24"/>
        </w:rPr>
      </w:pPr>
    </w:p>
    <w:p>
      <w:pPr>
        <w:pStyle w:val="28"/>
        <w:spacing w:line="400" w:lineRule="atLeast"/>
        <w:rPr>
          <w:rFonts w:cs="Arial" w:asciiTheme="minorEastAsia" w:hAnsiTheme="minorEastAsia" w:eastAsiaTheme="minorEastAsia"/>
          <w:sz w:val="24"/>
          <w:szCs w:val="24"/>
        </w:rPr>
      </w:pPr>
    </w:p>
    <w:p>
      <w:pPr>
        <w:pStyle w:val="28"/>
        <w:spacing w:line="400" w:lineRule="atLeas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贸易公司名称制造商名称：</w:t>
      </w:r>
    </w:p>
    <w:p>
      <w:pPr>
        <w:pStyle w:val="28"/>
        <w:spacing w:line="400" w:lineRule="atLeas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签字人职务和部门签字人职务和部门：</w:t>
      </w:r>
    </w:p>
    <w:p>
      <w:pPr>
        <w:pStyle w:val="28"/>
        <w:spacing w:line="400" w:lineRule="atLeas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签字人姓名签字人姓名：</w:t>
      </w:r>
    </w:p>
    <w:p>
      <w:pPr>
        <w:pStyle w:val="28"/>
        <w:spacing w:line="400" w:lineRule="atLeast"/>
        <w:ind w:firstLine="480"/>
        <w:rPr>
          <w:rFonts w:cs="Arial" w:asciiTheme="minorEastAsia" w:hAnsiTheme="minorEastAsia" w:eastAsiaTheme="minorEastAsia"/>
          <w:sz w:val="24"/>
          <w:szCs w:val="24"/>
        </w:rPr>
      </w:pPr>
    </w:p>
    <w:p>
      <w:pPr>
        <w:pStyle w:val="28"/>
        <w:spacing w:line="400" w:lineRule="atLeast"/>
        <w:ind w:firstLine="48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注：若制造商作为投标主体直接参与投标，可以不提供此项证明文件。</w:t>
      </w:r>
    </w:p>
    <w:p>
      <w:pPr>
        <w:adjustRightInd w:val="0"/>
        <w:snapToGrid w:val="0"/>
        <w:spacing w:line="360" w:lineRule="auto"/>
        <w:jc w:val="center"/>
        <w:rPr>
          <w:rFonts w:cs="Courier New" w:asciiTheme="minorEastAsia" w:hAnsiTheme="minorEastAsia" w:eastAsiaTheme="minorEastAsia"/>
          <w:bCs/>
          <w:sz w:val="22"/>
          <w:szCs w:val="28"/>
        </w:rPr>
      </w:pPr>
    </w:p>
    <w:p>
      <w:pPr>
        <w:adjustRightInd w:val="0"/>
        <w:snapToGrid w:val="0"/>
        <w:spacing w:line="360" w:lineRule="auto"/>
        <w:jc w:val="center"/>
        <w:rPr>
          <w:rFonts w:cs="Courier New" w:asciiTheme="minorEastAsia" w:hAnsiTheme="minorEastAsia" w:eastAsiaTheme="minorEastAsia"/>
          <w:bCs/>
          <w:sz w:val="22"/>
          <w:szCs w:val="28"/>
        </w:rPr>
      </w:pPr>
    </w:p>
    <w:p>
      <w:pPr>
        <w:adjustRightInd w:val="0"/>
        <w:snapToGrid w:val="0"/>
        <w:spacing w:line="360" w:lineRule="auto"/>
        <w:jc w:val="center"/>
        <w:rPr>
          <w:rFonts w:cs="Courier New" w:asciiTheme="minorEastAsia" w:hAnsiTheme="minorEastAsia" w:eastAsiaTheme="minorEastAsia"/>
          <w:bCs/>
          <w:sz w:val="28"/>
          <w:szCs w:val="28"/>
        </w:rPr>
      </w:pPr>
    </w:p>
    <w:p>
      <w:pPr>
        <w:adjustRightInd w:val="0"/>
        <w:snapToGrid w:val="0"/>
        <w:spacing w:line="360" w:lineRule="auto"/>
        <w:jc w:val="center"/>
        <w:rPr>
          <w:rFonts w:cs="Courier New" w:asciiTheme="minorEastAsia" w:hAnsiTheme="minorEastAsia" w:eastAsiaTheme="minorEastAsia"/>
          <w:bCs/>
          <w:sz w:val="28"/>
          <w:szCs w:val="28"/>
        </w:rPr>
      </w:pPr>
    </w:p>
    <w:p>
      <w:pPr>
        <w:adjustRightInd w:val="0"/>
        <w:snapToGrid w:val="0"/>
        <w:spacing w:line="360" w:lineRule="auto"/>
        <w:jc w:val="center"/>
        <w:rPr>
          <w:rFonts w:cs="Courier New" w:asciiTheme="minorEastAsia" w:hAnsiTheme="minorEastAsia" w:eastAsiaTheme="minorEastAsia"/>
          <w:bCs/>
          <w:sz w:val="28"/>
          <w:szCs w:val="28"/>
        </w:rPr>
      </w:pPr>
    </w:p>
    <w:p>
      <w:pPr>
        <w:adjustRightInd w:val="0"/>
        <w:snapToGrid w:val="0"/>
        <w:spacing w:line="360" w:lineRule="auto"/>
        <w:jc w:val="center"/>
        <w:rPr>
          <w:rFonts w:cs="Courier New" w:asciiTheme="minorEastAsia" w:hAnsiTheme="minorEastAsia" w:eastAsiaTheme="minorEastAsia"/>
          <w:bCs/>
          <w:sz w:val="28"/>
          <w:szCs w:val="28"/>
        </w:rPr>
      </w:pPr>
    </w:p>
    <w:p>
      <w:pPr>
        <w:adjustRightInd w:val="0"/>
        <w:snapToGrid w:val="0"/>
        <w:spacing w:line="360" w:lineRule="auto"/>
        <w:jc w:val="center"/>
        <w:rPr>
          <w:rFonts w:cs="Courier New" w:asciiTheme="minorEastAsia" w:hAnsiTheme="minorEastAsia" w:eastAsiaTheme="minorEastAsia"/>
          <w:bCs/>
          <w:sz w:val="28"/>
          <w:szCs w:val="28"/>
        </w:rPr>
      </w:pPr>
    </w:p>
    <w:p>
      <w:pPr>
        <w:adjustRightInd w:val="0"/>
        <w:snapToGrid w:val="0"/>
        <w:spacing w:line="360" w:lineRule="auto"/>
        <w:rPr>
          <w:rFonts w:cs="Courier New" w:asciiTheme="minorEastAsia" w:hAnsiTheme="minorEastAsia" w:eastAsiaTheme="minorEastAsia"/>
          <w:bCs/>
          <w:sz w:val="28"/>
          <w:szCs w:val="28"/>
        </w:rPr>
      </w:pPr>
    </w:p>
    <w:p>
      <w:pPr>
        <w:adjustRightInd w:val="0"/>
        <w:snapToGrid w:val="0"/>
        <w:spacing w:line="360" w:lineRule="auto"/>
        <w:jc w:val="center"/>
        <w:rPr>
          <w:rFonts w:cs="Courier New" w:asciiTheme="minorEastAsia" w:hAnsiTheme="minorEastAsia" w:eastAsiaTheme="minorEastAsia"/>
          <w:bCs/>
          <w:sz w:val="28"/>
          <w:szCs w:val="28"/>
        </w:rPr>
      </w:pPr>
      <w:r>
        <w:rPr>
          <w:rFonts w:hint="eastAsia" w:cs="Courier New" w:asciiTheme="minorEastAsia" w:hAnsiTheme="minorEastAsia" w:eastAsiaTheme="minorEastAsia"/>
          <w:bCs/>
          <w:sz w:val="28"/>
          <w:szCs w:val="28"/>
        </w:rPr>
        <w:t>七、投标人具备投标资格的证明文件</w:t>
      </w:r>
      <w:bookmarkStart w:id="6" w:name="_Toc294186060"/>
      <w:bookmarkStart w:id="7" w:name="_Toc294206743"/>
    </w:p>
    <w:p>
      <w:pPr>
        <w:pStyle w:val="28"/>
        <w:ind w:left="1935" w:hanging="1095"/>
        <w:jc w:val="center"/>
        <w:rPr>
          <w:rFonts w:asciiTheme="minorEastAsia" w:hAnsiTheme="minorEastAsia" w:eastAsiaTheme="minorEastAsia"/>
          <w:b/>
          <w:bCs/>
          <w:sz w:val="24"/>
          <w:szCs w:val="24"/>
        </w:rPr>
      </w:pPr>
    </w:p>
    <w:p>
      <w:pPr>
        <w:pStyle w:val="28"/>
        <w:ind w:left="105" w:leftChars="50" w:firstLine="3614" w:firstLineChars="15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填写须知</w:t>
      </w:r>
    </w:p>
    <w:p>
      <w:pPr>
        <w:adjustRightInd w:val="0"/>
        <w:snapToGrid w:val="0"/>
        <w:spacing w:beforeLines="50"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hint="eastAsia" w:asciiTheme="minorEastAsia" w:hAnsiTheme="minorEastAsia" w:eastAsiaTheme="minorEastAsia"/>
          <w:b/>
          <w:sz w:val="24"/>
        </w:rPr>
        <w:t>投标人</w:t>
      </w:r>
      <w:r>
        <w:rPr>
          <w:rFonts w:hint="eastAsia" w:asciiTheme="minorEastAsia" w:hAnsiTheme="minorEastAsia" w:eastAsiaTheme="minorEastAsia"/>
          <w:b/>
          <w:bCs/>
          <w:sz w:val="24"/>
        </w:rPr>
        <w:t>有下列情形之一的，视为无效投标：</w:t>
      </w:r>
    </w:p>
    <w:p>
      <w:pPr>
        <w:adjustRightInd w:val="0"/>
        <w:snapToGrid w:val="0"/>
        <w:spacing w:beforeLines="50" w:line="360" w:lineRule="auto"/>
        <w:ind w:firstLine="470" w:firstLineChars="196"/>
        <w:rPr>
          <w:rFonts w:asciiTheme="minorEastAsia" w:hAnsiTheme="minorEastAsia" w:eastAsiaTheme="minorEastAsia"/>
          <w:bCs/>
          <w:sz w:val="24"/>
        </w:rPr>
      </w:pPr>
      <w:r>
        <w:rPr>
          <w:rFonts w:hint="eastAsia" w:asciiTheme="minorEastAsia" w:hAnsiTheme="minorEastAsia" w:eastAsiaTheme="minorEastAsia"/>
          <w:sz w:val="24"/>
        </w:rPr>
        <w:t>(一)</w:t>
      </w:r>
      <w:r>
        <w:rPr>
          <w:rFonts w:hint="eastAsia" w:asciiTheme="minorEastAsia" w:hAnsiTheme="minorEastAsia" w:eastAsiaTheme="minorEastAsia"/>
          <w:bCs/>
          <w:sz w:val="24"/>
        </w:rPr>
        <w:t>未按招标文件要求提交资格证明文件的；</w:t>
      </w:r>
    </w:p>
    <w:p>
      <w:pPr>
        <w:adjustRightInd w:val="0"/>
        <w:snapToGrid w:val="0"/>
        <w:spacing w:beforeLines="50" w:line="360" w:lineRule="auto"/>
        <w:ind w:firstLine="470" w:firstLineChars="196"/>
        <w:rPr>
          <w:rFonts w:asciiTheme="minorEastAsia" w:hAnsiTheme="minorEastAsia" w:eastAsiaTheme="minorEastAsia"/>
          <w:bCs/>
          <w:sz w:val="24"/>
        </w:rPr>
      </w:pPr>
      <w:r>
        <w:rPr>
          <w:rFonts w:hint="eastAsia" w:asciiTheme="minorEastAsia" w:hAnsiTheme="minorEastAsia" w:eastAsiaTheme="minorEastAsia"/>
          <w:sz w:val="24"/>
        </w:rPr>
        <w:t>(二)</w:t>
      </w:r>
      <w:r>
        <w:rPr>
          <w:rFonts w:hint="eastAsia" w:asciiTheme="minorEastAsia" w:hAnsiTheme="minorEastAsia" w:eastAsiaTheme="minorEastAsia"/>
          <w:bCs/>
          <w:sz w:val="24"/>
        </w:rPr>
        <w:t>提供的资格证明文件不符合招标文件要求或提供虚假资格证明文件的；</w:t>
      </w:r>
    </w:p>
    <w:p>
      <w:pPr>
        <w:adjustRightInd w:val="0"/>
        <w:snapToGrid w:val="0"/>
        <w:spacing w:beforeLines="50" w:line="360" w:lineRule="auto"/>
        <w:ind w:firstLine="470" w:firstLineChars="196"/>
        <w:rPr>
          <w:rFonts w:asciiTheme="minorEastAsia" w:hAnsiTheme="minorEastAsia" w:eastAsiaTheme="minorEastAsia"/>
          <w:bCs/>
          <w:sz w:val="24"/>
        </w:rPr>
      </w:pPr>
      <w:r>
        <w:rPr>
          <w:rFonts w:hint="eastAsia" w:asciiTheme="minorEastAsia" w:hAnsiTheme="minorEastAsia" w:eastAsiaTheme="minorEastAsia"/>
          <w:sz w:val="24"/>
        </w:rPr>
        <w:t>(三)</w:t>
      </w:r>
      <w:r>
        <w:rPr>
          <w:rFonts w:hint="eastAsia" w:asciiTheme="minorEastAsia" w:hAnsiTheme="minorEastAsia" w:eastAsiaTheme="minorEastAsia"/>
          <w:bCs/>
          <w:sz w:val="24"/>
        </w:rPr>
        <w:t>资格证明文件未按招标文件要求加盖供应商单位章、</w:t>
      </w:r>
      <w:r>
        <w:rPr>
          <w:rFonts w:hint="eastAsia" w:asciiTheme="minorEastAsia" w:hAnsiTheme="minorEastAsia" w:eastAsiaTheme="minorEastAsia"/>
          <w:sz w:val="24"/>
        </w:rPr>
        <w:t>签字</w:t>
      </w:r>
      <w:r>
        <w:rPr>
          <w:rFonts w:hint="eastAsia" w:asciiTheme="minorEastAsia" w:hAnsiTheme="minorEastAsia" w:eastAsiaTheme="minorEastAsia"/>
          <w:bCs/>
          <w:sz w:val="24"/>
        </w:rPr>
        <w:t>的；</w:t>
      </w:r>
    </w:p>
    <w:p>
      <w:pPr>
        <w:adjustRightInd w:val="0"/>
        <w:snapToGrid w:val="0"/>
        <w:spacing w:beforeLines="50" w:line="360" w:lineRule="auto"/>
        <w:ind w:firstLine="470" w:firstLineChars="196"/>
        <w:rPr>
          <w:rFonts w:asciiTheme="minorEastAsia" w:hAnsiTheme="minorEastAsia" w:eastAsiaTheme="minorEastAsia"/>
          <w:bCs/>
          <w:sz w:val="24"/>
        </w:rPr>
      </w:pPr>
      <w:r>
        <w:rPr>
          <w:rFonts w:hint="eastAsia" w:asciiTheme="minorEastAsia" w:hAnsiTheme="minorEastAsia" w:eastAsiaTheme="minorEastAsia"/>
          <w:sz w:val="24"/>
        </w:rPr>
        <w:t>(四)</w:t>
      </w:r>
      <w:r>
        <w:rPr>
          <w:rFonts w:hint="eastAsia" w:asciiTheme="minorEastAsia" w:hAnsiTheme="minorEastAsia" w:eastAsiaTheme="minorEastAsia"/>
          <w:bCs/>
          <w:sz w:val="24"/>
        </w:rPr>
        <w:t>资格证明文件过了有效期的。</w:t>
      </w:r>
    </w:p>
    <w:p>
      <w:pPr>
        <w:tabs>
          <w:tab w:val="left" w:pos="4725"/>
        </w:tabs>
        <w:adjustRightInd w:val="0"/>
        <w:snapToGrid w:val="0"/>
        <w:spacing w:beforeLines="50"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hint="eastAsia" w:asciiTheme="minorEastAsia" w:hAnsiTheme="minorEastAsia" w:eastAsiaTheme="minorEastAsia"/>
          <w:b/>
          <w:sz w:val="24"/>
        </w:rPr>
        <w:t>投标人</w:t>
      </w:r>
      <w:r>
        <w:rPr>
          <w:rFonts w:hint="eastAsia" w:asciiTheme="minorEastAsia" w:hAnsiTheme="minorEastAsia" w:eastAsiaTheme="minorEastAsia"/>
          <w:b/>
          <w:bCs/>
          <w:sz w:val="24"/>
        </w:rPr>
        <w:t>应提供的证明材料</w:t>
      </w:r>
    </w:p>
    <w:p>
      <w:pPr>
        <w:tabs>
          <w:tab w:val="left" w:pos="4725"/>
        </w:tabs>
        <w:adjustRightInd w:val="0"/>
        <w:snapToGrid w:val="0"/>
        <w:spacing w:before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投标人</w:t>
      </w:r>
      <w:r>
        <w:rPr>
          <w:rFonts w:hint="eastAsia" w:asciiTheme="minorEastAsia" w:hAnsiTheme="minorEastAsia" w:eastAsiaTheme="minorEastAsia"/>
          <w:bCs/>
          <w:sz w:val="24"/>
        </w:rPr>
        <w:t>应按第一章“投标须知”第3.1</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bCs/>
          <w:sz w:val="24"/>
        </w:rPr>
        <w:t>要求，提供下列证明材料，以满足第一章“投标须知”第3.1</w:t>
      </w:r>
      <w:r>
        <w:rPr>
          <w:rFonts w:hint="eastAsia" w:cs="宋体" w:asciiTheme="minorEastAsia" w:hAnsiTheme="minorEastAsia" w:eastAsiaTheme="minorEastAsia"/>
          <w:kern w:val="0"/>
          <w:sz w:val="24"/>
          <w:lang w:val="zh-CN"/>
        </w:rPr>
        <w:t>款</w:t>
      </w:r>
      <w:r>
        <w:rPr>
          <w:rFonts w:hint="eastAsia" w:asciiTheme="minorEastAsia" w:hAnsiTheme="minorEastAsia" w:eastAsiaTheme="minorEastAsia"/>
          <w:bCs/>
          <w:sz w:val="24"/>
        </w:rPr>
        <w:t>规定的基本资格条件和特定资格条件要求：</w:t>
      </w:r>
      <w:r>
        <w:rPr>
          <w:rFonts w:hint="eastAsia" w:asciiTheme="minorEastAsia" w:hAnsiTheme="minorEastAsia" w:eastAsiaTheme="minorEastAsia"/>
          <w:bCs/>
          <w:sz w:val="24"/>
        </w:rPr>
        <w:tab/>
      </w:r>
    </w:p>
    <w:p>
      <w:pPr>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附</w:t>
      </w:r>
      <w:r>
        <w:rPr>
          <w:rFonts w:hint="eastAsia" w:asciiTheme="minorEastAsia" w:hAnsiTheme="minorEastAsia" w:eastAsiaTheme="minorEastAsia"/>
          <w:sz w:val="24"/>
        </w:rPr>
        <w:t>1、</w:t>
      </w:r>
      <w:r>
        <w:rPr>
          <w:rFonts w:hint="eastAsia" w:asciiTheme="minorEastAsia" w:hAnsiTheme="minorEastAsia" w:eastAsiaTheme="minorEastAsia"/>
          <w:kern w:val="0"/>
          <w:sz w:val="24"/>
        </w:rPr>
        <w:t>法定代表人身份证明（法定代表人作为签字代表的提供）</w:t>
      </w:r>
    </w:p>
    <w:p>
      <w:pPr>
        <w:adjustRightInd w:val="0"/>
        <w:snapToGrid w:val="0"/>
        <w:spacing w:beforeLines="50"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bCs/>
          <w:sz w:val="24"/>
        </w:rPr>
        <w:t>附</w:t>
      </w:r>
      <w:r>
        <w:rPr>
          <w:rFonts w:hint="eastAsia" w:asciiTheme="minorEastAsia" w:hAnsiTheme="minorEastAsia" w:eastAsiaTheme="minorEastAsia"/>
          <w:sz w:val="24"/>
        </w:rPr>
        <w:t>2、</w:t>
      </w:r>
      <w:r>
        <w:rPr>
          <w:rFonts w:hint="eastAsia" w:asciiTheme="minorEastAsia" w:hAnsiTheme="minorEastAsia" w:eastAsiaTheme="minorEastAsia"/>
          <w:kern w:val="0"/>
          <w:sz w:val="24"/>
        </w:rPr>
        <w:t>法定代表人授权委托书（委托代理人作为签字代表的提供并附法定代表人身份证明）</w:t>
      </w:r>
    </w:p>
    <w:p>
      <w:pPr>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附</w:t>
      </w:r>
      <w:r>
        <w:rPr>
          <w:rFonts w:hint="eastAsia" w:asciiTheme="minorEastAsia" w:hAnsiTheme="minorEastAsia" w:eastAsiaTheme="minorEastAsia"/>
          <w:sz w:val="24"/>
        </w:rPr>
        <w:t>3、投标人基本情况(并提供法人、或者其他组织的营业执照等主体资格证明文件，自然人的身份证明)</w:t>
      </w:r>
    </w:p>
    <w:p>
      <w:pPr>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附4、</w:t>
      </w:r>
      <w:r>
        <w:rPr>
          <w:rFonts w:hint="eastAsia" w:asciiTheme="minorEastAsia" w:hAnsiTheme="minorEastAsia" w:eastAsiaTheme="minorEastAsia"/>
          <w:sz w:val="24"/>
        </w:rPr>
        <w:t>财务状况报告、依法缴纳税收和社会保险费的相关证明文件</w:t>
      </w:r>
    </w:p>
    <w:p>
      <w:pPr>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附5、</w:t>
      </w:r>
      <w:r>
        <w:rPr>
          <w:rFonts w:hint="eastAsia" w:asciiTheme="minorEastAsia" w:hAnsiTheme="minorEastAsia" w:eastAsiaTheme="minorEastAsia"/>
          <w:sz w:val="24"/>
        </w:rPr>
        <w:t>参加采购活动前三年内在经营活动中没有重大违法记录的书面声明</w:t>
      </w:r>
    </w:p>
    <w:p>
      <w:pPr>
        <w:adjustRightInd w:val="0"/>
        <w:snapToGrid w:val="0"/>
        <w:spacing w:before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附6、</w:t>
      </w:r>
      <w:r>
        <w:rPr>
          <w:rFonts w:hint="eastAsia" w:asciiTheme="minorEastAsia" w:hAnsiTheme="minorEastAsia" w:eastAsiaTheme="minorEastAsia"/>
          <w:sz w:val="24"/>
        </w:rPr>
        <w:t>法律、行政法规规定的其他条件</w:t>
      </w:r>
      <w:r>
        <w:rPr>
          <w:rFonts w:hint="eastAsia" w:asciiTheme="minorEastAsia" w:hAnsiTheme="minorEastAsia" w:eastAsiaTheme="minorEastAsia"/>
          <w:bCs/>
          <w:sz w:val="24"/>
        </w:rPr>
        <w:t>证明文件</w:t>
      </w:r>
    </w:p>
    <w:p>
      <w:pPr>
        <w:adjustRightInd w:val="0"/>
        <w:snapToGrid w:val="0"/>
        <w:spacing w:before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附7、投标人</w:t>
      </w:r>
      <w:r>
        <w:rPr>
          <w:rFonts w:hint="eastAsia" w:asciiTheme="minorEastAsia" w:hAnsiTheme="minorEastAsia" w:eastAsiaTheme="minorEastAsia"/>
          <w:sz w:val="24"/>
        </w:rPr>
        <w:t>特定资格条件</w:t>
      </w:r>
      <w:r>
        <w:rPr>
          <w:rFonts w:hint="eastAsia" w:asciiTheme="minorEastAsia" w:hAnsiTheme="minorEastAsia" w:eastAsiaTheme="minorEastAsia"/>
          <w:bCs/>
          <w:sz w:val="24"/>
        </w:rPr>
        <w:t>证明文件</w:t>
      </w:r>
    </w:p>
    <w:p>
      <w:pPr>
        <w:adjustRightInd w:val="0"/>
        <w:snapToGrid w:val="0"/>
        <w:spacing w:beforeLines="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附8、</w:t>
      </w:r>
      <w:r>
        <w:rPr>
          <w:rFonts w:hint="eastAsia" w:asciiTheme="minorEastAsia" w:hAnsiTheme="minorEastAsia" w:eastAsiaTheme="minorEastAsia"/>
          <w:sz w:val="24"/>
        </w:rPr>
        <w:t>经销、或代理投标货物或为投标货物提供售后服务</w:t>
      </w:r>
      <w:r>
        <w:rPr>
          <w:rFonts w:hint="eastAsia" w:asciiTheme="minorEastAsia" w:hAnsiTheme="minorEastAsia" w:eastAsiaTheme="minorEastAsia"/>
          <w:bCs/>
          <w:sz w:val="24"/>
        </w:rPr>
        <w:t>证明文件（非制造商提供）</w:t>
      </w: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br w:type="page"/>
      </w:r>
    </w:p>
    <w:p>
      <w:pPr>
        <w:adjustRightInd w:val="0"/>
        <w:snapToGrid w:val="0"/>
        <w:spacing w:line="360" w:lineRule="auto"/>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附件1  </w:t>
      </w:r>
    </w:p>
    <w:p>
      <w:pPr>
        <w:adjustRightInd w:val="0"/>
        <w:snapToGrid w:val="0"/>
        <w:spacing w:line="360" w:lineRule="auto"/>
        <w:jc w:val="center"/>
        <w:outlineLvl w:val="0"/>
        <w:rPr>
          <w:rFonts w:asciiTheme="minorEastAsia" w:hAnsiTheme="minorEastAsia" w:eastAsiaTheme="minorEastAsia"/>
          <w:b/>
          <w:sz w:val="28"/>
          <w:szCs w:val="28"/>
        </w:rPr>
      </w:pPr>
      <w:r>
        <w:rPr>
          <w:rFonts w:hint="eastAsia" w:asciiTheme="minorEastAsia" w:hAnsiTheme="minorEastAsia" w:eastAsiaTheme="minorEastAsia"/>
          <w:sz w:val="28"/>
          <w:szCs w:val="28"/>
        </w:rPr>
        <w:t>法定代表人身份证明</w:t>
      </w:r>
    </w:p>
    <w:p>
      <w:pPr>
        <w:adjustRightInd w:val="0"/>
        <w:snapToGrid w:val="0"/>
        <w:spacing w:beforeLines="50" w:line="360" w:lineRule="auto"/>
        <w:rPr>
          <w:rFonts w:asciiTheme="minorEastAsia" w:hAnsiTheme="minorEastAsia" w:eastAsiaTheme="minorEastAsia"/>
          <w:szCs w:val="21"/>
        </w:rPr>
      </w:pPr>
    </w:p>
    <w:p>
      <w:pPr>
        <w:autoSpaceDE w:val="0"/>
        <w:autoSpaceDN w:val="0"/>
        <w:adjustRightInd w:val="0"/>
        <w:snapToGrid w:val="0"/>
        <w:spacing w:beforeLines="50" w:line="360" w:lineRule="auto"/>
        <w:jc w:val="left"/>
        <w:rPr>
          <w:rFonts w:cs="宋体" w:asciiTheme="minorEastAsia" w:hAnsiTheme="minorEastAsia" w:eastAsiaTheme="minorEastAsia"/>
          <w:kern w:val="0"/>
          <w:sz w:val="24"/>
        </w:rPr>
      </w:pPr>
      <w:r>
        <w:rPr>
          <w:rFonts w:hint="eastAsia" w:asciiTheme="minorEastAsia" w:hAnsiTheme="minorEastAsia" w:eastAsiaTheme="minorEastAsia"/>
          <w:sz w:val="24"/>
        </w:rPr>
        <w:t>投标人</w:t>
      </w:r>
      <w:r>
        <w:rPr>
          <w:rFonts w:hint="eastAsia" w:cs="宋体" w:asciiTheme="minorEastAsia" w:hAnsiTheme="minorEastAsia" w:eastAsiaTheme="minorEastAsia"/>
          <w:kern w:val="0"/>
          <w:sz w:val="24"/>
        </w:rPr>
        <w:t>名称：</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注册号：</w:t>
      </w:r>
      <w:r>
        <w:rPr>
          <w:rFonts w:hint="eastAsia" w:cs="宋体" w:asciiTheme="minorEastAsia" w:hAnsiTheme="minorEastAsia" w:eastAsiaTheme="minorEastAsia"/>
          <w:kern w:val="0"/>
          <w:sz w:val="24"/>
          <w:u w:val="single"/>
        </w:rPr>
        <w:t xml:space="preserve">                  </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注册地址：</w:t>
      </w:r>
      <w:r>
        <w:rPr>
          <w:rFonts w:hint="eastAsia" w:cs="宋体" w:asciiTheme="minorEastAsia" w:hAnsiTheme="minorEastAsia" w:eastAsiaTheme="minorEastAsia"/>
          <w:kern w:val="0"/>
          <w:sz w:val="24"/>
          <w:u w:val="single"/>
        </w:rPr>
        <w:t xml:space="preserve">                                    </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成立时间： </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年 </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日</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经营期限：</w:t>
      </w:r>
      <w:r>
        <w:rPr>
          <w:rFonts w:hint="eastAsia" w:cs="宋体" w:asciiTheme="minorEastAsia" w:hAnsiTheme="minorEastAsia" w:eastAsiaTheme="minorEastAsia"/>
          <w:kern w:val="0"/>
          <w:sz w:val="24"/>
          <w:u w:val="single"/>
        </w:rPr>
        <w:t xml:space="preserve">                  </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经营范围：主营：</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；兼营：</w:t>
      </w:r>
      <w:r>
        <w:rPr>
          <w:rFonts w:hint="eastAsia" w:cs="宋体" w:asciiTheme="minorEastAsia" w:hAnsiTheme="minorEastAsia" w:eastAsiaTheme="minorEastAsia"/>
          <w:kern w:val="0"/>
          <w:sz w:val="24"/>
          <w:u w:val="single"/>
        </w:rPr>
        <w:t xml:space="preserve">              </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姓名：</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性别：</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年龄：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职务：</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系</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w:t>
      </w:r>
      <w:r>
        <w:rPr>
          <w:rFonts w:hint="eastAsia" w:asciiTheme="minorEastAsia" w:hAnsiTheme="minorEastAsia" w:eastAsiaTheme="minorEastAsia"/>
          <w:sz w:val="24"/>
        </w:rPr>
        <w:t>投标人</w:t>
      </w:r>
      <w:r>
        <w:rPr>
          <w:rFonts w:hint="eastAsia" w:cs="宋体" w:asciiTheme="minorEastAsia" w:hAnsiTheme="minorEastAsia" w:eastAsiaTheme="minorEastAsia"/>
          <w:kern w:val="0"/>
          <w:sz w:val="24"/>
        </w:rPr>
        <w:t>名称）的法定代表人。</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特此证明。</w:t>
      </w:r>
    </w:p>
    <w:p>
      <w:pPr>
        <w:autoSpaceDE w:val="0"/>
        <w:autoSpaceDN w:val="0"/>
        <w:adjustRightInd w:val="0"/>
        <w:snapToGrid w:val="0"/>
        <w:spacing w:beforeLines="50" w:line="360" w:lineRule="auto"/>
        <w:jc w:val="left"/>
        <w:rPr>
          <w:rFonts w:cs="宋体" w:asciiTheme="minorEastAsia" w:hAnsiTheme="minorEastAsia" w:eastAsiaTheme="minorEastAsia"/>
          <w:kern w:val="0"/>
          <w:sz w:val="24"/>
        </w:rPr>
      </w:pPr>
    </w:p>
    <w:tbl>
      <w:tblPr>
        <w:tblStyle w:val="5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pPr>
              <w:adjustRightInd w:val="0"/>
              <w:snapToGrid w:val="0"/>
              <w:spacing w:beforeLines="50" w:line="360" w:lineRule="auto"/>
              <w:jc w:val="center"/>
              <w:rPr>
                <w:rFonts w:asciiTheme="minorEastAsia" w:hAnsiTheme="minorEastAsia" w:eastAsiaTheme="minorEastAsia"/>
                <w:sz w:val="24"/>
              </w:rPr>
            </w:pPr>
            <w:r>
              <w:rPr>
                <w:rFonts w:hint="eastAsia" w:asciiTheme="minorEastAsia" w:hAnsiTheme="minorEastAsia" w:eastAsiaTheme="minorEastAsia"/>
                <w:sz w:val="24"/>
              </w:rPr>
              <w:t>法定代表人身份证复印件</w:t>
            </w:r>
          </w:p>
        </w:tc>
      </w:tr>
    </w:tbl>
    <w:p>
      <w:pPr>
        <w:adjustRightInd w:val="0"/>
        <w:snapToGrid w:val="0"/>
        <w:spacing w:beforeLines="50" w:line="360" w:lineRule="auto"/>
        <w:rPr>
          <w:rFonts w:asciiTheme="minorEastAsia" w:hAnsiTheme="minorEastAsia" w:eastAsiaTheme="minorEastAsia"/>
          <w:sz w:val="24"/>
        </w:rPr>
      </w:pPr>
    </w:p>
    <w:p>
      <w:pPr>
        <w:adjustRightInd w:val="0"/>
        <w:snapToGrid w:val="0"/>
        <w:spacing w:beforeLines="50" w:line="360" w:lineRule="auto"/>
        <w:rPr>
          <w:rFonts w:asciiTheme="minorEastAsia" w:hAnsiTheme="minorEastAsia" w:eastAsiaTheme="minorEastAsia"/>
          <w:sz w:val="24"/>
        </w:rPr>
      </w:pPr>
    </w:p>
    <w:p>
      <w:pPr>
        <w:adjustRightInd w:val="0"/>
        <w:snapToGrid w:val="0"/>
        <w:spacing w:beforeLines="50" w:line="360" w:lineRule="auto"/>
        <w:ind w:left="5386" w:leftChars="2565" w:right="840"/>
        <w:rPr>
          <w:rFonts w:asciiTheme="minorEastAsia" w:hAnsiTheme="minorEastAsia" w:eastAsiaTheme="minorEastAsia"/>
          <w:sz w:val="24"/>
        </w:rPr>
      </w:pPr>
      <w:r>
        <w:rPr>
          <w:rFonts w:hint="eastAsia" w:asciiTheme="minorEastAsia" w:hAnsiTheme="minorEastAsia" w:eastAsiaTheme="minorEastAsia"/>
          <w:sz w:val="24"/>
        </w:rPr>
        <w:t xml:space="preserve">投标人名称（盖章）： </w:t>
      </w:r>
    </w:p>
    <w:p>
      <w:pPr>
        <w:adjustRightInd w:val="0"/>
        <w:snapToGrid w:val="0"/>
        <w:spacing w:beforeLines="50" w:line="360" w:lineRule="auto"/>
        <w:ind w:right="840" w:firstLine="5400" w:firstLineChars="2250"/>
        <w:rPr>
          <w:rFonts w:asciiTheme="minorEastAsia" w:hAnsiTheme="minorEastAsia" w:eastAsiaTheme="minorEastAsia"/>
          <w:sz w:val="24"/>
          <w:u w:val="single"/>
        </w:rPr>
      </w:pPr>
      <w:r>
        <w:rPr>
          <w:rFonts w:hint="eastAsia" w:asciiTheme="minorEastAsia" w:hAnsiTheme="minorEastAsia" w:eastAsiaTheme="minorEastAsia"/>
          <w:sz w:val="24"/>
        </w:rPr>
        <w:t>法定代表人（盖章）：</w:t>
      </w:r>
    </w:p>
    <w:p>
      <w:pPr>
        <w:wordWrap w:val="0"/>
        <w:adjustRightInd w:val="0"/>
        <w:snapToGrid w:val="0"/>
        <w:spacing w:beforeLines="50" w:line="360" w:lineRule="auto"/>
        <w:ind w:left="5386" w:leftChars="2565" w:right="840"/>
        <w:rPr>
          <w:rFonts w:asciiTheme="minorEastAsia" w:hAnsiTheme="minorEastAsia" w:eastAsiaTheme="minorEastAsia"/>
          <w:sz w:val="24"/>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adjustRightInd w:val="0"/>
        <w:snapToGrid w:val="0"/>
        <w:spacing w:line="360" w:lineRule="auto"/>
        <w:outlineLvl w:val="0"/>
        <w:rPr>
          <w:rFonts w:asciiTheme="minorEastAsia" w:hAnsiTheme="minorEastAsia" w:eastAsiaTheme="minorEastAsia"/>
          <w:sz w:val="28"/>
          <w:szCs w:val="28"/>
        </w:rPr>
      </w:pPr>
      <w:r>
        <w:rPr>
          <w:rFonts w:hint="eastAsia" w:asciiTheme="minorEastAsia" w:hAnsiTheme="minorEastAsia" w:eastAsiaTheme="minorEastAsia"/>
          <w:sz w:val="24"/>
        </w:rPr>
        <w:br w:type="page"/>
      </w:r>
      <w:r>
        <w:rPr>
          <w:rFonts w:hint="eastAsia" w:asciiTheme="minorEastAsia" w:hAnsiTheme="minorEastAsia" w:eastAsiaTheme="minorEastAsia"/>
          <w:sz w:val="28"/>
          <w:szCs w:val="28"/>
        </w:rPr>
        <w:t xml:space="preserve">附件2  </w:t>
      </w:r>
    </w:p>
    <w:p>
      <w:pPr>
        <w:adjustRightInd w:val="0"/>
        <w:snapToGrid w:val="0"/>
        <w:spacing w:line="360" w:lineRule="auto"/>
        <w:jc w:val="center"/>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法定代表人授权委托书</w:t>
      </w:r>
    </w:p>
    <w:p>
      <w:pPr>
        <w:adjustRightInd w:val="0"/>
        <w:snapToGrid w:val="0"/>
        <w:spacing w:beforeLines="50" w:line="360" w:lineRule="auto"/>
        <w:outlineLvl w:val="0"/>
        <w:rPr>
          <w:rFonts w:asciiTheme="minorEastAsia" w:hAnsiTheme="minorEastAsia" w:eastAsiaTheme="minorEastAsia"/>
          <w:sz w:val="32"/>
          <w:szCs w:val="32"/>
        </w:rPr>
      </w:pPr>
    </w:p>
    <w:p>
      <w:pPr>
        <w:pStyle w:val="21"/>
        <w:spacing w:line="400" w:lineRule="atLeast"/>
        <w:ind w:firstLine="720" w:firstLineChars="300"/>
        <w:rPr>
          <w:rFonts w:asciiTheme="minorEastAsia" w:hAnsiTheme="minorEastAsia" w:eastAsiaTheme="minorEastAsia"/>
          <w:b w:val="0"/>
          <w:bCs w:val="0"/>
          <w:color w:val="auto"/>
          <w:kern w:val="2"/>
          <w:sz w:val="24"/>
        </w:rPr>
      </w:pPr>
      <w:r>
        <w:rPr>
          <w:rFonts w:hint="eastAsia" w:asciiTheme="minorEastAsia" w:hAnsiTheme="minorEastAsia" w:eastAsiaTheme="minorEastAsia"/>
          <w:b w:val="0"/>
          <w:bCs w:val="0"/>
          <w:color w:val="auto"/>
          <w:kern w:val="2"/>
          <w:sz w:val="24"/>
        </w:rPr>
        <w:t>本授权书声明：注册于（地区的名称）的（公司名称）的在下面签字的（法人代表姓名、职务）代表本公司授权（单位名称）的在下面签字的（被授权人的姓名、职务）为本公司的合法代理人，就（项目名称、项目编号、设备名称）的投标，以本公司的名义处理一切与之有关的事务。</w:t>
      </w:r>
    </w:p>
    <w:p>
      <w:pPr>
        <w:autoSpaceDE w:val="0"/>
        <w:autoSpaceDN w:val="0"/>
        <w:adjustRightInd w:val="0"/>
        <w:snapToGrid w:val="0"/>
        <w:spacing w:beforeLines="50"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rPr>
        <w:t>委托期限：                                      。</w:t>
      </w:r>
    </w:p>
    <w:p>
      <w:pPr>
        <w:adjustRightInd w:val="0"/>
        <w:snapToGrid w:val="0"/>
        <w:spacing w:beforeLines="50"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szCs w:val="28"/>
        </w:rPr>
        <w:t>代理人无转委托权。</w:t>
      </w:r>
    </w:p>
    <w:p>
      <w:pPr>
        <w:adjustRightInd w:val="0"/>
        <w:snapToGrid w:val="0"/>
        <w:spacing w:beforeLines="50"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szCs w:val="28"/>
        </w:rPr>
        <w:t>本授权书于      年    月    日签字生效，特此声明。</w:t>
      </w:r>
    </w:p>
    <w:p>
      <w:pPr>
        <w:adjustRightInd w:val="0"/>
        <w:snapToGrid w:val="0"/>
        <w:spacing w:beforeLines="50" w:line="360" w:lineRule="auto"/>
        <w:ind w:firstLine="480" w:firstLineChars="200"/>
        <w:rPr>
          <w:rFonts w:asciiTheme="minorEastAsia" w:hAnsiTheme="minorEastAsia" w:eastAsiaTheme="minorEastAsia"/>
          <w:sz w:val="24"/>
          <w:szCs w:val="28"/>
        </w:rPr>
      </w:pPr>
    </w:p>
    <w:tbl>
      <w:tblPr>
        <w:tblStyle w:val="5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pPr>
              <w:adjustRightInd w:val="0"/>
              <w:snapToGrid w:val="0"/>
              <w:spacing w:beforeLines="50"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委托代理人身份证复印件</w:t>
            </w:r>
          </w:p>
        </w:tc>
      </w:tr>
    </w:tbl>
    <w:p>
      <w:pPr>
        <w:adjustRightInd w:val="0"/>
        <w:snapToGrid w:val="0"/>
        <w:spacing w:beforeLines="5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附：法定代表人身份证明</w:t>
      </w:r>
    </w:p>
    <w:p>
      <w:pPr>
        <w:adjustRightInd w:val="0"/>
        <w:snapToGrid w:val="0"/>
        <w:spacing w:beforeLines="50" w:line="360" w:lineRule="auto"/>
        <w:ind w:firstLine="480" w:firstLineChars="200"/>
        <w:rPr>
          <w:rFonts w:asciiTheme="minorEastAsia" w:hAnsiTheme="minorEastAsia" w:eastAsiaTheme="minorEastAsia"/>
          <w:sz w:val="24"/>
          <w:szCs w:val="28"/>
        </w:rPr>
      </w:pPr>
    </w:p>
    <w:p>
      <w:pPr>
        <w:adjustRightInd w:val="0"/>
        <w:snapToGrid w:val="0"/>
        <w:spacing w:beforeLines="50" w:line="360" w:lineRule="auto"/>
        <w:ind w:firstLine="480" w:firstLineChars="200"/>
        <w:rPr>
          <w:rFonts w:asciiTheme="minorEastAsia" w:hAnsiTheme="minorEastAsia" w:eastAsiaTheme="minorEastAsia"/>
          <w:sz w:val="24"/>
          <w:szCs w:val="28"/>
        </w:rPr>
      </w:pPr>
    </w:p>
    <w:p>
      <w:pPr>
        <w:adjustRightInd w:val="0"/>
        <w:snapToGrid w:val="0"/>
        <w:spacing w:beforeLines="50" w:line="360" w:lineRule="auto"/>
        <w:ind w:left="5386" w:leftChars="2565" w:right="84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投标人名称（盖章）： </w:t>
      </w:r>
    </w:p>
    <w:p>
      <w:pPr>
        <w:adjustRightInd w:val="0"/>
        <w:snapToGrid w:val="0"/>
        <w:spacing w:beforeLines="50" w:line="360" w:lineRule="auto"/>
        <w:ind w:right="840" w:firstLine="5280" w:firstLineChars="2200"/>
        <w:rPr>
          <w:rFonts w:asciiTheme="minorEastAsia" w:hAnsiTheme="minorEastAsia" w:eastAsiaTheme="minorEastAsia"/>
          <w:szCs w:val="21"/>
          <w:u w:val="single"/>
        </w:rPr>
      </w:pPr>
      <w:r>
        <w:rPr>
          <w:rFonts w:hint="eastAsia" w:asciiTheme="minorEastAsia" w:hAnsiTheme="minorEastAsia" w:eastAsiaTheme="minorEastAsia"/>
          <w:sz w:val="24"/>
          <w:szCs w:val="28"/>
        </w:rPr>
        <w:t xml:space="preserve">法定代表人（盖章）： </w:t>
      </w:r>
    </w:p>
    <w:p>
      <w:pPr>
        <w:wordWrap w:val="0"/>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 w:val="24"/>
          <w:szCs w:val="28"/>
        </w:rPr>
        <w:t>日期：   年   月   日</w:t>
      </w:r>
    </w:p>
    <w:bookmarkEnd w:id="6"/>
    <w:bookmarkEnd w:id="7"/>
    <w:p>
      <w:pPr>
        <w:adjustRightInd w:val="0"/>
        <w:snapToGrid w:val="0"/>
        <w:spacing w:beforeLines="50" w:line="360" w:lineRule="auto"/>
        <w:ind w:right="420"/>
        <w:rPr>
          <w:rFonts w:asciiTheme="minorEastAsia" w:hAnsiTheme="minorEastAsia" w:eastAsiaTheme="minorEastAsia"/>
          <w:szCs w:val="21"/>
        </w:rPr>
      </w:pPr>
      <w:bookmarkStart w:id="8" w:name="_Toc294206746"/>
      <w:bookmarkStart w:id="9" w:name="_Toc294186063"/>
    </w:p>
    <w:p>
      <w:pPr>
        <w:adjustRightInd w:val="0"/>
        <w:snapToGrid w:val="0"/>
        <w:spacing w:beforeLines="50" w:line="360" w:lineRule="auto"/>
        <w:ind w:right="420"/>
        <w:rPr>
          <w:rFonts w:asciiTheme="minorEastAsia" w:hAnsiTheme="minorEastAsia" w:eastAsiaTheme="minorEastAsia"/>
          <w:szCs w:val="21"/>
        </w:rPr>
      </w:pPr>
    </w:p>
    <w:p>
      <w:pPr>
        <w:adjustRightInd w:val="0"/>
        <w:snapToGrid w:val="0"/>
        <w:spacing w:beforeLines="50" w:line="360" w:lineRule="auto"/>
        <w:ind w:right="420"/>
        <w:rPr>
          <w:rFonts w:asciiTheme="minorEastAsia" w:hAnsiTheme="minorEastAsia" w:eastAsiaTheme="minorEastAsia"/>
          <w:sz w:val="28"/>
          <w:szCs w:val="28"/>
        </w:rPr>
      </w:pPr>
      <w:r>
        <w:rPr>
          <w:rFonts w:hint="eastAsia" w:asciiTheme="minorEastAsia" w:hAnsiTheme="minorEastAsia" w:eastAsiaTheme="minorEastAsia"/>
          <w:sz w:val="28"/>
          <w:szCs w:val="28"/>
        </w:rPr>
        <w:t>附件3  投标人基本情况</w:t>
      </w:r>
      <w:bookmarkEnd w:id="8"/>
      <w:bookmarkEnd w:id="9"/>
    </w:p>
    <w:p>
      <w:pPr>
        <w:adjustRightInd w:val="0"/>
        <w:snapToGrid w:val="0"/>
        <w:spacing w:beforeLines="50" w:line="276" w:lineRule="auto"/>
        <w:rPr>
          <w:rFonts w:asciiTheme="minorEastAsia" w:hAnsiTheme="minorEastAsia" w:eastAsiaTheme="minorEastAsia"/>
          <w:szCs w:val="21"/>
        </w:rPr>
      </w:pPr>
      <w:bookmarkStart w:id="10" w:name="_Toc294186064"/>
      <w:bookmarkStart w:id="11" w:name="_Toc294206747"/>
      <w:r>
        <w:rPr>
          <w:rFonts w:hint="eastAsia" w:asciiTheme="minorEastAsia" w:hAnsiTheme="minorEastAsia" w:eastAsiaTheme="minorEastAsia"/>
          <w:szCs w:val="21"/>
        </w:rPr>
        <w:t>1.名称及概况：</w:t>
      </w:r>
    </w:p>
    <w:p>
      <w:pPr>
        <w:adjustRightInd w:val="0"/>
        <w:snapToGrid w:val="0"/>
        <w:spacing w:beforeLines="50" w:line="276"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(1) 投标人名称：</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1365" w:firstLineChars="650"/>
        <w:rPr>
          <w:rFonts w:asciiTheme="minorEastAsia" w:hAnsiTheme="minorEastAsia" w:eastAsiaTheme="minorEastAsia"/>
          <w:szCs w:val="21"/>
          <w:u w:val="single"/>
        </w:rPr>
      </w:pPr>
      <w:r>
        <w:rPr>
          <w:rFonts w:hint="eastAsia" w:asciiTheme="minorEastAsia" w:hAnsiTheme="minorEastAsia" w:eastAsiaTheme="minorEastAsia"/>
          <w:szCs w:val="21"/>
        </w:rPr>
        <w:t>地址：</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传真/电话号码：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邮政编码：</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(2) 成立或注册日期：</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注册号码：</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(4) 实收资本：</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 近期资产负债表（到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日止）</w:t>
      </w:r>
    </w:p>
    <w:p>
      <w:pPr>
        <w:adjustRightInd w:val="0"/>
        <w:snapToGrid w:val="0"/>
        <w:spacing w:beforeLines="50" w:line="276" w:lineRule="auto"/>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t>①固定资产：</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t>②流动资产：</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t>③长期负债：</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t>④流动负债：</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t>⑤净值：</w:t>
      </w:r>
      <w:r>
        <w:rPr>
          <w:rFonts w:hint="eastAsia" w:asciiTheme="minorEastAsia" w:hAnsiTheme="minorEastAsia" w:eastAsiaTheme="minorEastAsia"/>
          <w:szCs w:val="21"/>
          <w:u w:val="single"/>
        </w:rPr>
        <w:t xml:space="preserve">                                                          </w:t>
      </w:r>
    </w:p>
    <w:p>
      <w:pPr>
        <w:adjustRightInd w:val="0"/>
        <w:snapToGrid w:val="0"/>
        <w:spacing w:beforeLines="50" w:line="276"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(6) 法定代表人姓名：</w:t>
      </w:r>
      <w:r>
        <w:rPr>
          <w:rFonts w:hint="eastAsia" w:asciiTheme="minorEastAsia" w:hAnsiTheme="minorEastAsia" w:eastAsiaTheme="minorEastAsia"/>
          <w:szCs w:val="21"/>
          <w:u w:val="single"/>
        </w:rPr>
        <w:t xml:space="preserve">                                                  </w:t>
      </w:r>
    </w:p>
    <w:p>
      <w:pPr>
        <w:adjustRightInd w:val="0"/>
        <w:snapToGrid w:val="0"/>
        <w:spacing w:beforeLines="50" w:line="276" w:lineRule="auto"/>
        <w:rPr>
          <w:rFonts w:asciiTheme="minorEastAsia" w:hAnsiTheme="minorEastAsia" w:eastAsiaTheme="minorEastAsia"/>
          <w:szCs w:val="21"/>
        </w:rPr>
      </w:pPr>
      <w:r>
        <w:rPr>
          <w:rFonts w:hint="eastAsia" w:asciiTheme="minorEastAsia" w:hAnsiTheme="minorEastAsia" w:eastAsiaTheme="minorEastAsia"/>
          <w:szCs w:val="21"/>
        </w:rPr>
        <w:t>2. 经营范围：</w:t>
      </w:r>
      <w:r>
        <w:rPr>
          <w:rFonts w:hint="eastAsia" w:asciiTheme="minorEastAsia" w:hAnsiTheme="minorEastAsia" w:eastAsiaTheme="minorEastAsia"/>
          <w:szCs w:val="21"/>
          <w:u w:val="single"/>
        </w:rPr>
        <w:t xml:space="preserve">                                                  </w:t>
      </w:r>
    </w:p>
    <w:p>
      <w:pPr>
        <w:adjustRightInd w:val="0"/>
        <w:snapToGrid w:val="0"/>
        <w:spacing w:beforeLines="50" w:line="276" w:lineRule="auto"/>
        <w:rPr>
          <w:rFonts w:asciiTheme="minorEastAsia" w:hAnsiTheme="minorEastAsia" w:eastAsiaTheme="minorEastAsia"/>
          <w:szCs w:val="21"/>
        </w:rPr>
      </w:pPr>
      <w:r>
        <w:rPr>
          <w:rFonts w:hint="eastAsia" w:asciiTheme="minorEastAsia" w:hAnsiTheme="minorEastAsia" w:eastAsiaTheme="minorEastAsia"/>
          <w:szCs w:val="21"/>
        </w:rPr>
        <w:t>3.近年营业额：</w:t>
      </w:r>
    </w:p>
    <w:tbl>
      <w:tblPr>
        <w:tblStyle w:val="50"/>
        <w:tblW w:w="7574" w:type="dxa"/>
        <w:tblInd w:w="10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4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700" w:type="dxa"/>
          </w:tcPr>
          <w:p>
            <w:pPr>
              <w:adjustRightInd w:val="0"/>
              <w:snapToGrid w:val="0"/>
              <w:spacing w:beforeLines="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年度</w:t>
            </w:r>
          </w:p>
        </w:tc>
        <w:tc>
          <w:tcPr>
            <w:tcW w:w="4874" w:type="dxa"/>
          </w:tcPr>
          <w:p>
            <w:pPr>
              <w:adjustRightInd w:val="0"/>
              <w:snapToGrid w:val="0"/>
              <w:spacing w:beforeLines="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2700" w:type="dxa"/>
          </w:tcPr>
          <w:p>
            <w:pPr>
              <w:adjustRightInd w:val="0"/>
              <w:snapToGrid w:val="0"/>
              <w:spacing w:beforeLines="50" w:line="276" w:lineRule="auto"/>
              <w:rPr>
                <w:rFonts w:asciiTheme="minorEastAsia" w:hAnsiTheme="minorEastAsia" w:eastAsiaTheme="minorEastAsia"/>
                <w:szCs w:val="21"/>
              </w:rPr>
            </w:pPr>
          </w:p>
        </w:tc>
        <w:tc>
          <w:tcPr>
            <w:tcW w:w="4874" w:type="dxa"/>
          </w:tcPr>
          <w:p>
            <w:pPr>
              <w:adjustRightInd w:val="0"/>
              <w:snapToGrid w:val="0"/>
              <w:spacing w:beforeLines="50" w:line="276" w:lineRule="auto"/>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700" w:type="dxa"/>
          </w:tcPr>
          <w:p>
            <w:pPr>
              <w:adjustRightInd w:val="0"/>
              <w:snapToGrid w:val="0"/>
              <w:spacing w:beforeLines="50" w:line="276" w:lineRule="auto"/>
              <w:rPr>
                <w:rFonts w:asciiTheme="minorEastAsia" w:hAnsiTheme="minorEastAsia" w:eastAsiaTheme="minorEastAsia"/>
                <w:szCs w:val="21"/>
              </w:rPr>
            </w:pPr>
          </w:p>
        </w:tc>
        <w:tc>
          <w:tcPr>
            <w:tcW w:w="4874" w:type="dxa"/>
          </w:tcPr>
          <w:p>
            <w:pPr>
              <w:adjustRightInd w:val="0"/>
              <w:snapToGrid w:val="0"/>
              <w:spacing w:beforeLines="50" w:line="276" w:lineRule="auto"/>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700" w:type="dxa"/>
          </w:tcPr>
          <w:p>
            <w:pPr>
              <w:adjustRightInd w:val="0"/>
              <w:snapToGrid w:val="0"/>
              <w:spacing w:beforeLines="50" w:line="276" w:lineRule="auto"/>
              <w:rPr>
                <w:rFonts w:asciiTheme="minorEastAsia" w:hAnsiTheme="minorEastAsia" w:eastAsiaTheme="minorEastAsia"/>
                <w:szCs w:val="21"/>
              </w:rPr>
            </w:pPr>
          </w:p>
        </w:tc>
        <w:tc>
          <w:tcPr>
            <w:tcW w:w="4874" w:type="dxa"/>
          </w:tcPr>
          <w:p>
            <w:pPr>
              <w:adjustRightInd w:val="0"/>
              <w:snapToGrid w:val="0"/>
              <w:spacing w:beforeLines="50" w:line="276" w:lineRule="auto"/>
              <w:rPr>
                <w:rFonts w:asciiTheme="minorEastAsia" w:hAnsiTheme="minorEastAsia" w:eastAsiaTheme="minorEastAsia"/>
                <w:szCs w:val="21"/>
              </w:rPr>
            </w:pPr>
          </w:p>
        </w:tc>
      </w:tr>
    </w:tbl>
    <w:p>
      <w:pPr>
        <w:adjustRightInd w:val="0"/>
        <w:snapToGrid w:val="0"/>
        <w:spacing w:beforeLines="50" w:line="276" w:lineRule="auto"/>
        <w:rPr>
          <w:rFonts w:asciiTheme="minorEastAsia" w:hAnsiTheme="minorEastAsia" w:eastAsiaTheme="minorEastAsia"/>
          <w:szCs w:val="21"/>
        </w:rPr>
      </w:pPr>
      <w:r>
        <w:rPr>
          <w:rFonts w:hint="eastAsia" w:asciiTheme="minorEastAsia" w:hAnsiTheme="minorEastAsia" w:eastAsiaTheme="minorEastAsia"/>
          <w:szCs w:val="21"/>
        </w:rPr>
        <w:t>4.近年该货物主要销售客户的名称地址(可另附页)：</w:t>
      </w:r>
    </w:p>
    <w:p>
      <w:pPr>
        <w:adjustRightInd w:val="0"/>
        <w:snapToGrid w:val="0"/>
        <w:spacing w:beforeLines="50"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（用户名称和地址）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（销售项目名称）</w:t>
      </w:r>
    </w:p>
    <w:p>
      <w:pPr>
        <w:adjustRightInd w:val="0"/>
        <w:snapToGrid w:val="0"/>
        <w:spacing w:beforeLines="50"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（用户名称和地址）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（销售项目名称）</w:t>
      </w:r>
    </w:p>
    <w:p>
      <w:pPr>
        <w:adjustRightInd w:val="0"/>
        <w:snapToGrid w:val="0"/>
        <w:spacing w:beforeLines="50" w:line="276" w:lineRule="auto"/>
        <w:rPr>
          <w:rFonts w:asciiTheme="minorEastAsia" w:hAnsiTheme="minorEastAsia" w:eastAsiaTheme="minorEastAsia"/>
          <w:szCs w:val="21"/>
        </w:rPr>
      </w:pPr>
      <w:r>
        <w:rPr>
          <w:rFonts w:hint="eastAsia" w:asciiTheme="minorEastAsia" w:hAnsiTheme="minorEastAsia" w:eastAsiaTheme="minorEastAsia"/>
          <w:szCs w:val="21"/>
        </w:rPr>
        <w:t>5.同意为投标人制造货物的制造商名称、地址(非制造商填写)</w:t>
      </w:r>
    </w:p>
    <w:p>
      <w:pPr>
        <w:adjustRightInd w:val="0"/>
        <w:snapToGrid w:val="0"/>
        <w:spacing w:beforeLines="50" w:line="276" w:lineRule="auto"/>
        <w:ind w:left="420"/>
        <w:rPr>
          <w:rFonts w:asciiTheme="minorEastAsia" w:hAnsiTheme="minorEastAsia" w:eastAsiaTheme="minorEastAsia"/>
          <w:szCs w:val="21"/>
          <w:u w:val="single"/>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p>
      <w:pPr>
        <w:adjustRightInd w:val="0"/>
        <w:snapToGrid w:val="0"/>
        <w:spacing w:beforeLines="50" w:line="360" w:lineRule="auto"/>
        <w:rPr>
          <w:rFonts w:asciiTheme="minorEastAsia" w:hAnsiTheme="minorEastAsia" w:eastAsiaTheme="minorEastAsia"/>
          <w:szCs w:val="21"/>
        </w:rPr>
      </w:pPr>
    </w:p>
    <w:p>
      <w:pPr>
        <w:adjustRightInd w:val="0"/>
        <w:snapToGrid w:val="0"/>
        <w:spacing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6,近年类似项目业绩(可另附页)：</w:t>
      </w:r>
    </w:p>
    <w:tbl>
      <w:tblPr>
        <w:tblStyle w:val="50"/>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47"/>
        <w:gridCol w:w="1505"/>
        <w:gridCol w:w="1646"/>
        <w:gridCol w:w="1103"/>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adjustRightInd w:val="0"/>
              <w:snapToGrid w:val="0"/>
              <w:spacing w:beforeLines="5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采购人名称</w:t>
            </w:r>
          </w:p>
        </w:tc>
        <w:tc>
          <w:tcPr>
            <w:tcW w:w="1647" w:type="dxa"/>
          </w:tcPr>
          <w:p>
            <w:pPr>
              <w:adjustRightInd w:val="0"/>
              <w:snapToGrid w:val="0"/>
              <w:spacing w:beforeLines="5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项目名称</w:t>
            </w:r>
          </w:p>
        </w:tc>
        <w:tc>
          <w:tcPr>
            <w:tcW w:w="1505" w:type="dxa"/>
            <w:vAlign w:val="center"/>
          </w:tcPr>
          <w:p>
            <w:pPr>
              <w:adjustRightInd w:val="0"/>
              <w:snapToGrid w:val="0"/>
              <w:spacing w:beforeLines="5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货物品目</w:t>
            </w:r>
          </w:p>
        </w:tc>
        <w:tc>
          <w:tcPr>
            <w:tcW w:w="1646" w:type="dxa"/>
            <w:vAlign w:val="center"/>
          </w:tcPr>
          <w:p>
            <w:pPr>
              <w:adjustRightInd w:val="0"/>
              <w:snapToGrid w:val="0"/>
              <w:spacing w:beforeLines="5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合同签订日期</w:t>
            </w:r>
          </w:p>
        </w:tc>
        <w:tc>
          <w:tcPr>
            <w:tcW w:w="1103" w:type="dxa"/>
            <w:vAlign w:val="center"/>
          </w:tcPr>
          <w:p>
            <w:pPr>
              <w:adjustRightInd w:val="0"/>
              <w:snapToGrid w:val="0"/>
              <w:spacing w:beforeLines="5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c>
          <w:tcPr>
            <w:tcW w:w="1299" w:type="dxa"/>
            <w:vAlign w:val="center"/>
          </w:tcPr>
          <w:p>
            <w:pPr>
              <w:adjustRightInd w:val="0"/>
              <w:snapToGrid w:val="0"/>
              <w:spacing w:beforeLines="50"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beforeLines="50" w:line="360" w:lineRule="auto"/>
              <w:rPr>
                <w:rFonts w:asciiTheme="minorEastAsia" w:hAnsiTheme="minorEastAsia" w:eastAsiaTheme="minorEastAsia"/>
                <w:szCs w:val="21"/>
              </w:rPr>
            </w:pPr>
          </w:p>
        </w:tc>
        <w:tc>
          <w:tcPr>
            <w:tcW w:w="1647" w:type="dxa"/>
          </w:tcPr>
          <w:p>
            <w:pPr>
              <w:adjustRightInd w:val="0"/>
              <w:snapToGrid w:val="0"/>
              <w:spacing w:beforeLines="50" w:line="360" w:lineRule="auto"/>
              <w:rPr>
                <w:rFonts w:asciiTheme="minorEastAsia" w:hAnsiTheme="minorEastAsia" w:eastAsiaTheme="minorEastAsia"/>
                <w:szCs w:val="21"/>
              </w:rPr>
            </w:pPr>
          </w:p>
        </w:tc>
        <w:tc>
          <w:tcPr>
            <w:tcW w:w="1505" w:type="dxa"/>
          </w:tcPr>
          <w:p>
            <w:pPr>
              <w:adjustRightInd w:val="0"/>
              <w:snapToGrid w:val="0"/>
              <w:spacing w:beforeLines="50" w:line="360" w:lineRule="auto"/>
              <w:rPr>
                <w:rFonts w:asciiTheme="minorEastAsia" w:hAnsiTheme="minorEastAsia" w:eastAsiaTheme="minorEastAsia"/>
                <w:szCs w:val="21"/>
              </w:rPr>
            </w:pPr>
          </w:p>
        </w:tc>
        <w:tc>
          <w:tcPr>
            <w:tcW w:w="1646" w:type="dxa"/>
          </w:tcPr>
          <w:p>
            <w:pPr>
              <w:adjustRightInd w:val="0"/>
              <w:snapToGrid w:val="0"/>
              <w:spacing w:beforeLines="50" w:line="360" w:lineRule="auto"/>
              <w:rPr>
                <w:rFonts w:asciiTheme="minorEastAsia" w:hAnsiTheme="minorEastAsia" w:eastAsiaTheme="minorEastAsia"/>
                <w:szCs w:val="21"/>
              </w:rPr>
            </w:pPr>
          </w:p>
        </w:tc>
        <w:tc>
          <w:tcPr>
            <w:tcW w:w="1103" w:type="dxa"/>
          </w:tcPr>
          <w:p>
            <w:pPr>
              <w:adjustRightInd w:val="0"/>
              <w:snapToGrid w:val="0"/>
              <w:spacing w:beforeLines="50" w:line="360" w:lineRule="auto"/>
              <w:rPr>
                <w:rFonts w:asciiTheme="minorEastAsia" w:hAnsiTheme="minorEastAsia" w:eastAsiaTheme="minorEastAsia"/>
                <w:szCs w:val="21"/>
              </w:rPr>
            </w:pPr>
          </w:p>
        </w:tc>
        <w:tc>
          <w:tcPr>
            <w:tcW w:w="1299" w:type="dxa"/>
          </w:tcPr>
          <w:p>
            <w:pPr>
              <w:adjustRightInd w:val="0"/>
              <w:snapToGrid w:val="0"/>
              <w:spacing w:beforeLines="50"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beforeLines="50" w:line="360" w:lineRule="auto"/>
              <w:rPr>
                <w:rFonts w:asciiTheme="minorEastAsia" w:hAnsiTheme="minorEastAsia" w:eastAsiaTheme="minorEastAsia"/>
                <w:szCs w:val="21"/>
              </w:rPr>
            </w:pPr>
          </w:p>
        </w:tc>
        <w:tc>
          <w:tcPr>
            <w:tcW w:w="1647" w:type="dxa"/>
          </w:tcPr>
          <w:p>
            <w:pPr>
              <w:adjustRightInd w:val="0"/>
              <w:snapToGrid w:val="0"/>
              <w:spacing w:beforeLines="50" w:line="360" w:lineRule="auto"/>
              <w:rPr>
                <w:rFonts w:asciiTheme="minorEastAsia" w:hAnsiTheme="minorEastAsia" w:eastAsiaTheme="minorEastAsia"/>
                <w:szCs w:val="21"/>
              </w:rPr>
            </w:pPr>
          </w:p>
        </w:tc>
        <w:tc>
          <w:tcPr>
            <w:tcW w:w="1505" w:type="dxa"/>
          </w:tcPr>
          <w:p>
            <w:pPr>
              <w:adjustRightInd w:val="0"/>
              <w:snapToGrid w:val="0"/>
              <w:spacing w:beforeLines="50" w:line="360" w:lineRule="auto"/>
              <w:rPr>
                <w:rFonts w:asciiTheme="minorEastAsia" w:hAnsiTheme="minorEastAsia" w:eastAsiaTheme="minorEastAsia"/>
                <w:szCs w:val="21"/>
              </w:rPr>
            </w:pPr>
          </w:p>
        </w:tc>
        <w:tc>
          <w:tcPr>
            <w:tcW w:w="1646" w:type="dxa"/>
          </w:tcPr>
          <w:p>
            <w:pPr>
              <w:adjustRightInd w:val="0"/>
              <w:snapToGrid w:val="0"/>
              <w:spacing w:beforeLines="50" w:line="360" w:lineRule="auto"/>
              <w:rPr>
                <w:rFonts w:asciiTheme="minorEastAsia" w:hAnsiTheme="minorEastAsia" w:eastAsiaTheme="minorEastAsia"/>
                <w:szCs w:val="21"/>
              </w:rPr>
            </w:pPr>
          </w:p>
        </w:tc>
        <w:tc>
          <w:tcPr>
            <w:tcW w:w="1103" w:type="dxa"/>
          </w:tcPr>
          <w:p>
            <w:pPr>
              <w:adjustRightInd w:val="0"/>
              <w:snapToGrid w:val="0"/>
              <w:spacing w:beforeLines="50" w:line="360" w:lineRule="auto"/>
              <w:rPr>
                <w:rFonts w:asciiTheme="minorEastAsia" w:hAnsiTheme="minorEastAsia" w:eastAsiaTheme="minorEastAsia"/>
                <w:szCs w:val="21"/>
              </w:rPr>
            </w:pPr>
          </w:p>
        </w:tc>
        <w:tc>
          <w:tcPr>
            <w:tcW w:w="1299" w:type="dxa"/>
          </w:tcPr>
          <w:p>
            <w:pPr>
              <w:adjustRightInd w:val="0"/>
              <w:snapToGrid w:val="0"/>
              <w:spacing w:beforeLines="50"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beforeLines="50" w:line="360" w:lineRule="auto"/>
              <w:rPr>
                <w:rFonts w:asciiTheme="minorEastAsia" w:hAnsiTheme="minorEastAsia" w:eastAsiaTheme="minorEastAsia"/>
                <w:szCs w:val="21"/>
              </w:rPr>
            </w:pPr>
          </w:p>
        </w:tc>
        <w:tc>
          <w:tcPr>
            <w:tcW w:w="1647" w:type="dxa"/>
          </w:tcPr>
          <w:p>
            <w:pPr>
              <w:adjustRightInd w:val="0"/>
              <w:snapToGrid w:val="0"/>
              <w:spacing w:beforeLines="50" w:line="360" w:lineRule="auto"/>
              <w:rPr>
                <w:rFonts w:asciiTheme="minorEastAsia" w:hAnsiTheme="minorEastAsia" w:eastAsiaTheme="minorEastAsia"/>
                <w:szCs w:val="21"/>
              </w:rPr>
            </w:pPr>
          </w:p>
        </w:tc>
        <w:tc>
          <w:tcPr>
            <w:tcW w:w="1505" w:type="dxa"/>
          </w:tcPr>
          <w:p>
            <w:pPr>
              <w:adjustRightInd w:val="0"/>
              <w:snapToGrid w:val="0"/>
              <w:spacing w:beforeLines="50" w:line="360" w:lineRule="auto"/>
              <w:rPr>
                <w:rFonts w:asciiTheme="minorEastAsia" w:hAnsiTheme="minorEastAsia" w:eastAsiaTheme="minorEastAsia"/>
                <w:szCs w:val="21"/>
              </w:rPr>
            </w:pPr>
          </w:p>
        </w:tc>
        <w:tc>
          <w:tcPr>
            <w:tcW w:w="1646" w:type="dxa"/>
          </w:tcPr>
          <w:p>
            <w:pPr>
              <w:adjustRightInd w:val="0"/>
              <w:snapToGrid w:val="0"/>
              <w:spacing w:beforeLines="50" w:line="360" w:lineRule="auto"/>
              <w:rPr>
                <w:rFonts w:asciiTheme="minorEastAsia" w:hAnsiTheme="minorEastAsia" w:eastAsiaTheme="minorEastAsia"/>
                <w:szCs w:val="21"/>
              </w:rPr>
            </w:pPr>
          </w:p>
        </w:tc>
        <w:tc>
          <w:tcPr>
            <w:tcW w:w="1103" w:type="dxa"/>
          </w:tcPr>
          <w:p>
            <w:pPr>
              <w:adjustRightInd w:val="0"/>
              <w:snapToGrid w:val="0"/>
              <w:spacing w:beforeLines="50" w:line="360" w:lineRule="auto"/>
              <w:rPr>
                <w:rFonts w:asciiTheme="minorEastAsia" w:hAnsiTheme="minorEastAsia" w:eastAsiaTheme="minorEastAsia"/>
                <w:szCs w:val="21"/>
              </w:rPr>
            </w:pPr>
          </w:p>
        </w:tc>
        <w:tc>
          <w:tcPr>
            <w:tcW w:w="1299" w:type="dxa"/>
          </w:tcPr>
          <w:p>
            <w:pPr>
              <w:adjustRightInd w:val="0"/>
              <w:snapToGrid w:val="0"/>
              <w:spacing w:beforeLines="50"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beforeLines="50" w:line="360" w:lineRule="auto"/>
              <w:rPr>
                <w:rFonts w:asciiTheme="minorEastAsia" w:hAnsiTheme="minorEastAsia" w:eastAsiaTheme="minorEastAsia"/>
                <w:szCs w:val="21"/>
              </w:rPr>
            </w:pPr>
          </w:p>
        </w:tc>
        <w:tc>
          <w:tcPr>
            <w:tcW w:w="1647" w:type="dxa"/>
          </w:tcPr>
          <w:p>
            <w:pPr>
              <w:adjustRightInd w:val="0"/>
              <w:snapToGrid w:val="0"/>
              <w:spacing w:beforeLines="50" w:line="360" w:lineRule="auto"/>
              <w:rPr>
                <w:rFonts w:asciiTheme="minorEastAsia" w:hAnsiTheme="minorEastAsia" w:eastAsiaTheme="minorEastAsia"/>
                <w:szCs w:val="21"/>
              </w:rPr>
            </w:pPr>
          </w:p>
        </w:tc>
        <w:tc>
          <w:tcPr>
            <w:tcW w:w="1505" w:type="dxa"/>
          </w:tcPr>
          <w:p>
            <w:pPr>
              <w:adjustRightInd w:val="0"/>
              <w:snapToGrid w:val="0"/>
              <w:spacing w:beforeLines="50" w:line="360" w:lineRule="auto"/>
              <w:rPr>
                <w:rFonts w:asciiTheme="minorEastAsia" w:hAnsiTheme="minorEastAsia" w:eastAsiaTheme="minorEastAsia"/>
                <w:szCs w:val="21"/>
              </w:rPr>
            </w:pPr>
          </w:p>
        </w:tc>
        <w:tc>
          <w:tcPr>
            <w:tcW w:w="1646" w:type="dxa"/>
          </w:tcPr>
          <w:p>
            <w:pPr>
              <w:adjustRightInd w:val="0"/>
              <w:snapToGrid w:val="0"/>
              <w:spacing w:beforeLines="50" w:line="360" w:lineRule="auto"/>
              <w:rPr>
                <w:rFonts w:asciiTheme="minorEastAsia" w:hAnsiTheme="minorEastAsia" w:eastAsiaTheme="minorEastAsia"/>
                <w:szCs w:val="21"/>
              </w:rPr>
            </w:pPr>
          </w:p>
        </w:tc>
        <w:tc>
          <w:tcPr>
            <w:tcW w:w="1103" w:type="dxa"/>
          </w:tcPr>
          <w:p>
            <w:pPr>
              <w:adjustRightInd w:val="0"/>
              <w:snapToGrid w:val="0"/>
              <w:spacing w:beforeLines="50" w:line="360" w:lineRule="auto"/>
              <w:rPr>
                <w:rFonts w:asciiTheme="minorEastAsia" w:hAnsiTheme="minorEastAsia" w:eastAsiaTheme="minorEastAsia"/>
                <w:szCs w:val="21"/>
              </w:rPr>
            </w:pPr>
          </w:p>
        </w:tc>
        <w:tc>
          <w:tcPr>
            <w:tcW w:w="1299" w:type="dxa"/>
          </w:tcPr>
          <w:p>
            <w:pPr>
              <w:adjustRightInd w:val="0"/>
              <w:snapToGrid w:val="0"/>
              <w:spacing w:beforeLines="50"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adjustRightInd w:val="0"/>
              <w:snapToGrid w:val="0"/>
              <w:spacing w:beforeLines="50" w:line="360" w:lineRule="auto"/>
              <w:rPr>
                <w:rFonts w:asciiTheme="minorEastAsia" w:hAnsiTheme="minorEastAsia" w:eastAsiaTheme="minorEastAsia"/>
                <w:szCs w:val="21"/>
              </w:rPr>
            </w:pPr>
          </w:p>
        </w:tc>
        <w:tc>
          <w:tcPr>
            <w:tcW w:w="1647" w:type="dxa"/>
          </w:tcPr>
          <w:p>
            <w:pPr>
              <w:adjustRightInd w:val="0"/>
              <w:snapToGrid w:val="0"/>
              <w:spacing w:beforeLines="50" w:line="360" w:lineRule="auto"/>
              <w:rPr>
                <w:rFonts w:asciiTheme="minorEastAsia" w:hAnsiTheme="minorEastAsia" w:eastAsiaTheme="minorEastAsia"/>
                <w:szCs w:val="21"/>
              </w:rPr>
            </w:pPr>
          </w:p>
        </w:tc>
        <w:tc>
          <w:tcPr>
            <w:tcW w:w="1505" w:type="dxa"/>
          </w:tcPr>
          <w:p>
            <w:pPr>
              <w:adjustRightInd w:val="0"/>
              <w:snapToGrid w:val="0"/>
              <w:spacing w:beforeLines="50" w:line="360" w:lineRule="auto"/>
              <w:rPr>
                <w:rFonts w:asciiTheme="minorEastAsia" w:hAnsiTheme="minorEastAsia" w:eastAsiaTheme="minorEastAsia"/>
                <w:szCs w:val="21"/>
              </w:rPr>
            </w:pPr>
          </w:p>
        </w:tc>
        <w:tc>
          <w:tcPr>
            <w:tcW w:w="1646" w:type="dxa"/>
          </w:tcPr>
          <w:p>
            <w:pPr>
              <w:adjustRightInd w:val="0"/>
              <w:snapToGrid w:val="0"/>
              <w:spacing w:beforeLines="50" w:line="360" w:lineRule="auto"/>
              <w:rPr>
                <w:rFonts w:asciiTheme="minorEastAsia" w:hAnsiTheme="minorEastAsia" w:eastAsiaTheme="minorEastAsia"/>
                <w:szCs w:val="21"/>
              </w:rPr>
            </w:pPr>
          </w:p>
        </w:tc>
        <w:tc>
          <w:tcPr>
            <w:tcW w:w="1103" w:type="dxa"/>
          </w:tcPr>
          <w:p>
            <w:pPr>
              <w:adjustRightInd w:val="0"/>
              <w:snapToGrid w:val="0"/>
              <w:spacing w:beforeLines="50" w:line="360" w:lineRule="auto"/>
              <w:rPr>
                <w:rFonts w:asciiTheme="minorEastAsia" w:hAnsiTheme="minorEastAsia" w:eastAsiaTheme="minorEastAsia"/>
                <w:szCs w:val="21"/>
              </w:rPr>
            </w:pPr>
          </w:p>
        </w:tc>
        <w:tc>
          <w:tcPr>
            <w:tcW w:w="1299" w:type="dxa"/>
          </w:tcPr>
          <w:p>
            <w:pPr>
              <w:adjustRightInd w:val="0"/>
              <w:snapToGrid w:val="0"/>
              <w:spacing w:beforeLines="50" w:line="360" w:lineRule="auto"/>
              <w:rPr>
                <w:rFonts w:asciiTheme="minorEastAsia" w:hAnsiTheme="minorEastAsia" w:eastAsiaTheme="minorEastAsia"/>
                <w:szCs w:val="21"/>
              </w:rPr>
            </w:pPr>
          </w:p>
        </w:tc>
      </w:tr>
    </w:tbl>
    <w:p>
      <w:pPr>
        <w:adjustRightInd w:val="0"/>
        <w:snapToGrid w:val="0"/>
        <w:spacing w:beforeLines="50" w:line="360" w:lineRule="auto"/>
        <w:ind w:left="420"/>
        <w:rPr>
          <w:rFonts w:asciiTheme="minorEastAsia" w:hAnsiTheme="minorEastAsia" w:eastAsiaTheme="minorEastAsia"/>
          <w:szCs w:val="21"/>
          <w:u w:val="single"/>
        </w:rPr>
      </w:pPr>
    </w:p>
    <w:p>
      <w:pPr>
        <w:adjustRightInd w:val="0"/>
        <w:snapToGrid w:val="0"/>
        <w:spacing w:beforeLines="50" w:line="360" w:lineRule="auto"/>
        <w:rPr>
          <w:rFonts w:asciiTheme="minorEastAsia" w:hAnsiTheme="minorEastAsia" w:eastAsiaTheme="minorEastAsia"/>
          <w:sz w:val="24"/>
        </w:rPr>
      </w:pPr>
      <w:r>
        <w:rPr>
          <w:rFonts w:hint="eastAsia" w:asciiTheme="minorEastAsia" w:hAnsiTheme="minorEastAsia" w:eastAsiaTheme="minorEastAsia"/>
          <w:sz w:val="24"/>
        </w:rPr>
        <w:t>7.开立基本帐户银行的名称和地址：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（提供注册地人民银行开户许可证复印件）</w:t>
      </w:r>
    </w:p>
    <w:p>
      <w:pPr>
        <w:adjustRightInd w:val="0"/>
        <w:snapToGrid w:val="0"/>
        <w:spacing w:beforeLines="50" w:line="360" w:lineRule="auto"/>
        <w:rPr>
          <w:rFonts w:asciiTheme="minorEastAsia" w:hAnsiTheme="minorEastAsia" w:eastAsiaTheme="minorEastAsia"/>
          <w:sz w:val="24"/>
        </w:rPr>
      </w:pPr>
      <w:r>
        <w:rPr>
          <w:rFonts w:hint="eastAsia" w:asciiTheme="minorEastAsia" w:hAnsiTheme="minorEastAsia" w:eastAsiaTheme="minorEastAsia"/>
          <w:sz w:val="24"/>
        </w:rPr>
        <w:t xml:space="preserve">8.其他情况：组织机构、技术力量、制造商体系认证情况等 </w:t>
      </w:r>
    </w:p>
    <w:p>
      <w:pPr>
        <w:adjustRightInd w:val="0"/>
        <w:snapToGrid w:val="0"/>
        <w:spacing w:beforeLines="50" w:line="360" w:lineRule="auto"/>
        <w:rPr>
          <w:rFonts w:asciiTheme="minorEastAsia" w:hAnsiTheme="minorEastAsia" w:eastAsiaTheme="minorEastAsia"/>
          <w:b/>
          <w:sz w:val="24"/>
        </w:rPr>
      </w:pPr>
      <w:r>
        <w:rPr>
          <w:rFonts w:hint="eastAsia" w:asciiTheme="minorEastAsia" w:hAnsiTheme="minorEastAsia" w:eastAsiaTheme="minorEastAsia"/>
          <w:b/>
          <w:sz w:val="24"/>
        </w:rPr>
        <w:t>9.提供营业执照副本 (自然人为投标人时，提供自然人身份证明)等证明材料的复印件。</w:t>
      </w:r>
    </w:p>
    <w:p>
      <w:pPr>
        <w:adjustRightInd w:val="0"/>
        <w:snapToGrid w:val="0"/>
        <w:spacing w:before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兹声明上述数据和资料是真实、正确的，我们同意遵照贵方要求出示有关证明文件。</w:t>
      </w:r>
    </w:p>
    <w:p>
      <w:pPr>
        <w:widowControl/>
        <w:adjustRightInd w:val="0"/>
        <w:snapToGrid w:val="0"/>
        <w:spacing w:beforeLines="50" w:line="360" w:lineRule="auto"/>
        <w:ind w:firstLine="480" w:firstLineChars="200"/>
        <w:rPr>
          <w:rFonts w:asciiTheme="minorEastAsia" w:hAnsiTheme="minorEastAsia" w:eastAsiaTheme="minorEastAsia"/>
          <w:sz w:val="24"/>
        </w:rPr>
      </w:pPr>
    </w:p>
    <w:p>
      <w:pPr>
        <w:widowControl/>
        <w:adjustRightInd w:val="0"/>
        <w:snapToGrid w:val="0"/>
        <w:spacing w:beforeLines="50" w:line="360" w:lineRule="auto"/>
        <w:rPr>
          <w:rFonts w:asciiTheme="minorEastAsia" w:hAnsiTheme="minorEastAsia" w:eastAsiaTheme="minorEastAsia"/>
          <w:sz w:val="24"/>
        </w:rPr>
      </w:pPr>
    </w:p>
    <w:p>
      <w:pPr>
        <w:widowControl/>
        <w:adjustRightInd w:val="0"/>
        <w:snapToGrid w:val="0"/>
        <w:spacing w:beforeLines="50" w:line="360" w:lineRule="auto"/>
        <w:ind w:firstLine="480" w:firstLineChars="200"/>
        <w:rPr>
          <w:rFonts w:asciiTheme="minorEastAsia" w:hAnsiTheme="minorEastAsia" w:eastAsiaTheme="minorEastAsia"/>
          <w:sz w:val="24"/>
        </w:rPr>
      </w:pPr>
    </w:p>
    <w:p>
      <w:pPr>
        <w:adjustRightInd w:val="0"/>
        <w:snapToGrid w:val="0"/>
        <w:spacing w:beforeLines="50" w:line="360" w:lineRule="auto"/>
        <w:ind w:firstLine="480" w:firstLineChars="200"/>
        <w:rPr>
          <w:rFonts w:asciiTheme="minorEastAsia" w:hAnsiTheme="minorEastAsia" w:eastAsiaTheme="minorEastAsia"/>
          <w:sz w:val="24"/>
        </w:rPr>
      </w:pPr>
    </w:p>
    <w:p>
      <w:pPr>
        <w:adjustRightInd w:val="0"/>
        <w:snapToGrid w:val="0"/>
        <w:spacing w:beforeLines="50" w:line="360" w:lineRule="auto"/>
        <w:ind w:left="5386" w:leftChars="2565" w:right="840"/>
        <w:rPr>
          <w:rFonts w:asciiTheme="minorEastAsia" w:hAnsiTheme="minorEastAsia" w:eastAsiaTheme="minorEastAsia"/>
          <w:sz w:val="24"/>
        </w:rPr>
      </w:pPr>
      <w:r>
        <w:rPr>
          <w:rFonts w:hint="eastAsia" w:asciiTheme="minorEastAsia" w:hAnsiTheme="minorEastAsia" w:eastAsiaTheme="minorEastAsia"/>
          <w:sz w:val="24"/>
        </w:rPr>
        <w:t xml:space="preserve">投标人名称（盖章）： </w:t>
      </w:r>
    </w:p>
    <w:p>
      <w:pPr>
        <w:adjustRightInd w:val="0"/>
        <w:snapToGrid w:val="0"/>
        <w:spacing w:beforeLines="50" w:line="360" w:lineRule="auto"/>
        <w:ind w:right="1080"/>
        <w:jc w:val="right"/>
        <w:rPr>
          <w:rFonts w:asciiTheme="minorEastAsia" w:hAnsiTheme="minorEastAsia" w:eastAsiaTheme="minorEastAsia"/>
          <w:sz w:val="24"/>
          <w:u w:val="single"/>
        </w:rPr>
      </w:pPr>
      <w:r>
        <w:rPr>
          <w:rFonts w:hint="eastAsia" w:asciiTheme="minorEastAsia" w:hAnsiTheme="minorEastAsia" w:eastAsiaTheme="minorEastAsia"/>
          <w:sz w:val="24"/>
        </w:rPr>
        <w:t>法定代表人（盖章）:</w:t>
      </w:r>
    </w:p>
    <w:p>
      <w:pPr>
        <w:wordWrap w:val="0"/>
        <w:adjustRightInd w:val="0"/>
        <w:snapToGrid w:val="0"/>
        <w:spacing w:beforeLines="50" w:line="360" w:lineRule="auto"/>
        <w:ind w:left="5386" w:leftChars="2565" w:right="840"/>
        <w:rPr>
          <w:rFonts w:asciiTheme="minorEastAsia" w:hAnsiTheme="minorEastAsia" w:eastAsiaTheme="minorEastAsia"/>
          <w:sz w:val="24"/>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附件4</w:t>
      </w:r>
    </w:p>
    <w:p>
      <w:pPr>
        <w:adjustRightInd w:val="0"/>
        <w:snapToGrid w:val="0"/>
        <w:spacing w:line="360" w:lineRule="auto"/>
        <w:jc w:val="center"/>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财务状况</w:t>
      </w:r>
      <w:bookmarkEnd w:id="10"/>
      <w:bookmarkEnd w:id="11"/>
      <w:r>
        <w:rPr>
          <w:rFonts w:hint="eastAsia" w:asciiTheme="minorEastAsia" w:hAnsiTheme="minorEastAsia" w:eastAsiaTheme="minorEastAsia"/>
          <w:sz w:val="28"/>
          <w:szCs w:val="28"/>
        </w:rPr>
        <w:t>报告、依法缴纳税收和社会保险费的证明文件</w:t>
      </w:r>
    </w:p>
    <w:p>
      <w:pPr>
        <w:adjustRightInd w:val="0"/>
        <w:snapToGrid w:val="0"/>
        <w:spacing w:line="360" w:lineRule="auto"/>
        <w:jc w:val="center"/>
        <w:outlineLvl w:val="0"/>
        <w:rPr>
          <w:rFonts w:asciiTheme="minorEastAsia" w:hAnsiTheme="minorEastAsia" w:eastAsiaTheme="minorEastAsia"/>
          <w:b/>
          <w:sz w:val="32"/>
          <w:szCs w:val="32"/>
        </w:rPr>
      </w:pPr>
    </w:p>
    <w:p>
      <w:pPr>
        <w:adjustRightInd w:val="0"/>
        <w:snapToGrid w:val="0"/>
        <w:spacing w:beforeLines="50" w:line="360" w:lineRule="auto"/>
        <w:outlineLvl w:val="0"/>
        <w:rPr>
          <w:rFonts w:asciiTheme="minorEastAsia" w:hAnsiTheme="minorEastAsia" w:eastAsiaTheme="minorEastAsia"/>
          <w:sz w:val="24"/>
        </w:rPr>
      </w:pPr>
      <w:bookmarkStart w:id="12" w:name="_Toc294206748"/>
    </w:p>
    <w:p>
      <w:pPr>
        <w:spacing w:line="480" w:lineRule="exact"/>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备注</w:t>
      </w:r>
      <w:r>
        <w:rPr>
          <w:rFonts w:hint="eastAsia" w:asciiTheme="minorEastAsia" w:hAnsiTheme="minorEastAsia" w:eastAsiaTheme="minorEastAsia"/>
          <w:sz w:val="24"/>
        </w:rPr>
        <w:t>：</w:t>
      </w:r>
      <w:bookmarkEnd w:id="12"/>
      <w:r>
        <w:rPr>
          <w:rFonts w:hint="eastAsia" w:asciiTheme="minorEastAsia" w:hAnsiTheme="minorEastAsia" w:eastAsiaTheme="minorEastAsia"/>
          <w:sz w:val="24"/>
        </w:rPr>
        <w:t>1、提供上年度经会计师事务所审计的财务报告复印件（至少包含资产负债表、利润表和现金流量表），或银行出具的资信证明。</w:t>
      </w:r>
    </w:p>
    <w:p>
      <w:pPr>
        <w:spacing w:line="48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2、依法缴纳税收和社会保险费的证明资料：</w:t>
      </w:r>
    </w:p>
    <w:p>
      <w:pPr>
        <w:spacing w:line="48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48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2）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spacing w:beforeLines="50" w:line="360" w:lineRule="auto"/>
        <w:ind w:firstLine="720" w:firstLineChars="300"/>
        <w:outlineLvl w:val="0"/>
        <w:rPr>
          <w:rFonts w:asciiTheme="minorEastAsia" w:hAnsiTheme="minorEastAsia" w:eastAsiaTheme="minorEastAsia"/>
          <w:sz w:val="24"/>
        </w:rPr>
      </w:pPr>
    </w:p>
    <w:p>
      <w:pPr>
        <w:adjustRightInd w:val="0"/>
        <w:snapToGrid w:val="0"/>
        <w:spacing w:beforeLines="50" w:line="360" w:lineRule="auto"/>
        <w:ind w:firstLine="630" w:firstLineChars="300"/>
        <w:outlineLvl w:val="0"/>
        <w:rPr>
          <w:rFonts w:asciiTheme="minorEastAsia" w:hAnsiTheme="minorEastAsia" w:eastAsiaTheme="minorEastAsia"/>
          <w:szCs w:val="21"/>
        </w:rPr>
      </w:pPr>
    </w:p>
    <w:p>
      <w:pPr>
        <w:adjustRightInd w:val="0"/>
        <w:snapToGrid w:val="0"/>
        <w:spacing w:beforeLines="50" w:line="360" w:lineRule="auto"/>
        <w:ind w:firstLine="630" w:firstLineChars="300"/>
        <w:outlineLvl w:val="0"/>
        <w:rPr>
          <w:rFonts w:asciiTheme="minorEastAsia" w:hAnsiTheme="minorEastAsia" w:eastAsiaTheme="minorEastAsia"/>
          <w:szCs w:val="21"/>
        </w:rPr>
      </w:pPr>
    </w:p>
    <w:p>
      <w:pPr>
        <w:adjustRightInd w:val="0"/>
        <w:snapToGrid w:val="0"/>
        <w:spacing w:beforeLines="50" w:line="360" w:lineRule="auto"/>
        <w:ind w:firstLine="630" w:firstLineChars="300"/>
        <w:outlineLvl w:val="0"/>
        <w:rPr>
          <w:rFonts w:asciiTheme="minorEastAsia" w:hAnsiTheme="minorEastAsia" w:eastAsiaTheme="minorEastAsia"/>
          <w:szCs w:val="21"/>
        </w:rPr>
      </w:pPr>
    </w:p>
    <w:p>
      <w:pPr>
        <w:adjustRightInd w:val="0"/>
        <w:snapToGrid w:val="0"/>
        <w:spacing w:beforeLines="50" w:line="360" w:lineRule="auto"/>
        <w:ind w:firstLine="630" w:firstLineChars="300"/>
        <w:outlineLvl w:val="0"/>
        <w:rPr>
          <w:rFonts w:asciiTheme="minorEastAsia" w:hAnsiTheme="minorEastAsia" w:eastAsiaTheme="minorEastAsia"/>
          <w:szCs w:val="21"/>
        </w:rPr>
      </w:pPr>
    </w:p>
    <w:p>
      <w:pPr>
        <w:adjustRightInd w:val="0"/>
        <w:snapToGrid w:val="0"/>
        <w:spacing w:beforeLines="50" w:line="360" w:lineRule="auto"/>
        <w:outlineLvl w:val="0"/>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rPr>
          <w:rFonts w:asciiTheme="minorEastAsia" w:hAnsiTheme="minorEastAsia" w:eastAsiaTheme="minorEastAsia"/>
          <w:sz w:val="28"/>
          <w:szCs w:val="28"/>
        </w:rPr>
      </w:pP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附件5 </w:t>
      </w:r>
    </w:p>
    <w:p>
      <w:pPr>
        <w:adjustRightInd w:val="0"/>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参加政府采购活动前三年内在经营活动中</w:t>
      </w:r>
    </w:p>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8"/>
          <w:szCs w:val="28"/>
        </w:rPr>
        <w:t>没有重大违法记录的书面声明</w:t>
      </w:r>
    </w:p>
    <w:p>
      <w:pPr>
        <w:adjustRightInd w:val="0"/>
        <w:snapToGrid w:val="0"/>
        <w:spacing w:beforeLines="50" w:line="360" w:lineRule="auto"/>
        <w:ind w:left="-88" w:leftChars="-42"/>
        <w:outlineLvl w:val="0"/>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(采购代理机构)：</w:t>
      </w:r>
    </w:p>
    <w:p>
      <w:pPr>
        <w:adjustRightInd w:val="0"/>
        <w:snapToGrid w:val="0"/>
        <w:spacing w:beforeLines="50" w:line="360" w:lineRule="auto"/>
        <w:ind w:left="-88" w:leftChars="-42"/>
        <w:rPr>
          <w:rFonts w:asciiTheme="minorEastAsia" w:hAnsiTheme="minorEastAsia" w:eastAsiaTheme="minorEastAsia"/>
          <w:szCs w:val="21"/>
        </w:rPr>
      </w:pPr>
    </w:p>
    <w:p>
      <w:pPr>
        <w:widowControl/>
        <w:adjustRightInd w:val="0"/>
        <w:snapToGrid w:val="0"/>
        <w:spacing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我单位在</w:t>
      </w:r>
      <w:r>
        <w:rPr>
          <w:rFonts w:hint="eastAsia" w:asciiTheme="minorEastAsia" w:hAnsiTheme="minorEastAsia" w:eastAsiaTheme="minorEastAsia"/>
          <w:szCs w:val="21"/>
        </w:rPr>
        <w:t>参加采购活动前三年内在经营活动中没有政府采购法第二十二条第一款第（五）项所称重大违法记录，包括：</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受到刑事处罚，</w:t>
      </w:r>
      <w:r>
        <w:rPr>
          <w:rFonts w:hint="eastAsia" w:asciiTheme="minorEastAsia" w:hAnsiTheme="minorEastAsia" w:eastAsiaTheme="minorEastAsia"/>
          <w:bCs/>
          <w:szCs w:val="21"/>
        </w:rPr>
        <w:t>受到三万元以上的罚款、责令停产停业、在一至三年内禁止参加政府采购活动、暂扣或者吊销许可证、暂扣或者吊销执照等情形之一的行政处罚，或者存在</w:t>
      </w:r>
      <w:r>
        <w:rPr>
          <w:rFonts w:hint="eastAsia" w:asciiTheme="minorEastAsia" w:hAnsiTheme="minorEastAsia" w:eastAsiaTheme="minorEastAsia"/>
          <w:szCs w:val="21"/>
        </w:rPr>
        <w:t>财政部门认定的其他重大违法记录。</w:t>
      </w:r>
    </w:p>
    <w:p>
      <w:pPr>
        <w:widowControl/>
        <w:adjustRightInd w:val="0"/>
        <w:snapToGrid w:val="0"/>
        <w:spacing w:beforeLines="50"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特此声明！</w:t>
      </w:r>
    </w:p>
    <w:p>
      <w:pPr>
        <w:widowControl/>
        <w:adjustRightInd w:val="0"/>
        <w:snapToGrid w:val="0"/>
        <w:spacing w:beforeLines="50" w:line="360" w:lineRule="auto"/>
        <w:ind w:firstLine="420"/>
        <w:rPr>
          <w:rFonts w:asciiTheme="minorEastAsia" w:hAnsiTheme="minorEastAsia" w:eastAsiaTheme="minorEastAsia"/>
          <w:szCs w:val="21"/>
        </w:rPr>
      </w:pPr>
    </w:p>
    <w:p>
      <w:pPr>
        <w:widowControl/>
        <w:adjustRightInd w:val="0"/>
        <w:snapToGrid w:val="0"/>
        <w:spacing w:beforeLines="50" w:line="360" w:lineRule="auto"/>
        <w:ind w:firstLine="42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Cs w:val="21"/>
        </w:rPr>
        <w:t xml:space="preserve">投标人名称（盖章）： </w:t>
      </w:r>
    </w:p>
    <w:p>
      <w:pPr>
        <w:adjustRightInd w:val="0"/>
        <w:snapToGrid w:val="0"/>
        <w:spacing w:beforeLines="50" w:line="360" w:lineRule="auto"/>
        <w:ind w:right="840" w:firstLine="5355" w:firstLineChars="2550"/>
        <w:rPr>
          <w:rFonts w:asciiTheme="minorEastAsia" w:hAnsiTheme="minorEastAsia" w:eastAsiaTheme="minorEastAsia"/>
          <w:szCs w:val="21"/>
          <w:u w:val="single"/>
        </w:rPr>
      </w:pPr>
      <w:r>
        <w:rPr>
          <w:rFonts w:hint="eastAsia" w:asciiTheme="minorEastAsia" w:hAnsiTheme="minorEastAsia" w:eastAsiaTheme="minorEastAsia"/>
          <w:szCs w:val="21"/>
        </w:rPr>
        <w:t>法定代表人（盖章）：</w:t>
      </w:r>
      <w:r>
        <w:rPr>
          <w:rFonts w:hint="eastAsia" w:asciiTheme="minorEastAsia" w:hAnsiTheme="minorEastAsia" w:eastAsiaTheme="minorEastAsia"/>
          <w:szCs w:val="21"/>
          <w:u w:val="single"/>
        </w:rPr>
        <w:t xml:space="preserve"> </w:t>
      </w:r>
    </w:p>
    <w:p>
      <w:pPr>
        <w:wordWrap w:val="0"/>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adjustRightInd w:val="0"/>
        <w:snapToGrid w:val="0"/>
        <w:spacing w:line="360" w:lineRule="auto"/>
        <w:rPr>
          <w:rFonts w:asciiTheme="minorEastAsia" w:hAnsiTheme="minorEastAsia" w:eastAsiaTheme="minorEastAsia"/>
          <w:bCs/>
          <w:sz w:val="28"/>
          <w:szCs w:val="28"/>
        </w:rPr>
      </w:pPr>
    </w:p>
    <w:p>
      <w:pPr>
        <w:adjustRightInd w:val="0"/>
        <w:snapToGrid w:val="0"/>
        <w:spacing w:line="360" w:lineRule="auto"/>
        <w:rPr>
          <w:rFonts w:asciiTheme="minorEastAsia" w:hAnsiTheme="minorEastAsia" w:eastAsiaTheme="minorEastAsia"/>
          <w:bCs/>
          <w:sz w:val="28"/>
          <w:szCs w:val="28"/>
        </w:rPr>
      </w:pPr>
    </w:p>
    <w:p>
      <w:pPr>
        <w:adjustRightInd w:val="0"/>
        <w:snapToGrid w:val="0"/>
        <w:spacing w:line="360" w:lineRule="auto"/>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附件6</w:t>
      </w:r>
    </w:p>
    <w:p>
      <w:pPr>
        <w:adjustRightInd w:val="0"/>
        <w:snapToGrid w:val="0"/>
        <w:spacing w:line="360" w:lineRule="auto"/>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法律、行政法规规定的其他条件证明文件</w:t>
      </w:r>
    </w:p>
    <w:p>
      <w:pPr>
        <w:adjustRightInd w:val="0"/>
        <w:snapToGrid w:val="0"/>
        <w:spacing w:line="360" w:lineRule="auto"/>
        <w:outlineLvl w:val="0"/>
        <w:rPr>
          <w:rFonts w:asciiTheme="minorEastAsia" w:hAnsiTheme="minorEastAsia" w:eastAsiaTheme="minorEastAsia"/>
          <w:sz w:val="24"/>
        </w:rPr>
      </w:pPr>
    </w:p>
    <w:p>
      <w:pPr>
        <w:adjustRightInd w:val="0"/>
        <w:snapToGrid w:val="0"/>
        <w:spacing w:beforeLines="50" w:line="360" w:lineRule="auto"/>
        <w:outlineLvl w:val="0"/>
        <w:rPr>
          <w:rFonts w:asciiTheme="minorEastAsia" w:hAnsiTheme="minorEastAsia" w:eastAsiaTheme="minorEastAsia"/>
          <w:b/>
          <w:sz w:val="24"/>
        </w:rPr>
      </w:pPr>
    </w:p>
    <w:p>
      <w:pPr>
        <w:adjustRightInd w:val="0"/>
        <w:snapToGrid w:val="0"/>
        <w:spacing w:beforeLines="50" w:line="360" w:lineRule="auto"/>
        <w:outlineLvl w:val="0"/>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r>
        <w:rPr>
          <w:rFonts w:hint="eastAsia" w:asciiTheme="minorEastAsia" w:hAnsiTheme="minorEastAsia" w:eastAsiaTheme="minorEastAsia"/>
          <w:b/>
          <w:szCs w:val="21"/>
        </w:rPr>
        <w:t>备注</w:t>
      </w:r>
      <w:r>
        <w:rPr>
          <w:rFonts w:hint="eastAsia" w:asciiTheme="minorEastAsia" w:hAnsiTheme="minorEastAsia" w:eastAsiaTheme="minorEastAsia"/>
          <w:szCs w:val="21"/>
        </w:rPr>
        <w:t>：提供第一章“投标须知”第3.1</w:t>
      </w:r>
      <w:r>
        <w:rPr>
          <w:rFonts w:hint="eastAsia" w:cs="宋体" w:asciiTheme="minorEastAsia" w:hAnsiTheme="minorEastAsia" w:eastAsiaTheme="minorEastAsia"/>
          <w:kern w:val="0"/>
          <w:szCs w:val="21"/>
          <w:lang w:val="zh-CN"/>
        </w:rPr>
        <w:t>款</w:t>
      </w:r>
      <w:r>
        <w:rPr>
          <w:rFonts w:hint="eastAsia" w:asciiTheme="minorEastAsia" w:hAnsiTheme="minorEastAsia" w:eastAsiaTheme="minorEastAsia"/>
          <w:szCs w:val="21"/>
        </w:rPr>
        <w:t>规定的资质（包括投标人从事投标货物的生产、销售或经营、安装、集成等）证明材料的复印件。</w:t>
      </w:r>
    </w:p>
    <w:p>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附件7</w:t>
      </w:r>
    </w:p>
    <w:p>
      <w:pPr>
        <w:spacing w:line="48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投标人特定资格条件证明文件</w:t>
      </w: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备注：提供第一章 投标须知第3.1款特定资格条件证明材料的复印件。</w:t>
      </w:r>
    </w:p>
    <w:p>
      <w:pPr>
        <w:spacing w:line="480" w:lineRule="exact"/>
        <w:rPr>
          <w:rFonts w:asciiTheme="minorEastAsia" w:hAnsiTheme="minorEastAsia" w:eastAsiaTheme="minorEastAsia"/>
          <w:szCs w:val="21"/>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附件8  </w:t>
      </w:r>
    </w:p>
    <w:p>
      <w:pPr>
        <w:adjustRightInd w:val="0"/>
        <w:snapToGrid w:val="0"/>
        <w:spacing w:line="360" w:lineRule="auto"/>
        <w:jc w:val="center"/>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经销、或代理投标货物、或为投标货物提供货物售后服务的证明文件</w:t>
      </w:r>
    </w:p>
    <w:p>
      <w:pPr>
        <w:adjustRightInd w:val="0"/>
        <w:snapToGrid w:val="0"/>
        <w:spacing w:line="360" w:lineRule="auto"/>
        <w:outlineLvl w:val="0"/>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u w:val="single"/>
        </w:rPr>
      </w:pPr>
    </w:p>
    <w:p>
      <w:pPr>
        <w:rPr>
          <w:rFonts w:asciiTheme="minorEastAsia" w:hAnsiTheme="minorEastAsia" w:eastAsiaTheme="minorEastAsia"/>
          <w:szCs w:val="21"/>
          <w:u w:val="single"/>
        </w:rPr>
      </w:pPr>
    </w:p>
    <w:p>
      <w:pPr>
        <w:adjustRightInd w:val="0"/>
        <w:snapToGrid w:val="0"/>
        <w:spacing w:beforeLines="50" w:line="360" w:lineRule="auto"/>
        <w:rPr>
          <w:rFonts w:asciiTheme="minorEastAsia" w:hAnsiTheme="minorEastAsia" w:eastAsiaTheme="minorEastAsia"/>
          <w:bCs/>
          <w:szCs w:val="21"/>
        </w:rPr>
      </w:pPr>
      <w:r>
        <w:rPr>
          <w:rFonts w:hint="eastAsia" w:asciiTheme="minorEastAsia" w:hAnsiTheme="minorEastAsia" w:eastAsiaTheme="minorEastAsia"/>
          <w:b/>
          <w:szCs w:val="21"/>
        </w:rPr>
        <w:t>备注：</w:t>
      </w:r>
      <w:r>
        <w:rPr>
          <w:rFonts w:hint="eastAsia" w:asciiTheme="minorEastAsia" w:hAnsiTheme="minorEastAsia" w:eastAsiaTheme="minorEastAsia"/>
          <w:sz w:val="24"/>
        </w:rPr>
        <w:t>提供：</w:t>
      </w:r>
      <w:r>
        <w:rPr>
          <w:rFonts w:hint="eastAsia" w:asciiTheme="minorEastAsia" w:hAnsiTheme="minorEastAsia" w:eastAsiaTheme="minorEastAsia"/>
          <w:bCs/>
          <w:sz w:val="24"/>
        </w:rPr>
        <w:t>协议或授权函复印件或售后服务证明文件原件。</w:t>
      </w:r>
    </w:p>
    <w:p>
      <w:pPr>
        <w:pStyle w:val="28"/>
        <w:spacing w:line="400" w:lineRule="atLeast"/>
        <w:rPr>
          <w:rFonts w:asciiTheme="minorEastAsia" w:hAnsiTheme="minorEastAsia" w:eastAsiaTheme="minorEastAsia"/>
          <w:b/>
          <w:bCs/>
          <w:sz w:val="84"/>
          <w:szCs w:val="84"/>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outlineLvl w:val="0"/>
        <w:rPr>
          <w:rFonts w:asciiTheme="minorEastAsia" w:hAnsiTheme="minorEastAsia" w:eastAsiaTheme="minorEastAsia"/>
          <w:sz w:val="28"/>
          <w:szCs w:val="28"/>
        </w:rPr>
      </w:pPr>
    </w:p>
    <w:p>
      <w:pPr>
        <w:adjustRightInd w:val="0"/>
        <w:snapToGrid w:val="0"/>
        <w:spacing w:line="360" w:lineRule="auto"/>
        <w:jc w:val="center"/>
        <w:rPr>
          <w:rFonts w:cs="Courier New" w:asciiTheme="minorEastAsia" w:hAnsiTheme="minorEastAsia" w:eastAsiaTheme="minorEastAsia"/>
          <w:bCs/>
          <w:sz w:val="28"/>
          <w:szCs w:val="28"/>
        </w:rPr>
      </w:pPr>
      <w:r>
        <w:rPr>
          <w:rFonts w:hint="eastAsia" w:cs="Courier New" w:asciiTheme="minorEastAsia" w:hAnsiTheme="minorEastAsia" w:eastAsiaTheme="minorEastAsia"/>
          <w:bCs/>
          <w:sz w:val="28"/>
          <w:szCs w:val="28"/>
        </w:rPr>
        <w:t>八、提供享受政府采购政策优惠的证明资料和清单表</w:t>
      </w:r>
    </w:p>
    <w:p>
      <w:pPr>
        <w:adjustRightInd w:val="0"/>
        <w:snapToGrid w:val="0"/>
        <w:spacing w:line="360" w:lineRule="auto"/>
        <w:rPr>
          <w:rFonts w:cs="宋体" w:asciiTheme="minorEastAsia" w:hAnsiTheme="minorEastAsia" w:eastAsiaTheme="minorEastAsia"/>
          <w:bCs/>
          <w:spacing w:val="6"/>
          <w:kern w:val="0"/>
          <w:sz w:val="28"/>
          <w:szCs w:val="28"/>
        </w:rPr>
      </w:pPr>
    </w:p>
    <w:p>
      <w:pPr>
        <w:adjustRightInd w:val="0"/>
        <w:snapToGrid w:val="0"/>
        <w:spacing w:line="360" w:lineRule="auto"/>
        <w:jc w:val="left"/>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 xml:space="preserve">附件1、              </w:t>
      </w:r>
    </w:p>
    <w:p>
      <w:pPr>
        <w:adjustRightInd w:val="0"/>
        <w:snapToGrid w:val="0"/>
        <w:spacing w:line="360" w:lineRule="auto"/>
        <w:jc w:val="left"/>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 xml:space="preserve">                      中小企业声明函</w:t>
      </w:r>
    </w:p>
    <w:p>
      <w:pPr>
        <w:widowControl/>
        <w:adjustRightInd w:val="0"/>
        <w:snapToGrid w:val="0"/>
        <w:spacing w:beforeLines="50" w:line="360" w:lineRule="auto"/>
        <w:ind w:firstLine="504"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本公司郑重声明，根据《政府采购促进中小企业发展暂行办法》（财库[2011]181号）的规定，本公司为</w:t>
      </w:r>
      <w:r>
        <w:rPr>
          <w:rFonts w:hint="eastAsia" w:cs="宋体" w:asciiTheme="minorEastAsia" w:hAnsiTheme="minorEastAsia" w:eastAsiaTheme="minorEastAsia"/>
          <w:spacing w:val="6"/>
          <w:kern w:val="0"/>
          <w:sz w:val="24"/>
          <w:u w:val="single"/>
        </w:rPr>
        <w:t xml:space="preserve">    </w:t>
      </w:r>
      <w:r>
        <w:rPr>
          <w:rFonts w:hint="eastAsia" w:cs="宋体" w:asciiTheme="minorEastAsia" w:hAnsiTheme="minorEastAsia" w:eastAsiaTheme="minorEastAsia"/>
          <w:spacing w:val="6"/>
          <w:kern w:val="0"/>
          <w:sz w:val="24"/>
        </w:rPr>
        <w:t>（请填写：中型、小型、微型）企业。即，本公司同时满足以下条件：</w:t>
      </w:r>
    </w:p>
    <w:p>
      <w:pPr>
        <w:widowControl/>
        <w:adjustRightInd w:val="0"/>
        <w:snapToGrid w:val="0"/>
        <w:spacing w:beforeLines="50" w:line="360" w:lineRule="auto"/>
        <w:ind w:firstLine="504"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1.根据《工业和信息化部、国家统计局、国家发展和改革委员会、财政部关于印发中小企业划型标准规定的通知》（工信部联企业[2011]300号）规定的划分标准，本公司为</w:t>
      </w:r>
      <w:r>
        <w:rPr>
          <w:rFonts w:hint="eastAsia" w:cs="宋体" w:asciiTheme="minorEastAsia" w:hAnsiTheme="minorEastAsia" w:eastAsiaTheme="minorEastAsia"/>
          <w:spacing w:val="6"/>
          <w:kern w:val="0"/>
          <w:sz w:val="24"/>
          <w:u w:val="single"/>
        </w:rPr>
        <w:t xml:space="preserve">           </w:t>
      </w:r>
      <w:r>
        <w:rPr>
          <w:rFonts w:hint="eastAsia" w:cs="宋体" w:asciiTheme="minorEastAsia" w:hAnsiTheme="minorEastAsia" w:eastAsiaTheme="minorEastAsia"/>
          <w:spacing w:val="6"/>
          <w:kern w:val="0"/>
          <w:sz w:val="24"/>
        </w:rPr>
        <w:t>（请填写：中型、小型、微型）企业。</w:t>
      </w:r>
    </w:p>
    <w:p>
      <w:pPr>
        <w:widowControl/>
        <w:adjustRightInd w:val="0"/>
        <w:snapToGrid w:val="0"/>
        <w:spacing w:beforeLines="50" w:line="360" w:lineRule="auto"/>
        <w:ind w:firstLine="504"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2.本公司参加</w:t>
      </w:r>
      <w:r>
        <w:rPr>
          <w:rFonts w:hint="eastAsia" w:cs="宋体" w:asciiTheme="minorEastAsia" w:hAnsiTheme="minorEastAsia" w:eastAsiaTheme="minorEastAsia"/>
          <w:spacing w:val="6"/>
          <w:kern w:val="0"/>
          <w:sz w:val="24"/>
          <w:u w:val="single"/>
        </w:rPr>
        <w:t xml:space="preserve">            </w:t>
      </w:r>
      <w:r>
        <w:rPr>
          <w:rFonts w:hint="eastAsia" w:cs="宋体" w:asciiTheme="minorEastAsia" w:hAnsiTheme="minorEastAsia" w:eastAsiaTheme="minorEastAsia"/>
          <w:spacing w:val="6"/>
          <w:kern w:val="0"/>
          <w:sz w:val="24"/>
        </w:rPr>
        <w:t>单位的</w:t>
      </w:r>
      <w:r>
        <w:rPr>
          <w:rFonts w:hint="eastAsia" w:cs="宋体" w:asciiTheme="minorEastAsia" w:hAnsiTheme="minorEastAsia" w:eastAsiaTheme="minorEastAsia"/>
          <w:spacing w:val="6"/>
          <w:kern w:val="0"/>
          <w:sz w:val="24"/>
          <w:u w:val="single"/>
        </w:rPr>
        <w:t xml:space="preserve">          </w:t>
      </w:r>
      <w:r>
        <w:rPr>
          <w:rFonts w:hint="eastAsia" w:cs="宋体" w:asciiTheme="minorEastAsia" w:hAnsiTheme="minorEastAsia" w:eastAsiaTheme="minorEastAsia"/>
          <w:spacing w:val="6"/>
          <w:kern w:val="0"/>
          <w:sz w:val="24"/>
        </w:rPr>
        <w:t xml:space="preserve"> 项目采购活动提供本企业制造的货物，由本企业承担工程、提供服务，或者提供其他</w:t>
      </w:r>
      <w:r>
        <w:rPr>
          <w:rFonts w:hint="eastAsia" w:cs="宋体" w:asciiTheme="minorEastAsia" w:hAnsiTheme="minorEastAsia" w:eastAsiaTheme="minorEastAsia"/>
          <w:spacing w:val="6"/>
          <w:kern w:val="0"/>
          <w:sz w:val="24"/>
          <w:u w:val="single"/>
        </w:rPr>
        <w:t xml:space="preserve">     </w:t>
      </w:r>
      <w:r>
        <w:rPr>
          <w:rFonts w:hint="eastAsia" w:cs="宋体" w:asciiTheme="minorEastAsia" w:hAnsiTheme="minorEastAsia" w:eastAsiaTheme="minorEastAsia"/>
          <w:spacing w:val="6"/>
          <w:kern w:val="0"/>
          <w:sz w:val="24"/>
        </w:rPr>
        <w:t>（请填写：中型、小型、微型）企业制造的货物。本条所称货物不包括使用大型企业注册商标的货物。</w:t>
      </w:r>
    </w:p>
    <w:p>
      <w:pPr>
        <w:widowControl/>
        <w:adjustRightInd w:val="0"/>
        <w:snapToGrid w:val="0"/>
        <w:spacing w:beforeLines="50" w:line="360" w:lineRule="auto"/>
        <w:ind w:firstLine="504"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pacing w:val="6"/>
          <w:kern w:val="0"/>
          <w:sz w:val="24"/>
        </w:rPr>
        <w:t>本公司对上述声明的真实性负责。如有虚假，将依法承担相应责任。</w:t>
      </w:r>
    </w:p>
    <w:p>
      <w:pPr>
        <w:widowControl/>
        <w:adjustRightInd w:val="0"/>
        <w:snapToGrid w:val="0"/>
        <w:spacing w:beforeLines="50"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p>
      <w:pPr>
        <w:widowControl/>
        <w:adjustRightInd w:val="0"/>
        <w:snapToGrid w:val="0"/>
        <w:spacing w:beforeLines="50"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p>
      <w:pPr>
        <w:adjustRightInd w:val="0"/>
        <w:snapToGrid w:val="0"/>
        <w:spacing w:beforeLines="50" w:line="360" w:lineRule="auto"/>
        <w:ind w:firstLine="504" w:firstLineChars="200"/>
        <w:rPr>
          <w:rFonts w:asciiTheme="minorEastAsia" w:hAnsiTheme="minorEastAsia" w:eastAsiaTheme="minorEastAsia"/>
          <w:sz w:val="24"/>
        </w:rPr>
      </w:pPr>
      <w:r>
        <w:rPr>
          <w:rFonts w:hint="eastAsia" w:cs="宋体" w:asciiTheme="minorEastAsia" w:hAnsiTheme="minorEastAsia" w:eastAsiaTheme="minorEastAsia"/>
          <w:spacing w:val="6"/>
          <w:kern w:val="0"/>
          <w:sz w:val="24"/>
        </w:rPr>
        <w:t>              </w:t>
      </w:r>
    </w:p>
    <w:p>
      <w:pPr>
        <w:adjustRightInd w:val="0"/>
        <w:snapToGrid w:val="0"/>
        <w:spacing w:beforeLines="50" w:line="360" w:lineRule="auto"/>
        <w:ind w:left="5386" w:leftChars="2565" w:right="840"/>
        <w:rPr>
          <w:rFonts w:asciiTheme="minorEastAsia" w:hAnsiTheme="minorEastAsia" w:eastAsiaTheme="minorEastAsia"/>
          <w:sz w:val="24"/>
        </w:rPr>
      </w:pPr>
      <w:r>
        <w:rPr>
          <w:rFonts w:hint="eastAsia" w:asciiTheme="minorEastAsia" w:hAnsiTheme="minorEastAsia" w:eastAsiaTheme="minorEastAsia"/>
          <w:sz w:val="24"/>
        </w:rPr>
        <w:t xml:space="preserve">投标人名称（盖章）： </w:t>
      </w:r>
    </w:p>
    <w:p>
      <w:pPr>
        <w:adjustRightInd w:val="0"/>
        <w:snapToGrid w:val="0"/>
        <w:spacing w:beforeLines="50" w:line="360" w:lineRule="auto"/>
        <w:ind w:right="840" w:firstLine="5400" w:firstLineChars="2250"/>
        <w:rPr>
          <w:rFonts w:asciiTheme="minorEastAsia" w:hAnsiTheme="minorEastAsia" w:eastAsiaTheme="minorEastAsia"/>
          <w:sz w:val="24"/>
          <w:u w:val="single"/>
        </w:rPr>
      </w:pPr>
      <w:r>
        <w:rPr>
          <w:rFonts w:hint="eastAsia" w:asciiTheme="minorEastAsia" w:hAnsiTheme="minorEastAsia" w:eastAsiaTheme="minorEastAsia"/>
          <w:sz w:val="24"/>
        </w:rPr>
        <w:t>法定代表人（盖章）：</w:t>
      </w:r>
      <w:r>
        <w:rPr>
          <w:rFonts w:hint="eastAsia" w:asciiTheme="minorEastAsia" w:hAnsiTheme="minorEastAsia" w:eastAsiaTheme="minorEastAsia"/>
          <w:sz w:val="24"/>
          <w:u w:val="single"/>
        </w:rPr>
        <w:t xml:space="preserve"> </w:t>
      </w:r>
    </w:p>
    <w:p>
      <w:pPr>
        <w:wordWrap w:val="0"/>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adjustRightInd w:val="0"/>
        <w:snapToGrid w:val="0"/>
        <w:spacing w:beforeLines="50" w:line="360" w:lineRule="auto"/>
        <w:jc w:val="center"/>
        <w:outlineLvl w:val="0"/>
        <w:rPr>
          <w:rFonts w:asciiTheme="minorEastAsia" w:hAnsiTheme="minorEastAsia" w:eastAsiaTheme="minorEastAsia"/>
          <w:szCs w:val="21"/>
        </w:rPr>
      </w:pPr>
    </w:p>
    <w:p>
      <w:pPr>
        <w:adjustRightInd w:val="0"/>
        <w:snapToGrid w:val="0"/>
        <w:spacing w:line="360" w:lineRule="auto"/>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r>
        <w:rPr>
          <w:rFonts w:hint="eastAsia" w:asciiTheme="minorEastAsia" w:hAnsiTheme="minorEastAsia" w:eastAsiaTheme="minorEastAsia"/>
          <w:b/>
          <w:szCs w:val="21"/>
        </w:rPr>
        <w:t>备注</w:t>
      </w:r>
      <w:r>
        <w:rPr>
          <w:rFonts w:hint="eastAsia" w:asciiTheme="minorEastAsia" w:hAnsiTheme="minorEastAsia" w:eastAsiaTheme="minorEastAsia"/>
          <w:szCs w:val="21"/>
        </w:rPr>
        <w:t>：填写前请认真阅读</w:t>
      </w:r>
      <w:r>
        <w:rPr>
          <w:rFonts w:hint="eastAsia" w:cs="宋体" w:asciiTheme="minorEastAsia" w:hAnsiTheme="minorEastAsia" w:eastAsiaTheme="minorEastAsia"/>
          <w:spacing w:val="6"/>
          <w:kern w:val="0"/>
          <w:szCs w:val="21"/>
        </w:rPr>
        <w:t>《工业和信息化部、国家统计局、国家发展和改革委员会、财政部关于印发中小企业划型标准规定的通知》（工信部联企业[2011]300号）和</w:t>
      </w:r>
      <w:r>
        <w:rPr>
          <w:rFonts w:hint="eastAsia" w:asciiTheme="minorEastAsia" w:hAnsiTheme="minorEastAsia" w:eastAsiaTheme="minorEastAsia"/>
          <w:spacing w:val="6"/>
          <w:szCs w:val="21"/>
        </w:rPr>
        <w:t>《财政部</w:t>
      </w:r>
      <w:r>
        <w:rPr>
          <w:rFonts w:hint="eastAsia" w:asciiTheme="minorEastAsia" w:hAnsiTheme="minorEastAsia" w:eastAsiaTheme="minorEastAsia"/>
          <w:szCs w:val="21"/>
        </w:rPr>
        <w:t> </w:t>
      </w:r>
      <w:r>
        <w:rPr>
          <w:rFonts w:hint="eastAsia" w:asciiTheme="minorEastAsia" w:hAnsiTheme="minorEastAsia" w:eastAsiaTheme="minorEastAsia"/>
          <w:spacing w:val="6"/>
          <w:szCs w:val="21"/>
        </w:rPr>
        <w:t>工业和信息化部</w:t>
      </w:r>
      <w:r>
        <w:rPr>
          <w:rFonts w:hint="eastAsia" w:asciiTheme="minorEastAsia" w:hAnsiTheme="minorEastAsia" w:eastAsiaTheme="minorEastAsia"/>
          <w:bCs/>
          <w:szCs w:val="21"/>
        </w:rPr>
        <w:t>关于印发政府采购促进中小企业发展暂行办法的通知》(</w:t>
      </w:r>
      <w:r>
        <w:rPr>
          <w:rFonts w:hint="eastAsia" w:asciiTheme="minorEastAsia" w:hAnsiTheme="minorEastAsia" w:eastAsiaTheme="minorEastAsia"/>
          <w:szCs w:val="21"/>
        </w:rPr>
        <w:t>财库[2011]181号)相关规定。</w:t>
      </w:r>
    </w:p>
    <w:p>
      <w:pPr>
        <w:adjustRightInd w:val="0"/>
        <w:snapToGrid w:val="0"/>
        <w:spacing w:line="360" w:lineRule="auto"/>
        <w:jc w:val="left"/>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附件2、</w:t>
      </w:r>
    </w:p>
    <w:p>
      <w:pPr>
        <w:adjustRightInd w:val="0"/>
        <w:snapToGrid w:val="0"/>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提供中小企业货物清单表</w:t>
      </w:r>
    </w:p>
    <w:p>
      <w:pPr>
        <w:pStyle w:val="28"/>
        <w:spacing w:line="360" w:lineRule="auto"/>
        <w:rPr>
          <w:rFonts w:asciiTheme="minorEastAsia" w:hAnsiTheme="minorEastAsia" w:eastAsiaTheme="minorEastAsia"/>
        </w:rPr>
      </w:pPr>
      <w:r>
        <w:rPr>
          <w:rFonts w:hint="eastAsia" w:asciiTheme="minorEastAsia" w:hAnsiTheme="minorEastAsia" w:eastAsiaTheme="minorEastAsia"/>
        </w:rPr>
        <w:t xml:space="preserve">采购代理机构编号: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bl>
      <w:tblPr>
        <w:tblStyle w:val="50"/>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709"/>
        <w:gridCol w:w="850"/>
        <w:gridCol w:w="851"/>
        <w:gridCol w:w="1701"/>
        <w:gridCol w:w="1701"/>
        <w:gridCol w:w="12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931" w:type="dxa"/>
            <w:gridSpan w:val="8"/>
            <w:vAlign w:val="center"/>
          </w:tcPr>
          <w:p>
            <w:pPr>
              <w:widowControl/>
              <w:spacing w:line="360" w:lineRule="auto"/>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本公司对本表的真实性负责。如有虚假，将依法承担相应责任。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9"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1134"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709"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850"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851"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701"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701"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276"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9"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序号</w:t>
            </w:r>
          </w:p>
        </w:tc>
        <w:tc>
          <w:tcPr>
            <w:tcW w:w="1134"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货物名称</w:t>
            </w:r>
          </w:p>
        </w:tc>
        <w:tc>
          <w:tcPr>
            <w:tcW w:w="709"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数量</w:t>
            </w:r>
          </w:p>
        </w:tc>
        <w:tc>
          <w:tcPr>
            <w:tcW w:w="850"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单价</w:t>
            </w:r>
          </w:p>
        </w:tc>
        <w:tc>
          <w:tcPr>
            <w:tcW w:w="851"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总额</w:t>
            </w:r>
          </w:p>
        </w:tc>
        <w:tc>
          <w:tcPr>
            <w:tcW w:w="1701"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货物制造商名称</w:t>
            </w:r>
          </w:p>
        </w:tc>
        <w:tc>
          <w:tcPr>
            <w:tcW w:w="1701"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货物制造商类型</w:t>
            </w:r>
          </w:p>
        </w:tc>
        <w:tc>
          <w:tcPr>
            <w:tcW w:w="1276" w:type="dxa"/>
            <w:vAlign w:val="center"/>
          </w:tcPr>
          <w:p>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商标名称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931" w:type="dxa"/>
            <w:gridSpan w:val="8"/>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中型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c>
          <w:tcPr>
            <w:tcW w:w="709" w:type="dxa"/>
            <w:vAlign w:val="center"/>
          </w:tcPr>
          <w:p>
            <w:pPr>
              <w:spacing w:line="360" w:lineRule="auto"/>
              <w:jc w:val="center"/>
              <w:rPr>
                <w:rFonts w:asciiTheme="minorEastAsia" w:hAnsiTheme="minorEastAsia" w:eastAsiaTheme="minorEastAsia"/>
                <w:szCs w:val="21"/>
              </w:rPr>
            </w:pPr>
          </w:p>
        </w:tc>
        <w:tc>
          <w:tcPr>
            <w:tcW w:w="850" w:type="dxa"/>
            <w:vAlign w:val="center"/>
          </w:tcPr>
          <w:p>
            <w:pPr>
              <w:spacing w:line="360" w:lineRule="auto"/>
              <w:jc w:val="center"/>
              <w:rPr>
                <w:rFonts w:asciiTheme="minorEastAsia" w:hAnsiTheme="minorEastAsia" w:eastAsiaTheme="minorEastAsia"/>
                <w:szCs w:val="21"/>
              </w:rPr>
            </w:pPr>
          </w:p>
        </w:tc>
        <w:tc>
          <w:tcPr>
            <w:tcW w:w="851" w:type="dxa"/>
            <w:vAlign w:val="center"/>
          </w:tcPr>
          <w:p>
            <w:pPr>
              <w:spacing w:line="360" w:lineRule="auto"/>
              <w:jc w:val="center"/>
              <w:rPr>
                <w:rFonts w:asciiTheme="minorEastAsia" w:hAnsiTheme="minorEastAsia" w:eastAsiaTheme="minorEastAsia"/>
                <w:szCs w:val="21"/>
              </w:rPr>
            </w:pPr>
          </w:p>
        </w:tc>
        <w:tc>
          <w:tcPr>
            <w:tcW w:w="1701" w:type="dxa"/>
            <w:vAlign w:val="center"/>
          </w:tcPr>
          <w:p>
            <w:pPr>
              <w:spacing w:line="360" w:lineRule="auto"/>
              <w:jc w:val="left"/>
              <w:rPr>
                <w:rFonts w:asciiTheme="minorEastAsia" w:hAnsiTheme="minorEastAsia" w:eastAsiaTheme="minorEastAsia"/>
                <w:szCs w:val="21"/>
              </w:rPr>
            </w:pPr>
          </w:p>
        </w:tc>
        <w:tc>
          <w:tcPr>
            <w:tcW w:w="1701" w:type="dxa"/>
          </w:tcPr>
          <w:p>
            <w:pPr>
              <w:spacing w:line="360" w:lineRule="auto"/>
              <w:jc w:val="center"/>
              <w:rPr>
                <w:rFonts w:asciiTheme="minorEastAsia" w:hAnsiTheme="minorEastAsia" w:eastAsiaTheme="minorEastAsia"/>
                <w:szCs w:val="21"/>
              </w:rPr>
            </w:pPr>
          </w:p>
        </w:tc>
        <w:tc>
          <w:tcPr>
            <w:tcW w:w="1276" w:type="dxa"/>
            <w:vAlign w:val="center"/>
          </w:tcPr>
          <w:p>
            <w:pPr>
              <w:spacing w:line="360" w:lineRule="auto"/>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c>
          <w:tcPr>
            <w:tcW w:w="709" w:type="dxa"/>
            <w:vAlign w:val="center"/>
          </w:tcPr>
          <w:p>
            <w:pPr>
              <w:spacing w:line="360" w:lineRule="auto"/>
              <w:jc w:val="center"/>
              <w:rPr>
                <w:rFonts w:asciiTheme="minorEastAsia" w:hAnsiTheme="minorEastAsia" w:eastAsiaTheme="minorEastAsia"/>
                <w:szCs w:val="21"/>
              </w:rPr>
            </w:pPr>
          </w:p>
        </w:tc>
        <w:tc>
          <w:tcPr>
            <w:tcW w:w="850" w:type="dxa"/>
            <w:vAlign w:val="center"/>
          </w:tcPr>
          <w:p>
            <w:pPr>
              <w:spacing w:line="360" w:lineRule="auto"/>
              <w:jc w:val="center"/>
              <w:rPr>
                <w:rFonts w:asciiTheme="minorEastAsia" w:hAnsiTheme="minorEastAsia" w:eastAsiaTheme="minorEastAsia"/>
                <w:szCs w:val="21"/>
              </w:rPr>
            </w:pPr>
          </w:p>
        </w:tc>
        <w:tc>
          <w:tcPr>
            <w:tcW w:w="851" w:type="dxa"/>
            <w:vAlign w:val="center"/>
          </w:tcPr>
          <w:p>
            <w:pPr>
              <w:spacing w:line="360" w:lineRule="auto"/>
              <w:jc w:val="center"/>
              <w:rPr>
                <w:rFonts w:asciiTheme="minorEastAsia" w:hAnsiTheme="minorEastAsia" w:eastAsiaTheme="minorEastAsia"/>
                <w:szCs w:val="21"/>
              </w:rPr>
            </w:pPr>
          </w:p>
        </w:tc>
        <w:tc>
          <w:tcPr>
            <w:tcW w:w="1701" w:type="dxa"/>
            <w:vAlign w:val="center"/>
          </w:tcPr>
          <w:p>
            <w:pPr>
              <w:spacing w:line="360" w:lineRule="auto"/>
              <w:jc w:val="left"/>
              <w:rPr>
                <w:rFonts w:asciiTheme="minorEastAsia" w:hAnsiTheme="minorEastAsia" w:eastAsiaTheme="minorEastAsia"/>
                <w:szCs w:val="21"/>
              </w:rPr>
            </w:pPr>
          </w:p>
        </w:tc>
        <w:tc>
          <w:tcPr>
            <w:tcW w:w="1701" w:type="dxa"/>
          </w:tcPr>
          <w:p>
            <w:pPr>
              <w:spacing w:line="360" w:lineRule="auto"/>
              <w:jc w:val="center"/>
              <w:rPr>
                <w:rFonts w:asciiTheme="minorEastAsia" w:hAnsiTheme="minorEastAsia" w:eastAsiaTheme="minorEastAsia"/>
                <w:szCs w:val="21"/>
              </w:rPr>
            </w:pPr>
          </w:p>
        </w:tc>
        <w:tc>
          <w:tcPr>
            <w:tcW w:w="1276" w:type="dxa"/>
            <w:vAlign w:val="center"/>
          </w:tcPr>
          <w:p>
            <w:pPr>
              <w:spacing w:line="360" w:lineRule="auto"/>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小计</w:t>
            </w:r>
          </w:p>
        </w:tc>
        <w:tc>
          <w:tcPr>
            <w:tcW w:w="1134" w:type="dxa"/>
            <w:vAlign w:val="center"/>
          </w:tcPr>
          <w:p>
            <w:pPr>
              <w:spacing w:line="360" w:lineRule="auto"/>
              <w:jc w:val="center"/>
              <w:rPr>
                <w:rFonts w:asciiTheme="minorEastAsia" w:hAnsiTheme="minorEastAsia" w:eastAsiaTheme="minorEastAsia"/>
                <w:szCs w:val="21"/>
              </w:rPr>
            </w:pPr>
          </w:p>
        </w:tc>
        <w:tc>
          <w:tcPr>
            <w:tcW w:w="709" w:type="dxa"/>
            <w:vAlign w:val="center"/>
          </w:tcPr>
          <w:p>
            <w:pPr>
              <w:spacing w:line="360" w:lineRule="auto"/>
              <w:jc w:val="center"/>
              <w:rPr>
                <w:rFonts w:asciiTheme="minorEastAsia" w:hAnsiTheme="minorEastAsia" w:eastAsiaTheme="minorEastAsia"/>
                <w:szCs w:val="21"/>
              </w:rPr>
            </w:pPr>
          </w:p>
        </w:tc>
        <w:tc>
          <w:tcPr>
            <w:tcW w:w="850" w:type="dxa"/>
            <w:vAlign w:val="center"/>
          </w:tcPr>
          <w:p>
            <w:pPr>
              <w:spacing w:line="360" w:lineRule="auto"/>
              <w:jc w:val="center"/>
              <w:rPr>
                <w:rFonts w:asciiTheme="minorEastAsia" w:hAnsiTheme="minorEastAsia" w:eastAsiaTheme="minorEastAsia"/>
                <w:szCs w:val="21"/>
              </w:rPr>
            </w:pPr>
          </w:p>
        </w:tc>
        <w:tc>
          <w:tcPr>
            <w:tcW w:w="851" w:type="dxa"/>
            <w:vAlign w:val="center"/>
          </w:tcPr>
          <w:p>
            <w:pPr>
              <w:spacing w:line="360" w:lineRule="auto"/>
              <w:jc w:val="center"/>
              <w:rPr>
                <w:rFonts w:asciiTheme="minorEastAsia" w:hAnsiTheme="minorEastAsia" w:eastAsiaTheme="minorEastAsia"/>
                <w:szCs w:val="21"/>
              </w:rPr>
            </w:pPr>
          </w:p>
        </w:tc>
        <w:tc>
          <w:tcPr>
            <w:tcW w:w="1701" w:type="dxa"/>
            <w:vAlign w:val="center"/>
          </w:tcPr>
          <w:p>
            <w:pPr>
              <w:spacing w:line="360" w:lineRule="auto"/>
              <w:jc w:val="left"/>
              <w:rPr>
                <w:rFonts w:asciiTheme="minorEastAsia" w:hAnsiTheme="minorEastAsia" w:eastAsiaTheme="minorEastAsia"/>
                <w:szCs w:val="21"/>
              </w:rPr>
            </w:pPr>
          </w:p>
        </w:tc>
        <w:tc>
          <w:tcPr>
            <w:tcW w:w="1701" w:type="dxa"/>
          </w:tcPr>
          <w:p>
            <w:pPr>
              <w:spacing w:line="360" w:lineRule="auto"/>
              <w:jc w:val="center"/>
              <w:rPr>
                <w:rFonts w:asciiTheme="minorEastAsia" w:hAnsiTheme="minorEastAsia" w:eastAsiaTheme="minorEastAsia"/>
                <w:szCs w:val="21"/>
              </w:rPr>
            </w:pPr>
          </w:p>
        </w:tc>
        <w:tc>
          <w:tcPr>
            <w:tcW w:w="1276" w:type="dxa"/>
            <w:vAlign w:val="center"/>
          </w:tcPr>
          <w:p>
            <w:pPr>
              <w:spacing w:line="360" w:lineRule="auto"/>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931" w:type="dxa"/>
            <w:gridSpan w:val="8"/>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小型、微型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c>
          <w:tcPr>
            <w:tcW w:w="709" w:type="dxa"/>
            <w:vAlign w:val="center"/>
          </w:tcPr>
          <w:p>
            <w:pPr>
              <w:spacing w:line="360" w:lineRule="auto"/>
              <w:jc w:val="center"/>
              <w:rPr>
                <w:rFonts w:asciiTheme="minorEastAsia" w:hAnsiTheme="minorEastAsia" w:eastAsiaTheme="minorEastAsia"/>
                <w:szCs w:val="21"/>
              </w:rPr>
            </w:pPr>
          </w:p>
        </w:tc>
        <w:tc>
          <w:tcPr>
            <w:tcW w:w="850" w:type="dxa"/>
            <w:vAlign w:val="center"/>
          </w:tcPr>
          <w:p>
            <w:pPr>
              <w:spacing w:line="360" w:lineRule="auto"/>
              <w:jc w:val="center"/>
              <w:rPr>
                <w:rFonts w:asciiTheme="minorEastAsia" w:hAnsiTheme="minorEastAsia" w:eastAsiaTheme="minorEastAsia"/>
                <w:szCs w:val="21"/>
              </w:rPr>
            </w:pPr>
          </w:p>
        </w:tc>
        <w:tc>
          <w:tcPr>
            <w:tcW w:w="851" w:type="dxa"/>
            <w:vAlign w:val="center"/>
          </w:tcPr>
          <w:p>
            <w:pPr>
              <w:spacing w:line="360" w:lineRule="auto"/>
              <w:jc w:val="center"/>
              <w:rPr>
                <w:rFonts w:asciiTheme="minorEastAsia" w:hAnsiTheme="minorEastAsia" w:eastAsiaTheme="minorEastAsia"/>
                <w:szCs w:val="21"/>
              </w:rPr>
            </w:pPr>
          </w:p>
        </w:tc>
        <w:tc>
          <w:tcPr>
            <w:tcW w:w="1701" w:type="dxa"/>
            <w:vAlign w:val="center"/>
          </w:tcPr>
          <w:p>
            <w:pPr>
              <w:spacing w:line="360" w:lineRule="auto"/>
              <w:jc w:val="center"/>
              <w:rPr>
                <w:rFonts w:asciiTheme="minorEastAsia" w:hAnsiTheme="minorEastAsia" w:eastAsiaTheme="minorEastAsia"/>
                <w:szCs w:val="21"/>
              </w:rPr>
            </w:pPr>
          </w:p>
        </w:tc>
        <w:tc>
          <w:tcPr>
            <w:tcW w:w="1701" w:type="dxa"/>
          </w:tcPr>
          <w:p>
            <w:pPr>
              <w:spacing w:line="360" w:lineRule="auto"/>
              <w:jc w:val="center"/>
              <w:rPr>
                <w:rFonts w:asciiTheme="minorEastAsia" w:hAnsiTheme="minorEastAsia" w:eastAsiaTheme="minorEastAsia"/>
                <w:szCs w:val="21"/>
              </w:rPr>
            </w:pPr>
          </w:p>
        </w:tc>
        <w:tc>
          <w:tcPr>
            <w:tcW w:w="1276" w:type="dxa"/>
            <w:vAlign w:val="center"/>
          </w:tcPr>
          <w:p>
            <w:pPr>
              <w:spacing w:line="360" w:lineRule="auto"/>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c>
          <w:tcPr>
            <w:tcW w:w="709" w:type="dxa"/>
            <w:vAlign w:val="center"/>
          </w:tcPr>
          <w:p>
            <w:pPr>
              <w:spacing w:line="360" w:lineRule="auto"/>
              <w:jc w:val="center"/>
              <w:rPr>
                <w:rFonts w:asciiTheme="minorEastAsia" w:hAnsiTheme="minorEastAsia" w:eastAsiaTheme="minorEastAsia"/>
                <w:szCs w:val="21"/>
              </w:rPr>
            </w:pPr>
          </w:p>
        </w:tc>
        <w:tc>
          <w:tcPr>
            <w:tcW w:w="850" w:type="dxa"/>
            <w:vAlign w:val="center"/>
          </w:tcPr>
          <w:p>
            <w:pPr>
              <w:spacing w:line="360" w:lineRule="auto"/>
              <w:jc w:val="center"/>
              <w:rPr>
                <w:rFonts w:asciiTheme="minorEastAsia" w:hAnsiTheme="minorEastAsia" w:eastAsiaTheme="minorEastAsia"/>
                <w:szCs w:val="21"/>
              </w:rPr>
            </w:pPr>
          </w:p>
        </w:tc>
        <w:tc>
          <w:tcPr>
            <w:tcW w:w="851" w:type="dxa"/>
            <w:vAlign w:val="center"/>
          </w:tcPr>
          <w:p>
            <w:pPr>
              <w:spacing w:line="360" w:lineRule="auto"/>
              <w:jc w:val="center"/>
              <w:rPr>
                <w:rFonts w:asciiTheme="minorEastAsia" w:hAnsiTheme="minorEastAsia" w:eastAsiaTheme="minorEastAsia"/>
                <w:szCs w:val="21"/>
              </w:rPr>
            </w:pPr>
          </w:p>
        </w:tc>
        <w:tc>
          <w:tcPr>
            <w:tcW w:w="1701" w:type="dxa"/>
            <w:vAlign w:val="center"/>
          </w:tcPr>
          <w:p>
            <w:pPr>
              <w:spacing w:line="360" w:lineRule="auto"/>
              <w:jc w:val="center"/>
              <w:rPr>
                <w:rFonts w:asciiTheme="minorEastAsia" w:hAnsiTheme="minorEastAsia" w:eastAsiaTheme="minorEastAsia"/>
                <w:szCs w:val="21"/>
              </w:rPr>
            </w:pPr>
          </w:p>
        </w:tc>
        <w:tc>
          <w:tcPr>
            <w:tcW w:w="1701" w:type="dxa"/>
          </w:tcPr>
          <w:p>
            <w:pPr>
              <w:spacing w:line="360" w:lineRule="auto"/>
              <w:jc w:val="center"/>
              <w:rPr>
                <w:rFonts w:asciiTheme="minorEastAsia" w:hAnsiTheme="minorEastAsia" w:eastAsiaTheme="minorEastAsia"/>
                <w:szCs w:val="21"/>
              </w:rPr>
            </w:pPr>
          </w:p>
        </w:tc>
        <w:tc>
          <w:tcPr>
            <w:tcW w:w="1276" w:type="dxa"/>
            <w:vAlign w:val="center"/>
          </w:tcPr>
          <w:p>
            <w:pPr>
              <w:spacing w:line="360" w:lineRule="auto"/>
              <w:jc w:val="center"/>
              <w:rPr>
                <w:rFonts w:asciiTheme="minorEastAsia" w:hAnsiTheme="minorEastAsia" w:eastAsiaTheme="minorEastAsia"/>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小计</w:t>
            </w:r>
          </w:p>
        </w:tc>
        <w:tc>
          <w:tcPr>
            <w:tcW w:w="1134" w:type="dxa"/>
            <w:vAlign w:val="center"/>
          </w:tcPr>
          <w:p>
            <w:pPr>
              <w:spacing w:line="360" w:lineRule="auto"/>
              <w:jc w:val="center"/>
              <w:rPr>
                <w:rFonts w:asciiTheme="minorEastAsia" w:hAnsiTheme="minorEastAsia" w:eastAsiaTheme="minorEastAsia"/>
                <w:szCs w:val="21"/>
              </w:rPr>
            </w:pPr>
          </w:p>
        </w:tc>
        <w:tc>
          <w:tcPr>
            <w:tcW w:w="709" w:type="dxa"/>
            <w:vAlign w:val="center"/>
          </w:tcPr>
          <w:p>
            <w:pPr>
              <w:spacing w:line="360" w:lineRule="auto"/>
              <w:jc w:val="center"/>
              <w:rPr>
                <w:rFonts w:asciiTheme="minorEastAsia" w:hAnsiTheme="minorEastAsia" w:eastAsiaTheme="minorEastAsia"/>
                <w:szCs w:val="21"/>
              </w:rPr>
            </w:pPr>
          </w:p>
        </w:tc>
        <w:tc>
          <w:tcPr>
            <w:tcW w:w="850" w:type="dxa"/>
            <w:vAlign w:val="center"/>
          </w:tcPr>
          <w:p>
            <w:pPr>
              <w:spacing w:line="360" w:lineRule="auto"/>
              <w:jc w:val="center"/>
              <w:rPr>
                <w:rFonts w:asciiTheme="minorEastAsia" w:hAnsiTheme="minorEastAsia" w:eastAsiaTheme="minorEastAsia"/>
                <w:szCs w:val="21"/>
              </w:rPr>
            </w:pPr>
          </w:p>
        </w:tc>
        <w:tc>
          <w:tcPr>
            <w:tcW w:w="851" w:type="dxa"/>
            <w:vAlign w:val="center"/>
          </w:tcPr>
          <w:p>
            <w:pPr>
              <w:spacing w:line="360" w:lineRule="auto"/>
              <w:jc w:val="center"/>
              <w:rPr>
                <w:rFonts w:asciiTheme="minorEastAsia" w:hAnsiTheme="minorEastAsia" w:eastAsiaTheme="minorEastAsia"/>
                <w:szCs w:val="21"/>
              </w:rPr>
            </w:pPr>
          </w:p>
        </w:tc>
        <w:tc>
          <w:tcPr>
            <w:tcW w:w="1701" w:type="dxa"/>
            <w:vAlign w:val="center"/>
          </w:tcPr>
          <w:p>
            <w:pPr>
              <w:spacing w:line="360" w:lineRule="auto"/>
              <w:jc w:val="center"/>
              <w:rPr>
                <w:rFonts w:asciiTheme="minorEastAsia" w:hAnsiTheme="minorEastAsia" w:eastAsiaTheme="minorEastAsia"/>
                <w:szCs w:val="21"/>
              </w:rPr>
            </w:pPr>
          </w:p>
        </w:tc>
        <w:tc>
          <w:tcPr>
            <w:tcW w:w="1701" w:type="dxa"/>
          </w:tcPr>
          <w:p>
            <w:pPr>
              <w:spacing w:line="360" w:lineRule="auto"/>
              <w:jc w:val="center"/>
              <w:rPr>
                <w:rFonts w:asciiTheme="minorEastAsia" w:hAnsiTheme="minorEastAsia" w:eastAsiaTheme="minorEastAsia"/>
                <w:szCs w:val="21"/>
              </w:rPr>
            </w:pPr>
          </w:p>
        </w:tc>
        <w:tc>
          <w:tcPr>
            <w:tcW w:w="1276"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说明：1、本表用于计算中小企业应享受的政策功能价格扣除。</w:t>
      </w:r>
    </w:p>
    <w:p>
      <w:pPr>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2、栏目7“货物制造商类型”，填写：中型或小型、微型。</w:t>
      </w:r>
    </w:p>
    <w:p>
      <w:pPr>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3、栏目4“单价”为综合单价，包含货物所有隐含的内容，如运输费、保险费、管理费和利润等。</w:t>
      </w:r>
    </w:p>
    <w:p>
      <w:pPr>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4、未提供《中小企业声明函》及未按上述要求填写，或者提供的内容不真实的，评审时本表所有优惠不予以考虑。</w:t>
      </w:r>
    </w:p>
    <w:p>
      <w:pPr>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Cs w:val="21"/>
        </w:rPr>
        <w:t xml:space="preserve">投标人名称（盖章）： </w:t>
      </w:r>
    </w:p>
    <w:p>
      <w:pPr>
        <w:adjustRightInd w:val="0"/>
        <w:snapToGrid w:val="0"/>
        <w:spacing w:beforeLines="50" w:line="360" w:lineRule="auto"/>
        <w:ind w:right="840" w:firstLine="5355" w:firstLineChars="2550"/>
        <w:rPr>
          <w:rFonts w:asciiTheme="minorEastAsia" w:hAnsiTheme="minorEastAsia" w:eastAsiaTheme="minorEastAsia"/>
          <w:szCs w:val="21"/>
          <w:u w:val="single"/>
        </w:rPr>
      </w:pPr>
      <w:r>
        <w:rPr>
          <w:rFonts w:hint="eastAsia" w:asciiTheme="minorEastAsia" w:hAnsiTheme="minorEastAsia" w:eastAsiaTheme="minorEastAsia"/>
          <w:szCs w:val="21"/>
        </w:rPr>
        <w:t>法定代表人（盖章）：</w:t>
      </w:r>
      <w:r>
        <w:rPr>
          <w:rFonts w:hint="eastAsia" w:asciiTheme="minorEastAsia" w:hAnsiTheme="minorEastAsia" w:eastAsiaTheme="minorEastAsia"/>
          <w:szCs w:val="21"/>
          <w:u w:val="single"/>
        </w:rPr>
        <w:t xml:space="preserve"> </w:t>
      </w:r>
    </w:p>
    <w:p>
      <w:pPr>
        <w:wordWrap w:val="0"/>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adjustRightInd w:val="0"/>
        <w:snapToGrid w:val="0"/>
        <w:spacing w:before="50" w:line="360" w:lineRule="auto"/>
        <w:rPr>
          <w:rFonts w:cs="宋体" w:asciiTheme="minorEastAsia" w:hAnsiTheme="minorEastAsia" w:eastAsiaTheme="minorEastAsia"/>
          <w:spacing w:val="6"/>
          <w:kern w:val="0"/>
          <w:sz w:val="24"/>
        </w:rPr>
      </w:pPr>
    </w:p>
    <w:p>
      <w:pPr>
        <w:adjustRightInd w:val="0"/>
        <w:snapToGrid w:val="0"/>
        <w:spacing w:line="360" w:lineRule="auto"/>
        <w:jc w:val="left"/>
        <w:rPr>
          <w:rFonts w:cs="宋体" w:asciiTheme="minorEastAsia" w:hAnsiTheme="minorEastAsia" w:eastAsiaTheme="minorEastAsia"/>
          <w:bCs/>
          <w:spacing w:val="6"/>
          <w:kern w:val="0"/>
          <w:sz w:val="28"/>
          <w:szCs w:val="28"/>
        </w:rPr>
      </w:pPr>
    </w:p>
    <w:p>
      <w:pPr>
        <w:adjustRightInd w:val="0"/>
        <w:snapToGrid w:val="0"/>
        <w:spacing w:line="360" w:lineRule="auto"/>
        <w:jc w:val="center"/>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九、</w:t>
      </w:r>
      <w:r>
        <w:rPr>
          <w:rFonts w:hint="eastAsia" w:asciiTheme="minorEastAsia" w:hAnsiTheme="minorEastAsia" w:eastAsiaTheme="minorEastAsia"/>
          <w:sz w:val="28"/>
          <w:szCs w:val="28"/>
        </w:rPr>
        <w:t>货物说明一览表</w:t>
      </w:r>
    </w:p>
    <w:tbl>
      <w:tblPr>
        <w:tblStyle w:val="50"/>
        <w:tblpPr w:leftFromText="180" w:rightFromText="180" w:vertAnchor="text" w:horzAnchor="page" w:tblpXSpec="center" w:tblpY="261"/>
        <w:tblOverlap w:val="never"/>
        <w:tblW w:w="105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200"/>
        <w:gridCol w:w="1263"/>
        <w:gridCol w:w="1187"/>
        <w:gridCol w:w="2600"/>
        <w:gridCol w:w="2203"/>
        <w:gridCol w:w="1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r>
              <w:rPr>
                <w:rFonts w:hint="eastAsia" w:asciiTheme="minorEastAsia" w:hAnsiTheme="minorEastAsia" w:eastAsiaTheme="minorEastAsia"/>
                <w:bCs/>
                <w:szCs w:val="21"/>
              </w:rPr>
              <w:t>序号</w:t>
            </w: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r>
              <w:rPr>
                <w:rFonts w:hint="eastAsia" w:asciiTheme="minorEastAsia" w:hAnsiTheme="minorEastAsia" w:eastAsiaTheme="minorEastAsia"/>
                <w:bCs/>
                <w:szCs w:val="21"/>
              </w:rPr>
              <w:t>货物名称</w:t>
            </w: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r>
              <w:rPr>
                <w:rFonts w:hint="eastAsia" w:asciiTheme="minorEastAsia" w:hAnsiTheme="minorEastAsia" w:eastAsiaTheme="minorEastAsia"/>
                <w:bCs/>
                <w:szCs w:val="21"/>
              </w:rPr>
              <w:t>制造商名称</w:t>
            </w: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r>
              <w:rPr>
                <w:rFonts w:hint="eastAsia" w:asciiTheme="minorEastAsia" w:hAnsiTheme="minorEastAsia" w:eastAsiaTheme="minorEastAsia"/>
                <w:bCs/>
                <w:szCs w:val="21"/>
              </w:rPr>
              <w:t>型号规格</w:t>
            </w: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r>
              <w:rPr>
                <w:rFonts w:hint="eastAsia" w:asciiTheme="minorEastAsia" w:hAnsiTheme="minorEastAsia" w:eastAsiaTheme="minorEastAsia"/>
                <w:bCs/>
                <w:szCs w:val="21"/>
              </w:rPr>
              <w:t>主要技术参数和技术指标</w:t>
            </w:r>
          </w:p>
        </w:tc>
        <w:tc>
          <w:tcPr>
            <w:tcW w:w="2203" w:type="dxa"/>
          </w:tcPr>
          <w:p>
            <w:pPr>
              <w:adjustRightInd w:val="0"/>
              <w:snapToGrid w:val="0"/>
              <w:spacing w:line="400" w:lineRule="atLeast"/>
              <w:ind w:left="-88" w:leftChars="-42"/>
              <w:jc w:val="center"/>
              <w:rPr>
                <w:rFonts w:asciiTheme="minorEastAsia" w:hAnsiTheme="minorEastAsia" w:eastAsiaTheme="minorEastAsia"/>
                <w:bCs/>
                <w:szCs w:val="21"/>
              </w:rPr>
            </w:pPr>
            <w:r>
              <w:rPr>
                <w:rFonts w:hint="eastAsia" w:asciiTheme="minorEastAsia" w:hAnsiTheme="minorEastAsia" w:eastAsiaTheme="minorEastAsia"/>
                <w:bCs/>
                <w:szCs w:val="21"/>
              </w:rPr>
              <w:t>政策功能类型及编号</w:t>
            </w: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r>
              <w:rPr>
                <w:rFonts w:hint="eastAsia" w:asciiTheme="minorEastAsia" w:hAnsiTheme="minorEastAsia" w:eastAsiaTheme="minorEastAsia"/>
                <w:bCs/>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20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20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20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20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20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20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26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187"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600"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2203" w:type="dxa"/>
          </w:tcPr>
          <w:p>
            <w:pPr>
              <w:adjustRightInd w:val="0"/>
              <w:snapToGrid w:val="0"/>
              <w:spacing w:line="400" w:lineRule="atLeast"/>
              <w:ind w:left="-88" w:leftChars="-42"/>
              <w:jc w:val="center"/>
              <w:rPr>
                <w:rFonts w:asciiTheme="minorEastAsia" w:hAnsiTheme="minorEastAsia" w:eastAsiaTheme="minorEastAsia"/>
                <w:b/>
                <w:szCs w:val="21"/>
              </w:rPr>
            </w:pPr>
          </w:p>
        </w:tc>
        <w:tc>
          <w:tcPr>
            <w:tcW w:w="1391" w:type="dxa"/>
          </w:tcPr>
          <w:p>
            <w:pPr>
              <w:adjustRightInd w:val="0"/>
              <w:snapToGrid w:val="0"/>
              <w:spacing w:line="400" w:lineRule="atLeast"/>
              <w:ind w:left="-88" w:leftChars="-42"/>
              <w:jc w:val="center"/>
              <w:rPr>
                <w:rFonts w:asciiTheme="minorEastAsia" w:hAnsiTheme="minorEastAsia" w:eastAsiaTheme="minorEastAsia"/>
                <w:b/>
                <w:szCs w:val="21"/>
              </w:rPr>
            </w:pPr>
          </w:p>
        </w:tc>
      </w:tr>
    </w:tbl>
    <w:p>
      <w:pPr>
        <w:adjustRightInd w:val="0"/>
        <w:snapToGrid w:val="0"/>
        <w:ind w:left="-88" w:leftChars="-42" w:firstLine="133" w:firstLineChars="50"/>
        <w:rPr>
          <w:rFonts w:asciiTheme="minorEastAsia" w:hAnsiTheme="minorEastAsia" w:eastAsiaTheme="minorEastAsia"/>
          <w:spacing w:val="28"/>
          <w:szCs w:val="21"/>
        </w:rPr>
      </w:pPr>
    </w:p>
    <w:p>
      <w:pPr>
        <w:adjustRightInd w:val="0"/>
        <w:snapToGrid w:val="0"/>
        <w:ind w:left="-88" w:leftChars="-42" w:firstLine="133" w:firstLineChars="50"/>
        <w:rPr>
          <w:rFonts w:asciiTheme="minorEastAsia" w:hAnsiTheme="minorEastAsia" w:eastAsiaTheme="minorEastAsia"/>
          <w:szCs w:val="21"/>
        </w:rPr>
      </w:pPr>
      <w:r>
        <w:rPr>
          <w:rFonts w:hint="eastAsia" w:asciiTheme="minorEastAsia" w:hAnsiTheme="minorEastAsia" w:eastAsiaTheme="minorEastAsia"/>
          <w:spacing w:val="28"/>
          <w:szCs w:val="21"/>
        </w:rPr>
        <w:t>政府采购编号</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pStyle w:val="30"/>
        <w:adjustRightInd w:val="0"/>
        <w:snapToGrid w:val="0"/>
        <w:ind w:left="-88" w:leftChars="-42"/>
        <w:outlineLvl w:val="0"/>
        <w:rPr>
          <w:rFonts w:asciiTheme="minorEastAsia" w:hAnsiTheme="minorEastAsia" w:eastAsiaTheme="minorEastAsia"/>
          <w:bCs/>
          <w:szCs w:val="21"/>
        </w:rPr>
      </w:pPr>
    </w:p>
    <w:p>
      <w:pPr>
        <w:pStyle w:val="30"/>
        <w:adjustRightInd w:val="0"/>
        <w:snapToGrid w:val="0"/>
        <w:ind w:left="-88" w:leftChars="-42"/>
        <w:outlineLvl w:val="0"/>
        <w:rPr>
          <w:rFonts w:asciiTheme="minorEastAsia" w:hAnsiTheme="minorEastAsia" w:eastAsiaTheme="minorEastAsia"/>
          <w:bCs/>
          <w:szCs w:val="21"/>
        </w:rPr>
      </w:pPr>
      <w:r>
        <w:rPr>
          <w:rFonts w:hint="eastAsia" w:asciiTheme="minorEastAsia" w:hAnsiTheme="minorEastAsia" w:eastAsiaTheme="minorEastAsia"/>
          <w:b/>
          <w:szCs w:val="21"/>
        </w:rPr>
        <w:t>备注</w:t>
      </w:r>
      <w:r>
        <w:rPr>
          <w:rFonts w:hint="eastAsia" w:asciiTheme="minorEastAsia" w:hAnsiTheme="minorEastAsia" w:eastAsiaTheme="minorEastAsia"/>
          <w:bCs/>
          <w:szCs w:val="21"/>
        </w:rPr>
        <w:t>：货物的主要技术参数和技术指标可另页描述。</w:t>
      </w:r>
    </w:p>
    <w:p>
      <w:pPr>
        <w:adjustRightInd w:val="0"/>
        <w:snapToGrid w:val="0"/>
        <w:spacing w:line="360" w:lineRule="auto"/>
        <w:ind w:left="-88" w:leftChars="-42"/>
        <w:outlineLvl w:val="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firstLine="420" w:firstLineChars="200"/>
        <w:rPr>
          <w:rFonts w:asciiTheme="minorEastAsia" w:hAnsiTheme="minorEastAsia" w:eastAsiaTheme="minorEastAsia"/>
          <w:szCs w:val="21"/>
        </w:rPr>
      </w:pPr>
    </w:p>
    <w:p>
      <w:pPr>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Cs w:val="21"/>
        </w:rPr>
        <w:t xml:space="preserve">投标人名称（盖章）： </w:t>
      </w:r>
    </w:p>
    <w:p>
      <w:pPr>
        <w:adjustRightInd w:val="0"/>
        <w:snapToGrid w:val="0"/>
        <w:spacing w:beforeLines="50" w:line="360" w:lineRule="auto"/>
        <w:ind w:right="840" w:firstLine="5355" w:firstLineChars="2550"/>
        <w:rPr>
          <w:rFonts w:asciiTheme="minorEastAsia" w:hAnsiTheme="minorEastAsia" w:eastAsiaTheme="minorEastAsia"/>
          <w:szCs w:val="21"/>
          <w:u w:val="single"/>
        </w:rPr>
      </w:pPr>
      <w:r>
        <w:rPr>
          <w:rFonts w:hint="eastAsia" w:asciiTheme="minorEastAsia" w:hAnsiTheme="minorEastAsia" w:eastAsiaTheme="minorEastAsia"/>
          <w:szCs w:val="21"/>
        </w:rPr>
        <w:t>法定代表人（盖章）：</w:t>
      </w:r>
      <w:r>
        <w:rPr>
          <w:rFonts w:hint="eastAsia" w:asciiTheme="minorEastAsia" w:hAnsiTheme="minorEastAsia" w:eastAsiaTheme="minorEastAsia"/>
          <w:szCs w:val="21"/>
          <w:u w:val="single"/>
        </w:rPr>
        <w:t xml:space="preserve"> </w:t>
      </w:r>
    </w:p>
    <w:p>
      <w:pPr>
        <w:wordWrap w:val="0"/>
        <w:adjustRightInd w:val="0"/>
        <w:snapToGrid w:val="0"/>
        <w:spacing w:beforeLines="50" w:line="360" w:lineRule="auto"/>
        <w:ind w:left="5386" w:leftChars="2565" w:right="840"/>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adjustRightInd w:val="0"/>
        <w:snapToGrid w:val="0"/>
        <w:spacing w:before="50" w:line="360" w:lineRule="auto"/>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p>
    <w:p>
      <w:pPr>
        <w:adjustRightInd w:val="0"/>
        <w:snapToGrid w:val="0"/>
        <w:spacing w:line="360" w:lineRule="auto"/>
        <w:jc w:val="center"/>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十、</w:t>
      </w:r>
      <w:r>
        <w:rPr>
          <w:rFonts w:hint="eastAsia" w:asciiTheme="minorEastAsia" w:hAnsiTheme="minorEastAsia" w:eastAsiaTheme="minorEastAsia"/>
          <w:sz w:val="28"/>
          <w:szCs w:val="28"/>
        </w:rPr>
        <w:t>技术规格、参数响应/偏离表</w:t>
      </w:r>
    </w:p>
    <w:p>
      <w:pPr>
        <w:adjustRightInd w:val="0"/>
        <w:snapToGrid w:val="0"/>
        <w:spacing w:line="360" w:lineRule="auto"/>
        <w:jc w:val="center"/>
        <w:rPr>
          <w:rFonts w:asciiTheme="minorEastAsia" w:hAnsiTheme="minorEastAsia" w:eastAsiaTheme="minorEastAsia"/>
          <w:b/>
        </w:rPr>
      </w:pPr>
    </w:p>
    <w:p>
      <w:pPr>
        <w:adjustRightInd w:val="0"/>
        <w:snapToGrid w:val="0"/>
        <w:ind w:left="-88" w:leftChars="-42" w:firstLine="266" w:firstLineChars="100"/>
        <w:rPr>
          <w:rFonts w:asciiTheme="minorEastAsia" w:hAnsiTheme="minorEastAsia" w:eastAsiaTheme="minorEastAsia"/>
          <w:szCs w:val="21"/>
          <w:u w:val="single"/>
        </w:rPr>
      </w:pPr>
      <w:r>
        <w:rPr>
          <w:rFonts w:hint="eastAsia" w:asciiTheme="minorEastAsia" w:hAnsiTheme="minorEastAsia" w:eastAsiaTheme="minorEastAsia"/>
          <w:spacing w:val="28"/>
          <w:szCs w:val="21"/>
        </w:rPr>
        <w:t>政府采购编号</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tbl>
      <w:tblPr>
        <w:tblStyle w:val="50"/>
        <w:tblW w:w="110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4"/>
        <w:gridCol w:w="1269"/>
        <w:gridCol w:w="1828"/>
        <w:gridCol w:w="1481"/>
        <w:gridCol w:w="1493"/>
        <w:gridCol w:w="1701"/>
        <w:gridCol w:w="2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品目号</w:t>
            </w:r>
          </w:p>
        </w:tc>
        <w:tc>
          <w:tcPr>
            <w:tcW w:w="1269" w:type="dxa"/>
            <w:vAlign w:val="center"/>
          </w:tcPr>
          <w:p>
            <w:pPr>
              <w:adjustRightInd w:val="0"/>
              <w:snapToGrid w:val="0"/>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1828" w:type="dxa"/>
            <w:vAlign w:val="center"/>
          </w:tcPr>
          <w:p>
            <w:pPr>
              <w:adjustRightInd w:val="0"/>
              <w:snapToGrid w:val="0"/>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招标文件条目号</w:t>
            </w:r>
          </w:p>
        </w:tc>
        <w:tc>
          <w:tcPr>
            <w:tcW w:w="1481" w:type="dxa"/>
            <w:vAlign w:val="center"/>
          </w:tcPr>
          <w:p>
            <w:pPr>
              <w:adjustRightInd w:val="0"/>
              <w:snapToGrid w:val="0"/>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招标规格</w:t>
            </w:r>
          </w:p>
        </w:tc>
        <w:tc>
          <w:tcPr>
            <w:tcW w:w="1493" w:type="dxa"/>
            <w:vAlign w:val="center"/>
          </w:tcPr>
          <w:p>
            <w:pPr>
              <w:adjustRightInd w:val="0"/>
              <w:snapToGrid w:val="0"/>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投标规格</w:t>
            </w:r>
          </w:p>
        </w:tc>
        <w:tc>
          <w:tcPr>
            <w:tcW w:w="1701" w:type="dxa"/>
            <w:vAlign w:val="center"/>
          </w:tcPr>
          <w:p>
            <w:pPr>
              <w:adjustRightInd w:val="0"/>
              <w:snapToGrid w:val="0"/>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响应/偏离</w:t>
            </w:r>
          </w:p>
        </w:tc>
        <w:tc>
          <w:tcPr>
            <w:tcW w:w="2391" w:type="dxa"/>
            <w:vAlign w:val="center"/>
          </w:tcPr>
          <w:p>
            <w:pPr>
              <w:adjustRightInd w:val="0"/>
              <w:snapToGrid w:val="0"/>
              <w:ind w:left="-88" w:leftChars="-42"/>
              <w:jc w:val="center"/>
              <w:rPr>
                <w:rFonts w:asciiTheme="minorEastAsia" w:hAnsiTheme="minorEastAsia" w:eastAsiaTheme="minorEastAsia"/>
                <w:szCs w:val="21"/>
              </w:rPr>
            </w:pPr>
            <w:r>
              <w:rPr>
                <w:rFonts w:hint="eastAsia" w:asciiTheme="minorEastAsia" w:hAnsiTheme="minorEastAsia" w:eastAsiaTheme="minorEastAsia"/>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r>
        <w:tblPrEx>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874" w:type="dxa"/>
            <w:vAlign w:val="center"/>
          </w:tcPr>
          <w:p>
            <w:pPr>
              <w:adjustRightInd w:val="0"/>
              <w:snapToGrid w:val="0"/>
              <w:ind w:left="-88" w:leftChars="-42"/>
              <w:jc w:val="center"/>
              <w:rPr>
                <w:rFonts w:asciiTheme="minorEastAsia" w:hAnsiTheme="minorEastAsia" w:eastAsiaTheme="minorEastAsia"/>
                <w:szCs w:val="21"/>
              </w:rPr>
            </w:pPr>
          </w:p>
        </w:tc>
        <w:tc>
          <w:tcPr>
            <w:tcW w:w="1269" w:type="dxa"/>
            <w:vAlign w:val="center"/>
          </w:tcPr>
          <w:p>
            <w:pPr>
              <w:adjustRightInd w:val="0"/>
              <w:snapToGrid w:val="0"/>
              <w:ind w:left="-88" w:leftChars="-42"/>
              <w:jc w:val="center"/>
              <w:rPr>
                <w:rFonts w:asciiTheme="minorEastAsia" w:hAnsiTheme="minorEastAsia" w:eastAsiaTheme="minorEastAsia"/>
                <w:szCs w:val="21"/>
              </w:rPr>
            </w:pPr>
          </w:p>
        </w:tc>
        <w:tc>
          <w:tcPr>
            <w:tcW w:w="1828" w:type="dxa"/>
            <w:vAlign w:val="center"/>
          </w:tcPr>
          <w:p>
            <w:pPr>
              <w:adjustRightInd w:val="0"/>
              <w:snapToGrid w:val="0"/>
              <w:ind w:left="-88" w:leftChars="-42"/>
              <w:jc w:val="center"/>
              <w:rPr>
                <w:rFonts w:asciiTheme="minorEastAsia" w:hAnsiTheme="minorEastAsia" w:eastAsiaTheme="minorEastAsia"/>
                <w:szCs w:val="21"/>
              </w:rPr>
            </w:pPr>
          </w:p>
        </w:tc>
        <w:tc>
          <w:tcPr>
            <w:tcW w:w="1481" w:type="dxa"/>
            <w:vAlign w:val="center"/>
          </w:tcPr>
          <w:p>
            <w:pPr>
              <w:adjustRightInd w:val="0"/>
              <w:snapToGrid w:val="0"/>
              <w:ind w:left="-88" w:leftChars="-42"/>
              <w:jc w:val="center"/>
              <w:rPr>
                <w:rFonts w:asciiTheme="minorEastAsia" w:hAnsiTheme="minorEastAsia" w:eastAsiaTheme="minorEastAsia"/>
                <w:szCs w:val="21"/>
              </w:rPr>
            </w:pPr>
          </w:p>
        </w:tc>
        <w:tc>
          <w:tcPr>
            <w:tcW w:w="1493" w:type="dxa"/>
            <w:vAlign w:val="center"/>
          </w:tcPr>
          <w:p>
            <w:pPr>
              <w:adjustRightInd w:val="0"/>
              <w:snapToGrid w:val="0"/>
              <w:ind w:left="-88" w:leftChars="-42"/>
              <w:jc w:val="center"/>
              <w:rPr>
                <w:rFonts w:asciiTheme="minorEastAsia" w:hAnsiTheme="minorEastAsia" w:eastAsiaTheme="minorEastAsia"/>
                <w:szCs w:val="21"/>
              </w:rPr>
            </w:pPr>
          </w:p>
        </w:tc>
        <w:tc>
          <w:tcPr>
            <w:tcW w:w="1701" w:type="dxa"/>
            <w:vAlign w:val="center"/>
          </w:tcPr>
          <w:p>
            <w:pPr>
              <w:adjustRightInd w:val="0"/>
              <w:snapToGrid w:val="0"/>
              <w:ind w:left="-88" w:leftChars="-42"/>
              <w:jc w:val="center"/>
              <w:rPr>
                <w:rFonts w:asciiTheme="minorEastAsia" w:hAnsiTheme="minorEastAsia" w:eastAsiaTheme="minorEastAsia"/>
                <w:szCs w:val="21"/>
              </w:rPr>
            </w:pPr>
          </w:p>
        </w:tc>
        <w:tc>
          <w:tcPr>
            <w:tcW w:w="2391" w:type="dxa"/>
            <w:vAlign w:val="center"/>
          </w:tcPr>
          <w:p>
            <w:pPr>
              <w:adjustRightInd w:val="0"/>
              <w:snapToGrid w:val="0"/>
              <w:ind w:left="-88" w:leftChars="-42"/>
              <w:jc w:val="center"/>
              <w:rPr>
                <w:rFonts w:asciiTheme="minorEastAsia" w:hAnsiTheme="minorEastAsia" w:eastAsiaTheme="minorEastAsia"/>
                <w:szCs w:val="21"/>
              </w:rPr>
            </w:pPr>
          </w:p>
        </w:tc>
      </w:tr>
    </w:tbl>
    <w:p>
      <w:pPr>
        <w:adjustRightInd w:val="0"/>
        <w:snapToGrid w:val="0"/>
        <w:ind w:left="-88" w:leftChars="-42"/>
        <w:rPr>
          <w:rFonts w:asciiTheme="minorEastAsia" w:hAnsiTheme="minorEastAsia" w:eastAsiaTheme="minorEastAsia"/>
          <w:szCs w:val="21"/>
        </w:rPr>
      </w:pPr>
      <w:r>
        <w:rPr>
          <w:rFonts w:hint="eastAsia" w:asciiTheme="minorEastAsia" w:hAnsiTheme="minorEastAsia" w:eastAsiaTheme="minorEastAsia"/>
          <w:b/>
          <w:szCs w:val="21"/>
        </w:rPr>
        <w:t>备注</w:t>
      </w:r>
      <w:r>
        <w:rPr>
          <w:rFonts w:hint="eastAsia" w:asciiTheme="minorEastAsia" w:hAnsiTheme="minorEastAsia" w:eastAsiaTheme="minorEastAsia"/>
          <w:szCs w:val="21"/>
        </w:rPr>
        <w:t>：“响应/偏离”栏应注明“响应”或“偏离”。</w:t>
      </w:r>
    </w:p>
    <w:p>
      <w:pPr>
        <w:adjustRightInd w:val="0"/>
        <w:snapToGrid w:val="0"/>
        <w:spacing w:beforeLines="50" w:line="360" w:lineRule="auto"/>
        <w:ind w:left="5386" w:leftChars="2565" w:right="840"/>
        <w:jc w:val="right"/>
        <w:rPr>
          <w:rFonts w:asciiTheme="minorEastAsia" w:hAnsiTheme="minorEastAsia" w:eastAsiaTheme="minorEastAsia"/>
          <w:szCs w:val="21"/>
        </w:rPr>
      </w:pPr>
      <w:r>
        <w:rPr>
          <w:rFonts w:hint="eastAsia" w:asciiTheme="minorEastAsia" w:hAnsiTheme="minorEastAsia" w:eastAsiaTheme="minorEastAsia"/>
          <w:szCs w:val="21"/>
        </w:rPr>
        <w:t xml:space="preserve">投标人名称（盖章）： </w:t>
      </w:r>
    </w:p>
    <w:p>
      <w:pPr>
        <w:adjustRightInd w:val="0"/>
        <w:snapToGrid w:val="0"/>
        <w:spacing w:beforeLines="50" w:line="360" w:lineRule="auto"/>
        <w:ind w:right="840" w:firstLine="5355" w:firstLineChars="2550"/>
        <w:jc w:val="right"/>
        <w:rPr>
          <w:rFonts w:asciiTheme="minorEastAsia" w:hAnsiTheme="minorEastAsia" w:eastAsiaTheme="minorEastAsia"/>
          <w:szCs w:val="21"/>
          <w:u w:val="single"/>
        </w:rPr>
      </w:pPr>
      <w:r>
        <w:rPr>
          <w:rFonts w:hint="eastAsia" w:asciiTheme="minorEastAsia" w:hAnsiTheme="minorEastAsia" w:eastAsiaTheme="minorEastAsia"/>
          <w:szCs w:val="21"/>
        </w:rPr>
        <w:t>法定代表人（盖章）：</w:t>
      </w:r>
      <w:r>
        <w:rPr>
          <w:rFonts w:hint="eastAsia" w:asciiTheme="minorEastAsia" w:hAnsiTheme="minorEastAsia" w:eastAsiaTheme="minorEastAsia"/>
          <w:szCs w:val="21"/>
          <w:u w:val="single"/>
        </w:rPr>
        <w:t xml:space="preserve"> </w:t>
      </w:r>
    </w:p>
    <w:p>
      <w:pPr>
        <w:wordWrap w:val="0"/>
        <w:adjustRightInd w:val="0"/>
        <w:snapToGrid w:val="0"/>
        <w:spacing w:beforeLines="50" w:line="360" w:lineRule="auto"/>
        <w:ind w:left="5386" w:leftChars="2565" w:right="840"/>
        <w:jc w:val="right"/>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adjustRightInd w:val="0"/>
        <w:snapToGrid w:val="0"/>
        <w:spacing w:before="50" w:line="360" w:lineRule="auto"/>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p>
    <w:p>
      <w:pPr>
        <w:adjustRightInd w:val="0"/>
        <w:snapToGrid w:val="0"/>
        <w:spacing w:line="360" w:lineRule="auto"/>
        <w:jc w:val="center"/>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十一、</w:t>
      </w:r>
      <w:r>
        <w:rPr>
          <w:rFonts w:hint="eastAsia" w:asciiTheme="minorEastAsia" w:hAnsiTheme="minorEastAsia" w:eastAsiaTheme="minorEastAsia"/>
          <w:sz w:val="28"/>
          <w:szCs w:val="28"/>
        </w:rPr>
        <w:t>投标货物符合招标文件规定的证明文件</w:t>
      </w:r>
    </w:p>
    <w:p>
      <w:pPr>
        <w:adjustRightInd w:val="0"/>
        <w:snapToGrid w:val="0"/>
        <w:spacing w:line="360" w:lineRule="auto"/>
        <w:jc w:val="center"/>
        <w:outlineLvl w:val="0"/>
        <w:rPr>
          <w:rFonts w:asciiTheme="minorEastAsia" w:hAnsiTheme="minorEastAsia" w:eastAsiaTheme="minorEastAsia"/>
          <w:szCs w:val="21"/>
        </w:rPr>
      </w:pPr>
    </w:p>
    <w:p>
      <w:pPr>
        <w:adjustRightInd w:val="0"/>
        <w:snapToGrid w:val="0"/>
        <w:spacing w:beforeLines="50" w:line="360" w:lineRule="auto"/>
        <w:outlineLvl w:val="0"/>
        <w:rPr>
          <w:rFonts w:asciiTheme="minorEastAsia" w:hAnsiTheme="minorEastAsia" w:eastAsiaTheme="minorEastAsia"/>
          <w:b/>
          <w:sz w:val="24"/>
        </w:rPr>
      </w:pPr>
    </w:p>
    <w:p>
      <w:pPr>
        <w:adjustRightInd w:val="0"/>
        <w:snapToGrid w:val="0"/>
        <w:spacing w:beforeLines="50" w:line="360" w:lineRule="auto"/>
        <w:outlineLvl w:val="0"/>
        <w:rPr>
          <w:rFonts w:asciiTheme="minorEastAsia" w:hAnsiTheme="minorEastAsia" w:eastAsiaTheme="minorEastAsia"/>
          <w:szCs w:val="21"/>
        </w:rPr>
        <w:sectPr>
          <w:pgSz w:w="11905" w:h="16838"/>
          <w:pgMar w:top="1531" w:right="1134" w:bottom="1531" w:left="1531" w:header="851" w:footer="992" w:gutter="0"/>
          <w:cols w:space="0" w:num="1"/>
          <w:docGrid w:type="lines" w:linePitch="318" w:charSpace="0"/>
        </w:sectPr>
      </w:pPr>
      <w:r>
        <w:rPr>
          <w:rFonts w:hint="eastAsia" w:asciiTheme="minorEastAsia" w:hAnsiTheme="minorEastAsia" w:eastAsiaTheme="minorEastAsia"/>
          <w:b/>
          <w:szCs w:val="21"/>
        </w:rPr>
        <w:t>备注</w:t>
      </w:r>
      <w:r>
        <w:rPr>
          <w:rFonts w:hint="eastAsia" w:asciiTheme="minorEastAsia" w:hAnsiTheme="minorEastAsia" w:eastAsiaTheme="minorEastAsia"/>
          <w:szCs w:val="21"/>
        </w:rPr>
        <w:t>：提供第二章“投标人须知前附表”和第三章“采购需求”规定的证明材料复印件。</w:t>
      </w:r>
    </w:p>
    <w:p>
      <w:pPr>
        <w:adjustRightInd w:val="0"/>
        <w:snapToGrid w:val="0"/>
        <w:spacing w:beforeLines="50" w:line="360" w:lineRule="auto"/>
        <w:ind w:firstLine="584" w:firstLineChars="200"/>
        <w:jc w:val="center"/>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十二、政府采购履约担保函</w:t>
      </w:r>
    </w:p>
    <w:p>
      <w:pPr>
        <w:adjustRightInd w:val="0"/>
        <w:snapToGrid w:val="0"/>
        <w:spacing w:line="360" w:lineRule="auto"/>
        <w:ind w:firstLine="5040" w:firstLineChars="2400"/>
        <w:jc w:val="center"/>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编号：</w:t>
      </w:r>
    </w:p>
    <w:p>
      <w:pPr>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（采购人）： </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鉴于你方与</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（以下简称供应商）于</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日签订编号为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的《</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政府采购合同》（以下简称主合同），且依据该合同的约定，供应商应在</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一、保证责任的情形及保证金额</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（一）在供应商出现下列情形之一时，我方承担保证责任：</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2．主合同约定的应当缴纳履约保证金的情形: </w:t>
      </w:r>
    </w:p>
    <w:p>
      <w:pPr>
        <w:adjustRightInd w:val="0"/>
        <w:snapToGrid w:val="0"/>
        <w:spacing w:line="360" w:lineRule="auto"/>
        <w:ind w:firstLine="420" w:firstLineChars="20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 xml:space="preserve">（1）未按主合同约定的质量、数量和期限供应货物/提供服务/完成工程的； </w:t>
      </w:r>
    </w:p>
    <w:p>
      <w:pPr>
        <w:adjustRightInd w:val="0"/>
        <w:snapToGrid w:val="0"/>
        <w:spacing w:line="360" w:lineRule="auto"/>
        <w:ind w:firstLine="420" w:firstLineChars="200"/>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（2）</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（二）我方的保证范围是主合同约定的合同价款总额的</w:t>
      </w:r>
      <w:r>
        <w:rPr>
          <w:rFonts w:hint="eastAsia" w:cs="宋体" w:asciiTheme="minorEastAsia" w:hAnsiTheme="minorEastAsia" w:eastAsiaTheme="minorEastAsia"/>
          <w:kern w:val="0"/>
          <w:szCs w:val="21"/>
          <w:u w:val="single"/>
        </w:rPr>
        <w:t xml:space="preserve"> 10 </w:t>
      </w:r>
      <w:r>
        <w:rPr>
          <w:rFonts w:hint="eastAsia" w:cs="宋体" w:asciiTheme="minorEastAsia" w:hAnsiTheme="minorEastAsia" w:eastAsiaTheme="minorEastAsia"/>
          <w:kern w:val="0"/>
          <w:szCs w:val="21"/>
        </w:rPr>
        <w:t>%数额为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元（大写</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），币种为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。（即主合同履约保证金金额）</w:t>
      </w:r>
    </w:p>
    <w:p>
      <w:pPr>
        <w:adjustRightInd w:val="0"/>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二、保证的方式及保证期间 </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我方保证的方式为：连带责任保证。 </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我方保证的期间为：自本合同生效之日起至供应商按照主合同约定的供货/完工期限届满后</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日内。</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三、承担保证责任的程序</w:t>
      </w:r>
    </w:p>
    <w:p>
      <w:pPr>
        <w:adjustRightInd w:val="0"/>
        <w:snapToGrid w:val="0"/>
        <w:spacing w:line="360" w:lineRule="auto"/>
        <w:ind w:firstLine="420" w:firstLineChars="20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 xml:space="preserve">1．你方要求我方承担保证责任的，应在本保函保证期间内向我方发出书面索赔通知。索赔通知应写明要求索赔的金额，支付款项应到达的账号。并附有证明供应商违约事实的证明材料。 </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如果你方与供应商因货物质量问题产生争议，你方还需同时提供</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2．我方收到你方的书面索赔通知及相应证明材料，在</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工作日内进行核定后按照本保函的承诺承担保证责任。</w:t>
      </w:r>
    </w:p>
    <w:p>
      <w:pPr>
        <w:adjustRightInd w:val="0"/>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四、保证责任的终止</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3．按照法律法规的规定或出现应终止我方保证责任的其他情形的，我方在本保函项下的保证责任亦终止。</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五、免责条款</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1．因你方违反主合同约定致使供应商不能履行义务的，我方不承担保证责任。</w:t>
      </w:r>
    </w:p>
    <w:p>
      <w:pPr>
        <w:adjustRightInd w:val="0"/>
        <w:snapToGrid w:val="0"/>
        <w:spacing w:line="360" w:lineRule="auto"/>
        <w:ind w:firstLine="420" w:firstLineChars="20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3．因不可抗力造成供应商不能履行供货义务的，我方不承担保证责任。</w:t>
      </w:r>
    </w:p>
    <w:p>
      <w:pPr>
        <w:adjustRightInd w:val="0"/>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六、争议的解决</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因本保函发生的纠纷，由你我双方协商解决，协商不成的，通过诉讼程序解决，诉讼管辖地法院为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法院。</w:t>
      </w:r>
    </w:p>
    <w:p>
      <w:pPr>
        <w:adjustRightInd w:val="0"/>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 xml:space="preserve">七、保函的生效 </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本保函自我方加盖公章之日起生效。 </w:t>
      </w:r>
    </w:p>
    <w:p>
      <w:pPr>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保证人：（公章） </w:t>
      </w:r>
    </w:p>
    <w:p>
      <w:pPr>
        <w:adjustRightInd w:val="0"/>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 年</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 日 </w:t>
      </w: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rPr>
          <w:rFonts w:cs="宋体" w:asciiTheme="minorEastAsia" w:hAnsiTheme="minorEastAsia" w:eastAsiaTheme="minorEastAsia"/>
          <w:kern w:val="0"/>
          <w:szCs w:val="21"/>
        </w:rPr>
      </w:pPr>
    </w:p>
    <w:p>
      <w:pPr>
        <w:adjustRightInd w:val="0"/>
        <w:snapToGrid w:val="0"/>
        <w:spacing w:line="360" w:lineRule="auto"/>
        <w:jc w:val="center"/>
        <w:rPr>
          <w:rFonts w:cs="宋体" w:asciiTheme="minorEastAsia" w:hAnsiTheme="minorEastAsia" w:eastAsiaTheme="minorEastAsia"/>
          <w:bCs/>
          <w:spacing w:val="6"/>
          <w:kern w:val="0"/>
          <w:sz w:val="28"/>
          <w:szCs w:val="28"/>
        </w:rPr>
      </w:pPr>
      <w:r>
        <w:rPr>
          <w:rFonts w:hint="eastAsia" w:cs="宋体" w:asciiTheme="minorEastAsia" w:hAnsiTheme="minorEastAsia" w:eastAsiaTheme="minorEastAsia"/>
          <w:bCs/>
          <w:spacing w:val="6"/>
          <w:kern w:val="0"/>
          <w:sz w:val="28"/>
          <w:szCs w:val="28"/>
        </w:rPr>
        <w:t>十三、</w:t>
      </w:r>
      <w:r>
        <w:rPr>
          <w:rFonts w:hint="eastAsia" w:asciiTheme="minorEastAsia" w:hAnsiTheme="minorEastAsia" w:eastAsiaTheme="minorEastAsia"/>
          <w:b/>
          <w:sz w:val="28"/>
          <w:szCs w:val="28"/>
        </w:rPr>
        <w:t>投 标 承 诺 书</w:t>
      </w:r>
    </w:p>
    <w:p>
      <w:pPr>
        <w:rPr>
          <w:rFonts w:asciiTheme="minorEastAsia" w:hAnsiTheme="minorEastAsia" w:eastAsiaTheme="minorEastAsia"/>
        </w:rPr>
      </w:pPr>
    </w:p>
    <w:p>
      <w:pPr>
        <w:ind w:firstLine="105" w:firstLineChars="50"/>
        <w:rPr>
          <w:rFonts w:asciiTheme="minorEastAsia" w:hAnsiTheme="minorEastAsia" w:eastAsiaTheme="minorEastAsia"/>
          <w:u w:val="single"/>
        </w:rPr>
      </w:pPr>
      <w:r>
        <w:rPr>
          <w:rFonts w:hint="eastAsia" w:asciiTheme="minorEastAsia" w:hAnsiTheme="minorEastAsia" w:eastAsiaTheme="minorEastAsia"/>
          <w:u w:val="single"/>
        </w:rPr>
        <w:t xml:space="preserve">                     </w:t>
      </w:r>
      <w:r>
        <w:rPr>
          <w:rFonts w:hint="eastAsia" w:asciiTheme="minorEastAsia" w:hAnsiTheme="minorEastAsia" w:eastAsiaTheme="minorEastAsia"/>
        </w:rPr>
        <w:t>（招标人名称）：</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本单位已详细阅读贵单位</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项目招标文件，现就参加本项目投标有关事项郑重承诺如下：</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一、参与本项目投标活动系本公司自愿行为。</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二、遵守国家、省、市有关招标投标的法律、规章及规范性文件。</w:t>
      </w:r>
    </w:p>
    <w:p>
      <w:pPr>
        <w:rPr>
          <w:rFonts w:asciiTheme="minorEastAsia" w:hAnsiTheme="minorEastAsia" w:eastAsiaTheme="minorEastAsia"/>
        </w:rPr>
      </w:pPr>
      <w:r>
        <w:rPr>
          <w:rFonts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三、遵守各项交易管理制度和交易现场纪律，服从现场工作人员管理，自觉维护招标投标市场秩序。</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四、投标文件内容及资料无弄虚作假，且无低于成本的恶意报价行为。</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五、保证没有组织、参与围标、串标行为。</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六、不与招标人或者评标委员会成员私下联络和串通以牟取中标；不以他人名义投标或者以其他方式弄虚作假骗取中标；不在开标后进行虚假、恶意质疑和投诉。</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七、若中标，将按照招标文件规定及时与招标人签订合同，严格履行合同条款内容。</w:t>
      </w:r>
      <w:r>
        <w:rPr>
          <w:rFonts w:asciiTheme="minorEastAsia" w:hAnsiTheme="minorEastAsia" w:eastAsiaTheme="minorEastAsia"/>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八、如有违反本承诺书内容的行为，愿意承担由此产生的法律责任及后果。</w:t>
      </w:r>
    </w:p>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投标单位：（公章</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法定代表人或其委托代理人：（签字或盖印鉴）</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联系地址：　　　　　　　　　　　 邮编：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联系人：　　　　　　　　　　　　 电话：</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年　  月　  日</w:t>
      </w:r>
    </w:p>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t xml:space="preserve"> </w:t>
      </w:r>
    </w:p>
    <w:p>
      <w:pPr>
        <w:rPr>
          <w:rFonts w:asciiTheme="minorEastAsia" w:hAnsiTheme="minorEastAsia" w:eastAsiaTheme="minorEastAsia"/>
        </w:rPr>
      </w:pPr>
    </w:p>
    <w:p>
      <w:pPr>
        <w:rPr>
          <w:rFonts w:asciiTheme="minorEastAsia" w:hAnsiTheme="minorEastAsia" w:eastAsiaTheme="minorEastAsia"/>
          <w:b/>
        </w:rPr>
      </w:pPr>
      <w:r>
        <w:rPr>
          <w:rFonts w:hint="eastAsia" w:asciiTheme="minorEastAsia" w:hAnsiTheme="minorEastAsia" w:eastAsiaTheme="minorEastAsia"/>
          <w:b/>
        </w:rPr>
        <w:t>（注：此承诺书由投标单位法定代表人或其委托代理人亲笔签署或盖印鉴，并加盖单位公章，不装入投标文件，与项目的投标文件同时分别递交，否则，视为自动放弃投标。）</w:t>
      </w:r>
    </w:p>
    <w:p>
      <w:pPr>
        <w:rPr>
          <w:rFonts w:asciiTheme="minorEastAsia" w:hAnsiTheme="minorEastAsia" w:eastAsiaTheme="minorEastAsia"/>
        </w:rPr>
      </w:pPr>
    </w:p>
    <w:sectPr>
      <w:headerReference r:id="rId13" w:type="first"/>
      <w:footerReference r:id="rId16" w:type="first"/>
      <w:headerReference r:id="rId11" w:type="default"/>
      <w:footerReference r:id="rId14" w:type="default"/>
      <w:headerReference r:id="rId12" w:type="even"/>
      <w:footerReference r:id="rId15" w:type="even"/>
      <w:pgSz w:w="11905" w:h="16838"/>
      <w:pgMar w:top="1531" w:right="1134" w:bottom="1531" w:left="153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0000000000000000000"/>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华文仿宋">
    <w:altName w:val="仿宋"/>
    <w:panose1 w:val="00000000000000000000"/>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left="180" w:right="360" w:hanging="180" w:hangingChars="100"/>
      <w:jc w:val="right"/>
      <w:rPr>
        <w:rFonts w:eastAsia="楷体_GB2312"/>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ind w:left="300" w:right="360" w:hanging="300" w:hangingChars="100"/>
                            <w:jc w:val="right"/>
                            <w:rPr>
                              <w:rFonts w:eastAsia="楷体_GB2312"/>
                            </w:rPr>
                          </w:pPr>
                          <w:r>
                            <w:rPr>
                              <w:rFonts w:hint="eastAsia" w:ascii="仿宋_GB2312" w:eastAsia="仿宋_GB2312"/>
                              <w:sz w:val="30"/>
                              <w:szCs w:val="30"/>
                            </w:rPr>
                            <w:fldChar w:fldCharType="begin"/>
                          </w:r>
                          <w:r>
                            <w:rPr>
                              <w:rStyle w:val="56"/>
                              <w:rFonts w:hint="eastAsia" w:ascii="仿宋_GB2312" w:eastAsia="仿宋_GB2312"/>
                              <w:sz w:val="30"/>
                              <w:szCs w:val="30"/>
                            </w:rPr>
                            <w:instrText xml:space="preserve"> PAGE </w:instrText>
                          </w:r>
                          <w:r>
                            <w:rPr>
                              <w:rFonts w:hint="eastAsia" w:ascii="仿宋_GB2312" w:eastAsia="仿宋_GB2312"/>
                              <w:sz w:val="30"/>
                              <w:szCs w:val="30"/>
                            </w:rPr>
                            <w:fldChar w:fldCharType="separate"/>
                          </w:r>
                          <w:r>
                            <w:rPr>
                              <w:rStyle w:val="56"/>
                              <w:rFonts w:ascii="仿宋_GB2312" w:eastAsia="仿宋_GB2312"/>
                              <w:sz w:val="30"/>
                              <w:szCs w:val="30"/>
                            </w:rPr>
                            <w:t>4</w:t>
                          </w:r>
                          <w:r>
                            <w:rPr>
                              <w:rFonts w:hint="eastAsia" w:ascii="仿宋_GB2312" w:eastAsia="仿宋_GB2312"/>
                              <w:sz w:val="30"/>
                              <w:szCs w:val="30"/>
                            </w:rPr>
                            <w:fldChar w:fldCharType="end"/>
                          </w:r>
                          <w:r>
                            <w:rPr>
                              <w:rFonts w:hint="eastAsia" w:eastAsia="楷体_GB2312"/>
                            </w:rPr>
                            <w:t xml:space="preserve">  </w:t>
                          </w:r>
                        </w:p>
                        <w:p>
                          <w:pPr>
                            <w:pStyle w:val="33"/>
                            <w:ind w:left="180" w:right="360" w:hanging="180" w:hangingChars="100"/>
                            <w:jc w:val="right"/>
                          </w:pPr>
                          <w:r>
                            <w:rPr>
                              <w:rFonts w:hint="eastAsia" w:eastAsia="楷体_GB2312"/>
                            </w:rP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NFpyPtgBAACwAwAADgAAAAAAAAABACAA&#10;AAAfAQAAZHJzL2Uyb0RvYy54bWxQSwUGAAAAAAYABgBZAQAAaQUAAAAA&#10;">
              <v:fill on="f" focussize="0,0"/>
              <v:stroke on="f" weight="0.5pt"/>
              <v:imagedata o:title=""/>
              <o:lock v:ext="edit" aspectratio="f"/>
              <v:textbox inset="0mm,0mm,0mm,0mm" style="mso-fit-shape-to-text:t;">
                <w:txbxContent>
                  <w:p>
                    <w:pPr>
                      <w:pStyle w:val="33"/>
                      <w:ind w:left="300" w:right="360" w:hanging="300" w:hangingChars="100"/>
                      <w:jc w:val="right"/>
                      <w:rPr>
                        <w:rFonts w:eastAsia="楷体_GB2312"/>
                      </w:rPr>
                    </w:pPr>
                    <w:r>
                      <w:rPr>
                        <w:rFonts w:hint="eastAsia" w:ascii="仿宋_GB2312" w:eastAsia="仿宋_GB2312"/>
                        <w:sz w:val="30"/>
                        <w:szCs w:val="30"/>
                      </w:rPr>
                      <w:fldChar w:fldCharType="begin"/>
                    </w:r>
                    <w:r>
                      <w:rPr>
                        <w:rStyle w:val="56"/>
                        <w:rFonts w:hint="eastAsia" w:ascii="仿宋_GB2312" w:eastAsia="仿宋_GB2312"/>
                        <w:sz w:val="30"/>
                        <w:szCs w:val="30"/>
                      </w:rPr>
                      <w:instrText xml:space="preserve"> PAGE </w:instrText>
                    </w:r>
                    <w:r>
                      <w:rPr>
                        <w:rFonts w:hint="eastAsia" w:ascii="仿宋_GB2312" w:eastAsia="仿宋_GB2312"/>
                        <w:sz w:val="30"/>
                        <w:szCs w:val="30"/>
                      </w:rPr>
                      <w:fldChar w:fldCharType="separate"/>
                    </w:r>
                    <w:r>
                      <w:rPr>
                        <w:rStyle w:val="56"/>
                        <w:rFonts w:ascii="仿宋_GB2312" w:eastAsia="仿宋_GB2312"/>
                        <w:sz w:val="30"/>
                        <w:szCs w:val="30"/>
                      </w:rPr>
                      <w:t>4</w:t>
                    </w:r>
                    <w:r>
                      <w:rPr>
                        <w:rFonts w:hint="eastAsia" w:ascii="仿宋_GB2312" w:eastAsia="仿宋_GB2312"/>
                        <w:sz w:val="30"/>
                        <w:szCs w:val="30"/>
                      </w:rPr>
                      <w:fldChar w:fldCharType="end"/>
                    </w:r>
                    <w:r>
                      <w:rPr>
                        <w:rFonts w:hint="eastAsia" w:eastAsia="楷体_GB2312"/>
                      </w:rPr>
                      <w:t xml:space="preserve">  </w:t>
                    </w:r>
                  </w:p>
                  <w:p>
                    <w:pPr>
                      <w:pStyle w:val="33"/>
                      <w:ind w:left="180" w:right="360" w:hanging="180" w:hangingChars="100"/>
                      <w:jc w:val="right"/>
                    </w:pPr>
                    <w:r>
                      <w:rPr>
                        <w:rFonts w:hint="eastAsia" w:eastAsia="楷体_GB231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41</w:t>
                          </w:r>
                          <w:r>
                            <w:rPr>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0.35pt;width:9.05pt;mso-position-horizontal:center;mso-position-horizontal-relative:margin;mso-wrap-style:none;z-index:25165516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DFVgug3QEAAK8DAAAOAAAAAAAA&#10;AAEAIAAAAB8BAABkcnMvZTJvRG9jLnhtbFBLBQYAAAAABgAGAFkBAABu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41</w:t>
                    </w:r>
                    <w:r>
                      <w:rPr>
                        <w:sz w:val="1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r>
                            <w:rPr>
                              <w:rFonts w:hint="eastAsia"/>
                              <w:sz w:val="18"/>
                            </w:rPr>
                            <w:t>127</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V+SdAAAAADAQAADwAAAAAAAAAB&#10;ACAAAAAiAAAAZHJzL2Rvd25yZXYueG1sUEsBAhQAFAAAAAgAh07iQDhT/AzfAQAAsQMAAA4AAAAA&#10;AAAAAQAgAAAAHwEAAGRycy9lMm9Eb2MueG1sUEsFBgAAAAAGAAYAWQEAAHAFAAAAAA==&#10;">
              <v:fill on="f" focussize="0,0"/>
              <v:stroke on="f"/>
              <v:imagedata o:title=""/>
              <o:lock v:ext="edit" aspectratio="f"/>
              <v:textbox inset="0mm,0mm,0mm,0mm" style="mso-fit-shape-to-text:t;">
                <w:txbxContent>
                  <w:p>
                    <w:pPr>
                      <w:snapToGrid w:val="0"/>
                      <w:rPr>
                        <w:sz w:val="18"/>
                      </w:rPr>
                    </w:pPr>
                    <w:r>
                      <w:rPr>
                        <w:rFonts w:hint="eastAsia"/>
                        <w:sz w:val="18"/>
                      </w:rPr>
                      <w:t>127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rPr>
                              <w:rStyle w:val="56"/>
                            </w:rPr>
                          </w:pPr>
                          <w:r>
                            <w:fldChar w:fldCharType="begin"/>
                          </w:r>
                          <w:r>
                            <w:rPr>
                              <w:rStyle w:val="56"/>
                            </w:rPr>
                            <w:instrText xml:space="preserve">PAGE  </w:instrText>
                          </w:r>
                          <w:r>
                            <w:fldChar w:fldCharType="separate"/>
                          </w:r>
                          <w:r>
                            <w:rPr>
                              <w:rStyle w:val="56"/>
                            </w:rPr>
                            <w:t>80</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DmERvX1wEAALADAAAOAAAAAAAAAAEAIAAA&#10;AB8BAABkcnMvZTJvRG9jLnhtbFBLBQYAAAAABgAGAFkBAABoBQAAAAA=&#10;">
              <v:fill on="f" focussize="0,0"/>
              <v:stroke on="f" weight="0.5pt"/>
              <v:imagedata o:title=""/>
              <o:lock v:ext="edit" aspectratio="f"/>
              <v:textbox inset="0mm,0mm,0mm,0mm" style="mso-fit-shape-to-text:t;">
                <w:txbxContent>
                  <w:p>
                    <w:pPr>
                      <w:pStyle w:val="33"/>
                      <w:rPr>
                        <w:rStyle w:val="56"/>
                      </w:rPr>
                    </w:pPr>
                    <w:r>
                      <w:fldChar w:fldCharType="begin"/>
                    </w:r>
                    <w:r>
                      <w:rPr>
                        <w:rStyle w:val="56"/>
                      </w:rPr>
                      <w:instrText xml:space="preserve">PAGE  </w:instrText>
                    </w:r>
                    <w:r>
                      <w:fldChar w:fldCharType="separate"/>
                    </w:r>
                    <w:r>
                      <w:rPr>
                        <w:rStyle w:val="56"/>
                      </w:rP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6"/>
      </w:rPr>
    </w:pPr>
    <w:r>
      <w:fldChar w:fldCharType="begin"/>
    </w:r>
    <w:r>
      <w:rPr>
        <w:rStyle w:val="56"/>
      </w:rPr>
      <w:instrText xml:space="preserve">PAGE  </w:instrTex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2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64</w:t>
                          </w:r>
                          <w:r>
                            <w:rPr>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Oyq/o7cAQAArwMAAA4AAAAAAAAA&#10;AQAgAAAAHwEAAGRycy9lMm9Eb2MueG1sUEsFBgAAAAAGAAYAWQEAAG0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64</w:t>
                    </w:r>
                    <w:r>
                      <w:rPr>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JE3AGt4BAACyAwAADgAAAAAA&#10;AAABACAAAAAfAQAAZHJzL2Uyb0RvYy54bWxQSwUGAAAAAAYABgBZAQAAbw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w:pict>
        <v:shape id="PowerPlusWaterMarkObject64016967" o:spid="_x0000_s4099" o:spt="136" type="#_x0000_t136" style="position:absolute;left:0pt;height:26.4pt;width:660.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乌鲁木齐市第一人民医院2017年第一批医疗设备采购项目" style="font-family:仿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2CFDB"/>
    <w:multiLevelType w:val="singleLevel"/>
    <w:tmpl w:val="9602CFDB"/>
    <w:lvl w:ilvl="0" w:tentative="0">
      <w:start w:val="1"/>
      <w:numFmt w:val="decimal"/>
      <w:suff w:val="nothing"/>
      <w:lvlText w:val="%1．"/>
      <w:lvlJc w:val="left"/>
      <w:pPr>
        <w:ind w:left="0" w:firstLine="400"/>
      </w:pPr>
      <w:rPr>
        <w:rFonts w:hint="default"/>
      </w:rPr>
    </w:lvl>
  </w:abstractNum>
  <w:abstractNum w:abstractNumId="1">
    <w:nsid w:val="D868A739"/>
    <w:multiLevelType w:val="singleLevel"/>
    <w:tmpl w:val="D868A739"/>
    <w:lvl w:ilvl="0" w:tentative="0">
      <w:start w:val="3"/>
      <w:numFmt w:val="chineseCounting"/>
      <w:suff w:val="space"/>
      <w:lvlText w:val="第%1章"/>
      <w:lvlJc w:val="left"/>
      <w:rPr>
        <w:rFonts w:hint="eastAsia"/>
      </w:rPr>
    </w:lvl>
  </w:abstractNum>
  <w:abstractNum w:abstractNumId="2">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3">
    <w:nsid w:val="0DB639E9"/>
    <w:multiLevelType w:val="multilevel"/>
    <w:tmpl w:val="0DB639E9"/>
    <w:lvl w:ilvl="0" w:tentative="0">
      <w:start w:val="1"/>
      <w:numFmt w:val="decimal"/>
      <w:pStyle w:val="160"/>
      <w:lvlText w:val="%1"/>
      <w:lvlJc w:val="left"/>
      <w:pPr>
        <w:tabs>
          <w:tab w:val="left" w:pos="360"/>
        </w:tabs>
        <w:ind w:left="0" w:firstLine="0"/>
      </w:pPr>
    </w:lvl>
    <w:lvl w:ilvl="1" w:tentative="0">
      <w:start w:val="1"/>
      <w:numFmt w:val="decimal"/>
      <w:pStyle w:val="35"/>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4">
    <w:nsid w:val="10635673"/>
    <w:multiLevelType w:val="multilevel"/>
    <w:tmpl w:val="10635673"/>
    <w:lvl w:ilvl="0" w:tentative="0">
      <w:start w:val="1"/>
      <w:numFmt w:val="decimal"/>
      <w:pStyle w:val="4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4"/>
      <w:lvlText w:val=""/>
      <w:lvlJc w:val="left"/>
      <w:pPr>
        <w:tabs>
          <w:tab w:val="left" w:pos="3780"/>
        </w:tabs>
        <w:ind w:left="3780" w:hanging="420"/>
      </w:pPr>
      <w:rPr>
        <w:rFonts w:hint="default" w:ascii="Wingdings" w:hAnsi="Wingdings"/>
      </w:rPr>
    </w:lvl>
  </w:abstractNum>
  <w:abstractNum w:abstractNumId="6">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29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8743D09"/>
    <w:multiLevelType w:val="multilevel"/>
    <w:tmpl w:val="18743D09"/>
    <w:lvl w:ilvl="0" w:tentative="0">
      <w:start w:val="1"/>
      <w:numFmt w:val="decimal"/>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
    <w:nsid w:val="1F1468F9"/>
    <w:multiLevelType w:val="multilevel"/>
    <w:tmpl w:val="1F1468F9"/>
    <w:lvl w:ilvl="0" w:tentative="0">
      <w:start w:val="1"/>
      <w:numFmt w:val="japaneseCounting"/>
      <w:pStyle w:val="209"/>
      <w:lvlText w:val="%1、"/>
      <w:lvlJc w:val="left"/>
      <w:pPr>
        <w:tabs>
          <w:tab w:val="left" w:pos="1360"/>
        </w:tabs>
        <w:ind w:left="1360" w:hanging="720"/>
      </w:pPr>
      <w:rPr>
        <w:rFonts w:hint="default"/>
      </w:rPr>
    </w:lvl>
    <w:lvl w:ilvl="1" w:tentative="0">
      <w:start w:val="1"/>
      <w:numFmt w:val="lowerLetter"/>
      <w:pStyle w:val="216"/>
      <w:lvlText w:val="%2)"/>
      <w:lvlJc w:val="left"/>
      <w:pPr>
        <w:tabs>
          <w:tab w:val="left" w:pos="1480"/>
        </w:tabs>
        <w:ind w:left="1480" w:hanging="420"/>
      </w:pPr>
    </w:lvl>
    <w:lvl w:ilvl="2" w:tentative="0">
      <w:start w:val="1"/>
      <w:numFmt w:val="lowerRoman"/>
      <w:pStyle w:val="206"/>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9">
    <w:nsid w:val="1F565102"/>
    <w:multiLevelType w:val="multilevel"/>
    <w:tmpl w:val="1F5651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845082"/>
    <w:multiLevelType w:val="multilevel"/>
    <w:tmpl w:val="26845082"/>
    <w:lvl w:ilvl="0" w:tentative="0">
      <w:start w:val="1"/>
      <w:numFmt w:val="decimal"/>
      <w:pStyle w:val="219"/>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2">
    <w:nsid w:val="3FE73F43"/>
    <w:multiLevelType w:val="multilevel"/>
    <w:tmpl w:val="3FE73F43"/>
    <w:lvl w:ilvl="0" w:tentative="0">
      <w:start w:val="1"/>
      <w:numFmt w:val="japaneseCounting"/>
      <w:lvlText w:val="%1、"/>
      <w:lvlJc w:val="left"/>
      <w:pPr>
        <w:ind w:left="480" w:hanging="480"/>
      </w:pPr>
      <w:rPr>
        <w:rFonts w:hint="default" w:asciiTheme="minorEastAsia" w:hAnsi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3A76865"/>
    <w:multiLevelType w:val="singleLevel"/>
    <w:tmpl w:val="53A76865"/>
    <w:lvl w:ilvl="0" w:tentative="0">
      <w:start w:val="1"/>
      <w:numFmt w:val="decimal"/>
      <w:lvlText w:val="（%1）"/>
      <w:lvlJc w:val="left"/>
      <w:pPr>
        <w:tabs>
          <w:tab w:val="left" w:pos="1245"/>
        </w:tabs>
        <w:ind w:left="1245" w:hanging="690"/>
      </w:pPr>
      <w:rPr>
        <w:rFonts w:hint="eastAsia" w:cs="Times New Roman"/>
      </w:rPr>
    </w:lvl>
  </w:abstractNum>
  <w:abstractNum w:abstractNumId="14">
    <w:nsid w:val="6A9A5F31"/>
    <w:multiLevelType w:val="multilevel"/>
    <w:tmpl w:val="6A9A5F31"/>
    <w:lvl w:ilvl="0" w:tentative="0">
      <w:start w:val="1"/>
      <w:numFmt w:val="decimal"/>
      <w:pStyle w:val="328"/>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182"/>
      <w:lvlText w:val="%9."/>
      <w:lvlJc w:val="right"/>
      <w:pPr>
        <w:tabs>
          <w:tab w:val="left" w:pos="4420"/>
        </w:tabs>
        <w:ind w:left="4420" w:hanging="420"/>
      </w:pPr>
    </w:lvl>
  </w:abstractNum>
  <w:abstractNum w:abstractNumId="15">
    <w:nsid w:val="6D9F4248"/>
    <w:multiLevelType w:val="singleLevel"/>
    <w:tmpl w:val="6D9F4248"/>
    <w:lvl w:ilvl="0" w:tentative="0">
      <w:start w:val="1"/>
      <w:numFmt w:val="decimal"/>
      <w:pStyle w:val="363"/>
      <w:lvlText w:val="%1）"/>
      <w:lvlJc w:val="left"/>
      <w:pPr>
        <w:tabs>
          <w:tab w:val="left" w:pos="1050"/>
        </w:tabs>
        <w:ind w:left="1050" w:hanging="450"/>
      </w:pPr>
      <w:rPr>
        <w:rFonts w:hint="eastAsia"/>
      </w:rPr>
    </w:lvl>
  </w:abstractNum>
  <w:abstractNum w:abstractNumId="16">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8"/>
  </w:num>
  <w:num w:numId="7">
    <w:abstractNumId w:val="10"/>
  </w:num>
  <w:num w:numId="8">
    <w:abstractNumId w:val="6"/>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9"/>
  </w:num>
  <w:num w:numId="14">
    <w:abstractNumId w:val="1"/>
  </w:num>
  <w:num w:numId="15">
    <w:abstractNumId w:val="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210"/>
  <w:drawingGridVerticalSpacing w:val="159"/>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CD"/>
    <w:rsid w:val="00000AEA"/>
    <w:rsid w:val="00000DDA"/>
    <w:rsid w:val="00003DF0"/>
    <w:rsid w:val="000102F3"/>
    <w:rsid w:val="000134DD"/>
    <w:rsid w:val="000136D3"/>
    <w:rsid w:val="00014327"/>
    <w:rsid w:val="00015D1E"/>
    <w:rsid w:val="000167E6"/>
    <w:rsid w:val="00020F60"/>
    <w:rsid w:val="00022A20"/>
    <w:rsid w:val="00022D26"/>
    <w:rsid w:val="00024560"/>
    <w:rsid w:val="00030505"/>
    <w:rsid w:val="0003278E"/>
    <w:rsid w:val="00034A43"/>
    <w:rsid w:val="000352C5"/>
    <w:rsid w:val="00036222"/>
    <w:rsid w:val="00043900"/>
    <w:rsid w:val="000449B9"/>
    <w:rsid w:val="00044D2B"/>
    <w:rsid w:val="00047A39"/>
    <w:rsid w:val="00051C30"/>
    <w:rsid w:val="000546D5"/>
    <w:rsid w:val="00056544"/>
    <w:rsid w:val="000612C4"/>
    <w:rsid w:val="0006152D"/>
    <w:rsid w:val="000625F2"/>
    <w:rsid w:val="0006428E"/>
    <w:rsid w:val="00064530"/>
    <w:rsid w:val="000656E6"/>
    <w:rsid w:val="000705D3"/>
    <w:rsid w:val="0007163E"/>
    <w:rsid w:val="00075AD1"/>
    <w:rsid w:val="00076211"/>
    <w:rsid w:val="00077416"/>
    <w:rsid w:val="00081A2F"/>
    <w:rsid w:val="0008375A"/>
    <w:rsid w:val="00086AC1"/>
    <w:rsid w:val="00087154"/>
    <w:rsid w:val="00092CBF"/>
    <w:rsid w:val="000A0583"/>
    <w:rsid w:val="000A102D"/>
    <w:rsid w:val="000A22E2"/>
    <w:rsid w:val="000A41BE"/>
    <w:rsid w:val="000B11EF"/>
    <w:rsid w:val="000C2FD1"/>
    <w:rsid w:val="000C56DE"/>
    <w:rsid w:val="000D1E04"/>
    <w:rsid w:val="000D3357"/>
    <w:rsid w:val="000D368C"/>
    <w:rsid w:val="000E11DE"/>
    <w:rsid w:val="000E18FD"/>
    <w:rsid w:val="000E4367"/>
    <w:rsid w:val="000E4CCF"/>
    <w:rsid w:val="000E4DA1"/>
    <w:rsid w:val="000E5E87"/>
    <w:rsid w:val="000E7DF6"/>
    <w:rsid w:val="000F0F00"/>
    <w:rsid w:val="000F5E09"/>
    <w:rsid w:val="000F6DD6"/>
    <w:rsid w:val="001003EC"/>
    <w:rsid w:val="00102E7D"/>
    <w:rsid w:val="001048A5"/>
    <w:rsid w:val="00105061"/>
    <w:rsid w:val="001073BD"/>
    <w:rsid w:val="00112CFC"/>
    <w:rsid w:val="00122E6E"/>
    <w:rsid w:val="00125224"/>
    <w:rsid w:val="00126CDC"/>
    <w:rsid w:val="00130280"/>
    <w:rsid w:val="001304E5"/>
    <w:rsid w:val="0013418A"/>
    <w:rsid w:val="00136242"/>
    <w:rsid w:val="00136683"/>
    <w:rsid w:val="00136B1C"/>
    <w:rsid w:val="001405FB"/>
    <w:rsid w:val="00140736"/>
    <w:rsid w:val="001479B2"/>
    <w:rsid w:val="00150B0B"/>
    <w:rsid w:val="00150D20"/>
    <w:rsid w:val="0015792D"/>
    <w:rsid w:val="001615CB"/>
    <w:rsid w:val="00165B27"/>
    <w:rsid w:val="00166AAC"/>
    <w:rsid w:val="00167545"/>
    <w:rsid w:val="00170F86"/>
    <w:rsid w:val="001739F4"/>
    <w:rsid w:val="00191086"/>
    <w:rsid w:val="00191493"/>
    <w:rsid w:val="001929EC"/>
    <w:rsid w:val="001944BA"/>
    <w:rsid w:val="00195435"/>
    <w:rsid w:val="001A3269"/>
    <w:rsid w:val="001A432C"/>
    <w:rsid w:val="001B0FD7"/>
    <w:rsid w:val="001B26E8"/>
    <w:rsid w:val="001B3765"/>
    <w:rsid w:val="001B523D"/>
    <w:rsid w:val="001B5C95"/>
    <w:rsid w:val="001C00B2"/>
    <w:rsid w:val="001C03B4"/>
    <w:rsid w:val="001C244E"/>
    <w:rsid w:val="001C42FE"/>
    <w:rsid w:val="001C553D"/>
    <w:rsid w:val="001C5C1A"/>
    <w:rsid w:val="001C6827"/>
    <w:rsid w:val="001D263D"/>
    <w:rsid w:val="001E1023"/>
    <w:rsid w:val="001E4953"/>
    <w:rsid w:val="001E7482"/>
    <w:rsid w:val="001F2424"/>
    <w:rsid w:val="001F7BE4"/>
    <w:rsid w:val="001F7F68"/>
    <w:rsid w:val="00200216"/>
    <w:rsid w:val="00200317"/>
    <w:rsid w:val="0020383B"/>
    <w:rsid w:val="00203A5E"/>
    <w:rsid w:val="00204228"/>
    <w:rsid w:val="00211E9C"/>
    <w:rsid w:val="00212250"/>
    <w:rsid w:val="00216CED"/>
    <w:rsid w:val="002171EC"/>
    <w:rsid w:val="00217849"/>
    <w:rsid w:val="002207F9"/>
    <w:rsid w:val="00227536"/>
    <w:rsid w:val="00230CA6"/>
    <w:rsid w:val="00235122"/>
    <w:rsid w:val="0023520A"/>
    <w:rsid w:val="00236CF9"/>
    <w:rsid w:val="00241E50"/>
    <w:rsid w:val="00243DA6"/>
    <w:rsid w:val="00245676"/>
    <w:rsid w:val="00245EF3"/>
    <w:rsid w:val="00247CF6"/>
    <w:rsid w:val="00251FBF"/>
    <w:rsid w:val="0025215D"/>
    <w:rsid w:val="0025498D"/>
    <w:rsid w:val="00254F7F"/>
    <w:rsid w:val="0026102C"/>
    <w:rsid w:val="00264A32"/>
    <w:rsid w:val="00264F51"/>
    <w:rsid w:val="00271EAD"/>
    <w:rsid w:val="00273E2E"/>
    <w:rsid w:val="0027419C"/>
    <w:rsid w:val="00281F9F"/>
    <w:rsid w:val="0028293E"/>
    <w:rsid w:val="00283C51"/>
    <w:rsid w:val="00290391"/>
    <w:rsid w:val="0029194B"/>
    <w:rsid w:val="00292185"/>
    <w:rsid w:val="0029293F"/>
    <w:rsid w:val="00292DB0"/>
    <w:rsid w:val="002A0E05"/>
    <w:rsid w:val="002A1A24"/>
    <w:rsid w:val="002A4B2D"/>
    <w:rsid w:val="002A53F6"/>
    <w:rsid w:val="002A56D7"/>
    <w:rsid w:val="002A57C9"/>
    <w:rsid w:val="002A58FF"/>
    <w:rsid w:val="002C2E0E"/>
    <w:rsid w:val="002C5179"/>
    <w:rsid w:val="002C52A3"/>
    <w:rsid w:val="002C56BE"/>
    <w:rsid w:val="002C5E72"/>
    <w:rsid w:val="002C768C"/>
    <w:rsid w:val="002D1385"/>
    <w:rsid w:val="002D16D4"/>
    <w:rsid w:val="002D23E7"/>
    <w:rsid w:val="002D3FFD"/>
    <w:rsid w:val="002D4B10"/>
    <w:rsid w:val="002D546F"/>
    <w:rsid w:val="002E038E"/>
    <w:rsid w:val="002E255C"/>
    <w:rsid w:val="002E327E"/>
    <w:rsid w:val="002E40F4"/>
    <w:rsid w:val="002E42C0"/>
    <w:rsid w:val="002E519F"/>
    <w:rsid w:val="002E5283"/>
    <w:rsid w:val="002F084A"/>
    <w:rsid w:val="002F6610"/>
    <w:rsid w:val="002F6FB9"/>
    <w:rsid w:val="002F7BF0"/>
    <w:rsid w:val="003023DD"/>
    <w:rsid w:val="003042C5"/>
    <w:rsid w:val="0031023B"/>
    <w:rsid w:val="00334591"/>
    <w:rsid w:val="003351A8"/>
    <w:rsid w:val="00335618"/>
    <w:rsid w:val="00336405"/>
    <w:rsid w:val="00341F88"/>
    <w:rsid w:val="003426A9"/>
    <w:rsid w:val="0034295F"/>
    <w:rsid w:val="00344970"/>
    <w:rsid w:val="00346BCF"/>
    <w:rsid w:val="0034724F"/>
    <w:rsid w:val="00347CD0"/>
    <w:rsid w:val="003503DD"/>
    <w:rsid w:val="0035602D"/>
    <w:rsid w:val="00361CF9"/>
    <w:rsid w:val="003629E4"/>
    <w:rsid w:val="00362A14"/>
    <w:rsid w:val="0036410A"/>
    <w:rsid w:val="003707C8"/>
    <w:rsid w:val="00375776"/>
    <w:rsid w:val="00376997"/>
    <w:rsid w:val="00376BEC"/>
    <w:rsid w:val="00382375"/>
    <w:rsid w:val="00382B8A"/>
    <w:rsid w:val="003834AF"/>
    <w:rsid w:val="0038713F"/>
    <w:rsid w:val="00393790"/>
    <w:rsid w:val="003A41CB"/>
    <w:rsid w:val="003B0028"/>
    <w:rsid w:val="003B0DCE"/>
    <w:rsid w:val="003B1831"/>
    <w:rsid w:val="003B38A8"/>
    <w:rsid w:val="003B69B0"/>
    <w:rsid w:val="003C16B9"/>
    <w:rsid w:val="003C1FA9"/>
    <w:rsid w:val="003C2723"/>
    <w:rsid w:val="003C555C"/>
    <w:rsid w:val="003C5C65"/>
    <w:rsid w:val="003C759F"/>
    <w:rsid w:val="003C7FDE"/>
    <w:rsid w:val="003D0E6D"/>
    <w:rsid w:val="003D2FC1"/>
    <w:rsid w:val="003E3071"/>
    <w:rsid w:val="003E3DAC"/>
    <w:rsid w:val="003E3F41"/>
    <w:rsid w:val="003E55C2"/>
    <w:rsid w:val="003F71ED"/>
    <w:rsid w:val="003F7D41"/>
    <w:rsid w:val="004004EA"/>
    <w:rsid w:val="0040075F"/>
    <w:rsid w:val="0040537A"/>
    <w:rsid w:val="0040696B"/>
    <w:rsid w:val="0041036E"/>
    <w:rsid w:val="00413A28"/>
    <w:rsid w:val="004201C2"/>
    <w:rsid w:val="00420E34"/>
    <w:rsid w:val="00421DE0"/>
    <w:rsid w:val="00422ECF"/>
    <w:rsid w:val="004250E5"/>
    <w:rsid w:val="004307DA"/>
    <w:rsid w:val="00435869"/>
    <w:rsid w:val="00436CD1"/>
    <w:rsid w:val="0043799B"/>
    <w:rsid w:val="00443853"/>
    <w:rsid w:val="00451AC1"/>
    <w:rsid w:val="004572F7"/>
    <w:rsid w:val="004577E0"/>
    <w:rsid w:val="00460766"/>
    <w:rsid w:val="00465C92"/>
    <w:rsid w:val="00466CDE"/>
    <w:rsid w:val="00467BCB"/>
    <w:rsid w:val="00472DCE"/>
    <w:rsid w:val="0047332B"/>
    <w:rsid w:val="004777C0"/>
    <w:rsid w:val="00484C01"/>
    <w:rsid w:val="0048692D"/>
    <w:rsid w:val="00490378"/>
    <w:rsid w:val="00490EB6"/>
    <w:rsid w:val="004917A2"/>
    <w:rsid w:val="0049544D"/>
    <w:rsid w:val="004A02B3"/>
    <w:rsid w:val="004A389E"/>
    <w:rsid w:val="004A40E2"/>
    <w:rsid w:val="004A5EE5"/>
    <w:rsid w:val="004B4757"/>
    <w:rsid w:val="004B4F30"/>
    <w:rsid w:val="004B4F5D"/>
    <w:rsid w:val="004B5B6A"/>
    <w:rsid w:val="004B7B78"/>
    <w:rsid w:val="004C1170"/>
    <w:rsid w:val="004C11A4"/>
    <w:rsid w:val="004C209B"/>
    <w:rsid w:val="004C278A"/>
    <w:rsid w:val="004C522A"/>
    <w:rsid w:val="004C6AE5"/>
    <w:rsid w:val="004D3651"/>
    <w:rsid w:val="004D6CBC"/>
    <w:rsid w:val="004D7DA3"/>
    <w:rsid w:val="004E615D"/>
    <w:rsid w:val="004F0562"/>
    <w:rsid w:val="004F1888"/>
    <w:rsid w:val="004F7549"/>
    <w:rsid w:val="004F7E5B"/>
    <w:rsid w:val="00500D26"/>
    <w:rsid w:val="005024CA"/>
    <w:rsid w:val="005047D8"/>
    <w:rsid w:val="00512955"/>
    <w:rsid w:val="00512B57"/>
    <w:rsid w:val="00514B7C"/>
    <w:rsid w:val="005168A2"/>
    <w:rsid w:val="00517FFA"/>
    <w:rsid w:val="00520252"/>
    <w:rsid w:val="00521633"/>
    <w:rsid w:val="00522FDD"/>
    <w:rsid w:val="00526058"/>
    <w:rsid w:val="00532C70"/>
    <w:rsid w:val="005332A3"/>
    <w:rsid w:val="00533AD3"/>
    <w:rsid w:val="00534579"/>
    <w:rsid w:val="00534DB3"/>
    <w:rsid w:val="005364E1"/>
    <w:rsid w:val="005404AB"/>
    <w:rsid w:val="00540FFD"/>
    <w:rsid w:val="00541FC4"/>
    <w:rsid w:val="00551AE8"/>
    <w:rsid w:val="005534F2"/>
    <w:rsid w:val="005549B3"/>
    <w:rsid w:val="00555E57"/>
    <w:rsid w:val="0056293B"/>
    <w:rsid w:val="00562BE0"/>
    <w:rsid w:val="00563232"/>
    <w:rsid w:val="00565621"/>
    <w:rsid w:val="00566F13"/>
    <w:rsid w:val="0056796B"/>
    <w:rsid w:val="00570F8D"/>
    <w:rsid w:val="00571CC4"/>
    <w:rsid w:val="00573964"/>
    <w:rsid w:val="00576987"/>
    <w:rsid w:val="00580C33"/>
    <w:rsid w:val="00580C50"/>
    <w:rsid w:val="00581369"/>
    <w:rsid w:val="00583843"/>
    <w:rsid w:val="00584EFE"/>
    <w:rsid w:val="00590B02"/>
    <w:rsid w:val="00590EAD"/>
    <w:rsid w:val="00594C11"/>
    <w:rsid w:val="0059502F"/>
    <w:rsid w:val="005A6E37"/>
    <w:rsid w:val="005B0E24"/>
    <w:rsid w:val="005B3B7D"/>
    <w:rsid w:val="005B7DE3"/>
    <w:rsid w:val="005C0200"/>
    <w:rsid w:val="005C6264"/>
    <w:rsid w:val="005C7FD4"/>
    <w:rsid w:val="005D15C4"/>
    <w:rsid w:val="005D2471"/>
    <w:rsid w:val="005D28D5"/>
    <w:rsid w:val="005D4275"/>
    <w:rsid w:val="005E0521"/>
    <w:rsid w:val="005E3E88"/>
    <w:rsid w:val="005E3EA9"/>
    <w:rsid w:val="005E4FF6"/>
    <w:rsid w:val="005F056E"/>
    <w:rsid w:val="005F1F99"/>
    <w:rsid w:val="005F5405"/>
    <w:rsid w:val="005F6E83"/>
    <w:rsid w:val="006034DD"/>
    <w:rsid w:val="0060528C"/>
    <w:rsid w:val="00610574"/>
    <w:rsid w:val="00610D13"/>
    <w:rsid w:val="006132FB"/>
    <w:rsid w:val="00616421"/>
    <w:rsid w:val="00617BFD"/>
    <w:rsid w:val="006212F7"/>
    <w:rsid w:val="006244DE"/>
    <w:rsid w:val="006246B9"/>
    <w:rsid w:val="006254B1"/>
    <w:rsid w:val="0062599E"/>
    <w:rsid w:val="00625E54"/>
    <w:rsid w:val="006266E2"/>
    <w:rsid w:val="00627900"/>
    <w:rsid w:val="00630AF0"/>
    <w:rsid w:val="0063279B"/>
    <w:rsid w:val="00637A83"/>
    <w:rsid w:val="006443CE"/>
    <w:rsid w:val="00645328"/>
    <w:rsid w:val="006457D0"/>
    <w:rsid w:val="00646FC1"/>
    <w:rsid w:val="0064780F"/>
    <w:rsid w:val="006505B8"/>
    <w:rsid w:val="00660F16"/>
    <w:rsid w:val="006620AF"/>
    <w:rsid w:val="00664F0C"/>
    <w:rsid w:val="006668B6"/>
    <w:rsid w:val="00670A57"/>
    <w:rsid w:val="00670AE4"/>
    <w:rsid w:val="006721C0"/>
    <w:rsid w:val="0067363E"/>
    <w:rsid w:val="00673B9A"/>
    <w:rsid w:val="00675331"/>
    <w:rsid w:val="00676E72"/>
    <w:rsid w:val="00683023"/>
    <w:rsid w:val="00684A01"/>
    <w:rsid w:val="0069131F"/>
    <w:rsid w:val="006919B2"/>
    <w:rsid w:val="006926A8"/>
    <w:rsid w:val="00694755"/>
    <w:rsid w:val="006A30E5"/>
    <w:rsid w:val="006A409F"/>
    <w:rsid w:val="006A502F"/>
    <w:rsid w:val="006B121E"/>
    <w:rsid w:val="006B18E7"/>
    <w:rsid w:val="006B2B21"/>
    <w:rsid w:val="006B36F6"/>
    <w:rsid w:val="006C1C88"/>
    <w:rsid w:val="006C5636"/>
    <w:rsid w:val="006C6E9D"/>
    <w:rsid w:val="006D0F48"/>
    <w:rsid w:val="006D1905"/>
    <w:rsid w:val="006D2865"/>
    <w:rsid w:val="006D6482"/>
    <w:rsid w:val="006D6CF4"/>
    <w:rsid w:val="006D7196"/>
    <w:rsid w:val="006D7565"/>
    <w:rsid w:val="006E08B3"/>
    <w:rsid w:val="006F267E"/>
    <w:rsid w:val="006F5E01"/>
    <w:rsid w:val="00701ED3"/>
    <w:rsid w:val="00702269"/>
    <w:rsid w:val="007022CE"/>
    <w:rsid w:val="00702F4D"/>
    <w:rsid w:val="0071327B"/>
    <w:rsid w:val="00716D64"/>
    <w:rsid w:val="00717ABF"/>
    <w:rsid w:val="00720121"/>
    <w:rsid w:val="00720758"/>
    <w:rsid w:val="00722EA2"/>
    <w:rsid w:val="007373C0"/>
    <w:rsid w:val="00737833"/>
    <w:rsid w:val="00740BC7"/>
    <w:rsid w:val="00741A91"/>
    <w:rsid w:val="007422A3"/>
    <w:rsid w:val="007446BA"/>
    <w:rsid w:val="00747D7F"/>
    <w:rsid w:val="00754010"/>
    <w:rsid w:val="00756FAE"/>
    <w:rsid w:val="0075773E"/>
    <w:rsid w:val="00757CDD"/>
    <w:rsid w:val="00764E5E"/>
    <w:rsid w:val="00766F7C"/>
    <w:rsid w:val="00770DEC"/>
    <w:rsid w:val="00771411"/>
    <w:rsid w:val="0077384C"/>
    <w:rsid w:val="00775FB3"/>
    <w:rsid w:val="007771AB"/>
    <w:rsid w:val="007814CD"/>
    <w:rsid w:val="0078669A"/>
    <w:rsid w:val="0079167A"/>
    <w:rsid w:val="007942B8"/>
    <w:rsid w:val="00795068"/>
    <w:rsid w:val="007954DF"/>
    <w:rsid w:val="00795BA6"/>
    <w:rsid w:val="00797539"/>
    <w:rsid w:val="007A00B2"/>
    <w:rsid w:val="007A15F9"/>
    <w:rsid w:val="007A3609"/>
    <w:rsid w:val="007A5C8E"/>
    <w:rsid w:val="007A6ADC"/>
    <w:rsid w:val="007A7A17"/>
    <w:rsid w:val="007B34C7"/>
    <w:rsid w:val="007B4BD3"/>
    <w:rsid w:val="007B725C"/>
    <w:rsid w:val="007C2B26"/>
    <w:rsid w:val="007C52E1"/>
    <w:rsid w:val="007C55EA"/>
    <w:rsid w:val="007C62DA"/>
    <w:rsid w:val="007D13E2"/>
    <w:rsid w:val="007D2215"/>
    <w:rsid w:val="007D32C3"/>
    <w:rsid w:val="007D686C"/>
    <w:rsid w:val="007E00DD"/>
    <w:rsid w:val="007E72A9"/>
    <w:rsid w:val="007E7600"/>
    <w:rsid w:val="007F391D"/>
    <w:rsid w:val="007F3B0C"/>
    <w:rsid w:val="007F4559"/>
    <w:rsid w:val="007F4862"/>
    <w:rsid w:val="007F5877"/>
    <w:rsid w:val="007F6F11"/>
    <w:rsid w:val="007F7114"/>
    <w:rsid w:val="007F7139"/>
    <w:rsid w:val="007F71DA"/>
    <w:rsid w:val="0080278D"/>
    <w:rsid w:val="00807932"/>
    <w:rsid w:val="00810D53"/>
    <w:rsid w:val="00816388"/>
    <w:rsid w:val="00817EAB"/>
    <w:rsid w:val="0082048A"/>
    <w:rsid w:val="00830F55"/>
    <w:rsid w:val="00834858"/>
    <w:rsid w:val="00835EDC"/>
    <w:rsid w:val="008413AC"/>
    <w:rsid w:val="00845198"/>
    <w:rsid w:val="0084746C"/>
    <w:rsid w:val="00847BFC"/>
    <w:rsid w:val="00851B27"/>
    <w:rsid w:val="00856503"/>
    <w:rsid w:val="00857A41"/>
    <w:rsid w:val="008601D6"/>
    <w:rsid w:val="00870424"/>
    <w:rsid w:val="0087583B"/>
    <w:rsid w:val="00876777"/>
    <w:rsid w:val="00883400"/>
    <w:rsid w:val="00883CCD"/>
    <w:rsid w:val="00885B3C"/>
    <w:rsid w:val="00885B7C"/>
    <w:rsid w:val="0088652F"/>
    <w:rsid w:val="00891216"/>
    <w:rsid w:val="00893BFB"/>
    <w:rsid w:val="00893F42"/>
    <w:rsid w:val="008941CB"/>
    <w:rsid w:val="008952CE"/>
    <w:rsid w:val="008A041A"/>
    <w:rsid w:val="008A2299"/>
    <w:rsid w:val="008A38D7"/>
    <w:rsid w:val="008A4C64"/>
    <w:rsid w:val="008B110B"/>
    <w:rsid w:val="008B2F2D"/>
    <w:rsid w:val="008B426E"/>
    <w:rsid w:val="008C30D3"/>
    <w:rsid w:val="008D317E"/>
    <w:rsid w:val="008D71BD"/>
    <w:rsid w:val="008E050F"/>
    <w:rsid w:val="008E2A4B"/>
    <w:rsid w:val="008E6152"/>
    <w:rsid w:val="008E65F7"/>
    <w:rsid w:val="008F43DC"/>
    <w:rsid w:val="008F4A93"/>
    <w:rsid w:val="008F6F81"/>
    <w:rsid w:val="009005ED"/>
    <w:rsid w:val="0090616A"/>
    <w:rsid w:val="009061BF"/>
    <w:rsid w:val="00911664"/>
    <w:rsid w:val="00917B95"/>
    <w:rsid w:val="009210CF"/>
    <w:rsid w:val="00923682"/>
    <w:rsid w:val="0092654C"/>
    <w:rsid w:val="00930768"/>
    <w:rsid w:val="0093109B"/>
    <w:rsid w:val="00932B76"/>
    <w:rsid w:val="00934356"/>
    <w:rsid w:val="00935971"/>
    <w:rsid w:val="00941969"/>
    <w:rsid w:val="009540EE"/>
    <w:rsid w:val="00955B82"/>
    <w:rsid w:val="00960765"/>
    <w:rsid w:val="00960C00"/>
    <w:rsid w:val="00961CEE"/>
    <w:rsid w:val="00961F1A"/>
    <w:rsid w:val="00964B8C"/>
    <w:rsid w:val="00964C41"/>
    <w:rsid w:val="00965466"/>
    <w:rsid w:val="00965488"/>
    <w:rsid w:val="00966114"/>
    <w:rsid w:val="00970299"/>
    <w:rsid w:val="00970622"/>
    <w:rsid w:val="00971F3C"/>
    <w:rsid w:val="0097270E"/>
    <w:rsid w:val="0097295B"/>
    <w:rsid w:val="00974886"/>
    <w:rsid w:val="0097524E"/>
    <w:rsid w:val="00980606"/>
    <w:rsid w:val="009809B2"/>
    <w:rsid w:val="00985DF9"/>
    <w:rsid w:val="00993F87"/>
    <w:rsid w:val="009953F0"/>
    <w:rsid w:val="00995BB7"/>
    <w:rsid w:val="00997269"/>
    <w:rsid w:val="009A03F2"/>
    <w:rsid w:val="009C35B0"/>
    <w:rsid w:val="009D0F53"/>
    <w:rsid w:val="009D2478"/>
    <w:rsid w:val="009D5546"/>
    <w:rsid w:val="009E1923"/>
    <w:rsid w:val="009E4564"/>
    <w:rsid w:val="009E4AA0"/>
    <w:rsid w:val="009E505E"/>
    <w:rsid w:val="00A0033A"/>
    <w:rsid w:val="00A01127"/>
    <w:rsid w:val="00A040F7"/>
    <w:rsid w:val="00A04136"/>
    <w:rsid w:val="00A05775"/>
    <w:rsid w:val="00A05BFE"/>
    <w:rsid w:val="00A05DE9"/>
    <w:rsid w:val="00A1208F"/>
    <w:rsid w:val="00A121DD"/>
    <w:rsid w:val="00A150B4"/>
    <w:rsid w:val="00A15FB3"/>
    <w:rsid w:val="00A22FDE"/>
    <w:rsid w:val="00A24349"/>
    <w:rsid w:val="00A266B4"/>
    <w:rsid w:val="00A363C0"/>
    <w:rsid w:val="00A36848"/>
    <w:rsid w:val="00A40E43"/>
    <w:rsid w:val="00A41258"/>
    <w:rsid w:val="00A41DA0"/>
    <w:rsid w:val="00A42E26"/>
    <w:rsid w:val="00A435BD"/>
    <w:rsid w:val="00A44C17"/>
    <w:rsid w:val="00A47A4E"/>
    <w:rsid w:val="00A532AF"/>
    <w:rsid w:val="00A54B2B"/>
    <w:rsid w:val="00A57223"/>
    <w:rsid w:val="00A574B7"/>
    <w:rsid w:val="00A61A22"/>
    <w:rsid w:val="00A64F2E"/>
    <w:rsid w:val="00A6590F"/>
    <w:rsid w:val="00A66B5D"/>
    <w:rsid w:val="00A67661"/>
    <w:rsid w:val="00A70A19"/>
    <w:rsid w:val="00A70BDC"/>
    <w:rsid w:val="00A7288C"/>
    <w:rsid w:val="00A73B00"/>
    <w:rsid w:val="00A76DF7"/>
    <w:rsid w:val="00A80A75"/>
    <w:rsid w:val="00A8119B"/>
    <w:rsid w:val="00A82AFE"/>
    <w:rsid w:val="00A84755"/>
    <w:rsid w:val="00A84912"/>
    <w:rsid w:val="00A84D56"/>
    <w:rsid w:val="00A863E1"/>
    <w:rsid w:val="00A864E0"/>
    <w:rsid w:val="00A86EF4"/>
    <w:rsid w:val="00A87D4D"/>
    <w:rsid w:val="00A906A1"/>
    <w:rsid w:val="00A949F2"/>
    <w:rsid w:val="00AA4907"/>
    <w:rsid w:val="00AA4C88"/>
    <w:rsid w:val="00AA698B"/>
    <w:rsid w:val="00AB1B73"/>
    <w:rsid w:val="00AB2B68"/>
    <w:rsid w:val="00AB5BC7"/>
    <w:rsid w:val="00AB734E"/>
    <w:rsid w:val="00AB764C"/>
    <w:rsid w:val="00AC0293"/>
    <w:rsid w:val="00AC0C3C"/>
    <w:rsid w:val="00AC1DF7"/>
    <w:rsid w:val="00AC30FA"/>
    <w:rsid w:val="00AC55ED"/>
    <w:rsid w:val="00AD2362"/>
    <w:rsid w:val="00AD3B93"/>
    <w:rsid w:val="00AD3C57"/>
    <w:rsid w:val="00AD59A6"/>
    <w:rsid w:val="00AF3D22"/>
    <w:rsid w:val="00AF7C7E"/>
    <w:rsid w:val="00B01220"/>
    <w:rsid w:val="00B01BE4"/>
    <w:rsid w:val="00B03AD3"/>
    <w:rsid w:val="00B07097"/>
    <w:rsid w:val="00B100D9"/>
    <w:rsid w:val="00B1264A"/>
    <w:rsid w:val="00B13213"/>
    <w:rsid w:val="00B13B9C"/>
    <w:rsid w:val="00B16A30"/>
    <w:rsid w:val="00B220DF"/>
    <w:rsid w:val="00B23411"/>
    <w:rsid w:val="00B25BAE"/>
    <w:rsid w:val="00B269C9"/>
    <w:rsid w:val="00B2770C"/>
    <w:rsid w:val="00B30663"/>
    <w:rsid w:val="00B31017"/>
    <w:rsid w:val="00B367E1"/>
    <w:rsid w:val="00B41DAF"/>
    <w:rsid w:val="00B41EFC"/>
    <w:rsid w:val="00B43A3C"/>
    <w:rsid w:val="00B5093B"/>
    <w:rsid w:val="00B50C39"/>
    <w:rsid w:val="00B51C11"/>
    <w:rsid w:val="00B548E6"/>
    <w:rsid w:val="00B57963"/>
    <w:rsid w:val="00B6165F"/>
    <w:rsid w:val="00B61B6B"/>
    <w:rsid w:val="00B622C7"/>
    <w:rsid w:val="00B63141"/>
    <w:rsid w:val="00B636EF"/>
    <w:rsid w:val="00B6739D"/>
    <w:rsid w:val="00B674A8"/>
    <w:rsid w:val="00B7207A"/>
    <w:rsid w:val="00B72FFF"/>
    <w:rsid w:val="00B76B4F"/>
    <w:rsid w:val="00B80428"/>
    <w:rsid w:val="00B814AD"/>
    <w:rsid w:val="00B829FF"/>
    <w:rsid w:val="00B82DBD"/>
    <w:rsid w:val="00B82F3A"/>
    <w:rsid w:val="00B85161"/>
    <w:rsid w:val="00B8519C"/>
    <w:rsid w:val="00B90C52"/>
    <w:rsid w:val="00B91888"/>
    <w:rsid w:val="00B91A85"/>
    <w:rsid w:val="00BA146E"/>
    <w:rsid w:val="00BA29A1"/>
    <w:rsid w:val="00BA3078"/>
    <w:rsid w:val="00BA7214"/>
    <w:rsid w:val="00BB2C27"/>
    <w:rsid w:val="00BB2CA4"/>
    <w:rsid w:val="00BB557F"/>
    <w:rsid w:val="00BB74D8"/>
    <w:rsid w:val="00BC0687"/>
    <w:rsid w:val="00BC19D9"/>
    <w:rsid w:val="00BC417B"/>
    <w:rsid w:val="00BC42E0"/>
    <w:rsid w:val="00BD1688"/>
    <w:rsid w:val="00BD54AF"/>
    <w:rsid w:val="00BE5B8F"/>
    <w:rsid w:val="00BF00A6"/>
    <w:rsid w:val="00BF04FF"/>
    <w:rsid w:val="00BF0E3B"/>
    <w:rsid w:val="00BF1518"/>
    <w:rsid w:val="00BF183B"/>
    <w:rsid w:val="00BF4434"/>
    <w:rsid w:val="00C00684"/>
    <w:rsid w:val="00C029C2"/>
    <w:rsid w:val="00C0690B"/>
    <w:rsid w:val="00C12996"/>
    <w:rsid w:val="00C12CF2"/>
    <w:rsid w:val="00C1414E"/>
    <w:rsid w:val="00C14198"/>
    <w:rsid w:val="00C261EA"/>
    <w:rsid w:val="00C30F9C"/>
    <w:rsid w:val="00C32C62"/>
    <w:rsid w:val="00C330B0"/>
    <w:rsid w:val="00C343B9"/>
    <w:rsid w:val="00C3511C"/>
    <w:rsid w:val="00C377BD"/>
    <w:rsid w:val="00C37B28"/>
    <w:rsid w:val="00C4257D"/>
    <w:rsid w:val="00C44F36"/>
    <w:rsid w:val="00C44FC5"/>
    <w:rsid w:val="00C46028"/>
    <w:rsid w:val="00C460FC"/>
    <w:rsid w:val="00C50DB0"/>
    <w:rsid w:val="00C50EC9"/>
    <w:rsid w:val="00C529A7"/>
    <w:rsid w:val="00C53F37"/>
    <w:rsid w:val="00C54814"/>
    <w:rsid w:val="00C57F06"/>
    <w:rsid w:val="00C61748"/>
    <w:rsid w:val="00C61FA3"/>
    <w:rsid w:val="00C6206A"/>
    <w:rsid w:val="00C62BEC"/>
    <w:rsid w:val="00C6789E"/>
    <w:rsid w:val="00C7052C"/>
    <w:rsid w:val="00C70581"/>
    <w:rsid w:val="00C7121C"/>
    <w:rsid w:val="00C73C7E"/>
    <w:rsid w:val="00C7634A"/>
    <w:rsid w:val="00C76FA8"/>
    <w:rsid w:val="00C77AEB"/>
    <w:rsid w:val="00C8055E"/>
    <w:rsid w:val="00C826C2"/>
    <w:rsid w:val="00C83197"/>
    <w:rsid w:val="00C91A7B"/>
    <w:rsid w:val="00C9253B"/>
    <w:rsid w:val="00C9318B"/>
    <w:rsid w:val="00C93278"/>
    <w:rsid w:val="00C9367C"/>
    <w:rsid w:val="00C9467F"/>
    <w:rsid w:val="00C96277"/>
    <w:rsid w:val="00C97666"/>
    <w:rsid w:val="00CA1091"/>
    <w:rsid w:val="00CA1C39"/>
    <w:rsid w:val="00CA2668"/>
    <w:rsid w:val="00CA2CC5"/>
    <w:rsid w:val="00CA47A9"/>
    <w:rsid w:val="00CA7A04"/>
    <w:rsid w:val="00CB1BF6"/>
    <w:rsid w:val="00CB2833"/>
    <w:rsid w:val="00CB2D20"/>
    <w:rsid w:val="00CB3496"/>
    <w:rsid w:val="00CB41B1"/>
    <w:rsid w:val="00CB66E6"/>
    <w:rsid w:val="00CB690D"/>
    <w:rsid w:val="00CB74B0"/>
    <w:rsid w:val="00CC359A"/>
    <w:rsid w:val="00CC372B"/>
    <w:rsid w:val="00CC44A2"/>
    <w:rsid w:val="00CC5794"/>
    <w:rsid w:val="00CC6952"/>
    <w:rsid w:val="00CC733D"/>
    <w:rsid w:val="00CC786E"/>
    <w:rsid w:val="00CD0CF2"/>
    <w:rsid w:val="00CD37AC"/>
    <w:rsid w:val="00CD51D0"/>
    <w:rsid w:val="00CD7809"/>
    <w:rsid w:val="00CE3FA2"/>
    <w:rsid w:val="00CE46AB"/>
    <w:rsid w:val="00CE4996"/>
    <w:rsid w:val="00CE53D0"/>
    <w:rsid w:val="00CE651E"/>
    <w:rsid w:val="00CE6B38"/>
    <w:rsid w:val="00CF2C00"/>
    <w:rsid w:val="00CF746D"/>
    <w:rsid w:val="00D034D5"/>
    <w:rsid w:val="00D17C38"/>
    <w:rsid w:val="00D22E91"/>
    <w:rsid w:val="00D22FD6"/>
    <w:rsid w:val="00D25D49"/>
    <w:rsid w:val="00D315FE"/>
    <w:rsid w:val="00D33800"/>
    <w:rsid w:val="00D36B96"/>
    <w:rsid w:val="00D36FB8"/>
    <w:rsid w:val="00D40C5D"/>
    <w:rsid w:val="00D473C2"/>
    <w:rsid w:val="00D52167"/>
    <w:rsid w:val="00D521C2"/>
    <w:rsid w:val="00D52673"/>
    <w:rsid w:val="00D52A88"/>
    <w:rsid w:val="00D533F2"/>
    <w:rsid w:val="00D565B2"/>
    <w:rsid w:val="00D57BB3"/>
    <w:rsid w:val="00D64159"/>
    <w:rsid w:val="00D65E20"/>
    <w:rsid w:val="00D66C4F"/>
    <w:rsid w:val="00D70994"/>
    <w:rsid w:val="00D71E82"/>
    <w:rsid w:val="00D81573"/>
    <w:rsid w:val="00D8376F"/>
    <w:rsid w:val="00D870E4"/>
    <w:rsid w:val="00D8735F"/>
    <w:rsid w:val="00D92759"/>
    <w:rsid w:val="00D975AC"/>
    <w:rsid w:val="00DA0A93"/>
    <w:rsid w:val="00DA3680"/>
    <w:rsid w:val="00DA47F5"/>
    <w:rsid w:val="00DB040D"/>
    <w:rsid w:val="00DB36E2"/>
    <w:rsid w:val="00DB4070"/>
    <w:rsid w:val="00DB7C22"/>
    <w:rsid w:val="00DC0E1D"/>
    <w:rsid w:val="00DC1DC6"/>
    <w:rsid w:val="00DC58F7"/>
    <w:rsid w:val="00DD0A8D"/>
    <w:rsid w:val="00DD2142"/>
    <w:rsid w:val="00DD23B8"/>
    <w:rsid w:val="00DD27EB"/>
    <w:rsid w:val="00DD3EBB"/>
    <w:rsid w:val="00DE1178"/>
    <w:rsid w:val="00DE3B0B"/>
    <w:rsid w:val="00DE5F9B"/>
    <w:rsid w:val="00DE5FDA"/>
    <w:rsid w:val="00DF08DE"/>
    <w:rsid w:val="00DF2E1C"/>
    <w:rsid w:val="00DF3540"/>
    <w:rsid w:val="00DF74AF"/>
    <w:rsid w:val="00DF778F"/>
    <w:rsid w:val="00E00C89"/>
    <w:rsid w:val="00E02C6C"/>
    <w:rsid w:val="00E03BC6"/>
    <w:rsid w:val="00E063AE"/>
    <w:rsid w:val="00E11914"/>
    <w:rsid w:val="00E11E6F"/>
    <w:rsid w:val="00E126DC"/>
    <w:rsid w:val="00E1278F"/>
    <w:rsid w:val="00E15292"/>
    <w:rsid w:val="00E168DA"/>
    <w:rsid w:val="00E17A7E"/>
    <w:rsid w:val="00E23450"/>
    <w:rsid w:val="00E318D7"/>
    <w:rsid w:val="00E34FCD"/>
    <w:rsid w:val="00E3558F"/>
    <w:rsid w:val="00E359DC"/>
    <w:rsid w:val="00E36D47"/>
    <w:rsid w:val="00E37A23"/>
    <w:rsid w:val="00E43A77"/>
    <w:rsid w:val="00E45FF7"/>
    <w:rsid w:val="00E50392"/>
    <w:rsid w:val="00E50A7E"/>
    <w:rsid w:val="00E51A9B"/>
    <w:rsid w:val="00E51D6C"/>
    <w:rsid w:val="00E558A5"/>
    <w:rsid w:val="00E572C4"/>
    <w:rsid w:val="00E64A46"/>
    <w:rsid w:val="00E6683C"/>
    <w:rsid w:val="00E747AE"/>
    <w:rsid w:val="00E74A2A"/>
    <w:rsid w:val="00E7625B"/>
    <w:rsid w:val="00E83DCC"/>
    <w:rsid w:val="00E85174"/>
    <w:rsid w:val="00E92DAE"/>
    <w:rsid w:val="00E93BA6"/>
    <w:rsid w:val="00E97D7F"/>
    <w:rsid w:val="00EA1B66"/>
    <w:rsid w:val="00EA2425"/>
    <w:rsid w:val="00EA2BDD"/>
    <w:rsid w:val="00EA37C1"/>
    <w:rsid w:val="00EA5E8D"/>
    <w:rsid w:val="00EB1B58"/>
    <w:rsid w:val="00EB27A6"/>
    <w:rsid w:val="00EB335A"/>
    <w:rsid w:val="00EB34B8"/>
    <w:rsid w:val="00EB6208"/>
    <w:rsid w:val="00EB76A8"/>
    <w:rsid w:val="00EC33DD"/>
    <w:rsid w:val="00EC749E"/>
    <w:rsid w:val="00EC7841"/>
    <w:rsid w:val="00ED0AEE"/>
    <w:rsid w:val="00ED30BC"/>
    <w:rsid w:val="00ED4158"/>
    <w:rsid w:val="00ED5C9D"/>
    <w:rsid w:val="00ED6D53"/>
    <w:rsid w:val="00EF2474"/>
    <w:rsid w:val="00EF28EF"/>
    <w:rsid w:val="00EF36E1"/>
    <w:rsid w:val="00EF3F5A"/>
    <w:rsid w:val="00EF42B2"/>
    <w:rsid w:val="00F06ED6"/>
    <w:rsid w:val="00F079DD"/>
    <w:rsid w:val="00F109AE"/>
    <w:rsid w:val="00F10CC1"/>
    <w:rsid w:val="00F12B25"/>
    <w:rsid w:val="00F155B4"/>
    <w:rsid w:val="00F15F87"/>
    <w:rsid w:val="00F16F41"/>
    <w:rsid w:val="00F2048D"/>
    <w:rsid w:val="00F25837"/>
    <w:rsid w:val="00F25BF7"/>
    <w:rsid w:val="00F32612"/>
    <w:rsid w:val="00F33776"/>
    <w:rsid w:val="00F37180"/>
    <w:rsid w:val="00F42432"/>
    <w:rsid w:val="00F43CFD"/>
    <w:rsid w:val="00F45456"/>
    <w:rsid w:val="00F458A2"/>
    <w:rsid w:val="00F52281"/>
    <w:rsid w:val="00F56DAC"/>
    <w:rsid w:val="00F62862"/>
    <w:rsid w:val="00F62995"/>
    <w:rsid w:val="00F64445"/>
    <w:rsid w:val="00F65CCF"/>
    <w:rsid w:val="00F6704C"/>
    <w:rsid w:val="00F71ACC"/>
    <w:rsid w:val="00F7287D"/>
    <w:rsid w:val="00F83254"/>
    <w:rsid w:val="00F90EE2"/>
    <w:rsid w:val="00F91D16"/>
    <w:rsid w:val="00F95A79"/>
    <w:rsid w:val="00F961E6"/>
    <w:rsid w:val="00FA2214"/>
    <w:rsid w:val="00FA31E4"/>
    <w:rsid w:val="00FA3547"/>
    <w:rsid w:val="00FA73D6"/>
    <w:rsid w:val="00FB20E9"/>
    <w:rsid w:val="00FB2CEF"/>
    <w:rsid w:val="00FB7981"/>
    <w:rsid w:val="00FC0D0D"/>
    <w:rsid w:val="00FC22F7"/>
    <w:rsid w:val="00FC69EA"/>
    <w:rsid w:val="00FC7A43"/>
    <w:rsid w:val="00FD2C49"/>
    <w:rsid w:val="00FD2E32"/>
    <w:rsid w:val="00FD36C5"/>
    <w:rsid w:val="00FD7644"/>
    <w:rsid w:val="00FD7CBA"/>
    <w:rsid w:val="00FE0BB0"/>
    <w:rsid w:val="00FE38E6"/>
    <w:rsid w:val="00FF0B2D"/>
    <w:rsid w:val="00FF71BE"/>
    <w:rsid w:val="01CC4DE7"/>
    <w:rsid w:val="02A92A79"/>
    <w:rsid w:val="03C33200"/>
    <w:rsid w:val="03EC5701"/>
    <w:rsid w:val="04C27C98"/>
    <w:rsid w:val="04E60AB3"/>
    <w:rsid w:val="04F91BFF"/>
    <w:rsid w:val="04FC7BC9"/>
    <w:rsid w:val="05A92F49"/>
    <w:rsid w:val="06C92DA5"/>
    <w:rsid w:val="07A20FE4"/>
    <w:rsid w:val="08652EDE"/>
    <w:rsid w:val="0A7259C6"/>
    <w:rsid w:val="0C515952"/>
    <w:rsid w:val="0C8B0472"/>
    <w:rsid w:val="0EDC52DC"/>
    <w:rsid w:val="0F2B556D"/>
    <w:rsid w:val="117E083E"/>
    <w:rsid w:val="1439311D"/>
    <w:rsid w:val="170C2FA8"/>
    <w:rsid w:val="17FA1625"/>
    <w:rsid w:val="18B7158F"/>
    <w:rsid w:val="19D656C9"/>
    <w:rsid w:val="1A312889"/>
    <w:rsid w:val="1A9942C1"/>
    <w:rsid w:val="1B6D4BF7"/>
    <w:rsid w:val="1BA21B81"/>
    <w:rsid w:val="1EC677CA"/>
    <w:rsid w:val="1F3000C7"/>
    <w:rsid w:val="215A7D54"/>
    <w:rsid w:val="26560327"/>
    <w:rsid w:val="26B63C78"/>
    <w:rsid w:val="285E17C7"/>
    <w:rsid w:val="287731A2"/>
    <w:rsid w:val="28A81925"/>
    <w:rsid w:val="2CAE25B5"/>
    <w:rsid w:val="2E995ECC"/>
    <w:rsid w:val="2EBC10D1"/>
    <w:rsid w:val="2F6D304C"/>
    <w:rsid w:val="33ED1360"/>
    <w:rsid w:val="36C76245"/>
    <w:rsid w:val="397D305E"/>
    <w:rsid w:val="39BF3D88"/>
    <w:rsid w:val="3AC06FC9"/>
    <w:rsid w:val="3CC65832"/>
    <w:rsid w:val="3D6D2828"/>
    <w:rsid w:val="3E7A4107"/>
    <w:rsid w:val="3EAE3388"/>
    <w:rsid w:val="402368D7"/>
    <w:rsid w:val="410604BD"/>
    <w:rsid w:val="417A41E3"/>
    <w:rsid w:val="43684640"/>
    <w:rsid w:val="447F107A"/>
    <w:rsid w:val="45815C74"/>
    <w:rsid w:val="46AB5221"/>
    <w:rsid w:val="4A050F74"/>
    <w:rsid w:val="4A1A0AE2"/>
    <w:rsid w:val="4BB12D23"/>
    <w:rsid w:val="4C791780"/>
    <w:rsid w:val="4C7E15D8"/>
    <w:rsid w:val="4FCD10E5"/>
    <w:rsid w:val="52D903CE"/>
    <w:rsid w:val="53EB5FA8"/>
    <w:rsid w:val="554E0167"/>
    <w:rsid w:val="56C25FA1"/>
    <w:rsid w:val="571436D6"/>
    <w:rsid w:val="574447B2"/>
    <w:rsid w:val="5C7850B1"/>
    <w:rsid w:val="5D25502D"/>
    <w:rsid w:val="5E7950B1"/>
    <w:rsid w:val="5FA168E1"/>
    <w:rsid w:val="604C39D3"/>
    <w:rsid w:val="6356053C"/>
    <w:rsid w:val="63691224"/>
    <w:rsid w:val="668342D8"/>
    <w:rsid w:val="66EE7063"/>
    <w:rsid w:val="672659B9"/>
    <w:rsid w:val="69A062F1"/>
    <w:rsid w:val="6A1E1239"/>
    <w:rsid w:val="6C50257B"/>
    <w:rsid w:val="6D332F0F"/>
    <w:rsid w:val="6F77291C"/>
    <w:rsid w:val="73B60A4F"/>
    <w:rsid w:val="7D0D2DB0"/>
    <w:rsid w:val="7DE8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3"/>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4">
    <w:name w:val="heading 3"/>
    <w:basedOn w:val="1"/>
    <w:next w:val="1"/>
    <w:link w:val="88"/>
    <w:qFormat/>
    <w:uiPriority w:val="0"/>
    <w:pPr>
      <w:keepNext/>
      <w:keepLines/>
      <w:spacing w:before="260" w:after="260" w:line="415" w:lineRule="auto"/>
      <w:outlineLvl w:val="2"/>
    </w:pPr>
    <w:rPr>
      <w:b/>
      <w:bCs/>
      <w:sz w:val="32"/>
      <w:szCs w:val="32"/>
    </w:rPr>
  </w:style>
  <w:style w:type="paragraph" w:styleId="5">
    <w:name w:val="heading 4"/>
    <w:basedOn w:val="4"/>
    <w:next w:val="1"/>
    <w:link w:val="129"/>
    <w:qFormat/>
    <w:uiPriority w:val="0"/>
    <w:pPr>
      <w:autoSpaceDE w:val="0"/>
      <w:autoSpaceDN w:val="0"/>
      <w:adjustRightInd w:val="0"/>
      <w:spacing w:before="280" w:after="290" w:line="376" w:lineRule="atLeast"/>
      <w:jc w:val="left"/>
      <w:textAlignment w:val="baseline"/>
      <w:outlineLvl w:val="3"/>
    </w:pPr>
    <w:rPr>
      <w:rFonts w:ascii="黑体" w:hAnsi="黑体" w:eastAsia="黑体"/>
      <w:kern w:val="0"/>
      <w:sz w:val="28"/>
      <w:szCs w:val="20"/>
    </w:rPr>
  </w:style>
  <w:style w:type="paragraph" w:styleId="6">
    <w:name w:val="heading 5"/>
    <w:basedOn w:val="1"/>
    <w:next w:val="1"/>
    <w:link w:val="114"/>
    <w:qFormat/>
    <w:uiPriority w:val="0"/>
    <w:pPr>
      <w:spacing w:before="240" w:after="60"/>
      <w:outlineLvl w:val="4"/>
    </w:pPr>
    <w:rPr>
      <w:sz w:val="22"/>
      <w:szCs w:val="20"/>
    </w:rPr>
  </w:style>
  <w:style w:type="paragraph" w:styleId="7">
    <w:name w:val="heading 6"/>
    <w:basedOn w:val="1"/>
    <w:next w:val="1"/>
    <w:link w:val="69"/>
    <w:qFormat/>
    <w:uiPriority w:val="0"/>
    <w:pPr>
      <w:spacing w:before="240" w:after="60"/>
      <w:outlineLvl w:val="5"/>
    </w:pPr>
    <w:rPr>
      <w:i/>
      <w:iCs/>
      <w:sz w:val="22"/>
      <w:szCs w:val="20"/>
    </w:rPr>
  </w:style>
  <w:style w:type="paragraph" w:styleId="8">
    <w:name w:val="heading 7"/>
    <w:basedOn w:val="1"/>
    <w:next w:val="1"/>
    <w:link w:val="104"/>
    <w:qFormat/>
    <w:uiPriority w:val="0"/>
    <w:pPr>
      <w:spacing w:before="240" w:after="60"/>
      <w:outlineLvl w:val="6"/>
    </w:pPr>
    <w:rPr>
      <w:rFonts w:ascii="Arial" w:hAnsi="Arial"/>
      <w:sz w:val="20"/>
      <w:szCs w:val="20"/>
    </w:rPr>
  </w:style>
  <w:style w:type="paragraph" w:styleId="9">
    <w:name w:val="heading 8"/>
    <w:basedOn w:val="1"/>
    <w:next w:val="1"/>
    <w:link w:val="91"/>
    <w:qFormat/>
    <w:uiPriority w:val="0"/>
    <w:pPr>
      <w:spacing w:before="240" w:after="60"/>
      <w:outlineLvl w:val="7"/>
    </w:pPr>
    <w:rPr>
      <w:rFonts w:ascii="Arial" w:hAnsi="Arial"/>
      <w:i/>
      <w:iCs/>
      <w:sz w:val="20"/>
      <w:szCs w:val="20"/>
    </w:rPr>
  </w:style>
  <w:style w:type="paragraph" w:styleId="10">
    <w:name w:val="heading 9"/>
    <w:basedOn w:val="1"/>
    <w:next w:val="1"/>
    <w:link w:val="128"/>
    <w:qFormat/>
    <w:uiPriority w:val="0"/>
    <w:pPr>
      <w:spacing w:before="240" w:after="60"/>
      <w:outlineLvl w:val="8"/>
    </w:pPr>
    <w:rPr>
      <w:rFonts w:ascii="Arial" w:hAnsi="Arial"/>
      <w:b/>
      <w:i/>
      <w:iCs/>
      <w:sz w:val="18"/>
      <w:szCs w:val="20"/>
    </w:rPr>
  </w:style>
  <w:style w:type="character" w:default="1" w:styleId="54">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680"/>
      <w:jc w:val="left"/>
    </w:pPr>
    <w:rPr>
      <w:rFonts w:ascii="Calibri" w:hAnsi="Calibri"/>
      <w:sz w:val="18"/>
      <w:szCs w:val="20"/>
    </w:rPr>
  </w:style>
  <w:style w:type="paragraph" w:styleId="12">
    <w:name w:val="List Number"/>
    <w:basedOn w:val="1"/>
    <w:qFormat/>
    <w:uiPriority w:val="0"/>
    <w:pPr>
      <w:spacing w:line="360" w:lineRule="auto"/>
      <w:ind w:firstLine="425"/>
    </w:pPr>
    <w:rPr>
      <w:sz w:val="24"/>
      <w:szCs w:val="20"/>
    </w:rPr>
  </w:style>
  <w:style w:type="paragraph" w:styleId="13">
    <w:name w:val="Normal Indent"/>
    <w:basedOn w:val="1"/>
    <w:link w:val="123"/>
    <w:qFormat/>
    <w:uiPriority w:val="0"/>
    <w:pPr>
      <w:spacing w:line="360" w:lineRule="auto"/>
      <w:ind w:firstLine="420"/>
    </w:pPr>
    <w:rPr>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25"/>
    <w:qFormat/>
    <w:uiPriority w:val="0"/>
    <w:pPr>
      <w:shd w:val="clear" w:color="auto" w:fill="000080"/>
    </w:pPr>
  </w:style>
  <w:style w:type="paragraph" w:styleId="16">
    <w:name w:val="toa heading"/>
    <w:basedOn w:val="1"/>
    <w:next w:val="1"/>
    <w:qFormat/>
    <w:uiPriority w:val="0"/>
    <w:pPr>
      <w:spacing w:before="200"/>
      <w:jc w:val="center"/>
    </w:pPr>
    <w:rPr>
      <w:rFonts w:ascii="Arial" w:hAnsi="Arial" w:eastAsia="黑体"/>
      <w:sz w:val="44"/>
    </w:rPr>
  </w:style>
  <w:style w:type="paragraph" w:styleId="17">
    <w:name w:val="annotation text"/>
    <w:basedOn w:val="1"/>
    <w:link w:val="83"/>
    <w:qFormat/>
    <w:uiPriority w:val="0"/>
    <w:pPr>
      <w:jc w:val="left"/>
    </w:pPr>
  </w:style>
  <w:style w:type="paragraph" w:styleId="18">
    <w:name w:val="Salutation"/>
    <w:basedOn w:val="1"/>
    <w:next w:val="1"/>
    <w:link w:val="120"/>
    <w:qFormat/>
    <w:uiPriority w:val="0"/>
    <w:pPr>
      <w:spacing w:line="520" w:lineRule="exact"/>
    </w:pPr>
    <w:rPr>
      <w:rFonts w:ascii="华文宋体" w:hAnsi="Arial Unicode MS" w:eastAsia="华文宋体"/>
      <w:sz w:val="24"/>
      <w:szCs w:val="20"/>
    </w:rPr>
  </w:style>
  <w:style w:type="paragraph" w:styleId="19">
    <w:name w:val="Body Text 3"/>
    <w:basedOn w:val="1"/>
    <w:link w:val="105"/>
    <w:qFormat/>
    <w:uiPriority w:val="0"/>
    <w:pPr>
      <w:spacing w:after="120"/>
      <w:ind w:left="283"/>
    </w:pPr>
    <w:rPr>
      <w:rFonts w:ascii="Arial" w:hAnsi="Arial"/>
      <w:szCs w:val="20"/>
    </w:rPr>
  </w:style>
  <w:style w:type="paragraph" w:styleId="20">
    <w:name w:val="Body Text"/>
    <w:basedOn w:val="1"/>
    <w:link w:val="63"/>
    <w:qFormat/>
    <w:uiPriority w:val="0"/>
    <w:pPr>
      <w:spacing w:line="360" w:lineRule="auto"/>
    </w:pPr>
    <w:rPr>
      <w:sz w:val="24"/>
      <w:szCs w:val="20"/>
    </w:rPr>
  </w:style>
  <w:style w:type="paragraph" w:styleId="21">
    <w:name w:val="Body Text Indent"/>
    <w:basedOn w:val="1"/>
    <w:link w:val="122"/>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List Continue"/>
    <w:basedOn w:val="1"/>
    <w:qFormat/>
    <w:uiPriority w:val="0"/>
    <w:pPr>
      <w:numPr>
        <w:ilvl w:val="8"/>
        <w:numId w:val="2"/>
      </w:numPr>
      <w:tabs>
        <w:tab w:val="clear" w:pos="3780"/>
      </w:tabs>
      <w:spacing w:after="120"/>
      <w:ind w:left="420" w:leftChars="200" w:firstLine="0"/>
    </w:pPr>
  </w:style>
  <w:style w:type="paragraph" w:styleId="25">
    <w:name w:val="Block Text"/>
    <w:basedOn w:val="1"/>
    <w:qFormat/>
    <w:uiPriority w:val="0"/>
    <w:pPr>
      <w:ind w:left="1200" w:right="-72" w:hanging="30"/>
    </w:pPr>
    <w:rPr>
      <w:rFonts w:ascii="Arial" w:hAnsi="Arial" w:eastAsia="幼圆" w:cs="Arial"/>
      <w:sz w:val="22"/>
      <w:szCs w:val="20"/>
    </w:rPr>
  </w:style>
  <w:style w:type="paragraph" w:styleId="26">
    <w:name w:val="toc 5"/>
    <w:basedOn w:val="1"/>
    <w:next w:val="1"/>
    <w:qFormat/>
    <w:uiPriority w:val="0"/>
    <w:pPr>
      <w:ind w:left="1120"/>
      <w:jc w:val="left"/>
    </w:pPr>
    <w:rPr>
      <w:rFonts w:ascii="Calibri" w:hAnsi="Calibri"/>
      <w:sz w:val="18"/>
      <w:szCs w:val="20"/>
    </w:rPr>
  </w:style>
  <w:style w:type="paragraph" w:styleId="27">
    <w:name w:val="toc 3"/>
    <w:basedOn w:val="1"/>
    <w:next w:val="1"/>
    <w:qFormat/>
    <w:uiPriority w:val="0"/>
    <w:pPr>
      <w:ind w:left="560"/>
      <w:jc w:val="left"/>
    </w:pPr>
    <w:rPr>
      <w:rFonts w:ascii="Calibri" w:hAnsi="Calibri"/>
      <w:i/>
      <w:sz w:val="20"/>
      <w:szCs w:val="20"/>
    </w:rPr>
  </w:style>
  <w:style w:type="paragraph" w:styleId="28">
    <w:name w:val="Plain Text"/>
    <w:basedOn w:val="1"/>
    <w:link w:val="118"/>
    <w:qFormat/>
    <w:uiPriority w:val="0"/>
    <w:rPr>
      <w:rFonts w:ascii="宋体" w:hAnsi="宋体"/>
      <w:szCs w:val="21"/>
    </w:rPr>
  </w:style>
  <w:style w:type="paragraph" w:styleId="29">
    <w:name w:val="toc 8"/>
    <w:basedOn w:val="1"/>
    <w:next w:val="1"/>
    <w:qFormat/>
    <w:uiPriority w:val="0"/>
    <w:pPr>
      <w:ind w:left="1960"/>
      <w:jc w:val="left"/>
    </w:pPr>
    <w:rPr>
      <w:rFonts w:ascii="Calibri" w:hAnsi="Calibri"/>
      <w:sz w:val="18"/>
      <w:szCs w:val="20"/>
    </w:rPr>
  </w:style>
  <w:style w:type="paragraph" w:styleId="30">
    <w:name w:val="Date"/>
    <w:basedOn w:val="1"/>
    <w:next w:val="1"/>
    <w:link w:val="103"/>
    <w:qFormat/>
    <w:uiPriority w:val="0"/>
    <w:pPr>
      <w:ind w:left="100" w:leftChars="2500"/>
    </w:pPr>
  </w:style>
  <w:style w:type="paragraph" w:styleId="31">
    <w:name w:val="Body Text Indent 2"/>
    <w:basedOn w:val="1"/>
    <w:link w:val="119"/>
    <w:qFormat/>
    <w:uiPriority w:val="0"/>
    <w:pPr>
      <w:autoSpaceDE w:val="0"/>
      <w:autoSpaceDN w:val="0"/>
      <w:adjustRightInd w:val="0"/>
      <w:spacing w:line="620" w:lineRule="exact"/>
      <w:ind w:firstLine="480"/>
    </w:pPr>
    <w:rPr>
      <w:rFonts w:eastAsia="仿宋_GB2312"/>
      <w:color w:val="000000"/>
      <w:kern w:val="0"/>
      <w:sz w:val="32"/>
      <w:szCs w:val="28"/>
    </w:rPr>
  </w:style>
  <w:style w:type="paragraph" w:styleId="32">
    <w:name w:val="Balloon Text"/>
    <w:basedOn w:val="1"/>
    <w:link w:val="110"/>
    <w:qFormat/>
    <w:uiPriority w:val="0"/>
    <w:rPr>
      <w:sz w:val="18"/>
      <w:szCs w:val="18"/>
    </w:rPr>
  </w:style>
  <w:style w:type="paragraph" w:styleId="33">
    <w:name w:val="footer"/>
    <w:basedOn w:val="1"/>
    <w:link w:val="113"/>
    <w:qFormat/>
    <w:uiPriority w:val="0"/>
    <w:pPr>
      <w:tabs>
        <w:tab w:val="center" w:pos="4153"/>
        <w:tab w:val="right" w:pos="8306"/>
      </w:tabs>
      <w:snapToGrid w:val="0"/>
      <w:jc w:val="left"/>
    </w:pPr>
    <w:rPr>
      <w:sz w:val="18"/>
      <w:szCs w:val="18"/>
    </w:rPr>
  </w:style>
  <w:style w:type="paragraph" w:styleId="34">
    <w:name w:val="header"/>
    <w:basedOn w:val="1"/>
    <w:link w:val="84"/>
    <w:qFormat/>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35">
    <w:name w:val="toc 1"/>
    <w:basedOn w:val="1"/>
    <w:next w:val="1"/>
    <w:qFormat/>
    <w:uiPriority w:val="39"/>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36">
    <w:name w:val="toc 4"/>
    <w:basedOn w:val="1"/>
    <w:next w:val="1"/>
    <w:qFormat/>
    <w:uiPriority w:val="0"/>
    <w:pPr>
      <w:ind w:left="840"/>
      <w:jc w:val="left"/>
    </w:pPr>
    <w:rPr>
      <w:rFonts w:ascii="Calibri" w:hAnsi="Calibri"/>
      <w:sz w:val="18"/>
      <w:szCs w:val="20"/>
    </w:rPr>
  </w:style>
  <w:style w:type="paragraph" w:styleId="37">
    <w:name w:val="Subtitle"/>
    <w:basedOn w:val="1"/>
    <w:link w:val="386"/>
    <w:qFormat/>
    <w:uiPriority w:val="0"/>
    <w:pPr>
      <w:spacing w:after="60"/>
      <w:jc w:val="center"/>
    </w:pPr>
    <w:rPr>
      <w:rFonts w:ascii="Arial" w:hAnsi="Arial" w:eastAsia="黑体"/>
      <w:i/>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1400"/>
      <w:jc w:val="left"/>
    </w:pPr>
    <w:rPr>
      <w:rFonts w:ascii="Calibri" w:hAnsi="Calibri"/>
      <w:sz w:val="18"/>
      <w:szCs w:val="20"/>
    </w:rPr>
  </w:style>
  <w:style w:type="paragraph" w:styleId="40">
    <w:name w:val="Body Text Indent 3"/>
    <w:basedOn w:val="1"/>
    <w:link w:val="116"/>
    <w:qFormat/>
    <w:uiPriority w:val="0"/>
    <w:pPr>
      <w:spacing w:line="620" w:lineRule="exact"/>
      <w:ind w:firstLine="640" w:firstLineChars="200"/>
    </w:pPr>
    <w:rPr>
      <w:rFonts w:eastAsia="仿宋_GB2312"/>
      <w:sz w:val="32"/>
    </w:rPr>
  </w:style>
  <w:style w:type="paragraph" w:styleId="41">
    <w:name w:val="toc 2"/>
    <w:basedOn w:val="1"/>
    <w:next w:val="1"/>
    <w:qFormat/>
    <w:uiPriority w:val="39"/>
    <w:pPr>
      <w:tabs>
        <w:tab w:val="right" w:leader="dot" w:pos="9060"/>
      </w:tabs>
      <w:snapToGrid w:val="0"/>
      <w:spacing w:line="288" w:lineRule="auto"/>
      <w:ind w:left="210" w:firstLine="200" w:firstLineChars="200"/>
      <w:jc w:val="left"/>
    </w:pPr>
    <w:rPr>
      <w:smallCaps/>
      <w:sz w:val="20"/>
      <w:szCs w:val="21"/>
    </w:rPr>
  </w:style>
  <w:style w:type="paragraph" w:styleId="42">
    <w:name w:val="toc 9"/>
    <w:basedOn w:val="1"/>
    <w:next w:val="1"/>
    <w:qFormat/>
    <w:uiPriority w:val="0"/>
    <w:pPr>
      <w:ind w:left="2240"/>
      <w:jc w:val="left"/>
    </w:pPr>
    <w:rPr>
      <w:rFonts w:ascii="Calibri" w:hAnsi="Calibri"/>
      <w:sz w:val="18"/>
      <w:szCs w:val="20"/>
    </w:rPr>
  </w:style>
  <w:style w:type="paragraph" w:styleId="43">
    <w:name w:val="Body Text 2"/>
    <w:basedOn w:val="1"/>
    <w:link w:val="106"/>
    <w:qFormat/>
    <w:uiPriority w:val="0"/>
    <w:pPr>
      <w:numPr>
        <w:ilvl w:val="0"/>
        <w:numId w:val="4"/>
      </w:numPr>
      <w:spacing w:line="360" w:lineRule="auto"/>
    </w:pPr>
    <w:rPr>
      <w:sz w:val="24"/>
      <w:szCs w:val="20"/>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28"/>
    <w:next w:val="28"/>
    <w:link w:val="72"/>
    <w:qFormat/>
    <w:uiPriority w:val="0"/>
    <w:pPr>
      <w:spacing w:before="240" w:after="60"/>
    </w:pPr>
    <w:rPr>
      <w:rFonts w:ascii="Arial" w:hAnsi="Arial"/>
      <w:b/>
      <w:kern w:val="18"/>
      <w:sz w:val="30"/>
      <w:szCs w:val="20"/>
    </w:rPr>
  </w:style>
  <w:style w:type="paragraph" w:styleId="47">
    <w:name w:val="annotation subject"/>
    <w:basedOn w:val="17"/>
    <w:next w:val="17"/>
    <w:link w:val="107"/>
    <w:qFormat/>
    <w:uiPriority w:val="0"/>
    <w:rPr>
      <w:b/>
      <w:bCs/>
    </w:rPr>
  </w:style>
  <w:style w:type="paragraph" w:styleId="48">
    <w:name w:val="Body Text First Indent"/>
    <w:basedOn w:val="20"/>
    <w:link w:val="78"/>
    <w:qFormat/>
    <w:uiPriority w:val="0"/>
    <w:pPr>
      <w:spacing w:after="120" w:line="520" w:lineRule="exact"/>
      <w:ind w:firstLine="100" w:firstLineChars="100"/>
      <w:jc w:val="left"/>
    </w:pPr>
    <w:rPr>
      <w:sz w:val="28"/>
    </w:rPr>
  </w:style>
  <w:style w:type="paragraph" w:styleId="49">
    <w:name w:val="Body Text First Indent 2"/>
    <w:basedOn w:val="21"/>
    <w:link w:val="382"/>
    <w:qFormat/>
    <w:uiPriority w:val="0"/>
    <w:pPr>
      <w:autoSpaceDE/>
      <w:autoSpaceDN/>
      <w:adjustRightInd/>
      <w:spacing w:after="120" w:line="240" w:lineRule="auto"/>
      <w:ind w:left="420" w:leftChars="200" w:firstLine="420" w:firstLineChars="200"/>
      <w:jc w:val="both"/>
    </w:pPr>
    <w:rPr>
      <w:rFonts w:eastAsia="宋体"/>
      <w:b w:val="0"/>
      <w:bCs w:val="0"/>
      <w:color w:val="auto"/>
      <w:kern w:val="2"/>
      <w:sz w:val="21"/>
      <w:szCs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Theme"/>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Elegant"/>
    <w:basedOn w:val="5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color w:val="CC0033"/>
    </w:rPr>
  </w:style>
  <w:style w:type="character" w:styleId="59">
    <w:name w:val="line number"/>
    <w:basedOn w:val="54"/>
    <w:qFormat/>
    <w:uiPriority w:val="0"/>
  </w:style>
  <w:style w:type="character" w:styleId="60">
    <w:name w:val="Hyperlink"/>
    <w:qFormat/>
    <w:uiPriority w:val="99"/>
    <w:rPr>
      <w:color w:val="000000"/>
      <w:sz w:val="18"/>
      <w:szCs w:val="18"/>
      <w:u w:val="none"/>
    </w:rPr>
  </w:style>
  <w:style w:type="character" w:styleId="61">
    <w:name w:val="annotation reference"/>
    <w:qFormat/>
    <w:uiPriority w:val="0"/>
    <w:rPr>
      <w:sz w:val="21"/>
      <w:szCs w:val="21"/>
    </w:rPr>
  </w:style>
  <w:style w:type="character" w:customStyle="1" w:styleId="62">
    <w:name w:val="unnamed11"/>
    <w:qFormat/>
    <w:uiPriority w:val="0"/>
    <w:rPr>
      <w:sz w:val="26"/>
    </w:rPr>
  </w:style>
  <w:style w:type="character" w:customStyle="1" w:styleId="63">
    <w:name w:val="正文文本 Char"/>
    <w:link w:val="20"/>
    <w:qFormat/>
    <w:uiPriority w:val="0"/>
    <w:rPr>
      <w:rFonts w:eastAsia="宋体"/>
      <w:kern w:val="2"/>
      <w:sz w:val="24"/>
      <w:lang w:bidi="ar-SA"/>
    </w:rPr>
  </w:style>
  <w:style w:type="character" w:customStyle="1" w:styleId="64">
    <w:name w:val="para1"/>
    <w:qFormat/>
    <w:uiPriority w:val="0"/>
    <w:rPr>
      <w:rFonts w:hint="default" w:ascii="Arial" w:hAnsi="Arial"/>
      <w:sz w:val="18"/>
    </w:rPr>
  </w:style>
  <w:style w:type="character" w:customStyle="1" w:styleId="65">
    <w:name w:val="标题 4 Char1"/>
    <w:qFormat/>
    <w:uiPriority w:val="0"/>
    <w:rPr>
      <w:rFonts w:ascii="Arial" w:hAnsi="Arial" w:eastAsia="黑体"/>
      <w:b/>
      <w:kern w:val="2"/>
      <w:sz w:val="28"/>
      <w:lang w:val="en-US" w:eastAsia="zh-CN"/>
    </w:rPr>
  </w:style>
  <w:style w:type="character" w:customStyle="1" w:styleId="66">
    <w:name w:val="彩色列表 - 着色 1 Char"/>
    <w:qFormat/>
    <w:locked/>
    <w:uiPriority w:val="0"/>
    <w:rPr>
      <w:rFonts w:ascii="Calibri" w:hAnsi="Calibri" w:eastAsia="宋体"/>
      <w:kern w:val="2"/>
      <w:sz w:val="21"/>
      <w:szCs w:val="22"/>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Heading 2 Hidden Char1"/>
    <w:qFormat/>
    <w:uiPriority w:val="0"/>
    <w:rPr>
      <w:rFonts w:ascii="Arial" w:hAnsi="Arial" w:eastAsia="黑体" w:cs="Arial"/>
      <w:b/>
      <w:sz w:val="24"/>
      <w:szCs w:val="24"/>
    </w:rPr>
  </w:style>
  <w:style w:type="character" w:customStyle="1" w:styleId="69">
    <w:name w:val="标题 6 Char"/>
    <w:link w:val="7"/>
    <w:qFormat/>
    <w:uiPriority w:val="0"/>
    <w:rPr>
      <w:rFonts w:eastAsia="宋体"/>
      <w:i/>
      <w:iCs/>
      <w:kern w:val="2"/>
      <w:sz w:val="22"/>
      <w:lang w:bidi="ar-SA"/>
    </w:rPr>
  </w:style>
  <w:style w:type="character" w:customStyle="1" w:styleId="70">
    <w:name w:val="Heading 1 Char"/>
    <w:qFormat/>
    <w:locked/>
    <w:uiPriority w:val="0"/>
    <w:rPr>
      <w:rFonts w:cs="Times New Roman"/>
      <w:b/>
      <w:bCs/>
      <w:kern w:val="44"/>
      <w:sz w:val="44"/>
      <w:szCs w:val="44"/>
    </w:rPr>
  </w:style>
  <w:style w:type="character" w:customStyle="1" w:styleId="71">
    <w:name w:val="a-标题3 Char"/>
    <w:qFormat/>
    <w:uiPriority w:val="0"/>
    <w:rPr>
      <w:rFonts w:ascii="楷体_GB2312" w:eastAsia="楷体_GB2312"/>
      <w:b/>
      <w:bCs/>
      <w:kern w:val="2"/>
      <w:sz w:val="28"/>
      <w:lang w:val="en-US" w:eastAsia="zh-CN" w:bidi="ar-SA"/>
    </w:rPr>
  </w:style>
  <w:style w:type="character" w:customStyle="1" w:styleId="72">
    <w:name w:val="标题 Char"/>
    <w:link w:val="46"/>
    <w:qFormat/>
    <w:uiPriority w:val="0"/>
    <w:rPr>
      <w:rFonts w:ascii="Arial" w:hAnsi="Arial" w:eastAsia="宋体"/>
      <w:b/>
      <w:kern w:val="18"/>
      <w:sz w:val="30"/>
      <w:lang w:bidi="ar-SA"/>
    </w:rPr>
  </w:style>
  <w:style w:type="character" w:customStyle="1" w:styleId="73">
    <w:name w:val="标题 2 Char"/>
    <w:link w:val="3"/>
    <w:qFormat/>
    <w:uiPriority w:val="0"/>
    <w:rPr>
      <w:rFonts w:ascii="Arial" w:hAnsi="Arial" w:eastAsia="黑体"/>
      <w:b/>
      <w:sz w:val="24"/>
      <w:szCs w:val="24"/>
      <w:lang w:bidi="ar-SA"/>
    </w:rPr>
  </w:style>
  <w:style w:type="character" w:customStyle="1" w:styleId="74">
    <w:name w:val="正文文本样式 Char Char"/>
    <w:link w:val="75"/>
    <w:qFormat/>
    <w:uiPriority w:val="0"/>
    <w:rPr>
      <w:rFonts w:eastAsia="宋体"/>
      <w:sz w:val="24"/>
      <w:lang w:bidi="ar-SA"/>
    </w:rPr>
  </w:style>
  <w:style w:type="paragraph" w:customStyle="1" w:styleId="75">
    <w:name w:val="正文文本样式"/>
    <w:basedOn w:val="1"/>
    <w:link w:val="74"/>
    <w:qFormat/>
    <w:uiPriority w:val="0"/>
    <w:pPr>
      <w:spacing w:line="360" w:lineRule="auto"/>
      <w:ind w:firstLine="482"/>
    </w:pPr>
    <w:rPr>
      <w:kern w:val="0"/>
      <w:sz w:val="24"/>
      <w:szCs w:val="20"/>
    </w:rPr>
  </w:style>
  <w:style w:type="character" w:customStyle="1" w:styleId="76">
    <w:name w:val="无间隔 Char"/>
    <w:link w:val="77"/>
    <w:qFormat/>
    <w:uiPriority w:val="0"/>
    <w:rPr>
      <w:rFonts w:ascii="Calibri" w:hAnsi="Calibri"/>
      <w:sz w:val="22"/>
      <w:szCs w:val="22"/>
      <w:lang w:val="en-US" w:eastAsia="zh-CN" w:bidi="ar-SA"/>
    </w:rPr>
  </w:style>
  <w:style w:type="paragraph" w:styleId="77">
    <w:name w:val="No Spacing"/>
    <w:link w:val="76"/>
    <w:qFormat/>
    <w:uiPriority w:val="0"/>
    <w:rPr>
      <w:rFonts w:ascii="Calibri" w:hAnsi="Calibri" w:eastAsia="宋体" w:cs="Times New Roman"/>
      <w:sz w:val="22"/>
      <w:szCs w:val="22"/>
      <w:lang w:val="en-US" w:eastAsia="zh-CN" w:bidi="ar-SA"/>
    </w:rPr>
  </w:style>
  <w:style w:type="character" w:customStyle="1" w:styleId="78">
    <w:name w:val="正文首行缩进 Char"/>
    <w:link w:val="48"/>
    <w:qFormat/>
    <w:uiPriority w:val="0"/>
    <w:rPr>
      <w:rFonts w:eastAsia="宋体"/>
      <w:kern w:val="2"/>
      <w:sz w:val="28"/>
      <w:lang w:bidi="ar-SA"/>
    </w:rPr>
  </w:style>
  <w:style w:type="character" w:customStyle="1" w:styleId="79">
    <w:name w:val="列出段落 Char"/>
    <w:link w:val="80"/>
    <w:qFormat/>
    <w:locked/>
    <w:uiPriority w:val="0"/>
    <w:rPr>
      <w:rFonts w:ascii="Calibri" w:hAnsi="Calibri" w:eastAsia="宋体"/>
      <w:kern w:val="2"/>
      <w:sz w:val="21"/>
      <w:szCs w:val="22"/>
      <w:lang w:val="en-US" w:eastAsia="zh-CN" w:bidi="ar-SA"/>
    </w:rPr>
  </w:style>
  <w:style w:type="paragraph" w:customStyle="1" w:styleId="80">
    <w:name w:val="列出段落21"/>
    <w:basedOn w:val="1"/>
    <w:link w:val="79"/>
    <w:qFormat/>
    <w:uiPriority w:val="0"/>
    <w:pPr>
      <w:ind w:firstLine="420" w:firstLineChars="200"/>
    </w:pPr>
    <w:rPr>
      <w:rFonts w:ascii="Calibri" w:hAnsi="Calibri"/>
      <w:szCs w:val="22"/>
    </w:rPr>
  </w:style>
  <w:style w:type="character" w:customStyle="1" w:styleId="81">
    <w:name w:val="Header Char"/>
    <w:qFormat/>
    <w:locked/>
    <w:uiPriority w:val="0"/>
    <w:rPr>
      <w:rFonts w:cs="Times New Roman"/>
      <w:sz w:val="18"/>
      <w:szCs w:val="18"/>
    </w:rPr>
  </w:style>
  <w:style w:type="character" w:customStyle="1" w:styleId="82">
    <w:name w:val="style15"/>
    <w:basedOn w:val="54"/>
    <w:qFormat/>
    <w:uiPriority w:val="0"/>
  </w:style>
  <w:style w:type="character" w:customStyle="1" w:styleId="83">
    <w:name w:val="批注文字 Char"/>
    <w:link w:val="17"/>
    <w:qFormat/>
    <w:uiPriority w:val="0"/>
    <w:rPr>
      <w:rFonts w:eastAsia="宋体"/>
      <w:kern w:val="2"/>
      <w:sz w:val="21"/>
      <w:szCs w:val="24"/>
      <w:lang w:bidi="ar-SA"/>
    </w:rPr>
  </w:style>
  <w:style w:type="character" w:customStyle="1" w:styleId="84">
    <w:name w:val="页眉 Char"/>
    <w:link w:val="34"/>
    <w:qFormat/>
    <w:uiPriority w:val="0"/>
    <w:rPr>
      <w:rFonts w:eastAsia="宋体"/>
      <w:kern w:val="2"/>
      <w:sz w:val="18"/>
      <w:szCs w:val="21"/>
      <w:lang w:bidi="ar-SA"/>
    </w:rPr>
  </w:style>
  <w:style w:type="character" w:customStyle="1" w:styleId="85">
    <w:name w:val="Footer Char"/>
    <w:qFormat/>
    <w:locked/>
    <w:uiPriority w:val="0"/>
    <w:rPr>
      <w:rFonts w:cs="Times New Roman"/>
      <w:sz w:val="18"/>
      <w:szCs w:val="18"/>
    </w:rPr>
  </w:style>
  <w:style w:type="character" w:customStyle="1" w:styleId="86">
    <w:name w:val="marklong"/>
    <w:qFormat/>
    <w:uiPriority w:val="0"/>
  </w:style>
  <w:style w:type="character" w:customStyle="1" w:styleId="87">
    <w:name w:val="Balloon Text Char"/>
    <w:semiHidden/>
    <w:qFormat/>
    <w:locked/>
    <w:uiPriority w:val="0"/>
    <w:rPr>
      <w:rFonts w:ascii="Calibri" w:hAnsi="Calibri" w:eastAsia="宋体" w:cs="Times New Roman"/>
      <w:sz w:val="18"/>
      <w:szCs w:val="18"/>
    </w:rPr>
  </w:style>
  <w:style w:type="character" w:customStyle="1" w:styleId="88">
    <w:name w:val="标题 3 Char"/>
    <w:link w:val="4"/>
    <w:qFormat/>
    <w:uiPriority w:val="0"/>
    <w:rPr>
      <w:rFonts w:eastAsia="宋体"/>
      <w:b/>
      <w:bCs/>
      <w:kern w:val="2"/>
      <w:sz w:val="32"/>
      <w:szCs w:val="32"/>
      <w:lang w:bidi="ar-SA"/>
    </w:rPr>
  </w:style>
  <w:style w:type="character" w:customStyle="1" w:styleId="89">
    <w:name w:val="List Paragraph Char"/>
    <w:link w:val="90"/>
    <w:qFormat/>
    <w:uiPriority w:val="0"/>
    <w:rPr>
      <w:rFonts w:eastAsia="宋体"/>
      <w:kern w:val="2"/>
      <w:sz w:val="21"/>
      <w:lang w:val="en-US" w:eastAsia="zh-CN" w:bidi="ar-SA"/>
    </w:rPr>
  </w:style>
  <w:style w:type="paragraph" w:customStyle="1" w:styleId="90">
    <w:name w:val="列出段落1"/>
    <w:basedOn w:val="1"/>
    <w:link w:val="89"/>
    <w:qFormat/>
    <w:uiPriority w:val="0"/>
    <w:pPr>
      <w:ind w:firstLine="200" w:firstLineChars="200"/>
    </w:pPr>
    <w:rPr>
      <w:szCs w:val="20"/>
    </w:rPr>
  </w:style>
  <w:style w:type="character" w:customStyle="1" w:styleId="91">
    <w:name w:val="标题 8 Char"/>
    <w:link w:val="9"/>
    <w:qFormat/>
    <w:uiPriority w:val="0"/>
    <w:rPr>
      <w:rFonts w:ascii="Arial" w:hAnsi="Arial" w:eastAsia="宋体"/>
      <w:i/>
      <w:iCs/>
      <w:kern w:val="2"/>
      <w:lang w:bidi="ar-SA"/>
    </w:rPr>
  </w:style>
  <w:style w:type="character" w:customStyle="1" w:styleId="92">
    <w:name w:val="标准文本 Char"/>
    <w:link w:val="93"/>
    <w:qFormat/>
    <w:locked/>
    <w:uiPriority w:val="0"/>
    <w:rPr>
      <w:rFonts w:ascii="宋体" w:hAnsi="宋体"/>
      <w:color w:val="000000"/>
      <w:szCs w:val="21"/>
      <w:lang w:bidi="ar-SA"/>
    </w:rPr>
  </w:style>
  <w:style w:type="paragraph" w:customStyle="1" w:styleId="93">
    <w:name w:val="标准文本"/>
    <w:basedOn w:val="1"/>
    <w:link w:val="92"/>
    <w:qFormat/>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94">
    <w:name w:val="font3"/>
    <w:qFormat/>
    <w:uiPriority w:val="0"/>
  </w:style>
  <w:style w:type="character" w:customStyle="1" w:styleId="95">
    <w:name w:val="自定义正文 Char Char"/>
    <w:link w:val="96"/>
    <w:qFormat/>
    <w:uiPriority w:val="0"/>
    <w:rPr>
      <w:rFonts w:ascii="宋体" w:hAnsi="宋体" w:eastAsia="宋体"/>
      <w:kern w:val="2"/>
      <w:sz w:val="24"/>
      <w:szCs w:val="24"/>
      <w:lang w:bidi="ar-SA"/>
    </w:rPr>
  </w:style>
  <w:style w:type="paragraph" w:customStyle="1" w:styleId="96">
    <w:name w:val="自定义正文"/>
    <w:basedOn w:val="1"/>
    <w:link w:val="95"/>
    <w:qFormat/>
    <w:uiPriority w:val="0"/>
    <w:pPr>
      <w:spacing w:after="60" w:line="360" w:lineRule="auto"/>
      <w:ind w:firstLine="200" w:firstLineChars="200"/>
      <w:jc w:val="left"/>
    </w:pPr>
    <w:rPr>
      <w:rFonts w:ascii="宋体" w:hAnsi="宋体"/>
      <w:sz w:val="24"/>
    </w:rPr>
  </w:style>
  <w:style w:type="character" w:customStyle="1" w:styleId="97">
    <w:name w:val="H1 Char"/>
    <w:qFormat/>
    <w:uiPriority w:val="0"/>
    <w:rPr>
      <w:b/>
      <w:bCs/>
      <w:kern w:val="44"/>
      <w:sz w:val="44"/>
      <w:szCs w:val="44"/>
    </w:rPr>
  </w:style>
  <w:style w:type="character" w:customStyle="1" w:styleId="98">
    <w:name w:val="text-content11"/>
    <w:qFormat/>
    <w:uiPriority w:val="0"/>
    <w:rPr>
      <w:rFonts w:hint="default" w:ascii="Tahoma" w:hAnsi="Tahoma" w:cs="Tahoma"/>
      <w:color w:val="555555"/>
      <w:sz w:val="18"/>
      <w:szCs w:val="18"/>
    </w:rPr>
  </w:style>
  <w:style w:type="character" w:customStyle="1" w:styleId="99">
    <w:name w:val="纯文本 Char"/>
    <w:qFormat/>
    <w:uiPriority w:val="0"/>
    <w:rPr>
      <w:rFonts w:ascii="宋体" w:hAnsi="Courier New" w:cs="Courier New"/>
      <w:kern w:val="2"/>
      <w:sz w:val="21"/>
      <w:szCs w:val="21"/>
    </w:rPr>
  </w:style>
  <w:style w:type="character" w:customStyle="1" w:styleId="100">
    <w:name w:val="style31"/>
    <w:qFormat/>
    <w:uiPriority w:val="0"/>
    <w:rPr>
      <w:sz w:val="18"/>
    </w:rPr>
  </w:style>
  <w:style w:type="character" w:customStyle="1" w:styleId="101">
    <w:name w:val="引文目录标题 Char"/>
    <w:qFormat/>
    <w:uiPriority w:val="0"/>
    <w:rPr>
      <w:rFonts w:ascii="Arial" w:hAnsi="Arial" w:eastAsia="宋体"/>
      <w:kern w:val="2"/>
      <w:sz w:val="24"/>
      <w:lang w:val="en-US" w:eastAsia="zh-CN"/>
    </w:rPr>
  </w:style>
  <w:style w:type="character" w:customStyle="1" w:styleId="102">
    <w:name w:val="Comment Text Char"/>
    <w:semiHidden/>
    <w:qFormat/>
    <w:locked/>
    <w:uiPriority w:val="0"/>
    <w:rPr>
      <w:rFonts w:cs="Times New Roman"/>
    </w:rPr>
  </w:style>
  <w:style w:type="character" w:customStyle="1" w:styleId="103">
    <w:name w:val="日期 Char"/>
    <w:link w:val="30"/>
    <w:qFormat/>
    <w:uiPriority w:val="0"/>
    <w:rPr>
      <w:rFonts w:eastAsia="宋体"/>
      <w:kern w:val="2"/>
      <w:sz w:val="21"/>
      <w:szCs w:val="24"/>
      <w:lang w:bidi="ar-SA"/>
    </w:rPr>
  </w:style>
  <w:style w:type="character" w:customStyle="1" w:styleId="104">
    <w:name w:val="标题 7 Char"/>
    <w:link w:val="8"/>
    <w:qFormat/>
    <w:uiPriority w:val="0"/>
    <w:rPr>
      <w:rFonts w:ascii="Arial" w:hAnsi="Arial" w:eastAsia="宋体"/>
      <w:kern w:val="2"/>
      <w:lang w:bidi="ar-SA"/>
    </w:rPr>
  </w:style>
  <w:style w:type="character" w:customStyle="1" w:styleId="105">
    <w:name w:val="正文文本 3 Char"/>
    <w:link w:val="19"/>
    <w:qFormat/>
    <w:uiPriority w:val="0"/>
    <w:rPr>
      <w:rFonts w:ascii="Arial" w:hAnsi="Arial" w:eastAsia="宋体"/>
      <w:kern w:val="2"/>
      <w:sz w:val="21"/>
      <w:lang w:bidi="ar-SA"/>
    </w:rPr>
  </w:style>
  <w:style w:type="character" w:customStyle="1" w:styleId="106">
    <w:name w:val="正文文本 2 Char"/>
    <w:link w:val="43"/>
    <w:qFormat/>
    <w:uiPriority w:val="0"/>
    <w:rPr>
      <w:rFonts w:eastAsia="宋体"/>
      <w:kern w:val="2"/>
      <w:sz w:val="24"/>
      <w:lang w:val="en-US" w:eastAsia="zh-CN" w:bidi="ar-SA"/>
    </w:rPr>
  </w:style>
  <w:style w:type="character" w:customStyle="1" w:styleId="107">
    <w:name w:val="批注主题 Char"/>
    <w:link w:val="47"/>
    <w:qFormat/>
    <w:uiPriority w:val="0"/>
    <w:rPr>
      <w:b/>
      <w:bCs/>
      <w:kern w:val="2"/>
      <w:sz w:val="21"/>
      <w:szCs w:val="24"/>
    </w:rPr>
  </w:style>
  <w:style w:type="character" w:customStyle="1" w:styleId="108">
    <w:name w:val="small"/>
    <w:qFormat/>
    <w:uiPriority w:val="0"/>
  </w:style>
  <w:style w:type="character" w:customStyle="1" w:styleId="109">
    <w:name w:val="批注文字 Char Char"/>
    <w:qFormat/>
    <w:uiPriority w:val="0"/>
    <w:rPr>
      <w:kern w:val="2"/>
      <w:sz w:val="21"/>
    </w:rPr>
  </w:style>
  <w:style w:type="character" w:customStyle="1" w:styleId="110">
    <w:name w:val="批注框文本 Char"/>
    <w:link w:val="32"/>
    <w:qFormat/>
    <w:uiPriority w:val="0"/>
    <w:rPr>
      <w:rFonts w:eastAsia="宋体"/>
      <w:kern w:val="2"/>
      <w:sz w:val="18"/>
      <w:szCs w:val="18"/>
      <w:lang w:bidi="ar-SA"/>
    </w:rPr>
  </w:style>
  <w:style w:type="character" w:customStyle="1" w:styleId="111">
    <w:name w:val="正文2 Char"/>
    <w:link w:val="112"/>
    <w:qFormat/>
    <w:uiPriority w:val="0"/>
    <w:rPr>
      <w:kern w:val="2"/>
      <w:sz w:val="24"/>
      <w:lang w:bidi="ar-SA"/>
    </w:rPr>
  </w:style>
  <w:style w:type="paragraph" w:customStyle="1" w:styleId="112">
    <w:name w:val="正文2"/>
    <w:basedOn w:val="1"/>
    <w:link w:val="111"/>
    <w:qFormat/>
    <w:uiPriority w:val="0"/>
    <w:pPr>
      <w:spacing w:before="156" w:line="360" w:lineRule="auto"/>
      <w:ind w:firstLine="510" w:firstLineChars="200"/>
    </w:pPr>
    <w:rPr>
      <w:sz w:val="24"/>
      <w:szCs w:val="20"/>
    </w:rPr>
  </w:style>
  <w:style w:type="character" w:customStyle="1" w:styleId="113">
    <w:name w:val="页脚 Char"/>
    <w:link w:val="33"/>
    <w:qFormat/>
    <w:uiPriority w:val="0"/>
    <w:rPr>
      <w:rFonts w:eastAsia="宋体"/>
      <w:kern w:val="2"/>
      <w:sz w:val="18"/>
      <w:szCs w:val="18"/>
      <w:lang w:bidi="ar-SA"/>
    </w:rPr>
  </w:style>
  <w:style w:type="character" w:customStyle="1" w:styleId="114">
    <w:name w:val="标题 5 Char"/>
    <w:link w:val="6"/>
    <w:qFormat/>
    <w:uiPriority w:val="0"/>
    <w:rPr>
      <w:rFonts w:eastAsia="宋体"/>
      <w:kern w:val="2"/>
      <w:sz w:val="22"/>
      <w:lang w:bidi="ar-SA"/>
    </w:rPr>
  </w:style>
  <w:style w:type="character" w:customStyle="1" w:styleId="115">
    <w:name w:val="标题 1 Char"/>
    <w:link w:val="2"/>
    <w:qFormat/>
    <w:uiPriority w:val="0"/>
    <w:rPr>
      <w:rFonts w:eastAsia="宋体"/>
      <w:b/>
      <w:bCs/>
      <w:kern w:val="44"/>
      <w:sz w:val="44"/>
      <w:szCs w:val="44"/>
      <w:lang w:bidi="ar-SA"/>
    </w:rPr>
  </w:style>
  <w:style w:type="character" w:customStyle="1" w:styleId="116">
    <w:name w:val="正文文本缩进 3 Char"/>
    <w:link w:val="40"/>
    <w:qFormat/>
    <w:uiPriority w:val="0"/>
    <w:rPr>
      <w:rFonts w:eastAsia="仿宋_GB2312"/>
      <w:kern w:val="2"/>
      <w:sz w:val="32"/>
      <w:szCs w:val="24"/>
      <w:lang w:bidi="ar-SA"/>
    </w:rPr>
  </w:style>
  <w:style w:type="character" w:customStyle="1" w:styleId="117">
    <w:name w:val="Heading 2 Hidden Char"/>
    <w:qFormat/>
    <w:uiPriority w:val="0"/>
    <w:rPr>
      <w:rFonts w:ascii="Arial" w:hAnsi="Arial" w:eastAsia="黑体"/>
      <w:b/>
      <w:kern w:val="2"/>
      <w:sz w:val="32"/>
      <w:lang w:val="en-US" w:eastAsia="zh-CN"/>
    </w:rPr>
  </w:style>
  <w:style w:type="character" w:customStyle="1" w:styleId="118">
    <w:name w:val="纯文本 Char1"/>
    <w:link w:val="28"/>
    <w:qFormat/>
    <w:uiPriority w:val="0"/>
    <w:rPr>
      <w:rFonts w:ascii="宋体" w:hAnsi="宋体" w:eastAsia="宋体"/>
      <w:kern w:val="2"/>
      <w:sz w:val="21"/>
      <w:szCs w:val="21"/>
      <w:lang w:bidi="ar-SA"/>
    </w:rPr>
  </w:style>
  <w:style w:type="character" w:customStyle="1" w:styleId="119">
    <w:name w:val="正文文本缩进 2 Char"/>
    <w:link w:val="31"/>
    <w:qFormat/>
    <w:uiPriority w:val="0"/>
    <w:rPr>
      <w:rFonts w:eastAsia="仿宋_GB2312"/>
      <w:color w:val="000000"/>
      <w:sz w:val="32"/>
      <w:szCs w:val="28"/>
      <w:lang w:bidi="ar-SA"/>
    </w:rPr>
  </w:style>
  <w:style w:type="character" w:customStyle="1" w:styleId="120">
    <w:name w:val="称呼 Char"/>
    <w:link w:val="18"/>
    <w:qFormat/>
    <w:uiPriority w:val="0"/>
    <w:rPr>
      <w:rFonts w:ascii="华文宋体" w:hAnsi="Arial Unicode MS" w:eastAsia="华文宋体"/>
      <w:kern w:val="2"/>
      <w:sz w:val="24"/>
      <w:lang w:bidi="ar-SA"/>
    </w:rPr>
  </w:style>
  <w:style w:type="character" w:customStyle="1" w:styleId="121">
    <w:name w:val="apple-converted-space"/>
    <w:basedOn w:val="54"/>
    <w:qFormat/>
    <w:uiPriority w:val="0"/>
  </w:style>
  <w:style w:type="character" w:customStyle="1" w:styleId="122">
    <w:name w:val="正文文本缩进 Char"/>
    <w:link w:val="21"/>
    <w:qFormat/>
    <w:uiPriority w:val="0"/>
    <w:rPr>
      <w:rFonts w:eastAsia="仿宋_GB2312"/>
      <w:b/>
      <w:bCs/>
      <w:color w:val="000000"/>
      <w:sz w:val="32"/>
      <w:szCs w:val="28"/>
      <w:lang w:bidi="ar-SA"/>
    </w:rPr>
  </w:style>
  <w:style w:type="character" w:customStyle="1" w:styleId="123">
    <w:name w:val="正文缩进 Char"/>
    <w:link w:val="13"/>
    <w:qFormat/>
    <w:locked/>
    <w:uiPriority w:val="0"/>
    <w:rPr>
      <w:rFonts w:eastAsia="宋体"/>
      <w:kern w:val="2"/>
      <w:sz w:val="24"/>
      <w:lang w:bidi="ar-SA"/>
    </w:rPr>
  </w:style>
  <w:style w:type="character" w:customStyle="1" w:styleId="124">
    <w:name w:val="Level 3 Head Char"/>
    <w:qFormat/>
    <w:uiPriority w:val="0"/>
    <w:rPr>
      <w:b/>
      <w:bCs/>
      <w:kern w:val="2"/>
      <w:sz w:val="32"/>
      <w:szCs w:val="32"/>
    </w:rPr>
  </w:style>
  <w:style w:type="character" w:customStyle="1" w:styleId="125">
    <w:name w:val="文档结构图 Char"/>
    <w:link w:val="15"/>
    <w:qFormat/>
    <w:uiPriority w:val="0"/>
    <w:rPr>
      <w:rFonts w:eastAsia="宋体"/>
      <w:kern w:val="2"/>
      <w:sz w:val="21"/>
      <w:szCs w:val="24"/>
      <w:lang w:bidi="ar-SA"/>
    </w:rPr>
  </w:style>
  <w:style w:type="character" w:customStyle="1" w:styleId="126">
    <w:name w:val="正文缩进 Char1"/>
    <w:link w:val="127"/>
    <w:qFormat/>
    <w:uiPriority w:val="0"/>
    <w:rPr>
      <w:rFonts w:eastAsia="宋体"/>
      <w:kern w:val="2"/>
      <w:sz w:val="21"/>
      <w:lang w:val="en-US" w:eastAsia="zh-CN" w:bidi="ar-SA"/>
    </w:rPr>
  </w:style>
  <w:style w:type="paragraph" w:customStyle="1" w:styleId="127">
    <w:name w:val="正文缩进1"/>
    <w:basedOn w:val="1"/>
    <w:link w:val="126"/>
    <w:qFormat/>
    <w:uiPriority w:val="0"/>
    <w:pPr>
      <w:ind w:firstLine="420" w:firstLineChars="200"/>
    </w:pPr>
    <w:rPr>
      <w:szCs w:val="20"/>
    </w:rPr>
  </w:style>
  <w:style w:type="character" w:customStyle="1" w:styleId="128">
    <w:name w:val="标题 9 Char"/>
    <w:link w:val="10"/>
    <w:qFormat/>
    <w:uiPriority w:val="0"/>
    <w:rPr>
      <w:rFonts w:ascii="Arial" w:hAnsi="Arial" w:eastAsia="宋体"/>
      <w:b/>
      <w:i/>
      <w:iCs/>
      <w:kern w:val="2"/>
      <w:sz w:val="18"/>
      <w:lang w:bidi="ar-SA"/>
    </w:rPr>
  </w:style>
  <w:style w:type="character" w:customStyle="1" w:styleId="129">
    <w:name w:val="标题 4 Char"/>
    <w:link w:val="5"/>
    <w:qFormat/>
    <w:uiPriority w:val="0"/>
    <w:rPr>
      <w:rFonts w:ascii="黑体" w:hAnsi="黑体" w:eastAsia="黑体"/>
      <w:b/>
      <w:sz w:val="28"/>
      <w:lang w:bidi="ar-SA"/>
    </w:rPr>
  </w:style>
  <w:style w:type="paragraph" w:customStyle="1" w:styleId="130">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32">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3">
    <w:name w:val="样式2"/>
    <w:basedOn w:val="20"/>
    <w:qFormat/>
    <w:uiPriority w:val="0"/>
    <w:pPr>
      <w:spacing w:line="400" w:lineRule="exact"/>
      <w:jc w:val="center"/>
    </w:pPr>
    <w:rPr>
      <w:rFonts w:ascii="宋体" w:hAnsi="宋体"/>
    </w:rPr>
  </w:style>
  <w:style w:type="paragraph" w:customStyle="1" w:styleId="134">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5">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36">
    <w:name w:val="彩色列表 - 强调文字颜色 11"/>
    <w:basedOn w:val="1"/>
    <w:qFormat/>
    <w:uiPriority w:val="0"/>
    <w:pPr>
      <w:ind w:firstLine="420" w:firstLineChars="200"/>
    </w:pPr>
    <w:rPr>
      <w:rFonts w:ascii="Calibri" w:hAnsi="Calibri"/>
      <w:szCs w:val="22"/>
    </w:rPr>
  </w:style>
  <w:style w:type="paragraph" w:customStyle="1" w:styleId="137">
    <w:name w:val="Char Char Char Char Char Char"/>
    <w:basedOn w:val="1"/>
    <w:qFormat/>
    <w:uiPriority w:val="0"/>
    <w:pPr>
      <w:jc w:val="center"/>
    </w:pPr>
    <w:rPr>
      <w:rFonts w:ascii="Tahoma" w:hAnsi="Tahoma"/>
      <w:sz w:val="24"/>
      <w:szCs w:val="20"/>
    </w:rPr>
  </w:style>
  <w:style w:type="paragraph" w:customStyle="1" w:styleId="13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139">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0">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141">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142">
    <w:name w:val="样式1"/>
    <w:basedOn w:val="2"/>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143">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4">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145">
    <w:name w:val="批注框文本 Char Char"/>
    <w:basedOn w:val="1"/>
    <w:qFormat/>
    <w:uiPriority w:val="0"/>
    <w:rPr>
      <w:sz w:val="18"/>
      <w:szCs w:val="20"/>
    </w:rPr>
  </w:style>
  <w:style w:type="paragraph" w:customStyle="1" w:styleId="146">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7">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48">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149">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0">
    <w:name w:val="ST20_17"/>
    <w:basedOn w:val="5"/>
    <w:qFormat/>
    <w:uiPriority w:val="0"/>
    <w:pPr>
      <w:spacing w:before="0" w:after="0" w:line="240" w:lineRule="atLeast"/>
      <w:jc w:val="both"/>
      <w:outlineLvl w:val="9"/>
    </w:pPr>
    <w:rPr>
      <w:rFonts w:ascii="宋体" w:hAnsi="宋体" w:eastAsia="宋体" w:cs="Arial Unicode MS"/>
      <w:b w:val="0"/>
      <w:sz w:val="24"/>
    </w:rPr>
  </w:style>
  <w:style w:type="paragraph" w:customStyle="1" w:styleId="151">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4">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5">
    <w:name w:val="_Style 29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157">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158">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59">
    <w:name w:val="h3"/>
    <w:basedOn w:val="1"/>
    <w:qFormat/>
    <w:uiPriority w:val="0"/>
    <w:pPr>
      <w:widowControl/>
      <w:jc w:val="left"/>
    </w:pPr>
    <w:rPr>
      <w:rFonts w:ascii="宋体" w:hAnsi="宋体"/>
      <w:kern w:val="0"/>
      <w:sz w:val="24"/>
      <w:szCs w:val="20"/>
    </w:rPr>
  </w:style>
  <w:style w:type="paragraph" w:customStyle="1" w:styleId="160">
    <w:name w:val="项目符号2"/>
    <w:basedOn w:val="75"/>
    <w:qFormat/>
    <w:uiPriority w:val="0"/>
    <w:pPr>
      <w:numPr>
        <w:ilvl w:val="0"/>
        <w:numId w:val="3"/>
      </w:numPr>
    </w:pPr>
  </w:style>
  <w:style w:type="paragraph" w:customStyle="1" w:styleId="161">
    <w:name w:val="样式 样式 标题 2 + 段前: 0.5 行 段后: 0.5 行 + 首行缩进:  2 字符 段前: 0.5 行 段后: 0..."/>
    <w:basedOn w:val="162"/>
    <w:qFormat/>
    <w:uiPriority w:val="0"/>
    <w:pPr>
      <w:spacing w:before="50" w:after="50"/>
      <w:ind w:firstLine="0" w:firstLineChars="0"/>
    </w:pPr>
    <w:rPr>
      <w:rFonts w:cs="Times New Roman"/>
      <w:bCs w:val="0"/>
      <w:szCs w:val="20"/>
    </w:rPr>
  </w:style>
  <w:style w:type="paragraph" w:customStyle="1" w:styleId="162">
    <w:name w:val="样式 标题 2 + 段前: 0.5 行 段后: 0.5 行"/>
    <w:basedOn w:val="3"/>
    <w:qFormat/>
    <w:uiPriority w:val="0"/>
    <w:pPr>
      <w:spacing w:beforeLines="0" w:afterLines="0"/>
    </w:pPr>
    <w:rPr>
      <w:rFonts w:ascii="Times New Roman" w:hAnsi="Times New Roman" w:cs="宋体"/>
      <w:b w:val="0"/>
      <w:bCs/>
      <w:sz w:val="21"/>
      <w:szCs w:val="21"/>
    </w:rPr>
  </w:style>
  <w:style w:type="paragraph" w:customStyle="1" w:styleId="16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4">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65">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66">
    <w:name w:val="样式 标题 21.1 + 小四"/>
    <w:basedOn w:val="3"/>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16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8">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9">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72">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3">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74">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5">
    <w:name w:val="正文小4号"/>
    <w:basedOn w:val="1"/>
    <w:qFormat/>
    <w:uiPriority w:val="0"/>
    <w:pPr>
      <w:spacing w:line="360" w:lineRule="auto"/>
      <w:ind w:firstLine="200" w:firstLineChars="200"/>
    </w:pPr>
    <w:rPr>
      <w:sz w:val="24"/>
    </w:rPr>
  </w:style>
  <w:style w:type="paragraph" w:customStyle="1" w:styleId="176">
    <w:name w:val="Char Char1 Char"/>
    <w:basedOn w:val="1"/>
    <w:qFormat/>
    <w:uiPriority w:val="0"/>
    <w:rPr>
      <w:rFonts w:ascii="仿宋_GB2312" w:eastAsia="仿宋_GB2312"/>
      <w:b/>
      <w:sz w:val="32"/>
      <w:szCs w:val="32"/>
    </w:rPr>
  </w:style>
  <w:style w:type="paragraph" w:customStyle="1" w:styleId="177">
    <w:name w:val="正文1 New"/>
    <w:basedOn w:val="1"/>
    <w:qFormat/>
    <w:uiPriority w:val="0"/>
    <w:pPr>
      <w:spacing w:line="360" w:lineRule="auto"/>
      <w:ind w:left="1260" w:leftChars="600" w:firstLine="540" w:firstLineChars="257"/>
    </w:pPr>
    <w:rPr>
      <w:rFonts w:ascii="宋体" w:hAnsi="宋体"/>
    </w:rPr>
  </w:style>
  <w:style w:type="paragraph" w:customStyle="1" w:styleId="178">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179">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180">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181">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列表延续"/>
    <w:basedOn w:val="1"/>
    <w:qFormat/>
    <w:uiPriority w:val="0"/>
    <w:pPr>
      <w:numPr>
        <w:ilvl w:val="8"/>
        <w:numId w:val="5"/>
      </w:numPr>
      <w:adjustRightInd w:val="0"/>
      <w:spacing w:line="360" w:lineRule="auto"/>
      <w:textAlignment w:val="baseline"/>
    </w:pPr>
    <w:rPr>
      <w:rFonts w:eastAsia="楷体_GB2312"/>
      <w:kern w:val="28"/>
      <w:sz w:val="28"/>
      <w:szCs w:val="20"/>
    </w:rPr>
  </w:style>
  <w:style w:type="paragraph" w:customStyle="1" w:styleId="183">
    <w:name w:val="Table Paragraph"/>
    <w:basedOn w:val="1"/>
    <w:qFormat/>
    <w:uiPriority w:val="1"/>
    <w:rPr>
      <w:rFonts w:ascii="宋体" w:hAnsi="宋体" w:cs="宋体"/>
      <w:lang w:val="zh-CN" w:bidi="zh-CN"/>
    </w:rPr>
  </w:style>
  <w:style w:type="paragraph" w:customStyle="1" w:styleId="184">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185">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6">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187">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188">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9">
    <w:name w:val="表格文字"/>
    <w:basedOn w:val="1"/>
    <w:qFormat/>
    <w:uiPriority w:val="0"/>
    <w:pPr>
      <w:spacing w:before="25" w:after="25"/>
      <w:jc w:val="left"/>
    </w:pPr>
    <w:rPr>
      <w:bCs/>
      <w:spacing w:val="10"/>
      <w:kern w:val="0"/>
      <w:sz w:val="24"/>
      <w:szCs w:val="20"/>
    </w:rPr>
  </w:style>
  <w:style w:type="paragraph" w:customStyle="1" w:styleId="190">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191">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2">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9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4">
    <w:name w:val="排版"/>
    <w:basedOn w:val="1"/>
    <w:next w:val="20"/>
    <w:qFormat/>
    <w:uiPriority w:val="0"/>
    <w:pPr>
      <w:spacing w:line="600" w:lineRule="exact"/>
    </w:pPr>
    <w:rPr>
      <w:rFonts w:eastAsia="华文仿宋"/>
      <w:spacing w:val="6"/>
      <w:sz w:val="32"/>
      <w:szCs w:val="20"/>
    </w:rPr>
  </w:style>
  <w:style w:type="paragraph" w:customStyle="1" w:styleId="195">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196">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197">
    <w:name w:val="表格"/>
    <w:basedOn w:val="1"/>
    <w:qFormat/>
    <w:uiPriority w:val="0"/>
    <w:pPr>
      <w:adjustRightInd w:val="0"/>
      <w:spacing w:line="360" w:lineRule="atLeast"/>
    </w:pPr>
    <w:rPr>
      <w:rFonts w:ascii="黑体" w:hAnsi="黑体" w:eastAsia="黑体" w:cs="Arial Unicode MS"/>
      <w:szCs w:val="21"/>
    </w:rPr>
  </w:style>
  <w:style w:type="paragraph" w:customStyle="1" w:styleId="1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9">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0">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0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2">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3">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04">
    <w:name w:val="Char Char Char 字元 字元"/>
    <w:basedOn w:val="1"/>
    <w:qFormat/>
    <w:uiPriority w:val="0"/>
    <w:pPr>
      <w:spacing w:line="360" w:lineRule="auto"/>
      <w:ind w:firstLine="200" w:firstLineChars="200"/>
    </w:pPr>
    <w:rPr>
      <w:szCs w:val="20"/>
    </w:rPr>
  </w:style>
  <w:style w:type="paragraph" w:customStyle="1" w:styleId="205">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说明书3级标题"/>
    <w:basedOn w:val="1"/>
    <w:next w:val="1"/>
    <w:qFormat/>
    <w:uiPriority w:val="0"/>
    <w:pPr>
      <w:numPr>
        <w:ilvl w:val="2"/>
        <w:numId w:val="6"/>
      </w:numPr>
      <w:spacing w:line="360" w:lineRule="auto"/>
    </w:pPr>
    <w:rPr>
      <w:rFonts w:eastAsia="黑体"/>
      <w:sz w:val="24"/>
    </w:rPr>
  </w:style>
  <w:style w:type="paragraph" w:customStyle="1" w:styleId="20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8">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9">
    <w:name w:val="项目符号1"/>
    <w:basedOn w:val="75"/>
    <w:qFormat/>
    <w:uiPriority w:val="0"/>
    <w:pPr>
      <w:numPr>
        <w:ilvl w:val="0"/>
        <w:numId w:val="6"/>
      </w:numPr>
    </w:pPr>
  </w:style>
  <w:style w:type="paragraph" w:customStyle="1" w:styleId="210">
    <w:name w:val="font14"/>
    <w:basedOn w:val="1"/>
    <w:qFormat/>
    <w:uiPriority w:val="0"/>
    <w:pPr>
      <w:widowControl/>
      <w:spacing w:before="100" w:beforeAutospacing="1" w:after="100" w:afterAutospacing="1"/>
      <w:jc w:val="left"/>
    </w:pPr>
    <w:rPr>
      <w:kern w:val="0"/>
      <w:sz w:val="24"/>
      <w:szCs w:val="20"/>
    </w:rPr>
  </w:style>
  <w:style w:type="paragraph" w:customStyle="1" w:styleId="21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2">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213">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14">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1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6">
    <w:name w:val="文2"/>
    <w:basedOn w:val="1"/>
    <w:qFormat/>
    <w:uiPriority w:val="0"/>
    <w:pPr>
      <w:numPr>
        <w:ilvl w:val="1"/>
        <w:numId w:val="6"/>
      </w:numPr>
      <w:adjustRightInd w:val="0"/>
      <w:spacing w:before="60" w:after="60" w:line="400" w:lineRule="atLeast"/>
      <w:textAlignment w:val="baseline"/>
    </w:pPr>
    <w:rPr>
      <w:b/>
      <w:kern w:val="0"/>
      <w:sz w:val="24"/>
      <w:szCs w:val="20"/>
    </w:rPr>
  </w:style>
  <w:style w:type="paragraph" w:customStyle="1" w:styleId="21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8">
    <w:name w:val="技标2"/>
    <w:basedOn w:val="4"/>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219">
    <w:name w:val="样式 标题 3 + 宋体 小四 段前: 0 磅 段后: 0 磅 行距: 1.5 倍行距"/>
    <w:basedOn w:val="4"/>
    <w:qFormat/>
    <w:uiPriority w:val="0"/>
    <w:pPr>
      <w:numPr>
        <w:ilvl w:val="0"/>
        <w:numId w:val="7"/>
      </w:numPr>
      <w:spacing w:before="0" w:after="0" w:line="360" w:lineRule="auto"/>
    </w:pPr>
    <w:rPr>
      <w:rFonts w:ascii="宋体" w:hAnsi="宋体" w:cs="宋体"/>
      <w:kern w:val="0"/>
      <w:sz w:val="24"/>
      <w:szCs w:val="20"/>
    </w:rPr>
  </w:style>
  <w:style w:type="paragraph" w:customStyle="1" w:styleId="220">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1">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22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3">
    <w:name w:val="无间隔1"/>
    <w:qFormat/>
    <w:uiPriority w:val="0"/>
    <w:rPr>
      <w:rFonts w:ascii="Calibri" w:hAnsi="Calibri" w:eastAsia="宋体" w:cs="Times New Roman"/>
      <w:sz w:val="22"/>
      <w:szCs w:val="22"/>
      <w:lang w:val="en-US" w:eastAsia="en-US" w:bidi="ar-SA"/>
    </w:rPr>
  </w:style>
  <w:style w:type="paragraph" w:customStyle="1" w:styleId="224">
    <w:name w:val="Char1 Char Char Char Char"/>
    <w:basedOn w:val="15"/>
    <w:qFormat/>
    <w:uiPriority w:val="0"/>
    <w:pPr>
      <w:widowControl/>
      <w:spacing w:beforeLines="50" w:afterLines="50"/>
      <w:jc w:val="left"/>
    </w:pPr>
    <w:rPr>
      <w:szCs w:val="20"/>
    </w:rPr>
  </w:style>
  <w:style w:type="paragraph" w:customStyle="1" w:styleId="225">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2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7">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9">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23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31">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51"/>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234">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235">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36">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3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38">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Char19"/>
    <w:basedOn w:val="1"/>
    <w:qFormat/>
    <w:uiPriority w:val="0"/>
    <w:rPr>
      <w:szCs w:val="20"/>
    </w:rPr>
  </w:style>
  <w:style w:type="paragraph" w:customStyle="1" w:styleId="240">
    <w:name w:val="IBM 正文"/>
    <w:basedOn w:val="1"/>
    <w:qFormat/>
    <w:uiPriority w:val="0"/>
    <w:pPr>
      <w:spacing w:line="360" w:lineRule="atLeast"/>
    </w:pPr>
    <w:rPr>
      <w:sz w:val="24"/>
      <w:szCs w:val="20"/>
    </w:rPr>
  </w:style>
  <w:style w:type="paragraph" w:customStyle="1" w:styleId="241">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2">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3">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24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7">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248">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9">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250">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1">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2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53">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54">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55">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56">
    <w:name w:val="样式 首行缩进:  0 字符"/>
    <w:basedOn w:val="1"/>
    <w:qFormat/>
    <w:uiPriority w:val="0"/>
    <w:pPr>
      <w:spacing w:line="360" w:lineRule="auto"/>
      <w:ind w:firstLine="200" w:firstLineChars="200"/>
    </w:pPr>
    <w:rPr>
      <w:rFonts w:cs="宋体"/>
      <w:sz w:val="24"/>
      <w:szCs w:val="20"/>
    </w:rPr>
  </w:style>
  <w:style w:type="paragraph" w:customStyle="1" w:styleId="257">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25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59">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260">
    <w:name w:val="修订1"/>
    <w:qFormat/>
    <w:uiPriority w:val="0"/>
    <w:rPr>
      <w:rFonts w:ascii="Times New Roman" w:hAnsi="Times New Roman" w:eastAsia="宋体" w:cs="Times New Roman"/>
      <w:kern w:val="2"/>
      <w:sz w:val="21"/>
      <w:szCs w:val="24"/>
      <w:lang w:val="en-US" w:eastAsia="zh-CN" w:bidi="ar-SA"/>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2">
    <w:name w:val="正文文本样式 加粗"/>
    <w:basedOn w:val="75"/>
    <w:qFormat/>
    <w:uiPriority w:val="0"/>
    <w:rPr>
      <w:b/>
    </w:rPr>
  </w:style>
  <w:style w:type="paragraph" w:customStyle="1" w:styleId="263">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26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5">
    <w:name w:val="1"/>
    <w:basedOn w:val="1"/>
    <w:next w:val="28"/>
    <w:qFormat/>
    <w:uiPriority w:val="0"/>
    <w:rPr>
      <w:rFonts w:ascii="宋体" w:hAnsi="宋体" w:cs="Arial Unicode MS"/>
      <w:szCs w:val="20"/>
    </w:rPr>
  </w:style>
  <w:style w:type="paragraph" w:customStyle="1" w:styleId="266">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7">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68">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26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0">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271">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3">
    <w:name w:val="_Style 103"/>
    <w:basedOn w:val="1"/>
    <w:next w:val="13"/>
    <w:qFormat/>
    <w:uiPriority w:val="0"/>
    <w:pPr>
      <w:ind w:firstLine="420"/>
    </w:pPr>
    <w:rPr>
      <w:rFonts w:eastAsia="仿宋_GB2312"/>
      <w:sz w:val="32"/>
      <w:szCs w:val="20"/>
    </w:rPr>
  </w:style>
  <w:style w:type="paragraph" w:customStyle="1" w:styleId="274">
    <w:name w:val="font9"/>
    <w:basedOn w:val="1"/>
    <w:qFormat/>
    <w:uiPriority w:val="0"/>
    <w:pPr>
      <w:widowControl/>
      <w:spacing w:before="100" w:beforeAutospacing="1" w:after="100" w:afterAutospacing="1"/>
      <w:jc w:val="left"/>
    </w:pPr>
    <w:rPr>
      <w:kern w:val="0"/>
      <w:sz w:val="20"/>
      <w:szCs w:val="20"/>
    </w:rPr>
  </w:style>
  <w:style w:type="paragraph" w:customStyle="1" w:styleId="275">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6">
    <w:name w:val="CCTV文档正文"/>
    <w:basedOn w:val="1"/>
    <w:qFormat/>
    <w:uiPriority w:val="0"/>
    <w:pPr>
      <w:spacing w:line="360" w:lineRule="auto"/>
      <w:jc w:val="left"/>
    </w:pPr>
    <w:rPr>
      <w:sz w:val="24"/>
      <w:szCs w:val="21"/>
    </w:rPr>
  </w:style>
  <w:style w:type="paragraph" w:customStyle="1" w:styleId="277">
    <w:name w:val="列出段落2"/>
    <w:basedOn w:val="1"/>
    <w:qFormat/>
    <w:uiPriority w:val="0"/>
    <w:pPr>
      <w:ind w:firstLine="420" w:firstLineChars="200"/>
    </w:pPr>
    <w:rPr>
      <w:rFonts w:ascii="Calibri" w:hAnsi="Calibri"/>
      <w:szCs w:val="22"/>
    </w:rPr>
  </w:style>
  <w:style w:type="paragraph" w:customStyle="1" w:styleId="278">
    <w:name w:val="标准正文"/>
    <w:basedOn w:val="21"/>
    <w:qFormat/>
    <w:uiPriority w:val="0"/>
    <w:pPr>
      <w:widowControl/>
      <w:autoSpaceDE/>
      <w:autoSpaceDN/>
      <w:adjustRightInd/>
      <w:spacing w:beforeLines="50" w:afterLines="50"/>
      <w:ind w:firstLine="482"/>
      <w:jc w:val="both"/>
    </w:pPr>
    <w:rPr>
      <w:rFonts w:ascii="Arial" w:hAnsi="Arial" w:eastAsia="宋体"/>
      <w:b w:val="0"/>
      <w:bCs w:val="0"/>
      <w:color w:val="auto"/>
      <w:kern w:val="2"/>
      <w:sz w:val="24"/>
      <w:szCs w:val="20"/>
    </w:rPr>
  </w:style>
  <w:style w:type="paragraph" w:customStyle="1" w:styleId="279">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280">
    <w:name w:val="Char Char Char Char Char Char Char Char"/>
    <w:basedOn w:val="1"/>
    <w:qFormat/>
    <w:uiPriority w:val="0"/>
    <w:rPr>
      <w:rFonts w:eastAsia="仿宋_GB2312"/>
      <w:sz w:val="28"/>
    </w:rPr>
  </w:style>
  <w:style w:type="paragraph" w:customStyle="1" w:styleId="281">
    <w:name w:val="font10"/>
    <w:basedOn w:val="1"/>
    <w:qFormat/>
    <w:uiPriority w:val="0"/>
    <w:pPr>
      <w:widowControl/>
      <w:spacing w:before="100" w:beforeAutospacing="1" w:after="100" w:afterAutospacing="1"/>
      <w:jc w:val="left"/>
    </w:pPr>
    <w:rPr>
      <w:kern w:val="0"/>
      <w:sz w:val="22"/>
      <w:szCs w:val="20"/>
    </w:rPr>
  </w:style>
  <w:style w:type="paragraph" w:customStyle="1" w:styleId="282">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83">
    <w:name w:val="标题6"/>
    <w:basedOn w:val="1"/>
    <w:next w:val="2"/>
    <w:qFormat/>
    <w:uiPriority w:val="0"/>
    <w:pPr>
      <w:widowControl/>
      <w:snapToGrid w:val="0"/>
      <w:spacing w:beforeLines="50" w:afterLines="50" w:line="520" w:lineRule="atLeast"/>
      <w:ind w:firstLine="200" w:firstLineChars="200"/>
    </w:pPr>
  </w:style>
  <w:style w:type="paragraph" w:customStyle="1" w:styleId="284">
    <w:name w:val="正文文本缩进 31"/>
    <w:basedOn w:val="1"/>
    <w:qFormat/>
    <w:uiPriority w:val="0"/>
    <w:pPr>
      <w:adjustRightInd w:val="0"/>
      <w:spacing w:line="360" w:lineRule="auto"/>
      <w:ind w:firstLine="420"/>
      <w:textAlignment w:val="baseline"/>
    </w:pPr>
    <w:rPr>
      <w:sz w:val="24"/>
      <w:szCs w:val="20"/>
    </w:rPr>
  </w:style>
  <w:style w:type="paragraph" w:customStyle="1" w:styleId="285">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87">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8">
    <w:name w:val="font11"/>
    <w:basedOn w:val="1"/>
    <w:qFormat/>
    <w:uiPriority w:val="0"/>
    <w:pPr>
      <w:widowControl/>
      <w:spacing w:before="100" w:beforeAutospacing="1" w:after="100" w:afterAutospacing="1"/>
      <w:jc w:val="left"/>
    </w:pPr>
    <w:rPr>
      <w:kern w:val="0"/>
      <w:sz w:val="36"/>
      <w:szCs w:val="20"/>
    </w:rPr>
  </w:style>
  <w:style w:type="paragraph" w:customStyle="1" w:styleId="289">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0">
    <w:name w:val="说明书2级标题"/>
    <w:basedOn w:val="1"/>
    <w:next w:val="206"/>
    <w:qFormat/>
    <w:uiPriority w:val="0"/>
    <w:pPr>
      <w:numPr>
        <w:ilvl w:val="2"/>
        <w:numId w:val="8"/>
      </w:numPr>
      <w:spacing w:beforeLines="100"/>
    </w:pPr>
    <w:rPr>
      <w:rFonts w:eastAsia="黑体"/>
      <w:sz w:val="28"/>
      <w:szCs w:val="28"/>
    </w:rPr>
  </w:style>
  <w:style w:type="paragraph" w:customStyle="1" w:styleId="291">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292">
    <w:name w:val="p"/>
    <w:basedOn w:val="1"/>
    <w:qFormat/>
    <w:uiPriority w:val="0"/>
    <w:pPr>
      <w:widowControl/>
      <w:spacing w:after="167"/>
      <w:jc w:val="left"/>
    </w:pPr>
    <w:rPr>
      <w:rFonts w:ascii="宋体" w:hAnsi="宋体" w:cs="宋体"/>
      <w:kern w:val="0"/>
      <w:sz w:val="24"/>
    </w:rPr>
  </w:style>
  <w:style w:type="paragraph" w:customStyle="1" w:styleId="293">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29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5">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96">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8">
    <w:name w:val="font12"/>
    <w:basedOn w:val="1"/>
    <w:qFormat/>
    <w:uiPriority w:val="0"/>
    <w:pPr>
      <w:widowControl/>
      <w:spacing w:before="100" w:beforeAutospacing="1" w:after="100" w:afterAutospacing="1"/>
      <w:jc w:val="left"/>
    </w:pPr>
    <w:rPr>
      <w:kern w:val="0"/>
      <w:sz w:val="18"/>
      <w:szCs w:val="20"/>
    </w:rPr>
  </w:style>
  <w:style w:type="paragraph" w:customStyle="1" w:styleId="29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01">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30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3">
    <w:name w:val="Body Text(ch)"/>
    <w:basedOn w:val="1"/>
    <w:next w:val="20"/>
    <w:qFormat/>
    <w:uiPriority w:val="0"/>
    <w:pPr>
      <w:spacing w:line="500" w:lineRule="exact"/>
      <w:jc w:val="center"/>
    </w:pPr>
    <w:rPr>
      <w:szCs w:val="20"/>
    </w:rPr>
  </w:style>
  <w:style w:type="paragraph" w:customStyle="1" w:styleId="304">
    <w:name w:val="p0"/>
    <w:basedOn w:val="1"/>
    <w:qFormat/>
    <w:uiPriority w:val="0"/>
    <w:pPr>
      <w:widowControl/>
      <w:spacing w:line="520" w:lineRule="atLeast"/>
    </w:pPr>
    <w:rPr>
      <w:kern w:val="0"/>
      <w:sz w:val="28"/>
      <w:szCs w:val="28"/>
    </w:rPr>
  </w:style>
  <w:style w:type="paragraph" w:customStyle="1" w:styleId="305">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07">
    <w:name w:val="Char1 Char Char Char"/>
    <w:basedOn w:val="1"/>
    <w:qFormat/>
    <w:uiPriority w:val="0"/>
    <w:rPr>
      <w:rFonts w:eastAsia="仿宋_GB2312"/>
      <w:sz w:val="28"/>
      <w:szCs w:val="20"/>
    </w:rPr>
  </w:style>
  <w:style w:type="paragraph" w:customStyle="1" w:styleId="308">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09">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1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1">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12">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13">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4">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5">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16">
    <w:name w:val="目录3"/>
    <w:basedOn w:val="1"/>
    <w:qFormat/>
    <w:uiPriority w:val="0"/>
    <w:pPr>
      <w:adjustRightInd w:val="0"/>
      <w:spacing w:line="420" w:lineRule="atLeast"/>
      <w:ind w:left="454" w:firstLine="425"/>
      <w:jc w:val="left"/>
      <w:textAlignment w:val="baseline"/>
    </w:pPr>
    <w:rPr>
      <w:kern w:val="0"/>
      <w:szCs w:val="20"/>
    </w:rPr>
  </w:style>
  <w:style w:type="paragraph" w:styleId="317">
    <w:name w:val="List Paragraph"/>
    <w:basedOn w:val="1"/>
    <w:qFormat/>
    <w:uiPriority w:val="99"/>
    <w:pPr>
      <w:ind w:firstLine="420" w:firstLineChars="200"/>
    </w:pPr>
    <w:rPr>
      <w:rFonts w:ascii="Calibri" w:hAnsi="Calibri"/>
      <w:szCs w:val="22"/>
    </w:rPr>
  </w:style>
  <w:style w:type="paragraph" w:customStyle="1" w:styleId="318">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319">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0">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3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2">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3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4">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325">
    <w:name w:val="xl74"/>
    <w:basedOn w:val="1"/>
    <w:qFormat/>
    <w:uiPriority w:val="0"/>
    <w:pPr>
      <w:widowControl/>
      <w:spacing w:before="100" w:beforeAutospacing="1" w:after="100" w:afterAutospacing="1"/>
      <w:jc w:val="left"/>
    </w:pPr>
    <w:rPr>
      <w:kern w:val="0"/>
      <w:sz w:val="24"/>
      <w:szCs w:val="20"/>
    </w:rPr>
  </w:style>
  <w:style w:type="paragraph" w:customStyle="1" w:styleId="326">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32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28">
    <w:name w:val="项目编号1"/>
    <w:basedOn w:val="1"/>
    <w:qFormat/>
    <w:uiPriority w:val="0"/>
    <w:pPr>
      <w:numPr>
        <w:ilvl w:val="0"/>
        <w:numId w:val="5"/>
      </w:numPr>
      <w:spacing w:before="100" w:beforeAutospacing="1" w:after="100" w:afterAutospacing="1" w:line="360" w:lineRule="auto"/>
    </w:pPr>
    <w:rPr>
      <w:sz w:val="24"/>
    </w:rPr>
  </w:style>
  <w:style w:type="paragraph" w:customStyle="1" w:styleId="32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30">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31">
    <w:name w:val="Char Char Char Char Char Char Char"/>
    <w:basedOn w:val="1"/>
    <w:qFormat/>
    <w:uiPriority w:val="0"/>
    <w:rPr>
      <w:szCs w:val="20"/>
    </w:rPr>
  </w:style>
  <w:style w:type="paragraph" w:customStyle="1" w:styleId="332">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3">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35">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36">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337">
    <w:name w:val="No Spacing1"/>
    <w:qFormat/>
    <w:uiPriority w:val="0"/>
    <w:rPr>
      <w:rFonts w:ascii="Calibri" w:hAnsi="Calibri" w:eastAsia="宋体" w:cs="Times New Roman"/>
      <w:sz w:val="22"/>
      <w:szCs w:val="22"/>
      <w:lang w:val="en-US" w:eastAsia="en-US" w:bidi="ar-SA"/>
    </w:rPr>
  </w:style>
  <w:style w:type="paragraph" w:customStyle="1" w:styleId="338">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9">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40">
    <w:name w:val="标准标题2"/>
    <w:basedOn w:val="3"/>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341">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342">
    <w:name w:val="表中"/>
    <w:basedOn w:val="1"/>
    <w:qFormat/>
    <w:uiPriority w:val="0"/>
    <w:pPr>
      <w:adjustRightInd w:val="0"/>
      <w:spacing w:line="360" w:lineRule="atLeast"/>
      <w:jc w:val="center"/>
      <w:textAlignment w:val="baseline"/>
    </w:pPr>
    <w:rPr>
      <w:kern w:val="0"/>
      <w:szCs w:val="20"/>
    </w:rPr>
  </w:style>
  <w:style w:type="paragraph" w:customStyle="1" w:styleId="343">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44">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4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46">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47">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8">
    <w:name w:val="正文段"/>
    <w:basedOn w:val="1"/>
    <w:qFormat/>
    <w:uiPriority w:val="0"/>
    <w:pPr>
      <w:widowControl/>
      <w:snapToGrid w:val="0"/>
      <w:spacing w:afterLines="50"/>
      <w:ind w:firstLine="200" w:firstLineChars="200"/>
    </w:pPr>
    <w:rPr>
      <w:kern w:val="0"/>
      <w:sz w:val="24"/>
      <w:szCs w:val="20"/>
    </w:rPr>
  </w:style>
  <w:style w:type="paragraph" w:customStyle="1" w:styleId="349">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0">
    <w:name w:val="Char1"/>
    <w:basedOn w:val="1"/>
    <w:qFormat/>
    <w:uiPriority w:val="0"/>
    <w:rPr>
      <w:rFonts w:ascii="Tahoma" w:hAnsi="Tahoma"/>
      <w:sz w:val="24"/>
      <w:szCs w:val="20"/>
    </w:rPr>
  </w:style>
  <w:style w:type="paragraph" w:customStyle="1" w:styleId="351">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53">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3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5">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356">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7">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8">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359">
    <w:name w:val="默认段落字体 Para Char Char Char Char Char Char Char Char Char1 Char Char Char Char"/>
    <w:basedOn w:val="1"/>
    <w:qFormat/>
    <w:uiPriority w:val="0"/>
    <w:rPr>
      <w:rFonts w:ascii="Tahoma" w:hAnsi="Tahoma"/>
      <w:sz w:val="24"/>
      <w:szCs w:val="20"/>
    </w:rPr>
  </w:style>
  <w:style w:type="paragraph" w:customStyle="1" w:styleId="360">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61">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6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3">
    <w:name w:val="标准标题3"/>
    <w:basedOn w:val="4"/>
    <w:qFormat/>
    <w:uiPriority w:val="0"/>
    <w:pPr>
      <w:numPr>
        <w:ilvl w:val="0"/>
        <w:numId w:val="9"/>
      </w:numPr>
      <w:spacing w:line="240" w:lineRule="auto"/>
      <w:ind w:left="0" w:leftChars="-258" w:firstLine="0"/>
    </w:pPr>
    <w:rPr>
      <w:rFonts w:eastAsia="仿宋_GB2312"/>
      <w:sz w:val="28"/>
    </w:rPr>
  </w:style>
  <w:style w:type="paragraph" w:customStyle="1" w:styleId="364">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5">
    <w:name w:val="文档正文"/>
    <w:basedOn w:val="1"/>
    <w:qFormat/>
    <w:uiPriority w:val="0"/>
    <w:pPr>
      <w:adjustRightInd w:val="0"/>
      <w:spacing w:line="312" w:lineRule="atLeast"/>
      <w:ind w:firstLine="567"/>
    </w:pPr>
    <w:rPr>
      <w:rFonts w:ascii="Arial" w:eastAsia="长城仿宋"/>
      <w:kern w:val="0"/>
      <w:sz w:val="28"/>
      <w:szCs w:val="20"/>
    </w:rPr>
  </w:style>
  <w:style w:type="paragraph" w:customStyle="1" w:styleId="36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8">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9">
    <w:name w:val="font13"/>
    <w:basedOn w:val="1"/>
    <w:qFormat/>
    <w:uiPriority w:val="0"/>
    <w:pPr>
      <w:widowControl/>
      <w:spacing w:before="100" w:beforeAutospacing="1" w:after="100" w:afterAutospacing="1"/>
      <w:jc w:val="left"/>
    </w:pPr>
    <w:rPr>
      <w:kern w:val="0"/>
      <w:sz w:val="18"/>
      <w:szCs w:val="20"/>
    </w:rPr>
  </w:style>
  <w:style w:type="paragraph" w:customStyle="1" w:styleId="37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1">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3">
    <w:name w:val="列出段落11"/>
    <w:basedOn w:val="1"/>
    <w:qFormat/>
    <w:uiPriority w:val="0"/>
    <w:pPr>
      <w:widowControl/>
      <w:spacing w:beforeLines="50" w:afterLines="50"/>
      <w:ind w:firstLine="420" w:firstLineChars="200"/>
      <w:jc w:val="left"/>
    </w:pPr>
  </w:style>
  <w:style w:type="table" w:customStyle="1" w:styleId="374">
    <w:name w:val="中等深浅列表 1 - 强调文字颜色 51"/>
    <w:basedOn w:val="50"/>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Wingdings" w:cs="Times New Roman"/>
      </w:rPr>
      <w:tcPr>
        <w:tcBorders>
          <w:top w:val="nil"/>
          <w:left w:val="nil"/>
          <w:bottom w:val="single" w:color="4BACC6" w:sz="8" w:space="0"/>
          <w:right w:val="nil"/>
          <w:insideH w:val="nil"/>
          <w:insideV w:val="nil"/>
          <w:tl2br w:val="nil"/>
          <w:tr2bl w:val="nil"/>
        </w:tcBorders>
      </w:tcPr>
    </w:tblStylePr>
    <w:tblStylePr w:type="lastRow">
      <w:rPr>
        <w:b/>
        <w:bCs/>
        <w:color w:val="1F497D"/>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cPr>
        <w:tcBorders>
          <w:top w:val="single" w:color="4BACC6" w:sz="8" w:space="0"/>
          <w:left w:val="nil"/>
          <w:bottom w:val="single" w:color="4BACC6" w:sz="8" w:space="0"/>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75">
    <w:name w:val="彩色底纹 - 强调文字颜色 51"/>
    <w:basedOn w:val="50"/>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76">
    <w:name w:val="彩色网格 - 强调文字颜色 51"/>
    <w:basedOn w:val="50"/>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77">
    <w:name w:val="中等深浅网格 1 - 强调文字颜色 51"/>
    <w:basedOn w:val="50"/>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78">
    <w:name w:val="彩色列表 - 着色 1"/>
    <w:basedOn w:val="50"/>
    <w:qFormat/>
    <w:uiPriority w:val="0"/>
    <w:rPr>
      <w:kern w:val="2"/>
      <w:sz w:val="21"/>
      <w:szCs w:val="22"/>
    </w:rPr>
    <w:tblPr>
      <w:tblCellMar>
        <w:top w:w="0" w:type="dxa"/>
        <w:left w:w="108" w:type="dxa"/>
        <w:bottom w:w="0" w:type="dxa"/>
        <w:right w:w="108" w:type="dxa"/>
      </w:tblCellMar>
    </w:tblPr>
    <w:tcPr>
      <w:shd w:val="clear" w:color="auto" w:fill="EEF5FB"/>
    </w:tcPr>
    <w:tblStylePr w:type="firstRow">
      <w:tcPr>
        <w:tcBorders>
          <w:top w:val="nil"/>
          <w:left w:val="nil"/>
          <w:bottom w:val="single" w:color="FFFFFF" w:sz="12" w:space="0"/>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table" w:customStyle="1" w:styleId="379">
    <w:name w:val="Table Normal1"/>
    <w:semiHidden/>
    <w:qFormat/>
    <w:uiPriority w:val="0"/>
    <w:rPr>
      <w:rFonts w:eastAsia="Times New Roman"/>
    </w:rPr>
    <w:tblPr>
      <w:tblCellMar>
        <w:top w:w="0" w:type="dxa"/>
        <w:left w:w="108" w:type="dxa"/>
        <w:bottom w:w="0" w:type="dxa"/>
        <w:right w:w="108" w:type="dxa"/>
      </w:tblCellMar>
    </w:tblPr>
  </w:style>
  <w:style w:type="table" w:customStyle="1" w:styleId="380">
    <w:name w:val="Table Normal"/>
    <w:semiHidden/>
    <w:qFormat/>
    <w:uiPriority w:val="0"/>
    <w:rPr>
      <w:rFonts w:eastAsia="Times New Roman"/>
    </w:rPr>
    <w:tblPr>
      <w:tblCellMar>
        <w:top w:w="0" w:type="dxa"/>
        <w:left w:w="108" w:type="dxa"/>
        <w:bottom w:w="0" w:type="dxa"/>
        <w:right w:w="108" w:type="dxa"/>
      </w:tblCellMar>
    </w:tblPr>
  </w:style>
  <w:style w:type="paragraph" w:customStyle="1" w:styleId="381">
    <w:name w:val="flNote"/>
    <w:basedOn w:val="1"/>
    <w:qFormat/>
    <w:uiPriority w:val="0"/>
    <w:pPr>
      <w:spacing w:before="320" w:after="160" w:line="360" w:lineRule="auto"/>
      <w:jc w:val="center"/>
    </w:pPr>
    <w:rPr>
      <w:rFonts w:ascii="Arial" w:eastAsia="黑体"/>
      <w:sz w:val="30"/>
    </w:rPr>
  </w:style>
  <w:style w:type="character" w:customStyle="1" w:styleId="382">
    <w:name w:val="正文首行缩进 2 Char"/>
    <w:basedOn w:val="122"/>
    <w:link w:val="49"/>
    <w:qFormat/>
    <w:uiPriority w:val="0"/>
    <w:rPr>
      <w:rFonts w:eastAsia="仿宋_GB2312"/>
      <w:color w:val="000000"/>
      <w:kern w:val="2"/>
      <w:sz w:val="21"/>
      <w:szCs w:val="24"/>
      <w:lang w:bidi="ar-SA"/>
    </w:rPr>
  </w:style>
  <w:style w:type="paragraph" w:customStyle="1" w:styleId="383">
    <w:name w:val="standdate"/>
    <w:basedOn w:val="33"/>
    <w:semiHidden/>
    <w:qFormat/>
    <w:uiPriority w:val="0"/>
    <w:pPr>
      <w:tabs>
        <w:tab w:val="clear" w:pos="4153"/>
        <w:tab w:val="clear" w:pos="8306"/>
      </w:tabs>
      <w:snapToGrid/>
      <w:spacing w:line="340" w:lineRule="atLeast"/>
      <w:ind w:left="255" w:right="255"/>
      <w:jc w:val="center"/>
      <w:textAlignment w:val="center"/>
    </w:pPr>
    <w:rPr>
      <w:rFonts w:eastAsia="华文中宋"/>
      <w:b/>
      <w:spacing w:val="-4"/>
      <w:sz w:val="32"/>
      <w:szCs w:val="24"/>
    </w:rPr>
  </w:style>
  <w:style w:type="paragraph" w:customStyle="1" w:styleId="384">
    <w:name w:val="flName"/>
    <w:basedOn w:val="381"/>
    <w:qFormat/>
    <w:uiPriority w:val="0"/>
    <w:rPr>
      <w:sz w:val="32"/>
    </w:rPr>
  </w:style>
  <w:style w:type="paragraph" w:customStyle="1" w:styleId="385">
    <w:name w:val="flType"/>
    <w:basedOn w:val="384"/>
    <w:qFormat/>
    <w:uiPriority w:val="0"/>
    <w:pPr>
      <w:spacing w:before="560" w:after="120"/>
    </w:pPr>
    <w:rPr>
      <w:sz w:val="28"/>
    </w:rPr>
  </w:style>
  <w:style w:type="character" w:customStyle="1" w:styleId="386">
    <w:name w:val="副标题 Char"/>
    <w:basedOn w:val="54"/>
    <w:link w:val="37"/>
    <w:qFormat/>
    <w:uiPriority w:val="0"/>
    <w:rPr>
      <w:rFonts w:ascii="Arial" w:hAnsi="Arial" w:eastAsia="黑体"/>
      <w:i/>
      <w:kern w:val="2"/>
      <w:sz w:val="21"/>
      <w:szCs w:val="24"/>
    </w:rPr>
  </w:style>
  <w:style w:type="paragraph" w:customStyle="1" w:styleId="387">
    <w:name w:val="正文文字1"/>
    <w:basedOn w:val="20"/>
    <w:semiHidden/>
    <w:qFormat/>
    <w:uiPriority w:val="0"/>
    <w:pPr>
      <w:spacing w:line="240" w:lineRule="auto"/>
      <w:ind w:left="72" w:leftChars="30" w:right="72" w:rightChars="30"/>
    </w:pPr>
    <w:rPr>
      <w:sz w:val="21"/>
      <w:szCs w:val="24"/>
    </w:rPr>
  </w:style>
  <w:style w:type="paragraph" w:customStyle="1" w:styleId="388">
    <w:name w:val="注"/>
    <w:basedOn w:val="1"/>
    <w:semiHidden/>
    <w:qFormat/>
    <w:uiPriority w:val="0"/>
    <w:pPr>
      <w:ind w:left="840" w:hanging="420"/>
    </w:pPr>
  </w:style>
  <w:style w:type="paragraph" w:customStyle="1" w:styleId="389">
    <w:name w:val="正文文字2"/>
    <w:basedOn w:val="20"/>
    <w:semiHidden/>
    <w:qFormat/>
    <w:uiPriority w:val="0"/>
    <w:pPr>
      <w:spacing w:after="60" w:line="240" w:lineRule="auto"/>
      <w:ind w:left="72" w:leftChars="30" w:right="72" w:rightChars="30"/>
      <w:jc w:val="center"/>
    </w:pPr>
    <w:rPr>
      <w:rFonts w:ascii="Arial" w:eastAsia="黑体"/>
      <w:sz w:val="21"/>
      <w:szCs w:val="24"/>
    </w:rPr>
  </w:style>
  <w:style w:type="paragraph" w:customStyle="1" w:styleId="390">
    <w:name w:val="空半行"/>
    <w:basedOn w:val="1"/>
    <w:semiHidden/>
    <w:qFormat/>
    <w:uiPriority w:val="0"/>
    <w:pPr>
      <w:spacing w:line="120" w:lineRule="exact"/>
    </w:pPr>
    <w:rPr>
      <w:rFonts w:eastAsia="仿宋_GB2312"/>
      <w:color w:val="FFFFFF"/>
      <w:sz w:val="30"/>
    </w:rPr>
  </w:style>
  <w:style w:type="paragraph" w:customStyle="1" w:styleId="391">
    <w:name w:val="2 Char Char Char Char Char Char Char"/>
    <w:basedOn w:val="1"/>
    <w:semiHidden/>
    <w:qFormat/>
    <w:uiPriority w:val="0"/>
    <w:rPr>
      <w:rFonts w:ascii="Tahoma" w:hAnsi="Tahoma"/>
    </w:rPr>
  </w:style>
  <w:style w:type="paragraph" w:customStyle="1" w:styleId="392">
    <w:name w:val="Char1 Char Char Char Char1"/>
    <w:basedOn w:val="1"/>
    <w:semiHidden/>
    <w:qFormat/>
    <w:uiPriority w:val="0"/>
    <w:rPr>
      <w:rFonts w:ascii="Tahoma" w:hAnsi="Tahoma"/>
    </w:rPr>
  </w:style>
  <w:style w:type="paragraph" w:customStyle="1" w:styleId="393">
    <w:name w:val="CM103"/>
    <w:basedOn w:val="1"/>
    <w:next w:val="1"/>
    <w:semiHidden/>
    <w:qFormat/>
    <w:uiPriority w:val="0"/>
    <w:pPr>
      <w:autoSpaceDE w:val="0"/>
      <w:autoSpaceDN w:val="0"/>
      <w:spacing w:after="180"/>
      <w:jc w:val="left"/>
    </w:pPr>
    <w:rPr>
      <w:rFonts w:ascii="PMingLiU" w:eastAsia="PMingLiU"/>
    </w:rPr>
  </w:style>
  <w:style w:type="paragraph" w:customStyle="1" w:styleId="394">
    <w:name w:val="Char Char"/>
    <w:basedOn w:val="1"/>
    <w:semiHidden/>
    <w:qFormat/>
    <w:uiPriority w:val="0"/>
    <w:pPr>
      <w:widowControl/>
      <w:spacing w:line="400" w:lineRule="exact"/>
      <w:jc w:val="center"/>
    </w:pPr>
    <w:rPr>
      <w:rFonts w:ascii="Verdana" w:hAnsi="Verdana"/>
      <w:lang w:eastAsia="en-US"/>
    </w:rPr>
  </w:style>
  <w:style w:type="paragraph" w:customStyle="1" w:styleId="395">
    <w:name w:val="Char Char1"/>
    <w:basedOn w:val="1"/>
    <w:semiHidden/>
    <w:qFormat/>
    <w:uiPriority w:val="0"/>
    <w:pPr>
      <w:spacing w:line="400" w:lineRule="exact"/>
      <w:jc w:val="center"/>
    </w:pPr>
    <w:rPr>
      <w:rFonts w:ascii="Verdana" w:hAnsi="Verdana"/>
      <w:lang w:eastAsia="en-US"/>
    </w:rPr>
  </w:style>
  <w:style w:type="character" w:customStyle="1" w:styleId="396">
    <w:name w:val="font71"/>
    <w:basedOn w:val="54"/>
    <w:qFormat/>
    <w:uiPriority w:val="0"/>
    <w:rPr>
      <w:rFonts w:hint="eastAsia" w:ascii="仿宋" w:hAnsi="仿宋" w:eastAsia="仿宋" w:cs="仿宋"/>
      <w:color w:val="000000"/>
      <w:sz w:val="22"/>
      <w:szCs w:val="22"/>
      <w:u w:val="none"/>
    </w:rPr>
  </w:style>
  <w:style w:type="character" w:customStyle="1" w:styleId="397">
    <w:name w:val="font51"/>
    <w:basedOn w:val="54"/>
    <w:uiPriority w:val="0"/>
    <w:rPr>
      <w:rFonts w:hint="eastAsia" w:ascii="仿宋" w:hAnsi="仿宋" w:eastAsia="仿宋" w:cs="仿宋"/>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72FFD-9ECE-4B8A-9FAB-45C1469E7434}">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80</Pages>
  <Words>7246</Words>
  <Characters>41304</Characters>
  <Lines>344</Lines>
  <Paragraphs>96</Paragraphs>
  <TotalTime>111</TotalTime>
  <ScaleCrop>false</ScaleCrop>
  <LinksUpToDate>false</LinksUpToDate>
  <CharactersWithSpaces>48454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2020-12-16T02:31:00Z</dcterms:created>
  <dc:creator>Van Helsing</dc:creator>
  <cp:lastModifiedBy>谱诚咨询</cp:lastModifiedBy>
  <cp:lastPrinted>2020-12-03T04:35:00Z</cp:lastPrinted>
  <dcterms:modified xsi:type="dcterms:W3CDTF">2020-12-29T07:24:33Z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